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xlsx" ContentType="application/vnd.openxmlformats-officedocument.spreadsheetml.sheet"/>
  <Override PartName="/customXml/item1.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pStyle w:val="P28"/>
        <w:jc w:val="center"/>
        <w:rPr>
          <w:color w:val="auto"/>
          <w:sz w:val="28"/>
          <w:szCs w:val="28"/>
        </w:rPr>
      </w:pPr>
      <w:r>
        <w:rPr>
          <w:color w:val="auto"/>
          <w:sz w:val="28"/>
          <w:szCs w:val="28"/>
        </w:rPr>
        <w:t>Министерство науки и высшего образования Российской Федерации</w:t>
      </w:r>
    </w:p>
    <w:p>
      <w:pPr>
        <w:pStyle w:val="P28"/>
        <w:jc w:val="center"/>
        <w:rPr>
          <w:color w:val="auto"/>
          <w:sz w:val="28"/>
          <w:szCs w:val="28"/>
        </w:rPr>
      </w:pPr>
      <w:r>
        <w:rPr>
          <w:color w:val="auto"/>
          <w:sz w:val="28"/>
          <w:szCs w:val="28"/>
        </w:rPr>
        <w:t>Федеральное государственное автономное</w:t>
      </w:r>
    </w:p>
    <w:p>
      <w:pPr>
        <w:pStyle w:val="P28"/>
        <w:jc w:val="center"/>
        <w:rPr>
          <w:color w:val="auto"/>
          <w:sz w:val="28"/>
          <w:szCs w:val="28"/>
        </w:rPr>
      </w:pPr>
      <w:r>
        <w:rPr>
          <w:color w:val="auto"/>
          <w:sz w:val="28"/>
          <w:szCs w:val="28"/>
        </w:rPr>
        <w:t>образовательное учреждение высшего образования</w:t>
      </w:r>
    </w:p>
    <w:p>
      <w:pPr>
        <w:spacing w:lineRule="auto" w:line="240" w:beforeAutospacing="0" w:afterAutospacing="0"/>
        <w:jc w:val="center"/>
        <w:rPr>
          <w:rFonts w:ascii="Times New Roman" w:hAnsi="Times New Roman" w:cs="Times New Roman"/>
          <w:sz w:val="28"/>
          <w:szCs w:val="28"/>
        </w:rPr>
      </w:pPr>
      <w:r>
        <w:rPr>
          <w:rFonts w:ascii="Times New Roman" w:hAnsi="Times New Roman" w:cs="Times New Roman"/>
          <w:sz w:val="28"/>
          <w:szCs w:val="28"/>
        </w:rPr>
        <w:t>«Северо-Кавказский федеральный университет»</w:t>
      </w:r>
    </w:p>
    <w:p>
      <w:pPr>
        <w:jc w:val="right"/>
        <w:rPr>
          <w:rFonts w:ascii="Times New Roman" w:hAnsi="Times New Roman" w:cs="Times New Roman"/>
          <w:i w:val="1"/>
        </w:rPr>
      </w:pPr>
    </w:p>
    <w:p>
      <w:pPr>
        <w:jc w:val="right"/>
        <w:rPr>
          <w:rFonts w:ascii="Times New Roman" w:hAnsi="Times New Roman" w:cs="Times New Roman"/>
          <w:i w:val="1"/>
        </w:rPr>
      </w:pPr>
    </w:p>
    <w:p>
      <w:pPr>
        <w:jc w:val="right"/>
        <w:rPr>
          <w:rFonts w:ascii="Times New Roman" w:hAnsi="Times New Roman" w:cs="Times New Roman"/>
          <w:i w:val="1"/>
          <w:sz w:val="28"/>
          <w:szCs w:val="28"/>
        </w:rPr>
      </w:pPr>
      <w:r>
        <w:rPr>
          <w:rFonts w:ascii="Times New Roman" w:hAnsi="Times New Roman" w:cs="Times New Roman"/>
          <w:i w:val="1"/>
          <w:sz w:val="28"/>
          <w:szCs w:val="28"/>
        </w:rPr>
        <w:t>На правах рукописи</w:t>
      </w:r>
    </w:p>
    <w:p>
      <w:pPr>
        <w:pStyle w:val="P13"/>
        <w:rPr>
          <w:sz w:val="28"/>
          <w:szCs w:val="28"/>
          <w:lang w:val="ru-RU"/>
        </w:rPr>
      </w:pPr>
    </w:p>
    <w:p>
      <w:pPr>
        <w:pStyle w:val="P13"/>
        <w:rPr>
          <w:sz w:val="28"/>
          <w:szCs w:val="28"/>
          <w:lang w:val="ru-RU"/>
        </w:rPr>
      </w:pPr>
    </w:p>
    <w:p>
      <w:pPr>
        <w:pStyle w:val="P1"/>
        <w:spacing w:lineRule="auto" w:line="360" w:before="260" w:beforeAutospacing="0" w:afterAutospacing="0"/>
        <w:ind w:left="0"/>
        <w:jc w:val="center"/>
        <w:rPr>
          <w:b w:val="0"/>
          <w:sz w:val="28"/>
          <w:szCs w:val="28"/>
          <w:lang w:val="ru-RU"/>
        </w:rPr>
      </w:pPr>
      <w:r>
        <w:rPr>
          <w:b w:val="0"/>
          <w:sz w:val="28"/>
          <w:szCs w:val="28"/>
          <w:lang w:val="ru-RU"/>
        </w:rPr>
        <w:t>ЙЕО НАННЕИН</w:t>
      </w:r>
      <w:r>
        <w:rPr>
          <w:b w:val="0"/>
          <w:sz w:val="28"/>
          <w:szCs w:val="28"/>
          <w:rtl w:val="0"/>
          <w:lang w:val="ru-RU" w:bidi="ru-RU" w:eastAsia="ru-RU"/>
        </w:rPr>
        <w:t xml:space="preserve"> </w:t>
      </w:r>
    </w:p>
    <w:p>
      <w:pPr>
        <w:pStyle w:val="P13"/>
        <w:spacing w:lineRule="auto" w:line="360" w:beforeAutospacing="0" w:afterAutospacing="0"/>
        <w:rPr>
          <w:b w:val="1"/>
          <w:sz w:val="28"/>
          <w:szCs w:val="28"/>
          <w:lang w:val="ru-RU"/>
        </w:rPr>
      </w:pPr>
    </w:p>
    <w:p>
      <w:pPr>
        <w:pStyle w:val="P13"/>
        <w:spacing w:lineRule="auto" w:line="360" w:beforeAutospacing="0" w:afterAutospacing="0"/>
        <w:rPr>
          <w:b w:val="1"/>
          <w:sz w:val="28"/>
          <w:szCs w:val="28"/>
          <w:lang w:val="ru-RU"/>
        </w:rPr>
      </w:pPr>
    </w:p>
    <w:p>
      <w:pPr>
        <w:pStyle w:val="P13"/>
        <w:spacing w:lineRule="auto" w:line="360" w:beforeAutospacing="0" w:afterAutospacing="0"/>
        <w:jc w:val="center"/>
        <w:rPr>
          <w:rFonts w:asciiTheme="minorHAnsi" w:hAnsiTheme="minorHAnsi"/>
          <w:b w:val="1"/>
          <w:caps w:val="1"/>
          <w:sz w:val="28"/>
          <w:szCs w:val="28"/>
          <w:lang w:val="ru-RU"/>
        </w:rPr>
      </w:pPr>
      <w:r>
        <w:rPr>
          <w:rFonts w:ascii="Times New Roman Полужирный" w:hAnsi="Times New Roman Полужирный"/>
          <w:b w:val="1"/>
          <w:caps w:val="1"/>
          <w:sz w:val="28"/>
          <w:szCs w:val="28"/>
          <w:lang w:val="ru-RU"/>
        </w:rPr>
        <w:t xml:space="preserve">Формирование механизмов инновационно-инклюзивного развития Республики Кот-д’Ивуар </w:t>
      </w:r>
    </w:p>
    <w:p>
      <w:pPr>
        <w:pStyle w:val="P13"/>
        <w:spacing w:lineRule="auto" w:line="360" w:beforeAutospacing="0" w:afterAutospacing="0"/>
        <w:jc w:val="center"/>
        <w:rPr>
          <w:rFonts w:ascii="Times New Roman Полужирный" w:hAnsi="Times New Roman Полужирный"/>
          <w:b w:val="1"/>
          <w:caps w:val="1"/>
          <w:sz w:val="28"/>
          <w:szCs w:val="28"/>
          <w:lang w:val="ru-RU"/>
        </w:rPr>
      </w:pPr>
      <w:r>
        <w:rPr>
          <w:rFonts w:ascii="Times New Roman Полужирный" w:hAnsi="Times New Roman Полужирный"/>
          <w:b w:val="1"/>
          <w:caps w:val="1"/>
          <w:sz w:val="28"/>
          <w:szCs w:val="28"/>
          <w:lang w:val="ru-RU"/>
        </w:rPr>
        <w:t>в условиях цифровой трансформации</w:t>
      </w:r>
    </w:p>
    <w:p>
      <w:pPr>
        <w:pStyle w:val="P13"/>
        <w:spacing w:before="1" w:beforeAutospacing="0" w:afterAutospacing="0"/>
        <w:rPr>
          <w:b w:val="1"/>
          <w:sz w:val="28"/>
          <w:szCs w:val="28"/>
          <w:lang w:val="ru-RU"/>
        </w:rPr>
      </w:pPr>
    </w:p>
    <w:p>
      <w:pPr>
        <w:pStyle w:val="P13"/>
        <w:spacing w:lineRule="auto" w:line="360" w:beforeAutospacing="0" w:afterAutospacing="0"/>
        <w:rPr>
          <w:b w:val="1"/>
          <w:sz w:val="28"/>
          <w:szCs w:val="28"/>
          <w:lang w:val="ru-RU"/>
        </w:rPr>
      </w:pPr>
    </w:p>
    <w:p>
      <w:pPr>
        <w:pStyle w:val="P27"/>
        <w:shd w:val="clear" w:fill="auto"/>
        <w:spacing w:lineRule="auto" w:line="360" w:before="0" w:beforeAutospacing="0" w:afterAutospacing="0"/>
        <w:ind w:firstLine="0"/>
        <w:jc w:val="center"/>
        <w:rPr>
          <w:sz w:val="28"/>
          <w:szCs w:val="28"/>
        </w:rPr>
      </w:pPr>
      <w:r>
        <w:rPr>
          <w:sz w:val="28"/>
          <w:szCs w:val="28"/>
        </w:rPr>
        <w:t>5.2.3. Региональная и отраслевая экономика: экономика инноваций</w:t>
      </w:r>
    </w:p>
    <w:p>
      <w:pPr>
        <w:pStyle w:val="P13"/>
        <w:spacing w:lineRule="auto" w:line="360" w:beforeAutospacing="0" w:afterAutospacing="0"/>
        <w:jc w:val="center"/>
        <w:rPr>
          <w:sz w:val="28"/>
          <w:szCs w:val="28"/>
          <w:lang w:val="ru-RU"/>
        </w:rPr>
      </w:pPr>
      <w:r>
        <w:rPr>
          <w:sz w:val="28"/>
          <w:szCs w:val="28"/>
          <w:lang w:val="ru-RU"/>
        </w:rPr>
        <w:t xml:space="preserve">5.2.5. Мировая экономика </w:t>
      </w:r>
    </w:p>
    <w:p>
      <w:pPr>
        <w:pStyle w:val="P13"/>
        <w:spacing w:lineRule="auto" w:line="360" w:beforeAutospacing="0" w:afterAutospacing="0"/>
        <w:jc w:val="center"/>
        <w:rPr>
          <w:sz w:val="28"/>
          <w:szCs w:val="28"/>
          <w:lang w:val="ru-RU"/>
        </w:rPr>
      </w:pPr>
    </w:p>
    <w:p>
      <w:pPr>
        <w:pStyle w:val="P13"/>
        <w:spacing w:lineRule="auto" w:line="360" w:beforeAutospacing="0" w:afterAutospacing="0"/>
        <w:jc w:val="center"/>
        <w:rPr>
          <w:sz w:val="28"/>
          <w:szCs w:val="28"/>
          <w:lang w:val="ru-RU"/>
        </w:rPr>
      </w:pPr>
    </w:p>
    <w:p>
      <w:pPr>
        <w:pStyle w:val="P29"/>
        <w:shd w:val="clear" w:fill="auto"/>
        <w:spacing w:lineRule="auto" w:line="360" w:before="0" w:after="0" w:beforeAutospacing="0" w:afterAutospacing="0"/>
        <w:rPr>
          <w:sz w:val="28"/>
          <w:szCs w:val="28"/>
        </w:rPr>
      </w:pPr>
      <w:r>
        <w:rPr>
          <w:sz w:val="28"/>
          <w:szCs w:val="28"/>
        </w:rPr>
        <w:t xml:space="preserve">ДИССЕРТАЦИЯ </w:t>
      </w:r>
    </w:p>
    <w:p>
      <w:pPr>
        <w:pStyle w:val="P29"/>
        <w:shd w:val="clear" w:fill="auto"/>
        <w:spacing w:lineRule="auto" w:line="360" w:before="0" w:after="0" w:beforeAutospacing="0" w:afterAutospacing="0"/>
        <w:rPr>
          <w:b w:val="0"/>
          <w:sz w:val="28"/>
          <w:szCs w:val="28"/>
        </w:rPr>
      </w:pPr>
      <w:r>
        <w:rPr>
          <w:b w:val="0"/>
          <w:sz w:val="28"/>
          <w:szCs w:val="28"/>
        </w:rPr>
        <w:t>на соискание ученой степени кандидата экономических наук</w:t>
      </w:r>
    </w:p>
    <w:p>
      <w:pPr>
        <w:pStyle w:val="P29"/>
        <w:shd w:val="clear" w:fill="auto"/>
        <w:spacing w:lineRule="auto" w:line="360" w:before="0" w:after="0" w:beforeAutospacing="0" w:afterAutospacing="0"/>
        <w:rPr>
          <w:sz w:val="28"/>
          <w:szCs w:val="28"/>
        </w:rPr>
      </w:pPr>
    </w:p>
    <w:p>
      <w:pPr>
        <w:pStyle w:val="P29"/>
        <w:shd w:val="clear" w:fill="auto"/>
        <w:spacing w:lineRule="auto" w:line="240" w:before="0" w:after="0" w:beforeAutospacing="0" w:afterAutospacing="0"/>
        <w:ind w:left="4536"/>
        <w:jc w:val="left"/>
        <w:rPr>
          <w:b w:val="0"/>
          <w:sz w:val="28"/>
          <w:szCs w:val="28"/>
        </w:rPr>
      </w:pPr>
    </w:p>
    <w:p>
      <w:pPr>
        <w:pStyle w:val="P29"/>
        <w:shd w:val="clear" w:fill="auto"/>
        <w:spacing w:lineRule="auto" w:line="240" w:before="0" w:after="0" w:beforeAutospacing="0" w:afterAutospacing="0"/>
        <w:ind w:left="4536"/>
        <w:jc w:val="left"/>
        <w:rPr>
          <w:b w:val="0"/>
          <w:sz w:val="28"/>
          <w:szCs w:val="28"/>
        </w:rPr>
      </w:pPr>
      <w:r>
        <w:rPr>
          <w:b w:val="0"/>
          <w:sz w:val="28"/>
          <w:szCs w:val="28"/>
        </w:rPr>
        <w:t>Научный руководитель:</w:t>
      </w:r>
    </w:p>
    <w:p>
      <w:pPr>
        <w:pStyle w:val="P29"/>
        <w:shd w:val="clear" w:fill="auto"/>
        <w:spacing w:lineRule="auto" w:line="240" w:before="0" w:after="0" w:beforeAutospacing="0" w:afterAutospacing="0"/>
        <w:ind w:left="4536"/>
        <w:jc w:val="left"/>
        <w:rPr>
          <w:b w:val="0"/>
          <w:sz w:val="28"/>
          <w:szCs w:val="28"/>
        </w:rPr>
      </w:pPr>
      <w:r>
        <w:rPr>
          <w:b w:val="0"/>
          <w:sz w:val="28"/>
          <w:szCs w:val="28"/>
        </w:rPr>
        <w:t>доктор экономических наук, доцент</w:t>
      </w:r>
    </w:p>
    <w:p>
      <w:pPr>
        <w:pStyle w:val="P29"/>
        <w:shd w:val="clear" w:fill="auto"/>
        <w:spacing w:lineRule="auto" w:line="240" w:before="0" w:after="0" w:beforeAutospacing="0" w:afterAutospacing="0"/>
        <w:ind w:left="4536"/>
        <w:jc w:val="left"/>
        <w:rPr>
          <w:b w:val="0"/>
          <w:sz w:val="28"/>
          <w:szCs w:val="28"/>
        </w:rPr>
      </w:pPr>
      <w:r>
        <w:rPr>
          <w:b w:val="0"/>
          <w:sz w:val="28"/>
          <w:szCs w:val="28"/>
        </w:rPr>
        <w:t>Кулаговская Татьяна Анатольевна</w:t>
      </w:r>
    </w:p>
    <w:p>
      <w:pPr>
        <w:pStyle w:val="P13"/>
        <w:rPr>
          <w:sz w:val="28"/>
          <w:szCs w:val="28"/>
          <w:lang w:val="ru-RU"/>
        </w:rPr>
      </w:pPr>
    </w:p>
    <w:p>
      <w:pPr>
        <w:pStyle w:val="P13"/>
        <w:rPr>
          <w:sz w:val="28"/>
          <w:szCs w:val="28"/>
          <w:lang w:val="ru-RU"/>
        </w:rPr>
      </w:pPr>
    </w:p>
    <w:p>
      <w:pPr>
        <w:pStyle w:val="P13"/>
        <w:rPr>
          <w:sz w:val="28"/>
          <w:szCs w:val="28"/>
          <w:lang w:val="ru-RU"/>
        </w:rPr>
      </w:pPr>
    </w:p>
    <w:p>
      <w:pPr>
        <w:pStyle w:val="P13"/>
        <w:rPr>
          <w:sz w:val="28"/>
          <w:szCs w:val="28"/>
          <w:lang w:val="ru-RU"/>
        </w:rPr>
      </w:pPr>
    </w:p>
    <w:p>
      <w:pPr>
        <w:pStyle w:val="P13"/>
        <w:rPr>
          <w:sz w:val="28"/>
          <w:szCs w:val="28"/>
          <w:lang w:val="ru-RU"/>
        </w:rPr>
      </w:pPr>
    </w:p>
    <w:p>
      <w:pPr>
        <w:pStyle w:val="P13"/>
        <w:spacing w:before="1" w:beforeAutospacing="0" w:afterAutospacing="0"/>
        <w:rPr>
          <w:sz w:val="28"/>
          <w:szCs w:val="28"/>
          <w:lang w:val="ru-RU"/>
        </w:rPr>
      </w:pPr>
    </w:p>
    <w:p>
      <w:pPr>
        <w:pStyle w:val="P13"/>
        <w:spacing w:before="1" w:beforeAutospacing="0" w:afterAutospacing="0"/>
        <w:jc w:val="center"/>
        <w:rPr>
          <w:sz w:val="28"/>
          <w:szCs w:val="28"/>
          <w:lang w:val="ru-RU"/>
        </w:rPr>
      </w:pPr>
      <w:r>
        <w:rPr>
          <w:sz w:val="28"/>
          <w:szCs w:val="28"/>
          <w:lang w:val="ru-RU"/>
        </w:rPr>
        <w:t>Ставрополь – 2026</w:t>
      </w:r>
    </w:p>
    <w:p>
      <w:pPr>
        <w:spacing w:lineRule="auto" w:line="360" w:after="0" w:beforeAutospacing="0" w:afterAutospacing="0"/>
        <w:jc w:val="center"/>
        <w:rPr>
          <w:rFonts w:ascii="Times New Roman" w:hAnsi="Times New Roman" w:cs="Times New Roman"/>
          <w:b w:val="1"/>
          <w:sz w:val="28"/>
          <w:szCs w:val="28"/>
        </w:rPr>
      </w:pPr>
      <w:r>
        <w:rPr>
          <w:rFonts w:ascii="Times New Roman" w:hAnsi="Times New Roman" w:cs="Times New Roman"/>
          <w:b w:val="1"/>
          <w:sz w:val="28"/>
          <w:szCs w:val="28"/>
        </w:rPr>
        <w:t>ОГЛАВЛЕНИЕ</w:t>
      </w:r>
    </w:p>
    <w:p>
      <w:pPr>
        <w:spacing w:lineRule="auto" w:line="360" w:after="0" w:beforeAutospacing="0" w:afterAutospacing="0"/>
        <w:jc w:val="center"/>
        <w:rPr>
          <w:rFonts w:ascii="Times New Roman" w:hAnsi="Times New Roman" w:cs="Times New Roman"/>
          <w:b w:val="1"/>
        </w:rPr>
      </w:pPr>
    </w:p>
    <w:p>
      <w:pPr>
        <w:spacing w:lineRule="auto" w:line="360" w:after="0" w:beforeAutospacing="0" w:afterAutospacing="0"/>
        <w:jc w:val="center"/>
        <w:rPr>
          <w:rFonts w:ascii="Times New Roman" w:hAnsi="Times New Roman" w:cs="Times New Roman"/>
          <w:b w:val="1"/>
        </w:rPr>
      </w:pPr>
    </w:p>
    <w:p>
      <w:pPr>
        <w:spacing w:lineRule="auto" w:line="360" w:after="0" w:beforeAutospacing="0" w:afterAutospacing="0"/>
        <w:jc w:val="center"/>
        <w:rPr>
          <w:rFonts w:ascii="Times New Roman" w:hAnsi="Times New Roman" w:cs="Times New Roman"/>
          <w:b w:val="1"/>
        </w:rPr>
      </w:pPr>
    </w:p>
    <w:tbl>
      <w:tblPr>
        <w:tblStyle w:val="T3"/>
        <w:tblW w:w="9639" w:type="dxa"/>
        <w:tblBorders>
          <w:top w:val="none" w:sz="0" w:space="0" w:shadow="0" w:frame="0" w:color="auto"/>
          <w:left w:val="none" w:sz="0" w:space="0" w:shadow="0" w:frame="0" w:color="auto"/>
          <w:bottom w:val="none" w:sz="0" w:space="0" w:shadow="0" w:frame="0" w:color="auto"/>
          <w:right w:val="none" w:sz="0" w:space="0" w:shadow="0" w:frame="0" w:color="auto"/>
          <w:insideH w:val="none" w:sz="0" w:space="0" w:shadow="0" w:frame="0" w:color="auto"/>
          <w:insideV w:val="none" w:sz="0" w:space="0" w:shadow="0" w:frame="0" w:color="auto"/>
        </w:tblBorders>
        <w:tblLayout w:type="fixed"/>
        <w:tblLook w:val="04A0"/>
      </w:tblPr>
      <w:tblGrid>
        <w:gridCol w:w="8931"/>
        <w:gridCol w:w="708"/>
      </w:tblGrid>
      <w:tr>
        <w:tc>
          <w:tcPr>
            <w:tcW w:w="8931" w:type="dxa"/>
          </w:tcPr>
          <w:p>
            <w:pPr>
              <w:widowControl w:val="0"/>
              <w:spacing w:lineRule="auto" w:line="360" w:beforeAutospacing="0" w:afterAutospacing="0"/>
              <w:jc w:val="both"/>
              <w:rPr>
                <w:rFonts w:ascii="Times New Roman" w:hAnsi="Times New Roman" w:cs="Times New Roman"/>
                <w:sz w:val="28"/>
                <w:szCs w:val="28"/>
              </w:rPr>
            </w:pPr>
            <w:r>
              <w:rPr>
                <w:rFonts w:ascii="Times New Roman" w:hAnsi="Times New Roman" w:cs="Times New Roman"/>
                <w:sz w:val="28"/>
                <w:szCs w:val="28"/>
              </w:rPr>
              <w:t>ВВЕДЕНИЕ……………………………………………………………….….</w:t>
            </w:r>
          </w:p>
        </w:tc>
        <w:tc>
          <w:tcPr>
            <w:tcW w:w="708" w:type="dxa"/>
          </w:tcPr>
          <w:p>
            <w:pPr>
              <w:widowControl w:val="0"/>
              <w:spacing w:lineRule="auto" w:line="360" w:beforeAutospacing="0" w:afterAutospacing="0"/>
              <w:jc w:val="both"/>
              <w:rPr>
                <w:rFonts w:ascii="Times New Roman" w:hAnsi="Times New Roman" w:cs="Times New Roman"/>
                <w:sz w:val="28"/>
                <w:szCs w:val="28"/>
              </w:rPr>
            </w:pPr>
          </w:p>
        </w:tc>
      </w:tr>
      <w:tr>
        <w:tc>
          <w:tcPr>
            <w:tcW w:w="8931" w:type="dxa"/>
          </w:tcPr>
          <w:p>
            <w:pPr>
              <w:widowControl w:val="0"/>
              <w:spacing w:lineRule="auto" w:line="360" w:beforeAutospacing="0" w:afterAutospacing="0"/>
              <w:jc w:val="both"/>
              <w:rPr>
                <w:rFonts w:ascii="Times New Roman" w:hAnsi="Times New Roman" w:cs="Times New Roman"/>
                <w:sz w:val="28"/>
                <w:szCs w:val="28"/>
              </w:rPr>
            </w:pPr>
            <w:r>
              <w:rPr>
                <w:rFonts w:ascii="Times New Roman" w:hAnsi="Times New Roman" w:cs="Times New Roman"/>
                <w:sz w:val="28"/>
                <w:szCs w:val="28"/>
              </w:rPr>
              <w:t>ГЛАВА 1. Теоретико-методические основы формирования инновационно-инклюзивной модели регионального развития …..………</w:t>
            </w:r>
          </w:p>
        </w:tc>
        <w:tc>
          <w:tcPr>
            <w:tcW w:w="708" w:type="dxa"/>
          </w:tcPr>
          <w:p>
            <w:pPr>
              <w:widowControl w:val="0"/>
              <w:spacing w:lineRule="auto" w:line="360" w:beforeAutospacing="0" w:afterAutospacing="0"/>
              <w:jc w:val="both"/>
              <w:rPr>
                <w:rFonts w:ascii="Times New Roman" w:hAnsi="Times New Roman" w:cs="Times New Roman"/>
                <w:sz w:val="28"/>
                <w:szCs w:val="28"/>
              </w:rPr>
            </w:pPr>
          </w:p>
        </w:tc>
      </w:tr>
      <w:tr>
        <w:tc>
          <w:tcPr>
            <w:tcW w:w="8931" w:type="dxa"/>
          </w:tcPr>
          <w:p>
            <w:pPr>
              <w:widowControl w:val="0"/>
              <w:spacing w:lineRule="auto" w:line="360" w:beforeAutospacing="0" w:afterAutospacing="0"/>
              <w:jc w:val="both"/>
              <w:rPr>
                <w:rFonts w:ascii="Times New Roman" w:hAnsi="Times New Roman" w:cs="Times New Roman"/>
                <w:sz w:val="28"/>
                <w:szCs w:val="28"/>
              </w:rPr>
            </w:pPr>
            <w:r>
              <w:rPr>
                <w:rFonts w:ascii="Times New Roman" w:hAnsi="Times New Roman" w:cs="Times New Roman"/>
                <w:sz w:val="28"/>
                <w:szCs w:val="28"/>
              </w:rPr>
              <w:t>1.1. Концептуальные основы устойчивого, инклюзивного и инновационного развития экономики …....……………………………….</w:t>
            </w:r>
          </w:p>
        </w:tc>
        <w:tc>
          <w:tcPr>
            <w:tcW w:w="708" w:type="dxa"/>
          </w:tcPr>
          <w:p>
            <w:pPr>
              <w:widowControl w:val="0"/>
              <w:spacing w:lineRule="auto" w:line="360" w:beforeAutospacing="0" w:afterAutospacing="0"/>
              <w:jc w:val="both"/>
              <w:rPr>
                <w:rFonts w:ascii="Times New Roman" w:hAnsi="Times New Roman" w:cs="Times New Roman"/>
                <w:sz w:val="28"/>
                <w:szCs w:val="28"/>
              </w:rPr>
            </w:pPr>
          </w:p>
        </w:tc>
      </w:tr>
      <w:tr>
        <w:tc>
          <w:tcPr>
            <w:tcW w:w="8931" w:type="dxa"/>
          </w:tcPr>
          <w:p>
            <w:pPr>
              <w:widowControl w:val="0"/>
              <w:spacing w:lineRule="auto" w:line="360" w:beforeAutospacing="0" w:afterAutospacing="0"/>
              <w:jc w:val="both"/>
              <w:rPr>
                <w:rFonts w:ascii="Times New Roman" w:hAnsi="Times New Roman" w:cs="Times New Roman"/>
                <w:sz w:val="28"/>
                <w:szCs w:val="28"/>
              </w:rPr>
            </w:pPr>
            <w:r>
              <w:rPr>
                <w:rFonts w:ascii="Times New Roman" w:hAnsi="Times New Roman" w:cs="Times New Roman"/>
                <w:sz w:val="28"/>
                <w:szCs w:val="28"/>
              </w:rPr>
              <w:t>1.2. Механизмы развития национальных и региональных инновационных систем ………………….……………..……………….....................................</w:t>
            </w:r>
          </w:p>
        </w:tc>
        <w:tc>
          <w:tcPr>
            <w:tcW w:w="708" w:type="dxa"/>
          </w:tcPr>
          <w:p>
            <w:pPr>
              <w:widowControl w:val="0"/>
              <w:spacing w:lineRule="auto" w:line="360" w:beforeAutospacing="0" w:afterAutospacing="0"/>
              <w:jc w:val="both"/>
              <w:rPr>
                <w:rFonts w:ascii="Times New Roman" w:hAnsi="Times New Roman" w:cs="Times New Roman"/>
                <w:sz w:val="28"/>
                <w:szCs w:val="28"/>
              </w:rPr>
            </w:pPr>
          </w:p>
        </w:tc>
      </w:tr>
      <w:tr>
        <w:tc>
          <w:tcPr>
            <w:tcW w:w="8931" w:type="dxa"/>
          </w:tcPr>
          <w:p>
            <w:pPr>
              <w:widowControl w:val="0"/>
              <w:spacing w:lineRule="auto" w:line="360" w:beforeAutospacing="0" w:afterAutospacing="0"/>
              <w:jc w:val="both"/>
              <w:rPr>
                <w:rFonts w:ascii="Times New Roman" w:hAnsi="Times New Roman" w:cs="Times New Roman"/>
                <w:bCs w:val="1"/>
                <w:sz w:val="28"/>
                <w:szCs w:val="28"/>
              </w:rPr>
            </w:pPr>
            <w:r>
              <w:rPr>
                <w:rFonts w:ascii="Times New Roman" w:hAnsi="Times New Roman" w:cs="Times New Roman"/>
                <w:bCs w:val="1"/>
                <w:sz w:val="28"/>
                <w:szCs w:val="28"/>
              </w:rPr>
              <w:t>1.3. Цифровая платформизация и институт доверия в экономике инноваций …………..........</w:t>
            </w:r>
            <w:r>
              <w:rPr>
                <w:rFonts w:ascii="Times New Roman" w:hAnsi="Times New Roman" w:cs="Times New Roman"/>
                <w:sz w:val="28"/>
                <w:szCs w:val="28"/>
              </w:rPr>
              <w:t>..............................................................................</w:t>
            </w:r>
          </w:p>
        </w:tc>
        <w:tc>
          <w:tcPr>
            <w:tcW w:w="708" w:type="dxa"/>
          </w:tcPr>
          <w:p>
            <w:pPr>
              <w:widowControl w:val="0"/>
              <w:spacing w:lineRule="auto" w:line="360" w:beforeAutospacing="0" w:afterAutospacing="0"/>
              <w:jc w:val="both"/>
              <w:rPr>
                <w:rFonts w:ascii="Times New Roman" w:hAnsi="Times New Roman" w:cs="Times New Roman"/>
                <w:bCs w:val="1"/>
                <w:sz w:val="28"/>
                <w:szCs w:val="28"/>
              </w:rPr>
            </w:pPr>
          </w:p>
        </w:tc>
      </w:tr>
      <w:tr>
        <w:tc>
          <w:tcPr>
            <w:tcW w:w="8931" w:type="dxa"/>
          </w:tcPr>
          <w:p>
            <w:pPr>
              <w:widowControl w:val="0"/>
              <w:spacing w:lineRule="auto" w:line="360" w:beforeAutospacing="0" w:afterAutospacing="0"/>
              <w:jc w:val="both"/>
              <w:rPr>
                <w:rFonts w:ascii="Times New Roman" w:hAnsi="Times New Roman" w:cs="Times New Roman"/>
                <w:bCs w:val="1"/>
                <w:sz w:val="28"/>
                <w:szCs w:val="28"/>
              </w:rPr>
            </w:pPr>
            <w:r>
              <w:rPr>
                <w:rFonts w:ascii="Times New Roman" w:hAnsi="Times New Roman" w:cs="Times New Roman"/>
                <w:bCs w:val="1"/>
                <w:sz w:val="28"/>
                <w:szCs w:val="28"/>
              </w:rPr>
              <w:t>1.4. Методические подходы к оценке инновационно-инклюзивного развития регионов…………………………………………………………….</w:t>
            </w:r>
          </w:p>
        </w:tc>
        <w:tc>
          <w:tcPr>
            <w:tcW w:w="708" w:type="dxa"/>
          </w:tcPr>
          <w:p>
            <w:pPr>
              <w:widowControl w:val="0"/>
              <w:spacing w:lineRule="auto" w:line="360" w:beforeAutospacing="0" w:afterAutospacing="0"/>
              <w:jc w:val="both"/>
              <w:rPr>
                <w:rFonts w:ascii="Times New Roman" w:hAnsi="Times New Roman" w:cs="Times New Roman"/>
                <w:bCs w:val="1"/>
                <w:sz w:val="28"/>
                <w:szCs w:val="28"/>
              </w:rPr>
            </w:pPr>
          </w:p>
        </w:tc>
      </w:tr>
      <w:tr>
        <w:tc>
          <w:tcPr>
            <w:tcW w:w="8931" w:type="dxa"/>
          </w:tcPr>
          <w:p>
            <w:pPr>
              <w:widowControl w:val="0"/>
              <w:spacing w:lineRule="auto" w:line="360" w:beforeAutospacing="0" w:afterAutospacing="0"/>
              <w:jc w:val="both"/>
              <w:rPr>
                <w:rFonts w:ascii="Times New Roman" w:hAnsi="Times New Roman" w:cs="Times New Roman"/>
                <w:sz w:val="28"/>
                <w:szCs w:val="28"/>
              </w:rPr>
            </w:pPr>
            <w:r>
              <w:rPr>
                <w:rFonts w:ascii="Times New Roman" w:hAnsi="Times New Roman" w:cs="Times New Roman"/>
                <w:sz w:val="28"/>
                <w:szCs w:val="28"/>
              </w:rPr>
              <w:t xml:space="preserve">ГЛАВА 2. </w:t>
            </w:r>
            <w:r>
              <w:rPr>
                <w:rFonts w:ascii="Times New Roman" w:hAnsi="Times New Roman" w:cs="Times New Roman"/>
                <w:sz w:val="28"/>
                <w:szCs w:val="28"/>
                <w:shd w:val="clear" w:color="auto" w:fill="FFFFFF"/>
              </w:rPr>
              <w:t xml:space="preserve">Анализ инновационно-инклюзивного развития Республики Кот-д’Ивуар и факторов его формирования </w:t>
            </w:r>
            <w:r>
              <w:rPr>
                <w:rFonts w:ascii="Times New Roman" w:hAnsi="Times New Roman" w:cs="Times New Roman"/>
                <w:sz w:val="28"/>
                <w:szCs w:val="28"/>
              </w:rPr>
              <w:t>………………………………..</w:t>
            </w:r>
          </w:p>
        </w:tc>
        <w:tc>
          <w:tcPr>
            <w:tcW w:w="708" w:type="dxa"/>
          </w:tcPr>
          <w:p>
            <w:pPr>
              <w:widowControl w:val="0"/>
              <w:spacing w:lineRule="auto" w:line="360" w:beforeAutospacing="0" w:afterAutospacing="0"/>
              <w:jc w:val="both"/>
              <w:rPr>
                <w:rFonts w:ascii="Times New Roman" w:hAnsi="Times New Roman" w:cs="Times New Roman"/>
                <w:sz w:val="28"/>
                <w:szCs w:val="28"/>
              </w:rPr>
            </w:pPr>
          </w:p>
        </w:tc>
      </w:tr>
      <w:tr>
        <w:tc>
          <w:tcPr>
            <w:tcW w:w="8931" w:type="dxa"/>
          </w:tcPr>
          <w:p>
            <w:pPr>
              <w:widowControl w:val="0"/>
              <w:spacing w:lineRule="auto" w:line="360" w:beforeAutospacing="0" w:afterAutospacing="0"/>
              <w:jc w:val="both"/>
              <w:rPr>
                <w:rFonts w:ascii="Times New Roman" w:hAnsi="Times New Roman" w:cs="Times New Roman"/>
                <w:sz w:val="28"/>
                <w:szCs w:val="28"/>
              </w:rPr>
            </w:pPr>
            <w:r>
              <w:rPr>
                <w:rFonts w:ascii="Times New Roman" w:hAnsi="Times New Roman" w:cs="Times New Roman"/>
                <w:sz w:val="28"/>
                <w:szCs w:val="28"/>
              </w:rPr>
              <w:t xml:space="preserve">2.1. Социально-экономические предпосылки и институциональные барьеры инновационного развития Республики Кот-д’Ивуар </w:t>
            </w:r>
            <w:r>
              <w:rPr>
                <w:rFonts w:ascii="Times New Roman" w:hAnsi="Times New Roman"/>
                <w:sz w:val="28"/>
                <w:szCs w:val="28"/>
              </w:rPr>
              <w:t>……………</w:t>
            </w:r>
          </w:p>
        </w:tc>
        <w:tc>
          <w:tcPr>
            <w:tcW w:w="708" w:type="dxa"/>
          </w:tcPr>
          <w:p>
            <w:pPr>
              <w:widowControl w:val="0"/>
              <w:spacing w:lineRule="auto" w:line="360" w:beforeAutospacing="0" w:afterAutospacing="0"/>
              <w:jc w:val="both"/>
              <w:rPr>
                <w:rFonts w:ascii="Times New Roman" w:hAnsi="Times New Roman" w:cs="Times New Roman"/>
                <w:sz w:val="28"/>
                <w:szCs w:val="28"/>
              </w:rPr>
            </w:pPr>
          </w:p>
        </w:tc>
      </w:tr>
      <w:tr>
        <w:tc>
          <w:tcPr>
            <w:tcW w:w="8931" w:type="dxa"/>
          </w:tcPr>
          <w:p>
            <w:pPr>
              <w:widowControl w:val="0"/>
              <w:tabs>
                <w:tab w:val="left" w:pos="1005" w:leader="none"/>
              </w:tabs>
              <w:spacing w:lineRule="auto" w:line="360" w:beforeAutospacing="0" w:afterAutospacing="0"/>
              <w:jc w:val="both"/>
              <w:outlineLvl w:val="1"/>
              <w:rPr>
                <w:rFonts w:ascii="Times New Roman" w:hAnsi="Times New Roman" w:cs="Times New Roman"/>
                <w:bCs w:val="1"/>
                <w:sz w:val="28"/>
                <w:szCs w:val="28"/>
              </w:rPr>
            </w:pPr>
            <w:r>
              <w:rPr>
                <w:rFonts w:ascii="Times New Roman" w:hAnsi="Times New Roman" w:cs="Times New Roman"/>
                <w:bCs w:val="1"/>
                <w:sz w:val="28"/>
                <w:szCs w:val="28"/>
              </w:rPr>
              <w:t xml:space="preserve">2.2. </w:t>
            </w:r>
            <w:r>
              <w:rPr>
                <w:rFonts w:ascii="Times New Roman" w:hAnsi="Times New Roman" w:cs="Times New Roman"/>
                <w:sz w:val="28"/>
                <w:szCs w:val="28"/>
              </w:rPr>
              <w:t>Региональные особенности инновационной активности и цифровой трансформации Республики Кот-д’Ивуар..…………………………………</w:t>
            </w:r>
          </w:p>
        </w:tc>
        <w:tc>
          <w:tcPr>
            <w:tcW w:w="708" w:type="dxa"/>
          </w:tcPr>
          <w:p>
            <w:pPr>
              <w:widowControl w:val="0"/>
              <w:tabs>
                <w:tab w:val="left" w:pos="1005" w:leader="none"/>
              </w:tabs>
              <w:spacing w:lineRule="auto" w:line="360" w:beforeAutospacing="0" w:afterAutospacing="0"/>
              <w:jc w:val="both"/>
              <w:outlineLvl w:val="1"/>
              <w:rPr>
                <w:rFonts w:ascii="Times New Roman" w:hAnsi="Times New Roman" w:cs="Times New Roman"/>
                <w:bCs w:val="1"/>
                <w:sz w:val="28"/>
                <w:szCs w:val="28"/>
              </w:rPr>
            </w:pPr>
          </w:p>
        </w:tc>
      </w:tr>
      <w:tr>
        <w:tc>
          <w:tcPr>
            <w:tcW w:w="8931" w:type="dxa"/>
          </w:tcPr>
          <w:p>
            <w:pPr>
              <w:widowControl w:val="0"/>
              <w:tabs>
                <w:tab w:val="left" w:pos="1005" w:leader="none"/>
              </w:tabs>
              <w:spacing w:lineRule="auto" w:line="360" w:beforeAutospacing="0" w:afterAutospacing="0"/>
              <w:jc w:val="both"/>
              <w:outlineLvl w:val="1"/>
              <w:rPr>
                <w:rFonts w:ascii="Times New Roman" w:hAnsi="Times New Roman" w:cs="Times New Roman"/>
                <w:bCs w:val="1"/>
                <w:sz w:val="28"/>
                <w:szCs w:val="28"/>
              </w:rPr>
            </w:pPr>
            <w:r>
              <w:rPr>
                <w:rFonts w:ascii="Times New Roman" w:hAnsi="Times New Roman" w:cs="Times New Roman"/>
                <w:bCs w:val="1"/>
                <w:sz w:val="28"/>
                <w:szCs w:val="28"/>
              </w:rPr>
              <w:t xml:space="preserve">2.3. </w:t>
            </w:r>
            <w:r>
              <w:rPr>
                <w:rFonts w:ascii="Times New Roman" w:hAnsi="Times New Roman" w:cs="Times New Roman"/>
                <w:sz w:val="28"/>
                <w:szCs w:val="28"/>
              </w:rPr>
              <w:t xml:space="preserve">Исследование устойчивых траекторий инновационно-инклюзивного развития Республики Кот-Д’Ивуар в условиях цифровой трансформации </w:t>
            </w:r>
          </w:p>
        </w:tc>
        <w:tc>
          <w:tcPr>
            <w:tcW w:w="708" w:type="dxa"/>
          </w:tcPr>
          <w:p>
            <w:pPr>
              <w:widowControl w:val="0"/>
              <w:tabs>
                <w:tab w:val="left" w:pos="1005" w:leader="none"/>
              </w:tabs>
              <w:spacing w:lineRule="auto" w:line="360" w:beforeAutospacing="0" w:afterAutospacing="0"/>
              <w:jc w:val="both"/>
              <w:outlineLvl w:val="1"/>
              <w:rPr>
                <w:rFonts w:ascii="Times New Roman" w:hAnsi="Times New Roman" w:cs="Times New Roman"/>
                <w:bCs w:val="1"/>
                <w:sz w:val="28"/>
                <w:szCs w:val="28"/>
              </w:rPr>
            </w:pPr>
          </w:p>
        </w:tc>
      </w:tr>
      <w:tr>
        <w:tc>
          <w:tcPr>
            <w:tcW w:w="8931" w:type="dxa"/>
          </w:tcPr>
          <w:p>
            <w:pPr>
              <w:widowControl w:val="0"/>
              <w:tabs>
                <w:tab w:val="left" w:pos="1005" w:leader="none"/>
              </w:tabs>
              <w:spacing w:lineRule="auto" w:line="360" w:beforeAutospacing="0" w:afterAutospacing="0"/>
              <w:jc w:val="both"/>
              <w:outlineLvl w:val="1"/>
              <w:rPr>
                <w:rFonts w:ascii="Times New Roman" w:hAnsi="Times New Roman" w:cs="Times New Roman"/>
                <w:bCs w:val="1"/>
                <w:sz w:val="28"/>
                <w:szCs w:val="28"/>
              </w:rPr>
            </w:pPr>
            <w:r>
              <w:rPr>
                <w:rFonts w:ascii="Times New Roman" w:hAnsi="Times New Roman" w:cs="Times New Roman"/>
                <w:bCs w:val="1"/>
                <w:sz w:val="28"/>
                <w:szCs w:val="28"/>
              </w:rPr>
              <w:t>2.4. Анализ институциональных и сетевых механизмов внешнего включения Республики Кот-д’Ивуар в региональные и глобальные цепочки создания стоимости ………………………………………………..</w:t>
            </w:r>
          </w:p>
        </w:tc>
        <w:tc>
          <w:tcPr>
            <w:tcW w:w="708" w:type="dxa"/>
          </w:tcPr>
          <w:p>
            <w:pPr>
              <w:widowControl w:val="0"/>
              <w:tabs>
                <w:tab w:val="left" w:pos="1005" w:leader="none"/>
              </w:tabs>
              <w:spacing w:lineRule="auto" w:line="360" w:beforeAutospacing="0" w:afterAutospacing="0"/>
              <w:jc w:val="both"/>
              <w:outlineLvl w:val="1"/>
              <w:rPr>
                <w:rFonts w:ascii="Times New Roman" w:hAnsi="Times New Roman" w:cs="Times New Roman"/>
                <w:bCs w:val="1"/>
                <w:sz w:val="28"/>
                <w:szCs w:val="28"/>
              </w:rPr>
            </w:pPr>
          </w:p>
        </w:tc>
      </w:tr>
      <w:tr>
        <w:tc>
          <w:tcPr>
            <w:tcW w:w="8931" w:type="dxa"/>
          </w:tcPr>
          <w:p>
            <w:pPr>
              <w:widowControl w:val="0"/>
              <w:spacing w:lineRule="auto" w:line="360" w:beforeAutospacing="0" w:afterAutospacing="0"/>
              <w:jc w:val="both"/>
              <w:rPr>
                <w:rFonts w:ascii="Times New Roman" w:hAnsi="Times New Roman" w:cs="Times New Roman"/>
                <w:sz w:val="28"/>
                <w:szCs w:val="28"/>
              </w:rPr>
            </w:pPr>
            <w:r>
              <w:rPr>
                <w:rFonts w:ascii="Times New Roman" w:hAnsi="Times New Roman" w:cs="Times New Roman"/>
                <w:sz w:val="28"/>
                <w:szCs w:val="28"/>
              </w:rPr>
              <w:t>ГЛАВА 3. Проектирование платформенного механизма инновационно-инклюзивного развития Республики Кот-д’Ивуар…………………………</w:t>
            </w:r>
          </w:p>
        </w:tc>
        <w:tc>
          <w:tcPr>
            <w:tcW w:w="708" w:type="dxa"/>
          </w:tcPr>
          <w:p>
            <w:pPr>
              <w:widowControl w:val="0"/>
              <w:spacing w:lineRule="auto" w:line="360" w:beforeAutospacing="0" w:afterAutospacing="0"/>
              <w:jc w:val="both"/>
              <w:rPr>
                <w:rFonts w:ascii="Times New Roman" w:hAnsi="Times New Roman" w:cs="Times New Roman"/>
                <w:sz w:val="28"/>
                <w:szCs w:val="28"/>
              </w:rPr>
            </w:pPr>
          </w:p>
        </w:tc>
      </w:tr>
      <w:tr>
        <w:tc>
          <w:tcPr>
            <w:tcW w:w="8931" w:type="dxa"/>
          </w:tcPr>
          <w:p>
            <w:pPr>
              <w:widowControl w:val="0"/>
              <w:spacing w:lineRule="auto" w:line="360" w:beforeAutospacing="0" w:afterAutospacing="0"/>
              <w:jc w:val="both"/>
              <w:rPr>
                <w:rFonts w:ascii="Times New Roman" w:hAnsi="Times New Roman" w:cs="Times New Roman"/>
                <w:sz w:val="28"/>
                <w:szCs w:val="28"/>
              </w:rPr>
            </w:pPr>
            <w:r>
              <w:rPr>
                <w:rFonts w:ascii="Times New Roman" w:hAnsi="Times New Roman" w:cs="Times New Roman"/>
                <w:sz w:val="28"/>
                <w:szCs w:val="28"/>
              </w:rPr>
              <w:t xml:space="preserve">3.1. Обоснование платформенного подхода к структурной трансформации экономики Республики Кот-д’Ивуар </w:t>
            </w:r>
            <w:r>
              <w:rPr>
                <w:rFonts w:ascii="Times New Roman" w:hAnsi="Times New Roman" w:cs="Times New Roman"/>
                <w:bCs w:val="1"/>
                <w:sz w:val="28"/>
                <w:szCs w:val="28"/>
              </w:rPr>
              <w:t>……………………..</w:t>
            </w:r>
          </w:p>
        </w:tc>
        <w:tc>
          <w:tcPr>
            <w:tcW w:w="708" w:type="dxa"/>
          </w:tcPr>
          <w:p>
            <w:pPr>
              <w:widowControl w:val="0"/>
              <w:spacing w:lineRule="auto" w:line="360" w:beforeAutospacing="0" w:afterAutospacing="0"/>
              <w:jc w:val="both"/>
              <w:rPr>
                <w:rFonts w:ascii="Times New Roman" w:hAnsi="Times New Roman" w:cs="Times New Roman"/>
                <w:sz w:val="28"/>
                <w:szCs w:val="28"/>
              </w:rPr>
            </w:pPr>
          </w:p>
        </w:tc>
      </w:tr>
      <w:tr>
        <w:tc>
          <w:tcPr>
            <w:tcW w:w="8931" w:type="dxa"/>
          </w:tcPr>
          <w:p>
            <w:pPr>
              <w:widowControl w:val="0"/>
              <w:spacing w:lineRule="auto" w:line="360" w:beforeAutospacing="0" w:afterAutospacing="0"/>
              <w:jc w:val="both"/>
              <w:rPr>
                <w:rFonts w:ascii="Times New Roman" w:hAnsi="Times New Roman" w:cs="Times New Roman"/>
                <w:bCs w:val="1"/>
                <w:sz w:val="28"/>
                <w:szCs w:val="28"/>
              </w:rPr>
            </w:pPr>
            <w:r>
              <w:rPr>
                <w:rFonts w:ascii="Times New Roman" w:hAnsi="Times New Roman" w:cs="Times New Roman"/>
                <w:bCs w:val="1"/>
                <w:sz w:val="28"/>
                <w:szCs w:val="28"/>
              </w:rPr>
              <w:t>3.2. Разработка инновационного проекта цифровой платформы развития национальной инновационной системы Республики Кот-д’Ивуар.............</w:t>
            </w:r>
          </w:p>
        </w:tc>
        <w:tc>
          <w:tcPr>
            <w:tcW w:w="708" w:type="dxa"/>
          </w:tcPr>
          <w:p>
            <w:pPr>
              <w:widowControl w:val="0"/>
              <w:spacing w:lineRule="auto" w:line="360" w:beforeAutospacing="0" w:afterAutospacing="0"/>
              <w:jc w:val="both"/>
              <w:rPr>
                <w:rFonts w:ascii="Times New Roman" w:hAnsi="Times New Roman" w:cs="Times New Roman"/>
                <w:bCs w:val="1"/>
                <w:sz w:val="28"/>
                <w:szCs w:val="28"/>
              </w:rPr>
            </w:pPr>
          </w:p>
        </w:tc>
      </w:tr>
      <w:tr>
        <w:tc>
          <w:tcPr>
            <w:tcW w:w="8931" w:type="dxa"/>
          </w:tcPr>
          <w:p>
            <w:pPr>
              <w:widowControl w:val="0"/>
              <w:spacing w:lineRule="auto" w:line="360" w:beforeAutospacing="0" w:afterAutospacing="0"/>
              <w:jc w:val="both"/>
              <w:rPr>
                <w:rFonts w:ascii="Times New Roman" w:hAnsi="Times New Roman" w:cs="Times New Roman"/>
                <w:bCs w:val="1"/>
                <w:sz w:val="28"/>
                <w:szCs w:val="28"/>
              </w:rPr>
            </w:pPr>
            <w:r>
              <w:rPr>
                <w:rFonts w:ascii="Times New Roman" w:hAnsi="Times New Roman" w:cs="Times New Roman"/>
                <w:bCs w:val="1"/>
                <w:sz w:val="28"/>
                <w:szCs w:val="28"/>
              </w:rPr>
              <w:t>3.3. Сценарное моделирование развития платфоменной экономики Республики Кот-д’Ивуар.............……………………………………………</w:t>
            </w:r>
          </w:p>
        </w:tc>
        <w:tc>
          <w:tcPr>
            <w:tcW w:w="708" w:type="dxa"/>
          </w:tcPr>
          <w:p>
            <w:pPr>
              <w:widowControl w:val="0"/>
              <w:spacing w:lineRule="auto" w:line="360" w:beforeAutospacing="0" w:afterAutospacing="0"/>
              <w:jc w:val="both"/>
              <w:rPr>
                <w:rFonts w:ascii="Times New Roman" w:hAnsi="Times New Roman" w:cs="Times New Roman"/>
                <w:bCs w:val="1"/>
                <w:sz w:val="28"/>
                <w:szCs w:val="28"/>
              </w:rPr>
            </w:pPr>
          </w:p>
        </w:tc>
      </w:tr>
      <w:tr>
        <w:tc>
          <w:tcPr>
            <w:tcW w:w="8931" w:type="dxa"/>
          </w:tcPr>
          <w:p>
            <w:pPr>
              <w:widowControl w:val="0"/>
              <w:spacing w:lineRule="auto" w:line="360" w:beforeAutospacing="0" w:afterAutospacing="0"/>
              <w:jc w:val="both"/>
              <w:rPr>
                <w:rFonts w:ascii="Times New Roman" w:hAnsi="Times New Roman" w:cs="Times New Roman"/>
                <w:bCs w:val="1"/>
                <w:sz w:val="28"/>
                <w:szCs w:val="28"/>
              </w:rPr>
            </w:pPr>
            <w:r>
              <w:rPr>
                <w:rFonts w:ascii="Times New Roman" w:hAnsi="Times New Roman" w:cs="Times New Roman"/>
                <w:bCs w:val="1"/>
                <w:sz w:val="28"/>
                <w:szCs w:val="28"/>
              </w:rPr>
              <w:t>3.4. Социально-институциональное обеспечение платформенного механизма инновационно-инклюзивного развития……………………….</w:t>
            </w:r>
          </w:p>
        </w:tc>
        <w:tc>
          <w:tcPr>
            <w:tcW w:w="708" w:type="dxa"/>
          </w:tcPr>
          <w:p>
            <w:pPr>
              <w:widowControl w:val="0"/>
              <w:spacing w:lineRule="auto" w:line="360" w:beforeAutospacing="0" w:afterAutospacing="0"/>
              <w:jc w:val="both"/>
              <w:rPr>
                <w:rFonts w:ascii="Times New Roman" w:hAnsi="Times New Roman" w:cs="Times New Roman"/>
                <w:bCs w:val="1"/>
                <w:sz w:val="28"/>
                <w:szCs w:val="28"/>
              </w:rPr>
            </w:pPr>
          </w:p>
        </w:tc>
      </w:tr>
      <w:tr>
        <w:tc>
          <w:tcPr>
            <w:tcW w:w="8931" w:type="dxa"/>
          </w:tcPr>
          <w:p>
            <w:pPr>
              <w:widowControl w:val="0"/>
              <w:spacing w:lineRule="auto" w:line="360" w:beforeAutospacing="0" w:afterAutospacing="0"/>
              <w:jc w:val="both"/>
              <w:rPr>
                <w:rFonts w:ascii="Times New Roman" w:hAnsi="Times New Roman" w:cs="Times New Roman"/>
                <w:sz w:val="28"/>
                <w:szCs w:val="28"/>
              </w:rPr>
            </w:pPr>
            <w:r>
              <w:rPr>
                <w:rFonts w:ascii="Times New Roman" w:hAnsi="Times New Roman" w:cs="Times New Roman"/>
                <w:sz w:val="28"/>
                <w:szCs w:val="28"/>
              </w:rPr>
              <w:t>ЗАКЛЮЧЕНИЕ……………………………………………….…….………</w:t>
            </w:r>
          </w:p>
        </w:tc>
        <w:tc>
          <w:tcPr>
            <w:tcW w:w="708" w:type="dxa"/>
          </w:tcPr>
          <w:p>
            <w:pPr>
              <w:widowControl w:val="0"/>
              <w:spacing w:lineRule="auto" w:line="360" w:beforeAutospacing="0" w:afterAutospacing="0"/>
              <w:jc w:val="both"/>
              <w:rPr>
                <w:rFonts w:ascii="Times New Roman" w:hAnsi="Times New Roman" w:cs="Times New Roman"/>
                <w:sz w:val="28"/>
                <w:szCs w:val="28"/>
              </w:rPr>
            </w:pPr>
          </w:p>
        </w:tc>
      </w:tr>
      <w:tr>
        <w:tc>
          <w:tcPr>
            <w:tcW w:w="8931" w:type="dxa"/>
          </w:tcPr>
          <w:p>
            <w:pPr>
              <w:widowControl w:val="0"/>
              <w:spacing w:lineRule="auto" w:line="360" w:beforeAutospacing="0" w:afterAutospacing="0"/>
              <w:jc w:val="both"/>
              <w:rPr>
                <w:rFonts w:ascii="Times New Roman" w:hAnsi="Times New Roman" w:cs="Times New Roman"/>
                <w:sz w:val="28"/>
                <w:szCs w:val="28"/>
              </w:rPr>
            </w:pPr>
            <w:r>
              <w:rPr>
                <w:rFonts w:ascii="Times New Roman" w:hAnsi="Times New Roman" w:cs="Times New Roman"/>
                <w:sz w:val="28"/>
                <w:szCs w:val="28"/>
              </w:rPr>
              <w:t>СПИСОК ЛИТЕРАТУРЫ…………………………………………..………</w:t>
            </w:r>
          </w:p>
        </w:tc>
        <w:tc>
          <w:tcPr>
            <w:tcW w:w="708" w:type="dxa"/>
          </w:tcPr>
          <w:p>
            <w:pPr>
              <w:widowControl w:val="0"/>
              <w:spacing w:lineRule="auto" w:line="360" w:beforeAutospacing="0" w:afterAutospacing="0"/>
              <w:jc w:val="both"/>
              <w:rPr>
                <w:rFonts w:ascii="Times New Roman" w:hAnsi="Times New Roman" w:cs="Times New Roman"/>
                <w:sz w:val="28"/>
                <w:szCs w:val="28"/>
              </w:rPr>
            </w:pPr>
          </w:p>
        </w:tc>
      </w:tr>
    </w:tbl>
    <w:p>
      <w:pPr>
        <w:pStyle w:val="P13"/>
        <w:spacing w:before="1" w:beforeAutospacing="0" w:afterAutospacing="0"/>
        <w:jc w:val="center"/>
        <w:rPr>
          <w:sz w:val="28"/>
          <w:szCs w:val="28"/>
          <w:lang w:val="ru-RU"/>
        </w:rPr>
      </w:pPr>
    </w:p>
    <w:p>
      <w:pPr>
        <w:spacing w:lineRule="auto" w:line="360" w:after="0" w:beforeAutospacing="0" w:afterAutospacing="0"/>
        <w:jc w:val="center"/>
        <w:rPr>
          <w:rFonts w:ascii="Times New Roman" w:hAnsi="Times New Roman" w:cs="Times New Roman"/>
          <w:b w:val="1"/>
          <w:bCs w:val="1"/>
          <w:sz w:val="28"/>
          <w:szCs w:val="28"/>
        </w:rPr>
      </w:pPr>
    </w:p>
    <w:p>
      <w:pPr>
        <w:spacing w:lineRule="auto" w:line="360" w:after="0" w:beforeAutospacing="0" w:afterAutospacing="0"/>
        <w:ind w:firstLine="709"/>
        <w:jc w:val="center"/>
        <w:rPr>
          <w:rStyle w:val="C20"/>
          <w:rFonts w:ascii="Times New Roman" w:hAnsi="Times New Roman" w:cs="Times New Roman" w:eastAsiaTheme="minorHAnsi"/>
          <w:bCs w:val="1"/>
          <w:caps w:val="1"/>
          <w:sz w:val="28"/>
          <w:szCs w:val="28"/>
          <w:lang w:val="ru-RU"/>
        </w:rPr>
      </w:pPr>
    </w:p>
    <w:p>
      <w:pPr>
        <w:spacing w:lineRule="auto" w:line="360" w:after="0" w:beforeAutospacing="0" w:afterAutospacing="0"/>
        <w:ind w:firstLine="709"/>
        <w:jc w:val="center"/>
        <w:rPr>
          <w:rStyle w:val="C20"/>
          <w:rFonts w:ascii="Times New Roman" w:hAnsi="Times New Roman" w:cs="Times New Roman" w:eastAsiaTheme="minorHAnsi"/>
          <w:bCs w:val="1"/>
          <w:caps w:val="1"/>
          <w:sz w:val="28"/>
          <w:szCs w:val="28"/>
          <w:lang w:val="ru-RU"/>
        </w:rPr>
      </w:pPr>
    </w:p>
    <w:p>
      <w:pPr>
        <w:spacing w:lineRule="auto" w:line="360" w:after="0" w:beforeAutospacing="0" w:afterAutospacing="0"/>
        <w:ind w:firstLine="709"/>
        <w:jc w:val="center"/>
        <w:rPr>
          <w:rStyle w:val="C20"/>
          <w:rFonts w:ascii="Times New Roman" w:hAnsi="Times New Roman" w:cs="Times New Roman" w:eastAsiaTheme="minorHAnsi"/>
          <w:bCs w:val="1"/>
          <w:caps w:val="1"/>
          <w:sz w:val="28"/>
          <w:szCs w:val="28"/>
          <w:lang w:val="ru-RU"/>
        </w:rPr>
      </w:pPr>
    </w:p>
    <w:p>
      <w:pPr>
        <w:spacing w:lineRule="auto" w:line="360" w:after="0" w:beforeAutospacing="0" w:afterAutospacing="0"/>
        <w:ind w:firstLine="709"/>
        <w:jc w:val="center"/>
        <w:rPr>
          <w:rStyle w:val="C20"/>
          <w:rFonts w:ascii="Times New Roman" w:hAnsi="Times New Roman" w:cs="Times New Roman" w:eastAsiaTheme="minorHAnsi"/>
          <w:bCs w:val="1"/>
          <w:caps w:val="1"/>
          <w:sz w:val="28"/>
          <w:szCs w:val="28"/>
          <w:lang w:val="ru-RU"/>
        </w:rPr>
      </w:pPr>
    </w:p>
    <w:p>
      <w:pPr>
        <w:spacing w:lineRule="auto" w:line="360" w:after="0" w:beforeAutospacing="0" w:afterAutospacing="0"/>
        <w:ind w:firstLine="709"/>
        <w:jc w:val="center"/>
        <w:rPr>
          <w:rStyle w:val="C20"/>
          <w:rFonts w:ascii="Times New Roman" w:hAnsi="Times New Roman" w:cs="Times New Roman" w:eastAsiaTheme="minorHAnsi"/>
          <w:bCs w:val="1"/>
          <w:caps w:val="1"/>
          <w:sz w:val="28"/>
          <w:szCs w:val="28"/>
          <w:lang w:val="ru-RU"/>
        </w:rPr>
      </w:pPr>
    </w:p>
    <w:p>
      <w:pPr>
        <w:spacing w:lineRule="auto" w:line="360" w:after="0" w:beforeAutospacing="0" w:afterAutospacing="0"/>
        <w:ind w:firstLine="709"/>
        <w:jc w:val="center"/>
        <w:rPr>
          <w:rStyle w:val="C20"/>
          <w:rFonts w:ascii="Times New Roman" w:hAnsi="Times New Roman" w:cs="Times New Roman" w:eastAsiaTheme="minorHAnsi"/>
          <w:bCs w:val="1"/>
          <w:caps w:val="1"/>
          <w:sz w:val="28"/>
          <w:szCs w:val="28"/>
          <w:lang w:val="ru-RU"/>
        </w:rPr>
      </w:pPr>
    </w:p>
    <w:p>
      <w:pPr>
        <w:spacing w:lineRule="auto" w:line="360" w:after="0" w:beforeAutospacing="0" w:afterAutospacing="0"/>
        <w:ind w:firstLine="709"/>
        <w:jc w:val="center"/>
        <w:rPr>
          <w:rStyle w:val="C20"/>
          <w:rFonts w:ascii="Times New Roman" w:hAnsi="Times New Roman" w:cs="Times New Roman" w:eastAsiaTheme="minorHAnsi"/>
          <w:bCs w:val="1"/>
          <w:caps w:val="1"/>
          <w:sz w:val="28"/>
          <w:szCs w:val="28"/>
          <w:lang w:val="ru-RU"/>
        </w:rPr>
      </w:pPr>
    </w:p>
    <w:p>
      <w:pPr>
        <w:spacing w:lineRule="auto" w:line="360" w:after="0" w:beforeAutospacing="0" w:afterAutospacing="0"/>
        <w:ind w:firstLine="709"/>
        <w:jc w:val="center"/>
        <w:rPr>
          <w:rStyle w:val="C20"/>
          <w:rFonts w:ascii="Times New Roman" w:hAnsi="Times New Roman" w:cs="Times New Roman" w:eastAsiaTheme="minorHAnsi"/>
          <w:bCs w:val="1"/>
          <w:caps w:val="1"/>
          <w:sz w:val="28"/>
          <w:szCs w:val="28"/>
          <w:lang w:val="ru-RU"/>
        </w:rPr>
      </w:pPr>
    </w:p>
    <w:p>
      <w:pPr>
        <w:spacing w:lineRule="auto" w:line="360" w:after="0" w:beforeAutospacing="0" w:afterAutospacing="0"/>
        <w:ind w:firstLine="709"/>
        <w:jc w:val="center"/>
        <w:rPr>
          <w:rStyle w:val="C20"/>
          <w:rFonts w:ascii="Times New Roman" w:hAnsi="Times New Roman" w:cs="Times New Roman" w:eastAsiaTheme="minorHAnsi"/>
          <w:bCs w:val="1"/>
          <w:caps w:val="1"/>
          <w:sz w:val="28"/>
          <w:szCs w:val="28"/>
          <w:lang w:val="ru-RU"/>
        </w:rPr>
      </w:pPr>
    </w:p>
    <w:p>
      <w:pPr>
        <w:spacing w:lineRule="auto" w:line="360" w:after="0" w:beforeAutospacing="0" w:afterAutospacing="0"/>
        <w:ind w:firstLine="709"/>
        <w:jc w:val="center"/>
        <w:rPr>
          <w:rStyle w:val="C20"/>
          <w:rFonts w:ascii="Times New Roman" w:hAnsi="Times New Roman" w:cs="Times New Roman" w:eastAsiaTheme="minorHAnsi"/>
          <w:bCs w:val="1"/>
          <w:caps w:val="1"/>
          <w:sz w:val="28"/>
          <w:szCs w:val="28"/>
          <w:lang w:val="ru-RU"/>
        </w:rPr>
      </w:pPr>
    </w:p>
    <w:p>
      <w:pPr>
        <w:spacing w:lineRule="auto" w:line="360" w:after="0" w:beforeAutospacing="0" w:afterAutospacing="0"/>
        <w:ind w:firstLine="709"/>
        <w:jc w:val="center"/>
        <w:rPr>
          <w:rStyle w:val="C20"/>
          <w:rFonts w:ascii="Times New Roman" w:hAnsi="Times New Roman" w:cs="Times New Roman" w:eastAsiaTheme="minorHAnsi"/>
          <w:bCs w:val="1"/>
          <w:caps w:val="1"/>
          <w:sz w:val="28"/>
          <w:szCs w:val="28"/>
          <w:lang w:val="ru-RU"/>
        </w:rPr>
      </w:pPr>
    </w:p>
    <w:p>
      <w:pPr>
        <w:spacing w:lineRule="auto" w:line="360" w:after="0" w:beforeAutospacing="0" w:afterAutospacing="0"/>
        <w:ind w:firstLine="709"/>
        <w:jc w:val="center"/>
        <w:rPr>
          <w:rStyle w:val="C20"/>
          <w:rFonts w:ascii="Times New Roman" w:hAnsi="Times New Roman" w:cs="Times New Roman" w:eastAsiaTheme="minorHAnsi"/>
          <w:bCs w:val="1"/>
          <w:caps w:val="1"/>
          <w:sz w:val="28"/>
          <w:szCs w:val="28"/>
          <w:lang w:val="ru-RU"/>
        </w:rPr>
      </w:pPr>
    </w:p>
    <w:p>
      <w:pPr>
        <w:spacing w:lineRule="auto" w:line="360" w:after="0" w:beforeAutospacing="0" w:afterAutospacing="0"/>
        <w:ind w:firstLine="709"/>
        <w:jc w:val="center"/>
        <w:rPr>
          <w:rStyle w:val="C20"/>
          <w:rFonts w:ascii="Times New Roman" w:hAnsi="Times New Roman" w:cs="Times New Roman" w:eastAsiaTheme="minorHAnsi"/>
          <w:bCs w:val="1"/>
          <w:caps w:val="1"/>
          <w:sz w:val="28"/>
          <w:szCs w:val="28"/>
          <w:lang w:val="ru-RU"/>
        </w:rPr>
      </w:pPr>
    </w:p>
    <w:p>
      <w:pPr>
        <w:spacing w:lineRule="auto" w:line="360" w:after="0" w:beforeAutospacing="0" w:afterAutospacing="0"/>
        <w:ind w:firstLine="709"/>
        <w:jc w:val="center"/>
        <w:rPr>
          <w:rStyle w:val="C20"/>
          <w:rFonts w:ascii="Times New Roman" w:hAnsi="Times New Roman" w:cs="Times New Roman" w:eastAsiaTheme="minorHAnsi"/>
          <w:bCs w:val="1"/>
          <w:caps w:val="1"/>
          <w:sz w:val="28"/>
          <w:szCs w:val="28"/>
          <w:lang w:val="ru-RU"/>
        </w:rPr>
      </w:pPr>
    </w:p>
    <w:p>
      <w:pPr>
        <w:spacing w:lineRule="auto" w:line="360" w:after="0" w:beforeAutospacing="0" w:afterAutospacing="0"/>
        <w:ind w:firstLine="709"/>
        <w:jc w:val="center"/>
        <w:rPr>
          <w:rStyle w:val="C20"/>
          <w:rFonts w:ascii="Times New Roman" w:hAnsi="Times New Roman" w:cs="Times New Roman" w:eastAsiaTheme="minorHAnsi"/>
          <w:bCs w:val="1"/>
          <w:caps w:val="1"/>
          <w:sz w:val="28"/>
          <w:szCs w:val="28"/>
          <w:lang w:val="ru-RU"/>
        </w:rPr>
      </w:pPr>
    </w:p>
    <w:p>
      <w:pPr>
        <w:spacing w:lineRule="auto" w:line="360" w:after="0" w:beforeAutospacing="0" w:afterAutospacing="0"/>
        <w:ind w:firstLine="709"/>
        <w:jc w:val="center"/>
        <w:rPr>
          <w:rStyle w:val="C20"/>
          <w:rFonts w:ascii="Times New Roman" w:hAnsi="Times New Roman" w:cs="Times New Roman" w:eastAsiaTheme="minorHAnsi"/>
          <w:bCs w:val="1"/>
          <w:caps w:val="1"/>
          <w:sz w:val="28"/>
          <w:szCs w:val="28"/>
          <w:lang w:val="ru-RU"/>
        </w:rPr>
      </w:pPr>
    </w:p>
    <w:p>
      <w:pPr>
        <w:spacing w:lineRule="auto" w:line="360" w:after="0" w:beforeAutospacing="0" w:afterAutospacing="0"/>
        <w:ind w:firstLine="709"/>
        <w:jc w:val="center"/>
        <w:rPr>
          <w:rStyle w:val="C20"/>
          <w:rFonts w:ascii="Times New Roman" w:hAnsi="Times New Roman" w:cs="Times New Roman" w:eastAsiaTheme="minorHAnsi"/>
          <w:bCs w:val="1"/>
          <w:caps w:val="1"/>
          <w:sz w:val="28"/>
          <w:szCs w:val="28"/>
          <w:lang w:val="ru-RU"/>
        </w:rPr>
      </w:pPr>
    </w:p>
    <w:p>
      <w:pPr>
        <w:spacing w:lineRule="auto" w:line="360" w:after="0" w:beforeAutospacing="0" w:afterAutospacing="0"/>
        <w:ind w:firstLine="709"/>
        <w:jc w:val="center"/>
        <w:rPr>
          <w:rStyle w:val="C20"/>
          <w:rFonts w:ascii="Times New Roman" w:hAnsi="Times New Roman" w:cs="Times New Roman" w:eastAsiaTheme="minorHAnsi"/>
          <w:bCs w:val="1"/>
          <w:caps w:val="1"/>
          <w:sz w:val="28"/>
          <w:szCs w:val="28"/>
          <w:lang w:val="ru-RU"/>
        </w:rPr>
      </w:pPr>
    </w:p>
    <w:p>
      <w:pPr>
        <w:spacing w:lineRule="auto" w:line="360" w:after="0" w:beforeAutospacing="0" w:afterAutospacing="0"/>
        <w:ind w:firstLine="709"/>
        <w:jc w:val="center"/>
        <w:rPr>
          <w:rStyle w:val="C20"/>
          <w:rFonts w:ascii="Times New Roman" w:hAnsi="Times New Roman" w:cs="Times New Roman" w:eastAsiaTheme="minorHAnsi"/>
          <w:bCs w:val="1"/>
          <w:caps w:val="1"/>
          <w:sz w:val="28"/>
          <w:szCs w:val="28"/>
          <w:lang w:val="ru-RU"/>
        </w:rPr>
      </w:pPr>
    </w:p>
    <w:p>
      <w:pPr>
        <w:spacing w:lineRule="auto" w:line="360" w:after="0" w:beforeAutospacing="0" w:afterAutospacing="0"/>
        <w:ind w:firstLine="709"/>
        <w:jc w:val="center"/>
        <w:rPr>
          <w:rStyle w:val="C20"/>
          <w:rFonts w:ascii="Times New Roman" w:hAnsi="Times New Roman" w:cs="Times New Roman" w:eastAsiaTheme="minorHAnsi"/>
          <w:bCs w:val="1"/>
          <w:caps w:val="1"/>
          <w:sz w:val="28"/>
          <w:szCs w:val="28"/>
          <w:lang w:val="ru-RU"/>
        </w:rPr>
      </w:pPr>
    </w:p>
    <w:p>
      <w:pPr>
        <w:spacing w:lineRule="auto" w:line="360" w:after="0" w:beforeAutospacing="0" w:afterAutospacing="0"/>
        <w:ind w:firstLine="709"/>
        <w:jc w:val="center"/>
        <w:rPr>
          <w:rStyle w:val="C20"/>
          <w:rFonts w:ascii="Times New Roman" w:hAnsi="Times New Roman" w:cs="Times New Roman" w:eastAsiaTheme="minorHAnsi"/>
          <w:b w:val="1"/>
          <w:bCs w:val="1"/>
          <w:caps w:val="1"/>
          <w:sz w:val="28"/>
          <w:szCs w:val="28"/>
          <w:lang w:val="ru-RU"/>
        </w:rPr>
      </w:pPr>
      <w:r>
        <w:rPr>
          <w:rStyle w:val="C20"/>
          <w:rFonts w:ascii="Times New Roman" w:hAnsi="Times New Roman" w:cs="Times New Roman" w:eastAsiaTheme="minorHAnsi"/>
          <w:b w:val="1"/>
          <w:bCs w:val="1"/>
          <w:caps w:val="1"/>
          <w:sz w:val="28"/>
          <w:szCs w:val="28"/>
          <w:lang w:val="ru-RU"/>
        </w:rPr>
        <w:t>Введение</w:t>
      </w:r>
    </w:p>
    <w:p>
      <w:pPr>
        <w:spacing w:lineRule="auto" w:line="360" w:after="0" w:beforeAutospacing="0" w:afterAutospacing="0"/>
        <w:ind w:firstLine="709"/>
        <w:jc w:val="center"/>
        <w:rPr>
          <w:rStyle w:val="C20"/>
          <w:rFonts w:ascii="Times New Roman" w:hAnsi="Times New Roman" w:cs="Times New Roman" w:eastAsiaTheme="minorHAnsi"/>
          <w:b w:val="1"/>
          <w:bCs w:val="1"/>
          <w:sz w:val="28"/>
          <w:szCs w:val="28"/>
          <w:lang w:val="ru-RU"/>
        </w:rPr>
      </w:pPr>
    </w:p>
    <w:p>
      <w:pPr>
        <w:spacing w:lineRule="auto" w:line="360" w:after="0" w:beforeAutospacing="0" w:afterAutospacing="0"/>
        <w:ind w:firstLine="709"/>
        <w:jc w:val="center"/>
        <w:rPr>
          <w:rStyle w:val="C20"/>
          <w:rFonts w:ascii="Times New Roman" w:hAnsi="Times New Roman" w:cs="Times New Roman" w:eastAsiaTheme="minorHAnsi"/>
          <w:b w:val="1"/>
          <w:bCs w:val="1"/>
          <w:sz w:val="28"/>
          <w:szCs w:val="28"/>
          <w:lang w:val="ru-RU"/>
        </w:rPr>
      </w:pPr>
    </w:p>
    <w:p>
      <w:pPr>
        <w:spacing w:lineRule="auto" w:line="360" w:after="0" w:beforeAutospacing="0" w:afterAutospacing="0"/>
        <w:ind w:firstLine="709"/>
        <w:jc w:val="center"/>
        <w:rPr>
          <w:rStyle w:val="C20"/>
          <w:rFonts w:ascii="Times New Roman" w:hAnsi="Times New Roman" w:cs="Times New Roman" w:eastAsiaTheme="minorHAnsi"/>
          <w:b w:val="1"/>
          <w:bCs w:val="1"/>
          <w:sz w:val="28"/>
          <w:szCs w:val="28"/>
          <w:lang w:val="ru-RU"/>
        </w:rPr>
      </w:pPr>
    </w:p>
    <w:p>
      <w:pPr>
        <w:pStyle w:val="P13"/>
        <w:spacing w:lineRule="auto" w:line="360" w:beforeAutospacing="0" w:afterAutospacing="0"/>
        <w:ind w:firstLine="709"/>
        <w:jc w:val="both"/>
        <w:rPr>
          <w:sz w:val="28"/>
          <w:szCs w:val="28"/>
          <w:lang w:val="ru-RU" w:eastAsia="ru-RU"/>
        </w:rPr>
      </w:pPr>
      <w:bookmarkStart w:id="0" w:name="_GoBack"/>
      <w:r>
        <w:rPr>
          <w:b w:val="1"/>
          <w:sz w:val="28"/>
          <w:szCs w:val="28"/>
          <w:lang w:val="ru-RU" w:eastAsia="ru-RU"/>
        </w:rPr>
        <w:t xml:space="preserve">Актуальность темы исследования. </w:t>
      </w:r>
      <w:r>
        <w:rPr>
          <w:b w:val="1"/>
          <w:sz w:val="28"/>
          <w:szCs w:val="28"/>
          <w:spacing w:val="-2"/>
          <w:lang w:val="ru-RU" w:eastAsia="ru-RU"/>
        </w:rPr>
        <w:t xml:space="preserve"> </w:t>
      </w:r>
      <w:r>
        <w:rPr>
          <w:sz w:val="28"/>
          <w:szCs w:val="28"/>
          <w:lang w:val="ru-RU" w:eastAsia="ru-RU"/>
        </w:rPr>
        <w:t xml:space="preserve">Цифровая трансформация мировой экономики изменяет механизмы создания стоимости, усложняет формы хозяйственной координации и усиливает значение инноваций как ключевого фактора конкурентоспособности. Однако в развивающихся странах технологическое обновление нередко протекает без должного эффекта для устойчивости роста, снижения социально-пространственных диспропорций и расширения участия хозяйствующих субъектов в инновационных и внешнеэкономических процессах. В связи с этим возрастает значение моделей развития, в которых инновационная динамика </w:t>
      </w:r>
      <w:r>
        <w:rPr>
          <w:sz w:val="28"/>
          <w:szCs w:val="28"/>
          <w:lang w:val="ru-RU"/>
        </w:rPr>
        <w:t xml:space="preserve">согласуется </w:t>
      </w:r>
      <w:r>
        <w:rPr>
          <w:sz w:val="28"/>
          <w:szCs w:val="28"/>
          <w:lang w:val="ru-RU" w:eastAsia="ru-RU"/>
        </w:rPr>
        <w:t>с задачами инклюзивности, институциональной связанности и структурной модернизации.</w:t>
      </w:r>
    </w:p>
    <w:p>
      <w:pPr>
        <w:pStyle w:val="P13"/>
        <w:spacing w:lineRule="auto" w:line="360" w:beforeAutospacing="0" w:afterAutospacing="0"/>
        <w:ind w:firstLine="709"/>
        <w:jc w:val="both"/>
        <w:rPr>
          <w:sz w:val="28"/>
          <w:szCs w:val="28"/>
          <w:lang w:val="ru-RU" w:eastAsia="ru-RU"/>
        </w:rPr>
      </w:pPr>
      <w:r>
        <w:rPr>
          <w:sz w:val="28"/>
          <w:szCs w:val="28"/>
          <w:lang w:val="ru-RU" w:eastAsia="ru-RU"/>
        </w:rPr>
        <w:t>Для Республики Кот-д’Ивуар данная проблематика имеет особую значимость. При сохраняющейся динамике экономического роста стране присущи выраженная неравномерность инновационной активности, концентрация инфраструктурных и финансовых ресурсов в ограниченном числе центров, фрагментарность цифровизации и низкая вовлеченность малого и среднего бизнеса в процессы создания добавленной стоимости. Одновременно участие в ECOWAS, UEMOA и AfCFTA повышает требования к качеству институциональной среды, цифровой связанности рынков, прослеживаемости товарных потоков и способности национальной экономики включать локальных производителей в более сложные цепочки стоимости.</w:t>
      </w:r>
    </w:p>
    <w:p>
      <w:pPr>
        <w:pStyle w:val="P13"/>
        <w:spacing w:lineRule="auto" w:line="360" w:beforeAutospacing="0" w:afterAutospacing="0"/>
        <w:ind w:firstLine="709"/>
        <w:jc w:val="both"/>
        <w:rPr>
          <w:sz w:val="28"/>
          <w:szCs w:val="28"/>
          <w:lang w:val="ru-RU" w:eastAsia="ru-RU"/>
        </w:rPr>
      </w:pPr>
      <w:r>
        <w:rPr>
          <w:sz w:val="28"/>
          <w:szCs w:val="28"/>
          <w:lang w:val="ru-RU" w:eastAsia="ru-RU"/>
        </w:rPr>
        <w:t>В этих условиях разрозненные меры инновационной политики и локальная цифровизация отдельных процедур оказываются недостаточными. Возникает необходимость формирования целостного механизма инновационно-инклюзивного развития, обеспечивающего координацию интересов государства, бизнеса, финансовых институтов и территориальных сообществ, снижение трансакционных издержек, расширение доступа к инновациям и цифровым сервисам, а также более полное вовлечение хозяйствующих субъектов в национальные, региональные и глобальные контуры экономического взаимодействия, что обуславливает актуальность темы диссертационной работы.</w:t>
      </w:r>
    </w:p>
    <w:p>
      <w:pPr>
        <w:pStyle w:val="P13"/>
        <w:spacing w:lineRule="auto" w:line="360" w:beforeAutospacing="0" w:afterAutospacing="0"/>
        <w:ind w:firstLine="709"/>
        <w:jc w:val="both"/>
        <w:rPr>
          <w:sz w:val="28"/>
          <w:szCs w:val="28"/>
          <w:lang w:val="ru-RU"/>
        </w:rPr>
      </w:pPr>
      <w:r>
        <w:rPr>
          <w:b w:val="1"/>
          <w:sz w:val="28"/>
          <w:szCs w:val="28"/>
          <w:lang w:val="ru-RU"/>
        </w:rPr>
        <w:t xml:space="preserve">Степень научной разработанности проблемы. </w:t>
      </w:r>
      <w:r>
        <w:rPr>
          <w:sz w:val="28"/>
          <w:szCs w:val="28"/>
          <w:lang w:val="ru-RU"/>
        </w:rPr>
        <w:t xml:space="preserve">Теоретические основы устойчивого развития сформированы в трудах Г. Брундтланд, Р. Солоу, Г. Дейли, Н. Георгеску-Регена, Д. Мидоуса, а также в исследованиях, раскрывающих институциональные и социально-экономические условия долгосрочных преобразований, выполненных Д. Нортом, Э. Остром, А. Сеном, Дж. Стиглицем, </w:t>
      </w:r>
      <w:r>
        <w:rPr>
          <w:sz w:val="28"/>
          <w:szCs w:val="28"/>
          <w:spacing w:val="-4"/>
          <w:lang w:val="ru-RU"/>
        </w:rPr>
        <w:t>Ж.-П. Фитусси. Особенности развития стран Африки, влияние институциональных ограничений на траектории роста и проблемы устойчивого развития и региональной интеграции</w:t>
      </w:r>
      <w:r>
        <w:rPr>
          <w:spacing w:val="-4"/>
          <w:lang w:val="ru-RU"/>
        </w:rPr>
        <w:t xml:space="preserve"> </w:t>
      </w:r>
      <w:r>
        <w:rPr>
          <w:sz w:val="28"/>
          <w:szCs w:val="28"/>
          <w:spacing w:val="-4"/>
          <w:lang w:val="ru-RU"/>
        </w:rPr>
        <w:t>нашли отражение в работах Д. Абдулая, Б. Абидойе, Дж. Менсаха, М. Нго, Т. Олауми, Р. Осабохиена, Дж. Ван Бизеброка и др.</w:t>
      </w:r>
    </w:p>
    <w:p>
      <w:pPr>
        <w:pStyle w:val="P13"/>
        <w:spacing w:lineRule="auto" w:line="360" w:beforeAutospacing="0" w:afterAutospacing="0"/>
        <w:ind w:firstLine="709"/>
        <w:jc w:val="both"/>
        <w:rPr>
          <w:sz w:val="28"/>
          <w:szCs w:val="28"/>
          <w:lang w:val="ru-RU"/>
        </w:rPr>
      </w:pPr>
      <w:r>
        <w:rPr>
          <w:sz w:val="28"/>
          <w:szCs w:val="28"/>
          <w:lang w:val="ru-RU"/>
        </w:rPr>
        <w:t xml:space="preserve">Концептуальные положения инклюзивного роста, его взаимосвязи с качеством экономического развития, снижением неравенства и расширением участия различных групп хозяйствующих субъектов в создании общественного богатства представлены в публикациях П. Зауэра, П. Мерфи, А. Сена, Дж. Стиглица, Дж. Элкингтона. Возможности формирования траекторий инклюзивного роста в странах Африки исследованы П. Дрейпером, С. Гай-Диби, А. Хансеном, Дж. Молиной, С. Олоронтобой, М. Праа, У. Визером. </w:t>
      </w:r>
    </w:p>
    <w:p>
      <w:pPr>
        <w:pStyle w:val="P13"/>
        <w:spacing w:lineRule="auto" w:line="360" w:beforeAutospacing="0" w:afterAutospacing="0"/>
        <w:ind w:firstLine="709"/>
        <w:jc w:val="both"/>
        <w:rPr>
          <w:sz w:val="28"/>
          <w:szCs w:val="28"/>
          <w:lang w:val="ru-RU"/>
        </w:rPr>
      </w:pPr>
      <w:r>
        <w:rPr>
          <w:sz w:val="28"/>
          <w:szCs w:val="28"/>
          <w:lang w:val="ru-RU"/>
        </w:rPr>
        <w:t xml:space="preserve">Фундаментальные положения теории инноваций и инновационного развития сформированы в трудах Н. Кондратьева, Р. Лукаса, Р. Нельсона, С. Уинтера,  Б. Санто, Б. Твиста, К. Фримена, Г. Чезбро,  Й. Шумпетера. Вопросы формирования и функционирования национальных и региональных инновационных систем, их институциональной архитектуры, сетевых взаимодействий рассмотрены в исследованиях Б.-О. Лундвалла, С. Меткалфа,         Л. Гохберга, О. Голиченко, </w:t>
      </w:r>
      <w:r>
        <w:rPr>
          <w:rFonts w:eastAsiaTheme="minorHAnsi"/>
          <w:color w:val="242021"/>
          <w:sz w:val="28"/>
          <w:szCs w:val="28"/>
          <w:lang w:val="ru-RU"/>
        </w:rPr>
        <w:t>В. Полтерович</w:t>
      </w:r>
      <w:r>
        <w:rPr>
          <w:rFonts w:ascii="Academy" w:hAnsi="Academy" w:cstheme="minorBidi" w:eastAsiaTheme="minorHAnsi"/>
          <w:color w:val="242021"/>
          <w:sz w:val="18"/>
          <w:szCs w:val="18"/>
          <w:lang w:val="ru-RU"/>
        </w:rPr>
        <w:t xml:space="preserve">  </w:t>
      </w:r>
      <w:r>
        <w:rPr>
          <w:sz w:val="28"/>
          <w:szCs w:val="28"/>
          <w:lang w:val="ru-RU"/>
        </w:rPr>
        <w:t xml:space="preserve">и др. </w:t>
      </w:r>
    </w:p>
    <w:p>
      <w:pPr>
        <w:pStyle w:val="P13"/>
        <w:spacing w:lineRule="auto" w:line="360" w:beforeAutospacing="0" w:afterAutospacing="0"/>
        <w:ind w:firstLine="709"/>
        <w:jc w:val="both"/>
        <w:rPr>
          <w:sz w:val="28"/>
          <w:szCs w:val="28"/>
          <w:lang w:val="ru-RU"/>
        </w:rPr>
      </w:pPr>
      <w:r>
        <w:rPr>
          <w:sz w:val="28"/>
          <w:szCs w:val="28"/>
          <w:lang w:val="ru-RU"/>
        </w:rPr>
        <w:t xml:space="preserve">Проблемы цифровизации экономики, платформенной трансформации и изменения механизмов координации хозяйственной деятельности получили развитие в трудах Н. Негропонте, Д. Тапскотта, Э. Бриньолфссона, Э. Макафи, Дж. Паркера, М. Ван Альстайна, С. Чоудари, Т. Шольца, Ш. Зубофф, М. Джейкобидеса, А. Гавера, Дж. Мура, М. Портера, Г. Пизано, В. Марковой, Г. Клейнера, С. Бодрунова, А. Бабкина и др. </w:t>
      </w:r>
    </w:p>
    <w:p>
      <w:pPr>
        <w:pStyle w:val="P13"/>
        <w:spacing w:lineRule="auto" w:line="360" w:beforeAutospacing="0" w:afterAutospacing="0"/>
        <w:ind w:firstLine="709"/>
        <w:jc w:val="both"/>
        <w:rPr>
          <w:sz w:val="28"/>
          <w:szCs w:val="28"/>
          <w:lang w:val="ru-RU"/>
        </w:rPr>
      </w:pPr>
      <w:r>
        <w:rPr>
          <w:sz w:val="28"/>
          <w:szCs w:val="28"/>
          <w:lang w:val="ru-RU"/>
        </w:rPr>
        <w:t xml:space="preserve">Несмотря на значительный вклад исследователей в разработку данной проблематики, до настоящего времени сохраняется фрагментарность научных представлений о взаимосвязи инновационного развития, цифровой трансформации, платформенной организации экономики, института доверия и внешнеэкономической интеграции. Это ограничивает возможности объяснения структурных сдвигов в развивающихся экономиках, характеризующихся территориальной, институциональной и отраслевой неоднородностью, а также разработку теоретико-методических и прикладных подходов к формированию механизмов, обеспечивающих согласование инновационной динамики с задачами инклюзивности, пространственной сбалансированности и включения национальных производителей в региональные и глобальные цепочки создания стоимости. В  условиях становления цифровых режимов торговли, расширения платформенных форм трансграничного взаимодействия и углубления интеграционных процессов в рамках ECOWAS, UEMOA и AfCFTA фрагментарная изученность данных вопросов предопределила выбор темы, цель и логику диссертационного исследования.</w:t>
      </w:r>
    </w:p>
    <w:p>
      <w:pPr>
        <w:pStyle w:val="P13"/>
        <w:spacing w:lineRule="auto" w:line="360" w:beforeAutospacing="0" w:afterAutospacing="0"/>
        <w:ind w:firstLine="709"/>
        <w:jc w:val="both"/>
        <w:rPr>
          <w:sz w:val="28"/>
          <w:szCs w:val="28"/>
          <w:lang w:val="ru-RU"/>
        </w:rPr>
      </w:pPr>
      <w:r>
        <w:rPr>
          <w:b w:val="1"/>
          <w:sz w:val="28"/>
          <w:szCs w:val="28"/>
          <w:lang w:val="ru-RU"/>
        </w:rPr>
        <w:t xml:space="preserve">Цель и задачи исследования. </w:t>
      </w:r>
      <w:r>
        <w:rPr>
          <w:sz w:val="28"/>
          <w:szCs w:val="28"/>
          <w:lang w:val="ru-RU"/>
        </w:rPr>
        <w:t>Цель исследования заключается в обосновании теоретико-методических положений и практических рекомендаций по разработке платформенного механизма инновационно-инклюзивного развития национальной экономики в условиях цифровой трансформации, обеспечивающего расширение участия ее хозяйствующих субъектов в инновационных и международных производственно-сбытовых процессах.</w:t>
      </w:r>
    </w:p>
    <w:p>
      <w:pPr>
        <w:pStyle w:val="P13"/>
        <w:spacing w:lineRule="auto" w:line="360" w:beforeAutospacing="0" w:afterAutospacing="0"/>
        <w:ind w:firstLine="709"/>
        <w:jc w:val="both"/>
        <w:rPr>
          <w:sz w:val="28"/>
          <w:szCs w:val="28"/>
          <w:lang w:val="ru-RU"/>
        </w:rPr>
      </w:pPr>
      <w:r>
        <w:rPr>
          <w:sz w:val="28"/>
          <w:szCs w:val="28"/>
          <w:lang w:val="ru-RU"/>
        </w:rPr>
        <w:t>Для достижения поставленной цели решены следующие задачи:</w:t>
      </w:r>
    </w:p>
    <w:p>
      <w:pPr>
        <w:pStyle w:val="P13"/>
        <w:spacing w:lineRule="auto" w:line="360" w:beforeAutospacing="0" w:afterAutospacing="0"/>
        <w:ind w:firstLine="709"/>
        <w:jc w:val="both"/>
        <w:rPr>
          <w:sz w:val="28"/>
          <w:szCs w:val="28"/>
          <w:lang w:val="ru-RU"/>
        </w:rPr>
      </w:pPr>
      <w:r>
        <w:rPr>
          <w:sz w:val="28"/>
          <w:szCs w:val="28"/>
          <w:lang w:val="ru-RU"/>
        </w:rPr>
        <w:t>- развить теоретические положения инновационно-инклюзивного развития применительно к экономике развивающихся стран;</w:t>
      </w:r>
    </w:p>
    <w:p>
      <w:pPr>
        <w:pStyle w:val="P13"/>
        <w:spacing w:lineRule="auto" w:line="360" w:beforeAutospacing="0" w:afterAutospacing="0"/>
        <w:ind w:firstLine="709"/>
        <w:jc w:val="both"/>
        <w:rPr>
          <w:sz w:val="28"/>
          <w:szCs w:val="28"/>
          <w:lang w:val="ru-RU"/>
        </w:rPr>
      </w:pPr>
      <w:r>
        <w:rPr>
          <w:sz w:val="28"/>
          <w:szCs w:val="28"/>
          <w:lang w:val="ru-RU"/>
        </w:rPr>
        <w:t>- выявить специфику трансформации национальных и региональных инновационных систем в условиях институциональной неоднородности и обосновать состав механизмов, обеспечивающих устойчивое инновационно-инклюзивное развитие;</w:t>
      </w:r>
    </w:p>
    <w:p>
      <w:pPr>
        <w:pStyle w:val="P13"/>
        <w:spacing w:lineRule="auto" w:line="360" w:beforeAutospacing="0" w:afterAutospacing="0"/>
        <w:ind w:firstLine="709"/>
        <w:jc w:val="both"/>
        <w:rPr>
          <w:sz w:val="28"/>
          <w:szCs w:val="28"/>
          <w:lang w:val="ru-RU"/>
        </w:rPr>
      </w:pPr>
      <w:r>
        <w:rPr>
          <w:sz w:val="28"/>
          <w:szCs w:val="28"/>
          <w:lang w:val="ru-RU"/>
        </w:rPr>
        <w:t>- обосновать роль цифровой платформизации и института доверия в переходе от фрагментированных форм инновационного взаимодействия к сетевой координации экономических агентов и территорий;</w:t>
      </w:r>
    </w:p>
    <w:p>
      <w:pPr>
        <w:pStyle w:val="P13"/>
        <w:spacing w:lineRule="auto" w:line="360" w:beforeAutospacing="0" w:afterAutospacing="0"/>
        <w:ind w:firstLine="709"/>
        <w:jc w:val="both"/>
        <w:rPr>
          <w:sz w:val="28"/>
          <w:szCs w:val="28"/>
          <w:lang w:val="ru-RU"/>
        </w:rPr>
      </w:pPr>
      <w:r>
        <w:rPr>
          <w:sz w:val="28"/>
          <w:szCs w:val="28"/>
          <w:lang w:val="ru-RU"/>
        </w:rPr>
        <w:t>- обобщить методические подходы к анализу инновационно-инклюзивного развития страны и на основе этого определить региональные особенности инновационной активности и характер участия Республики Кот-д’Ивуар в международных экономических взаимодействиях в условиях цифровизации;</w:t>
      </w:r>
    </w:p>
    <w:p>
      <w:pPr>
        <w:pStyle w:val="P13"/>
        <w:spacing w:lineRule="auto" w:line="360" w:beforeAutospacing="0" w:afterAutospacing="0"/>
        <w:ind w:firstLine="709"/>
        <w:jc w:val="both"/>
        <w:rPr>
          <w:sz w:val="28"/>
          <w:szCs w:val="28"/>
          <w:lang w:val="ru-RU"/>
        </w:rPr>
      </w:pPr>
      <w:r>
        <w:rPr>
          <w:sz w:val="28"/>
          <w:szCs w:val="28"/>
          <w:lang w:val="ru-RU"/>
        </w:rPr>
        <w:t>- оценить возможности платформенной трансформации экономики Республики Кот-д’Ивуар с учетом синергетических эффектов многокластерной интеграции и ограничений сырьевой специализации;</w:t>
      </w:r>
    </w:p>
    <w:p>
      <w:pPr>
        <w:pStyle w:val="P13"/>
        <w:spacing w:lineRule="auto" w:line="360" w:beforeAutospacing="0" w:afterAutospacing="0"/>
        <w:ind w:firstLine="709"/>
        <w:jc w:val="both"/>
        <w:rPr>
          <w:sz w:val="28"/>
          <w:szCs w:val="28"/>
          <w:lang w:val="ru-RU"/>
        </w:rPr>
      </w:pPr>
      <w:r>
        <w:rPr>
          <w:sz w:val="28"/>
          <w:szCs w:val="28"/>
          <w:lang w:val="ru-RU"/>
        </w:rPr>
        <w:t>- обосновать платформенный подход к структурной трансформации экономики Республики Кот-д’Ивуар как инструмент инновационно-инклюзивного развития;</w:t>
      </w:r>
    </w:p>
    <w:p>
      <w:pPr>
        <w:pStyle w:val="P13"/>
        <w:spacing w:lineRule="auto" w:line="360" w:beforeAutospacing="0" w:afterAutospacing="0"/>
        <w:ind w:firstLine="709"/>
        <w:jc w:val="both"/>
        <w:rPr>
          <w:sz w:val="28"/>
          <w:szCs w:val="28"/>
          <w:lang w:val="ru-RU"/>
        </w:rPr>
      </w:pPr>
      <w:r>
        <w:rPr>
          <w:sz w:val="28"/>
          <w:szCs w:val="28"/>
          <w:lang w:val="ru-RU"/>
        </w:rPr>
        <w:t>- разработать проектное решение цифровой платформы развития национальной инновационной системы, ориентированное на координацию кластерных, ресурсных и информационных потоков в инновационной сфере;</w:t>
      </w:r>
    </w:p>
    <w:p>
      <w:pPr>
        <w:pStyle w:val="P13"/>
        <w:spacing w:lineRule="auto" w:line="360" w:beforeAutospacing="0" w:afterAutospacing="0"/>
        <w:ind w:firstLine="709"/>
        <w:jc w:val="both"/>
        <w:rPr>
          <w:sz w:val="28"/>
          <w:szCs w:val="28"/>
          <w:lang w:val="ru-RU"/>
        </w:rPr>
      </w:pPr>
      <w:r>
        <w:rPr>
          <w:sz w:val="28"/>
          <w:szCs w:val="28"/>
          <w:lang w:val="ru-RU"/>
        </w:rPr>
        <w:t>- предложить инструментарий сценарного обоснования платформенной трансформации Республики Кот-д’Ивуар и социально-институциональные основания ее долгосрочной устойчивости.</w:t>
      </w:r>
    </w:p>
    <w:p>
      <w:pPr>
        <w:pStyle w:val="P13"/>
        <w:spacing w:lineRule="auto" w:line="360" w:beforeAutospacing="0" w:afterAutospacing="0"/>
        <w:ind w:firstLine="709"/>
        <w:jc w:val="both"/>
        <w:rPr>
          <w:sz w:val="28"/>
          <w:szCs w:val="28"/>
          <w:lang w:val="ru-RU"/>
        </w:rPr>
      </w:pPr>
      <w:r>
        <w:rPr>
          <w:b w:val="1"/>
          <w:sz w:val="28"/>
          <w:szCs w:val="28"/>
          <w:lang w:val="ru-RU"/>
        </w:rPr>
        <w:t>Предметом исследования</w:t>
      </w:r>
      <w:r>
        <w:rPr>
          <w:sz w:val="28"/>
          <w:szCs w:val="28"/>
          <w:lang w:val="ru-RU"/>
        </w:rPr>
        <w:t xml:space="preserve"> являются организационно-экономические и институциональные отношения, возникающие в процессе формирования платформенного механизма инновационно-инклюзивного развития Республики Кот-д’Ивуар.</w:t>
      </w:r>
    </w:p>
    <w:p>
      <w:pPr>
        <w:pStyle w:val="P13"/>
        <w:spacing w:lineRule="auto" w:line="360" w:beforeAutospacing="0" w:afterAutospacing="0"/>
        <w:ind w:firstLine="709"/>
        <w:jc w:val="both"/>
        <w:rPr>
          <w:sz w:val="28"/>
          <w:szCs w:val="28"/>
          <w:lang w:val="ru-RU"/>
        </w:rPr>
      </w:pPr>
      <w:r>
        <w:rPr>
          <w:b w:val="1"/>
          <w:sz w:val="28"/>
          <w:szCs w:val="28"/>
          <w:lang w:val="ru-RU"/>
        </w:rPr>
        <w:t>Объектом исследования</w:t>
      </w:r>
      <w:r>
        <w:rPr>
          <w:sz w:val="28"/>
          <w:szCs w:val="28"/>
          <w:lang w:val="ru-RU"/>
        </w:rPr>
        <w:t xml:space="preserve"> выступает национальная инновационная система Республики Кот-д’Ивуар в условиях цифровой трансформации.</w:t>
      </w:r>
    </w:p>
    <w:p>
      <w:pPr>
        <w:pStyle w:val="P13"/>
        <w:spacing w:lineRule="auto" w:line="360" w:beforeAutospacing="0" w:afterAutospacing="0"/>
        <w:ind w:firstLine="709"/>
        <w:jc w:val="both"/>
        <w:rPr>
          <w:sz w:val="28"/>
          <w:szCs w:val="28"/>
          <w:lang w:val="ru-RU"/>
        </w:rPr>
      </w:pPr>
      <w:r>
        <w:rPr>
          <w:b w:val="1"/>
          <w:sz w:val="28"/>
          <w:szCs w:val="28"/>
          <w:lang w:val="ru-RU"/>
        </w:rPr>
        <w:t>Теоретическо-методологическая основа исследования</w:t>
      </w:r>
      <w:r>
        <w:rPr>
          <w:sz w:val="28"/>
          <w:szCs w:val="28"/>
          <w:lang w:val="ru-RU"/>
        </w:rPr>
        <w:t xml:space="preserve"> сформирована трудами ведущих мировых, российских и африканских специалистов по проблемам устойчивого, инклюзивного и инновационного развития, цифровой трансформации экономики, платформизации хозяйственных процессов, институциональной и мировой экономики. В работе использованы системный, институциональный, эволюционный, пространственный и платформенный подходы, а также методы абстрактно-логического, сравнительного, экономико-статистического, структурно-функционального, графического, индексного, кластерного, картографического и сценарного анализа, экспертных оценок и моделирования.</w:t>
      </w:r>
    </w:p>
    <w:p>
      <w:pPr>
        <w:pStyle w:val="P13"/>
        <w:spacing w:lineRule="auto" w:line="360" w:beforeAutospacing="0" w:afterAutospacing="0"/>
        <w:ind w:firstLine="709"/>
        <w:jc w:val="both"/>
        <w:rPr>
          <w:sz w:val="28"/>
          <w:szCs w:val="28"/>
          <w:lang w:val="ru-RU"/>
        </w:rPr>
      </w:pPr>
      <w:r>
        <w:rPr>
          <w:b w:val="1"/>
          <w:sz w:val="28"/>
          <w:szCs w:val="28"/>
          <w:lang w:val="ru-RU"/>
        </w:rPr>
        <w:t>Информационно-эмпирическая база исследования</w:t>
      </w:r>
      <w:r>
        <w:rPr>
          <w:sz w:val="28"/>
          <w:szCs w:val="28"/>
          <w:lang w:val="ru-RU"/>
        </w:rPr>
        <w:t xml:space="preserve"> включает официальные статистические и аналитические материалы Африканского банка развития, Экономической комиссии для Африки, Программы развития</w:t>
      </w:r>
      <w:r>
        <w:rPr>
          <w:lang w:val="ru-RU"/>
        </w:rPr>
        <w:t xml:space="preserve"> </w:t>
      </w:r>
      <w:r>
        <w:rPr>
          <w:sz w:val="28"/>
          <w:szCs w:val="28"/>
          <w:lang w:val="ru-RU"/>
        </w:rPr>
        <w:t xml:space="preserve">ООН, </w:t>
      </w:r>
      <w:r>
        <w:rPr>
          <w:bCs w:val="1"/>
          <w:sz w:val="28"/>
          <w:szCs w:val="28"/>
          <w:lang w:val="ru-RU"/>
        </w:rPr>
        <w:t>Статистической службы ООН</w:t>
      </w:r>
      <w:r>
        <w:rPr>
          <w:sz w:val="28"/>
          <w:szCs w:val="28"/>
          <w:lang w:val="ru-RU"/>
        </w:rPr>
        <w:t xml:space="preserve">, Конференции ООН по торговле и развитию, Всемирного банка, </w:t>
      </w:r>
      <w:r>
        <w:rPr>
          <w:bCs w:val="1"/>
          <w:sz w:val="28"/>
          <w:szCs w:val="28"/>
          <w:lang w:val="ru-RU"/>
        </w:rPr>
        <w:t>Международного валютного фонда</w:t>
      </w:r>
      <w:r>
        <w:rPr>
          <w:sz w:val="28"/>
          <w:szCs w:val="28"/>
          <w:lang w:val="ru-RU"/>
        </w:rPr>
        <w:t>, Комиссии Африканского союза, Экономического сообщества западноафриканских государств, Национального института статистики Республики Кот-Д’Ивуар; данные научных публикаций, электронных баз (WIPO, ITU), открытых информационных ресурсов, а также результатов авторских расчетов, аналитических оценок и сценарного моделирования, выполненного с использованием цифрового симулятора развития кластерных процессов.</w:t>
      </w:r>
    </w:p>
    <w:p>
      <w:pPr>
        <w:pStyle w:val="P13"/>
        <w:spacing w:lineRule="auto" w:line="360" w:beforeAutospacing="0" w:afterAutospacing="0"/>
        <w:ind w:firstLine="709"/>
        <w:jc w:val="both"/>
        <w:rPr>
          <w:sz w:val="28"/>
          <w:szCs w:val="28"/>
          <w:lang w:val="ru-RU"/>
        </w:rPr>
      </w:pPr>
      <w:r>
        <w:rPr>
          <w:b w:val="1"/>
          <w:sz w:val="28"/>
          <w:szCs w:val="28"/>
          <w:lang w:val="ru-RU"/>
        </w:rPr>
        <w:t>Рабочая гипотеза диссертации</w:t>
      </w:r>
      <w:r>
        <w:rPr>
          <w:sz w:val="28"/>
          <w:szCs w:val="28"/>
          <w:lang w:val="ru-RU"/>
        </w:rPr>
        <w:t xml:space="preserve"> заключается в том, что достижение инновационно-инклюзивного развития национальной экономики, объективно необходимого в условиях сохраняющихся пространственно-структурных диспропорций, фрагментарности цифровизации и ограниченной вовлеченности хозяйствующих субъектов в инновационные и внешнеэкономические процессы, обеспечивается формированием платформенного механизма координации инновационных, цифровых, институциональных и внешнеторговых взаимодействий, направленного на снижение внутренних разрывов и укрепление позиций страны в системе мирохозяйственных связей.</w:t>
      </w:r>
    </w:p>
    <w:p>
      <w:pPr>
        <w:pStyle w:val="P13"/>
        <w:spacing w:lineRule="auto" w:line="360" w:beforeAutospacing="0" w:afterAutospacing="0"/>
        <w:ind w:firstLine="709"/>
        <w:jc w:val="both"/>
        <w:rPr>
          <w:sz w:val="28"/>
          <w:szCs w:val="28"/>
          <w:lang w:val="ru-RU"/>
        </w:rPr>
      </w:pPr>
      <w:r>
        <w:rPr>
          <w:b w:val="1"/>
          <w:sz w:val="28"/>
          <w:szCs w:val="28"/>
          <w:lang w:val="ru-RU"/>
        </w:rPr>
        <w:t xml:space="preserve">Научная новизна диссертационного исследования </w:t>
      </w:r>
      <w:r>
        <w:rPr>
          <w:sz w:val="28"/>
          <w:szCs w:val="28"/>
          <w:lang w:val="ru-RU"/>
        </w:rPr>
        <w:t>состоит в разработке теоретико-методических положений и практической верификации механизмов инновационно-инклюзивного развития национальной экономической системы в условиях цифровой трансформации на основе платформенного подхода, создающего предпосылки для активизации инновационной деятельности,</w:t>
      </w:r>
      <w:r>
        <w:rPr>
          <w:lang w:val="ru-RU"/>
        </w:rPr>
        <w:t xml:space="preserve"> </w:t>
      </w:r>
      <w:r>
        <w:rPr>
          <w:sz w:val="28"/>
          <w:szCs w:val="28"/>
          <w:lang w:val="ru-RU"/>
        </w:rPr>
        <w:t>кластерной организации экономических агентов и их включения в региональные и глобальные цепочки создания стоимости.</w:t>
      </w:r>
    </w:p>
    <w:p>
      <w:pPr>
        <w:widowControl w:val="0"/>
        <w:shd w:val="clear" w:fill="FFFFFF"/>
        <w:spacing w:lineRule="auto" w:line="360" w:after="0" w:beforeAutospacing="0" w:afterAutospacing="0"/>
        <w:ind w:firstLine="709"/>
        <w:jc w:val="both"/>
        <w:rPr>
          <w:rFonts w:ascii="Times New Roman" w:hAnsi="Times New Roman" w:eastAsia="Times New Roman"/>
          <w:sz w:val="28"/>
          <w:szCs w:val="28"/>
          <w:lang w:eastAsia="ru-RU"/>
        </w:rPr>
      </w:pPr>
      <w:r>
        <w:rPr>
          <w:rFonts w:ascii="Times New Roman" w:hAnsi="Times New Roman" w:eastAsia="Times New Roman"/>
          <w:sz w:val="28"/>
          <w:szCs w:val="28"/>
          <w:lang w:eastAsia="ru-RU"/>
        </w:rPr>
        <w:t>Научная новизна подтверждается следующими полученными автором результатами, выносимыми на защиту:</w:t>
      </w:r>
    </w:p>
    <w:p>
      <w:pPr>
        <w:widowControl w:val="0"/>
        <w:shd w:val="clear" w:fill="FFFFFF"/>
        <w:spacing w:lineRule="auto" w:line="360" w:after="0" w:beforeAutospacing="0" w:afterAutospacing="0"/>
        <w:ind w:firstLine="709"/>
        <w:jc w:val="both"/>
        <w:rPr>
          <w:rFonts w:ascii="Times New Roman" w:hAnsi="Times New Roman" w:cs="Times New Roman"/>
          <w:i w:val="1"/>
          <w:sz w:val="28"/>
          <w:szCs w:val="28"/>
        </w:rPr>
      </w:pPr>
      <w:r>
        <w:rPr>
          <w:rFonts w:ascii="Times New Roman" w:hAnsi="Times New Roman" w:cs="Times New Roman"/>
          <w:i w:val="1"/>
          <w:sz w:val="28"/>
          <w:szCs w:val="28"/>
        </w:rPr>
        <w:t>по специальности 5.2.3. Региональная и отраслевая экономика: экономика инноваций</w:t>
      </w:r>
    </w:p>
    <w:p>
      <w:pPr>
        <w:widowControl w:val="0"/>
        <w:shd w:val="clear" w:fill="FFFFFF"/>
        <w:spacing w:lineRule="auto" w:line="360" w:after="0" w:beforeAutospacing="0" w:afterAutospacing="0"/>
        <w:ind w:firstLine="709"/>
        <w:jc w:val="both"/>
        <w:rPr>
          <w:rFonts w:ascii="Times New Roman" w:hAnsi="Times New Roman" w:eastAsia="Times New Roman"/>
          <w:sz w:val="28"/>
          <w:szCs w:val="28"/>
          <w:lang w:eastAsia="ru-RU"/>
        </w:rPr>
      </w:pPr>
      <w:r>
        <w:rPr>
          <w:rFonts w:ascii="Times New Roman" w:hAnsi="Times New Roman" w:cs="Times New Roman" w:eastAsia="Times New Roman"/>
          <w:sz w:val="28"/>
          <w:szCs w:val="28"/>
          <w:lang w:eastAsia="ru-RU"/>
        </w:rPr>
        <w:t xml:space="preserve">- уточнено содержание инновационно-инклюзивного развития как типа экономической динамики, при котором инновации выступают основным источником структурных изменений и роста производительности, а инклюзивность – принципом организации инновационного процесса и распределения его результатов, что позволило расширить теоретические основания исследования механизмов инновационной трансформации развивающихся экономик в условиях цифровизации </w:t>
      </w:r>
      <w:r>
        <w:rPr>
          <w:rFonts w:ascii="Times New Roman" w:hAnsi="Times New Roman" w:eastAsia="Times New Roman"/>
          <w:i w:val="1"/>
          <w:sz w:val="28"/>
          <w:szCs w:val="28"/>
          <w:lang w:eastAsia="ru-RU"/>
        </w:rPr>
        <w:t xml:space="preserve">(7.16 – Проблемы обеспечения сбалансированного научно-технического и инновационного развития национальной экономики </w:t>
      </w:r>
      <w:r>
        <w:rPr>
          <w:rFonts w:ascii="Times New Roman" w:hAnsi="Times New Roman" w:eastAsia="Times New Roman"/>
          <w:sz w:val="28"/>
          <w:szCs w:val="28"/>
          <w:lang w:eastAsia="ru-RU"/>
        </w:rPr>
        <w:t>Паспорта специальности 5.2.3) (гл.1, п.1.1, С.</w:t>
      </w:r>
      <w:r>
        <w:rPr>
          <w:rFonts w:ascii="Times New Roman" w:hAnsi="Times New Roman" w:eastAsia="Times New Roman"/>
          <w:sz w:val="28"/>
          <w:szCs w:val="28"/>
          <w:highlight w:val="yellow"/>
          <w:lang w:eastAsia="ru-RU"/>
        </w:rPr>
        <w:t>22-42</w:t>
      </w:r>
      <w:r>
        <w:rPr>
          <w:rFonts w:ascii="Times New Roman" w:hAnsi="Times New Roman" w:eastAsia="Times New Roman"/>
          <w:sz w:val="28"/>
          <w:szCs w:val="28"/>
          <w:lang w:eastAsia="ru-RU"/>
        </w:rPr>
        <w:t xml:space="preserve"> диссертации);</w:t>
      </w:r>
    </w:p>
    <w:p>
      <w:pPr>
        <w:widowControl w:val="0"/>
        <w:spacing w:lineRule="auto" w:line="360" w:after="0" w:beforeAutospacing="0" w:afterAutospacing="0"/>
        <w:ind w:firstLine="709"/>
        <w:jc w:val="both"/>
        <w:rPr>
          <w:rFonts w:ascii="Times New Roman" w:hAnsi="Times New Roman" w:cs="Times New Roman"/>
          <w:sz w:val="28"/>
          <w:szCs w:val="28"/>
        </w:rPr>
      </w:pPr>
      <w:r>
        <w:rPr>
          <w:rFonts w:ascii="Times New Roman" w:hAnsi="Times New Roman" w:eastAsia="Times New Roman"/>
          <w:sz w:val="28"/>
          <w:szCs w:val="28"/>
          <w:lang w:eastAsia="ru-RU"/>
        </w:rPr>
        <w:t xml:space="preserve">-  определены и систематизированы механизмы развития национальных и региональных инновационных систем в инновационно-инклюзивной модели, отличающиеся комплексным сочетанием институциональных, организационно-координационных, финансовых, пространственных, информационно-коммуникационных и процессных компонентов, обеспечивающих повышение связности инновационной среды </w:t>
      </w:r>
      <w:r>
        <w:rPr>
          <w:rFonts w:ascii="Times New Roman" w:hAnsi="Times New Roman" w:cs="Times New Roman"/>
          <w:i w:val="1"/>
          <w:sz w:val="28"/>
          <w:szCs w:val="28"/>
        </w:rPr>
        <w:t>(п. 7.7 – Инновационная инфраструктура и инновационный климат. Проблемы создания эффективной инновационной среды</w:t>
      </w:r>
      <w:r>
        <w:rPr>
          <w:rFonts w:ascii="Times New Roman" w:hAnsi="Times New Roman" w:cs="Times New Roman"/>
          <w:sz w:val="28"/>
          <w:szCs w:val="28"/>
        </w:rPr>
        <w:t xml:space="preserve"> Паспорта специальности 5.2.3) (гл. 1, п.1.2, С. </w:t>
      </w:r>
      <w:r>
        <w:rPr>
          <w:rFonts w:ascii="Times New Roman" w:hAnsi="Times New Roman" w:cs="Times New Roman"/>
          <w:sz w:val="28"/>
          <w:szCs w:val="28"/>
          <w:highlight w:val="yellow"/>
        </w:rPr>
        <w:t>40-62</w:t>
      </w:r>
      <w:r>
        <w:rPr>
          <w:rFonts w:ascii="Times New Roman" w:hAnsi="Times New Roman" w:cs="Times New Roman"/>
          <w:sz w:val="28"/>
          <w:szCs w:val="28"/>
        </w:rPr>
        <w:t xml:space="preserve"> диссертации);</w:t>
      </w:r>
    </w:p>
    <w:p>
      <w:pPr>
        <w:widowControl w:val="0"/>
        <w:spacing w:lineRule="auto" w:line="360" w:after="0" w:beforeAutospacing="0" w:afterAutospacing="0"/>
        <w:ind w:firstLine="709"/>
        <w:jc w:val="both"/>
        <w:rPr>
          <w:rFonts w:ascii="Times New Roman" w:hAnsi="Times New Roman" w:cs="Times New Roman"/>
          <w:sz w:val="28"/>
          <w:szCs w:val="28"/>
        </w:rPr>
      </w:pPr>
      <w:r>
        <w:rPr>
          <w:rFonts w:ascii="Times New Roman" w:hAnsi="Times New Roman" w:cs="Times New Roman"/>
          <w:sz w:val="28"/>
          <w:szCs w:val="28"/>
        </w:rPr>
        <w:t xml:space="preserve">- обоснованы теоретико-методические положения формирования платформенного механизма инновационно-инклюзивного развития как инструмента цифровой трансформации экономической деятельности, предусматривающие диагностику состояния ключевых компонентов такого развития и позволяющие выявлять направления проектирования, запуска и совершенствования платформенных решений с учетом уровня цифровой платформизации, институционального доверия и включенности экономических агентов и территорий в процессы создания добавленной стоимости </w:t>
      </w:r>
      <w:r>
        <w:rPr>
          <w:rFonts w:ascii="Times New Roman" w:hAnsi="Times New Roman" w:cs="Times New Roman"/>
          <w:i w:val="1"/>
          <w:sz w:val="28"/>
          <w:szCs w:val="28"/>
        </w:rPr>
        <w:t xml:space="preserve">(п. 7.5 – Цифровая трансформация экономической деятельности. Модели и инструменты цифровой трансформации </w:t>
      </w:r>
      <w:r>
        <w:rPr>
          <w:rFonts w:ascii="Times New Roman" w:hAnsi="Times New Roman" w:cs="Times New Roman"/>
          <w:sz w:val="28"/>
          <w:szCs w:val="28"/>
        </w:rPr>
        <w:t>Паспорта специальности 5.2.3) (</w:t>
      </w:r>
      <w:r>
        <w:rPr>
          <w:rFonts w:ascii="Times New Roman" w:hAnsi="Times New Roman" w:cs="Times New Roman"/>
          <w:sz w:val="28"/>
          <w:szCs w:val="28"/>
          <w:highlight w:val="yellow"/>
        </w:rPr>
        <w:t>гл. 1, п.1.3, С. 63-75, п.1.4, С. 76-102, гл. 3, п. 3.1, С. 197-199</w:t>
      </w:r>
      <w:r>
        <w:rPr>
          <w:rFonts w:ascii="Times New Roman" w:hAnsi="Times New Roman" w:cs="Times New Roman"/>
          <w:sz w:val="28"/>
          <w:szCs w:val="28"/>
        </w:rPr>
        <w:t xml:space="preserve"> диссертации);</w:t>
      </w:r>
    </w:p>
    <w:p>
      <w:pPr>
        <w:widowControl w:val="0"/>
        <w:spacing w:lineRule="auto" w:line="360" w:after="0" w:beforeAutospacing="0" w:afterAutospacing="0"/>
        <w:ind w:firstLine="709"/>
        <w:jc w:val="both"/>
        <w:rPr>
          <w:rFonts w:ascii="Times New Roman" w:hAnsi="Times New Roman" w:cs="Times New Roman"/>
          <w:i w:val="1"/>
          <w:sz w:val="28"/>
          <w:szCs w:val="28"/>
        </w:rPr>
      </w:pPr>
      <w:r>
        <w:rPr>
          <w:rFonts w:ascii="Times New Roman" w:hAnsi="Times New Roman" w:cs="Times New Roman"/>
          <w:i w:val="1"/>
          <w:sz w:val="28"/>
          <w:szCs w:val="28"/>
        </w:rPr>
        <w:t xml:space="preserve">- </w:t>
      </w:r>
      <w:r>
        <w:rPr>
          <w:rFonts w:ascii="Times New Roman" w:hAnsi="Times New Roman" w:cs="Times New Roman"/>
          <w:sz w:val="28"/>
          <w:szCs w:val="28"/>
        </w:rPr>
        <w:t xml:space="preserve">предложен инновационный проект цифровой платформы развития национальной инновационной системы с кластерной архитектурой и функционалом оператора производственных, финансовых, логистических, научно-образовательных и информационных потоков, реализация которого создает условия для снижения трансакционных издержек, генерации сетевых эффектов и объединения отраслевых кластеров в единую инновационно-производственную экосистему </w:t>
      </w:r>
      <w:r>
        <w:rPr>
          <w:rFonts w:ascii="Times New Roman" w:hAnsi="Times New Roman" w:cs="Times New Roman"/>
          <w:i w:val="1"/>
          <w:sz w:val="28"/>
          <w:szCs w:val="28"/>
        </w:rPr>
        <w:t xml:space="preserve">(п. 7.5 – Цифровая трансформация экономической деятельности. Модели и инструменты цифровой трансформации </w:t>
      </w:r>
      <w:r>
        <w:rPr>
          <w:rFonts w:ascii="Times New Roman" w:hAnsi="Times New Roman" w:cs="Times New Roman"/>
          <w:sz w:val="28"/>
          <w:szCs w:val="28"/>
        </w:rPr>
        <w:t>Паспорта специальности 5.2.3) (</w:t>
      </w:r>
      <w:r>
        <w:rPr>
          <w:rFonts w:ascii="Times New Roman" w:hAnsi="Times New Roman" w:cs="Times New Roman"/>
          <w:sz w:val="28"/>
          <w:szCs w:val="28"/>
          <w:highlight w:val="yellow"/>
        </w:rPr>
        <w:t>гл. 3, п. 3.2, С. 223-248</w:t>
      </w:r>
      <w:r>
        <w:rPr>
          <w:rFonts w:ascii="Times New Roman" w:hAnsi="Times New Roman" w:cs="Times New Roman"/>
          <w:sz w:val="28"/>
          <w:szCs w:val="28"/>
        </w:rPr>
        <w:t xml:space="preserve"> диссертации);</w:t>
      </w:r>
    </w:p>
    <w:p>
      <w:pPr>
        <w:pStyle w:val="P13"/>
        <w:spacing w:lineRule="auto" w:line="360" w:beforeAutospacing="0" w:afterAutospacing="0"/>
        <w:ind w:firstLine="709"/>
        <w:jc w:val="both"/>
        <w:rPr>
          <w:i w:val="1"/>
          <w:sz w:val="28"/>
          <w:szCs w:val="28"/>
          <w:lang w:val="ru-RU"/>
        </w:rPr>
      </w:pPr>
      <w:r>
        <w:rPr>
          <w:i w:val="1"/>
          <w:sz w:val="28"/>
          <w:szCs w:val="28"/>
          <w:lang w:val="ru-RU"/>
        </w:rPr>
        <w:t xml:space="preserve">по специальности 5.2.5 – мировая экономика </w:t>
      </w:r>
    </w:p>
    <w:p>
      <w:pPr>
        <w:widowControl w:val="0"/>
        <w:shd w:val="clear" w:fill="FFFFFF"/>
        <w:spacing w:lineRule="auto" w:line="360" w:after="0" w:beforeAutospacing="0" w:afterAutospacing="0"/>
        <w:ind w:firstLine="709"/>
        <w:jc w:val="both"/>
        <w:rPr>
          <w:rFonts w:ascii="Times New Roman" w:hAnsi="Times New Roman" w:cs="Times New Roman"/>
          <w:sz w:val="28"/>
          <w:szCs w:val="28"/>
        </w:rPr>
      </w:pPr>
      <w:r>
        <w:rPr>
          <w:rFonts w:ascii="Times New Roman" w:hAnsi="Times New Roman" w:cs="Times New Roman" w:eastAsia="Times New Roman"/>
          <w:sz w:val="28"/>
          <w:szCs w:val="28"/>
          <w:lang w:eastAsia="ru-RU"/>
        </w:rPr>
        <w:t xml:space="preserve">- исходя из методических особенностей анализа инновационно-инклюзивного развития определены региональные различия инновационной активности и участия Республики Кот-д’Ивуар в цепочках создания стоимости в процессе цифровизации внешнеэкономических связей, что позволило выявить зависимость продвижения страны в более высокодоходные сегменты международных рынков от пространственной локализации инновационного потенциала, уровня цифровой связанности территорий и степени институциональной включенности локальных производителей в мирохозяйственные взаимодействия </w:t>
      </w:r>
      <w:r>
        <w:rPr>
          <w:rFonts w:ascii="Times New Roman" w:hAnsi="Times New Roman" w:cs="Times New Roman" w:eastAsia="Times New Roman"/>
          <w:i w:val="1"/>
          <w:sz w:val="28"/>
          <w:szCs w:val="28"/>
          <w:lang w:eastAsia="ru-RU"/>
        </w:rPr>
        <w:t>( п. 17 – Экологические и социальные аспекты глобального развития. Концепции «устойчивого» и «инклюзивного» развития</w:t>
      </w:r>
      <w:r>
        <w:rPr>
          <w:rFonts w:ascii="Times New Roman" w:hAnsi="Times New Roman" w:cs="Times New Roman" w:eastAsia="Times New Roman"/>
          <w:sz w:val="28"/>
          <w:szCs w:val="28"/>
          <w:lang w:eastAsia="ru-RU"/>
        </w:rPr>
        <w:t xml:space="preserve">, </w:t>
      </w:r>
      <w:r>
        <w:rPr>
          <w:rFonts w:ascii="Times New Roman" w:hAnsi="Times New Roman" w:cs="Times New Roman" w:eastAsia="Times New Roman"/>
          <w:i w:val="1"/>
          <w:sz w:val="28"/>
          <w:szCs w:val="28"/>
          <w:lang w:eastAsia="ru-RU"/>
        </w:rPr>
        <w:t xml:space="preserve">п. 20 – Экономика зарубежных стран и регионов (экономическое страноведение и регионоведение). Сравнительные исследования национальных экономик в системе мирохозяйственных связей </w:t>
      </w:r>
      <w:r>
        <w:rPr>
          <w:rFonts w:ascii="Times New Roman" w:hAnsi="Times New Roman" w:cs="Times New Roman"/>
          <w:sz w:val="28"/>
          <w:szCs w:val="28"/>
        </w:rPr>
        <w:t>Паспорта специальности 5.2.5) (</w:t>
      </w:r>
      <w:r>
        <w:rPr>
          <w:rFonts w:ascii="Times New Roman" w:hAnsi="Times New Roman" w:cs="Times New Roman"/>
          <w:sz w:val="28"/>
          <w:szCs w:val="28"/>
          <w:highlight w:val="yellow"/>
        </w:rPr>
        <w:t>гл. 2, п.2.1, С. 105-120, п.2.2, С. 121-144, п. 2.4, С. 172-193</w:t>
      </w:r>
      <w:r>
        <w:rPr>
          <w:rFonts w:ascii="Times New Roman" w:hAnsi="Times New Roman" w:cs="Times New Roman"/>
          <w:sz w:val="28"/>
          <w:szCs w:val="28"/>
        </w:rPr>
        <w:t xml:space="preserve"> диссертации);</w:t>
      </w:r>
    </w:p>
    <w:p>
      <w:pPr>
        <w:widowControl w:val="0"/>
        <w:shd w:val="clear" w:fill="FFFFFF"/>
        <w:spacing w:lineRule="auto" w:line="360" w:after="0" w:beforeAutospacing="0" w:afterAutospacing="0"/>
        <w:ind w:firstLine="709"/>
        <w:jc w:val="both"/>
        <w:rPr>
          <w:rFonts w:ascii="Times New Roman" w:hAnsi="Times New Roman" w:cs="Times New Roman"/>
          <w:sz w:val="28"/>
          <w:szCs w:val="28"/>
        </w:rPr>
      </w:pPr>
      <w:r>
        <w:rPr>
          <w:rFonts w:ascii="Times New Roman" w:hAnsi="Times New Roman" w:cs="Times New Roman"/>
          <w:sz w:val="28"/>
          <w:szCs w:val="28"/>
        </w:rPr>
        <w:t xml:space="preserve">- построена модель платформенного механизма инновационно-инклюзивной трансформации экономики </w:t>
      </w:r>
      <w:r>
        <w:rPr>
          <w:rFonts w:ascii="Times New Roman" w:hAnsi="Times New Roman" w:cs="Times New Roman" w:eastAsia="Times New Roman"/>
          <w:sz w:val="28"/>
          <w:szCs w:val="28"/>
          <w:lang w:eastAsia="ru-RU"/>
        </w:rPr>
        <w:t>Республики Кот-д’Ивуар</w:t>
      </w:r>
      <w:r>
        <w:rPr>
          <w:rFonts w:ascii="Times New Roman" w:hAnsi="Times New Roman" w:cs="Times New Roman"/>
          <w:sz w:val="28"/>
          <w:szCs w:val="28"/>
        </w:rPr>
        <w:t xml:space="preserve"> на основе оценки синергетического эффекта посредством </w:t>
      </w:r>
      <w:r>
        <w:rPr>
          <w:rFonts w:ascii="Times New Roman" w:hAnsi="Times New Roman" w:cs="Times New Roman" w:eastAsia="Times New Roman"/>
          <w:sz w:val="28"/>
          <w:szCs w:val="28"/>
          <w:lang w:eastAsia="ru-RU"/>
        </w:rPr>
        <w:t xml:space="preserve">DAG-подхода </w:t>
      </w:r>
      <w:r>
        <w:rPr>
          <w:rFonts w:ascii="Times New Roman" w:hAnsi="Times New Roman" w:cs="Times New Roman"/>
          <w:sz w:val="28"/>
          <w:szCs w:val="28"/>
        </w:rPr>
        <w:t xml:space="preserve">и PLS-регрессии, обосновывающая переход от моноотраслевой стратегии, воспроизводящей сырьевую «какао-ловушку», к многокластерной интеграции в региональные и глобальные цепочки создания стоимости </w:t>
      </w:r>
      <w:r>
        <w:rPr>
          <w:rFonts w:ascii="Times New Roman" w:hAnsi="Times New Roman" w:cs="Times New Roman" w:eastAsia="Times New Roman"/>
          <w:i w:val="1"/>
          <w:sz w:val="28"/>
          <w:szCs w:val="28"/>
          <w:lang w:eastAsia="ru-RU"/>
        </w:rPr>
        <w:t xml:space="preserve">(п. 18. – Роль технологических факторов в развитии мирохозяйственных процессов, п. 20 – Экономика зарубежных стран и регионов (экономическое страноведение и регионоведение). Сравнительные исследования национальных экономик в системе мирохозяйственных связей </w:t>
      </w:r>
      <w:r>
        <w:rPr>
          <w:rFonts w:ascii="Times New Roman" w:hAnsi="Times New Roman" w:cs="Times New Roman"/>
          <w:sz w:val="28"/>
          <w:szCs w:val="28"/>
        </w:rPr>
        <w:t>Паспорта специальности 5.2.5) (</w:t>
      </w:r>
      <w:r>
        <w:rPr>
          <w:rFonts w:ascii="Times New Roman" w:hAnsi="Times New Roman" w:cs="Times New Roman"/>
          <w:sz w:val="28"/>
          <w:szCs w:val="28"/>
          <w:highlight w:val="yellow"/>
        </w:rPr>
        <w:t>гл. 2, п.2.3, С. 145-171, гл. 3, п. 3.1, С. 194-196, 200-222</w:t>
      </w:r>
      <w:r>
        <w:rPr>
          <w:rFonts w:ascii="Times New Roman" w:hAnsi="Times New Roman" w:cs="Times New Roman"/>
          <w:sz w:val="28"/>
          <w:szCs w:val="28"/>
        </w:rPr>
        <w:t xml:space="preserve">  диссертации);</w:t>
      </w:r>
    </w:p>
    <w:p>
      <w:pPr>
        <w:widowControl w:val="0"/>
        <w:shd w:val="clear" w:fill="FFFFFF"/>
        <w:spacing w:lineRule="auto" w:line="360" w:after="0" w:beforeAutospacing="0" w:afterAutospacing="0"/>
        <w:ind w:firstLine="709"/>
        <w:jc w:val="both"/>
        <w:rPr>
          <w:rFonts w:ascii="Times New Roman" w:hAnsi="Times New Roman" w:cs="Times New Roman"/>
          <w:sz w:val="28"/>
          <w:szCs w:val="28"/>
        </w:rPr>
      </w:pPr>
      <w:r>
        <w:rPr>
          <w:rFonts w:ascii="Times New Roman" w:hAnsi="Times New Roman" w:cs="Times New Roman"/>
          <w:sz w:val="28"/>
          <w:szCs w:val="28"/>
        </w:rPr>
        <w:t xml:space="preserve">- разработаны сценарий платформенной трансформации Республики Кот-д’Ивуар с применением цифрового симулятора многокластерных взаимодействий и комплекс ее социально-институционального обеспечения путем сочетания философии фронтира, корпоративной ответственности и концепции Убунту, позволяющие идентифицировать условия долгосрочной интеграции страны в </w:t>
      </w:r>
      <w:r>
        <w:rPr>
          <w:rFonts w:ascii="Times New Roman" w:hAnsi="Times New Roman" w:cs="Times New Roman" w:eastAsia="Times New Roman"/>
          <w:sz w:val="28"/>
          <w:szCs w:val="28"/>
          <w:lang w:eastAsia="ru-RU"/>
        </w:rPr>
        <w:t>мирохозяйственные процессы</w:t>
      </w:r>
      <w:r>
        <w:rPr>
          <w:rFonts w:ascii="Times New Roman" w:hAnsi="Times New Roman" w:cs="Times New Roman"/>
          <w:sz w:val="28"/>
          <w:szCs w:val="28"/>
        </w:rPr>
        <w:t xml:space="preserve"> при высокой институциональной неоднородности и структурных ограничениях экономики </w:t>
      </w:r>
      <w:r>
        <w:rPr>
          <w:rFonts w:ascii="Times New Roman" w:hAnsi="Times New Roman" w:cs="Times New Roman" w:eastAsia="Times New Roman"/>
          <w:i w:val="1"/>
          <w:sz w:val="28"/>
          <w:szCs w:val="28"/>
          <w:lang w:eastAsia="ru-RU"/>
        </w:rPr>
        <w:t>(п. 17 – Экологические и социальные аспекты глобального развития. Концепции «устойчивого» и «инклюзивного» развития</w:t>
      </w:r>
      <w:r>
        <w:rPr>
          <w:rFonts w:ascii="Times New Roman" w:hAnsi="Times New Roman" w:cs="Times New Roman" w:eastAsia="Times New Roman"/>
          <w:sz w:val="28"/>
          <w:szCs w:val="28"/>
          <w:lang w:eastAsia="ru-RU"/>
        </w:rPr>
        <w:t xml:space="preserve">, </w:t>
      </w:r>
      <w:r>
        <w:rPr>
          <w:rFonts w:ascii="Times New Roman" w:hAnsi="Times New Roman" w:cs="Times New Roman" w:eastAsia="Times New Roman"/>
          <w:i w:val="1"/>
          <w:sz w:val="28"/>
          <w:szCs w:val="28"/>
          <w:lang w:eastAsia="ru-RU"/>
        </w:rPr>
        <w:t xml:space="preserve">п. 18. – Роль технологических факторов в развитии мирохозяйственных процессов </w:t>
      </w:r>
      <w:r>
        <w:rPr>
          <w:rFonts w:ascii="Times New Roman" w:hAnsi="Times New Roman" w:cs="Times New Roman"/>
          <w:sz w:val="28"/>
          <w:szCs w:val="28"/>
        </w:rPr>
        <w:t>Паспорта специальности 5.2.5) (</w:t>
      </w:r>
      <w:r>
        <w:rPr>
          <w:rFonts w:ascii="Times New Roman" w:hAnsi="Times New Roman" w:cs="Times New Roman"/>
          <w:sz w:val="28"/>
          <w:szCs w:val="28"/>
          <w:highlight w:val="yellow"/>
        </w:rPr>
        <w:t>гл. 3, п. 3.3, С. 249-266, п. 3.4, С. 267-296</w:t>
      </w:r>
      <w:r>
        <w:rPr>
          <w:rFonts w:ascii="Times New Roman" w:hAnsi="Times New Roman" w:cs="Times New Roman"/>
          <w:sz w:val="28"/>
          <w:szCs w:val="28"/>
        </w:rPr>
        <w:t xml:space="preserve">  диссертации).</w:t>
      </w:r>
    </w:p>
    <w:p>
      <w:pPr>
        <w:widowControl w:val="0"/>
        <w:shd w:val="clear" w:fill="FFFFFF"/>
        <w:spacing w:lineRule="auto" w:line="360" w:after="0" w:beforeAutospacing="0" w:afterAutospacing="0"/>
        <w:ind w:firstLine="709"/>
        <w:jc w:val="both"/>
        <w:rPr>
          <w:rFonts w:ascii="Times New Roman" w:hAnsi="Times New Roman" w:cs="Times New Roman"/>
          <w:sz w:val="28"/>
          <w:szCs w:val="28"/>
        </w:rPr>
      </w:pPr>
      <w:r>
        <w:rPr>
          <w:rFonts w:ascii="Times New Roman" w:hAnsi="Times New Roman" w:cs="Times New Roman"/>
          <w:b w:val="1"/>
          <w:sz w:val="28"/>
          <w:szCs w:val="28"/>
        </w:rPr>
        <w:t>Теоретическая значимость исследования</w:t>
      </w:r>
      <w:r>
        <w:rPr>
          <w:rFonts w:ascii="Times New Roman" w:hAnsi="Times New Roman" w:cs="Times New Roman"/>
          <w:sz w:val="28"/>
          <w:szCs w:val="28"/>
        </w:rPr>
        <w:t xml:space="preserve"> состоит в расширении научного представления о взаимосвязи инновационной активности,</w:t>
      </w:r>
      <w:r>
        <w:t xml:space="preserve"> </w:t>
      </w:r>
      <w:r>
        <w:rPr>
          <w:rFonts w:ascii="Times New Roman" w:hAnsi="Times New Roman" w:cs="Times New Roman"/>
          <w:sz w:val="28"/>
          <w:szCs w:val="28"/>
        </w:rPr>
        <w:t>инклюзивного роста, цифровой платформизации, института доверия, о механизмах и инструментах устойчивого инновационно-инклюзивного развития национальной экономической системы в условиях цифровизации, а также о возможностях платформенного подхода в обеспечении структурной трансформации развивающихся экономик.</w:t>
      </w:r>
    </w:p>
    <w:p>
      <w:pPr>
        <w:widowControl w:val="0"/>
        <w:shd w:val="clear" w:fill="FFFFFF"/>
        <w:spacing w:lineRule="auto" w:line="360" w:after="0" w:beforeAutospacing="0" w:afterAutospacing="0"/>
        <w:ind w:firstLine="709"/>
        <w:jc w:val="both"/>
        <w:rPr>
          <w:rFonts w:ascii="Times New Roman" w:hAnsi="Times New Roman" w:cs="Times New Roman"/>
          <w:sz w:val="28"/>
          <w:szCs w:val="28"/>
        </w:rPr>
      </w:pPr>
      <w:r>
        <w:rPr>
          <w:rFonts w:ascii="Times New Roman" w:hAnsi="Times New Roman" w:cs="Times New Roman"/>
          <w:sz w:val="28"/>
          <w:szCs w:val="28"/>
        </w:rPr>
        <w:t>Содержащиеся в диссертации теоретические положения, методические разработки и выводы могут быть использованы при дальнейшем исследовании проблем экономики инноваций, цифровой трансформации, платформенных механизмов координации хозяйственной деятельности, инновационных систем и мировой экономики, а также в учебном процессе при разработке и преподавании дисциплин «Экономика инноваций», «Инновационный менеджмент», «Цифровая экономика», «Мировая экономика», «Региональная экономика», «Управление инновационными системами» и др.</w:t>
      </w:r>
    </w:p>
    <w:p>
      <w:pPr>
        <w:widowControl w:val="0"/>
        <w:shd w:val="clear" w:fill="FFFFFF"/>
        <w:spacing w:lineRule="auto" w:line="360" w:after="0" w:beforeAutospacing="0" w:afterAutospacing="0"/>
        <w:ind w:firstLine="709"/>
        <w:jc w:val="both"/>
        <w:rPr>
          <w:rFonts w:ascii="Times New Roman" w:hAnsi="Times New Roman" w:cs="Times New Roman"/>
          <w:sz w:val="28"/>
          <w:szCs w:val="28"/>
        </w:rPr>
      </w:pPr>
      <w:r>
        <w:rPr>
          <w:rFonts w:ascii="Times New Roman" w:hAnsi="Times New Roman" w:cs="Times New Roman"/>
          <w:b w:val="1"/>
          <w:sz w:val="28"/>
          <w:szCs w:val="28"/>
        </w:rPr>
        <w:t>Практическая значимость исследования</w:t>
      </w:r>
      <w:r>
        <w:rPr>
          <w:rFonts w:ascii="Times New Roman" w:hAnsi="Times New Roman" w:cs="Times New Roman"/>
          <w:sz w:val="28"/>
          <w:szCs w:val="28"/>
        </w:rPr>
        <w:t xml:space="preserve"> определяется прикладной направленностью разработанных положений и рекомендаций, которые могут быть использованы органами государственного управления, институтами развития, субъектами инновационной инфраструктуры и хозяйствующими структурами при формировании мер инновационной, цифровой и внешнеэкономической политики для достижения целей устойчивого и проактивного роста. Непосредственное практическое значение имеют: методические положения анализа инновационно-инклюзивного развития и пространственной дифференциации инновационной активности; модель платформенного механизма инновационно-инклюзивной трансформации экономики, учитывающая ограничения сырьевой специализации; инновационный проект цифровой платформы развития национальной инновационной системы с кластерной архитектурой; цифровой симулятор многокластерных взаимодействий как инструмент сценарного обоснования платформенной трансформации; а также комплекс социально-институционального обеспечения платформенного механизма.</w:t>
      </w:r>
    </w:p>
    <w:p>
      <w:pPr>
        <w:widowControl w:val="0"/>
        <w:shd w:val="clear" w:fill="FFFFFF"/>
        <w:spacing w:lineRule="auto" w:line="360" w:after="0" w:beforeAutospacing="0" w:afterAutospacing="0"/>
        <w:ind w:firstLine="709"/>
        <w:jc w:val="both"/>
        <w:rPr>
          <w:rFonts w:ascii="Times New Roman" w:hAnsi="Times New Roman" w:cs="Times New Roman"/>
          <w:sz w:val="28"/>
          <w:szCs w:val="28"/>
        </w:rPr>
      </w:pPr>
      <w:r>
        <w:rPr>
          <w:rFonts w:ascii="Times New Roman" w:hAnsi="Times New Roman" w:cs="Times New Roman"/>
          <w:b w:val="1"/>
          <w:sz w:val="28"/>
          <w:szCs w:val="28"/>
        </w:rPr>
        <w:t>Апробация результатов исследования</w:t>
      </w:r>
      <w:r>
        <w:rPr>
          <w:rFonts w:ascii="Times New Roman" w:hAnsi="Times New Roman" w:cs="Times New Roman"/>
          <w:sz w:val="28"/>
          <w:szCs w:val="28"/>
        </w:rPr>
        <w:t xml:space="preserve">. Основные теоретические положения и результаты диссертационного исследования докладывались и получили положительную оценку на: межрегиональной научно-практической конференции «Человеческий капитал как ведущий фактор инновационного развития национальной экономики» (г. Элиста, 2015 г.), V Международной научно-практической конференции «Экономика и мы – новые идеи» (г. Астрахань, 2016 г.), </w:t>
      </w:r>
      <w:r>
        <w:rPr>
          <w:rFonts w:ascii="Times New Roman" w:hAnsi="Times New Roman" w:cs="Times New Roman"/>
          <w:sz w:val="28"/>
          <w:szCs w:val="28"/>
          <w:highlight w:val="yellow"/>
        </w:rPr>
        <w:t>Всероссийской научно-практической конференции «Актуальные проблемы экономики и управления на мезо- и макроуровнях в современных условиях» (г. Элиста, 2016 г.)</w:t>
      </w:r>
      <w:r>
        <w:rPr>
          <w:rFonts w:ascii="Times New Roman" w:hAnsi="Times New Roman" w:cs="Times New Roman"/>
          <w:sz w:val="28"/>
          <w:szCs w:val="28"/>
        </w:rPr>
        <w:t>, Международной научно-практической конференции «Прорывные научные исследования как двигатель науки» (г. Уфа, 2023 г.), Международной научно-практической конференции «Научные исследования в высшей школе: новые идеи, проблемы внедрения, поиск решений» (г. Уфа, 2023 г.), LXXIV Международной научно-практической конференции «Актуальные вопросы экономических наук и современного менеджмента» (г. Новосибирск, 2023 г.), V Международной научно-практической конференции профессорско-преподавательского состава, молодых ученых, практических работников и студентов «Зеленая экономика: курс на устойчивое развитие в современных условиях» (г. Ростов-на-Дону, 2026 г.).</w:t>
      </w:r>
    </w:p>
    <w:p>
      <w:pPr>
        <w:widowControl w:val="0"/>
        <w:shd w:val="clear" w:fill="FFFFFF"/>
        <w:spacing w:lineRule="auto" w:line="360" w:after="0" w:beforeAutospacing="0" w:afterAutospacing="0"/>
        <w:ind w:firstLine="709"/>
        <w:jc w:val="both"/>
        <w:rPr>
          <w:rFonts w:ascii="Times New Roman" w:hAnsi="Times New Roman" w:cs="Times New Roman"/>
          <w:sz w:val="28"/>
          <w:szCs w:val="28"/>
        </w:rPr>
      </w:pPr>
      <w:r>
        <w:rPr>
          <w:rFonts w:ascii="Times New Roman" w:hAnsi="Times New Roman" w:cs="Times New Roman"/>
          <w:b w:val="1"/>
          <w:sz w:val="28"/>
          <w:szCs w:val="28"/>
        </w:rPr>
        <w:t>Публикации.</w:t>
      </w:r>
      <w:r>
        <w:rPr>
          <w:rFonts w:ascii="Times New Roman" w:hAnsi="Times New Roman" w:cs="Times New Roman"/>
          <w:sz w:val="28"/>
          <w:szCs w:val="28"/>
        </w:rPr>
        <w:t xml:space="preserve"> По теме исследования опубликовано </w:t>
      </w:r>
      <w:r>
        <w:rPr>
          <w:rFonts w:ascii="Times New Roman" w:hAnsi="Times New Roman" w:cs="Times New Roman"/>
          <w:sz w:val="28"/>
          <w:szCs w:val="28"/>
          <w:highlight w:val="yellow"/>
        </w:rPr>
        <w:t>13 научных работ, общим объемом 7,0 п.л. (авт. – 6,2), в том числе 5</w:t>
      </w:r>
      <w:r>
        <w:rPr>
          <w:rFonts w:ascii="Times New Roman" w:hAnsi="Times New Roman" w:cs="Times New Roman"/>
          <w:sz w:val="28"/>
          <w:szCs w:val="28"/>
        </w:rPr>
        <w:t xml:space="preserve"> статей –  в изданиях, рекомендованных ВАК Минобрнауки России.</w:t>
      </w:r>
    </w:p>
    <w:p>
      <w:pPr>
        <w:widowControl w:val="0"/>
        <w:shd w:val="clear" w:fill="FFFFFF"/>
        <w:spacing w:lineRule="auto" w:line="360" w:after="0" w:beforeAutospacing="0" w:afterAutospacing="0"/>
        <w:ind w:firstLine="709"/>
        <w:jc w:val="both"/>
        <w:rPr>
          <w:rFonts w:ascii="Times New Roman" w:hAnsi="Times New Roman" w:cs="Times New Roman"/>
          <w:sz w:val="28"/>
          <w:szCs w:val="28"/>
        </w:rPr>
      </w:pPr>
      <w:r>
        <w:rPr>
          <w:rFonts w:ascii="Times New Roman" w:hAnsi="Times New Roman" w:cs="Times New Roman"/>
          <w:b w:val="1"/>
          <w:sz w:val="28"/>
          <w:szCs w:val="28"/>
        </w:rPr>
        <w:t>Объем, структура и содержание работы.</w:t>
      </w:r>
      <w:r>
        <w:rPr>
          <w:rFonts w:ascii="Times New Roman" w:hAnsi="Times New Roman" w:cs="Times New Roman"/>
          <w:sz w:val="28"/>
          <w:szCs w:val="28"/>
        </w:rPr>
        <w:t xml:space="preserve"> Диссертационная работа состоит из введения, трех глав, заключения, списка литературы (</w:t>
      </w:r>
      <w:r>
        <w:rPr>
          <w:rFonts w:ascii="Times New Roman" w:hAnsi="Times New Roman" w:cs="Times New Roman"/>
          <w:sz w:val="28"/>
          <w:szCs w:val="28"/>
          <w:highlight w:val="yellow"/>
        </w:rPr>
        <w:t>237</w:t>
      </w:r>
      <w:r>
        <w:rPr>
          <w:rFonts w:ascii="Times New Roman" w:hAnsi="Times New Roman" w:cs="Times New Roman"/>
          <w:sz w:val="28"/>
          <w:szCs w:val="28"/>
        </w:rPr>
        <w:t xml:space="preserve"> наименований) и приложений, включает </w:t>
      </w:r>
      <w:r>
        <w:rPr>
          <w:rFonts w:ascii="Times New Roman" w:hAnsi="Times New Roman" w:cs="Times New Roman"/>
          <w:sz w:val="28"/>
          <w:szCs w:val="28"/>
          <w:highlight w:val="yellow"/>
        </w:rPr>
        <w:t>32</w:t>
      </w:r>
      <w:r>
        <w:rPr>
          <w:rFonts w:ascii="Times New Roman" w:hAnsi="Times New Roman" w:cs="Times New Roman"/>
          <w:sz w:val="28"/>
          <w:szCs w:val="28"/>
        </w:rPr>
        <w:t xml:space="preserve"> таблицы и </w:t>
      </w:r>
      <w:r>
        <w:rPr>
          <w:rFonts w:ascii="Times New Roman" w:hAnsi="Times New Roman" w:cs="Times New Roman"/>
          <w:sz w:val="28"/>
          <w:szCs w:val="28"/>
          <w:highlight w:val="yellow"/>
        </w:rPr>
        <w:t>55</w:t>
      </w:r>
      <w:r>
        <w:rPr>
          <w:rFonts w:ascii="Times New Roman" w:hAnsi="Times New Roman" w:cs="Times New Roman"/>
          <w:sz w:val="28"/>
          <w:szCs w:val="28"/>
        </w:rPr>
        <w:t xml:space="preserve"> рисунков.</w:t>
      </w:r>
    </w:p>
    <w:p>
      <w:pPr>
        <w:widowControl w:val="0"/>
        <w:shd w:val="clear" w:fill="FFFFFF"/>
        <w:spacing w:lineRule="auto" w:line="360" w:after="0" w:beforeAutospacing="0" w:afterAutospacing="0"/>
        <w:ind w:firstLine="709"/>
        <w:jc w:val="both"/>
        <w:rPr>
          <w:rFonts w:ascii="Times New Roman" w:hAnsi="Times New Roman" w:cs="Times New Roman"/>
          <w:sz w:val="28"/>
          <w:szCs w:val="28"/>
        </w:rPr>
      </w:pPr>
      <w:r>
        <w:rPr>
          <w:rFonts w:ascii="Times New Roman" w:hAnsi="Times New Roman" w:cs="Times New Roman"/>
          <w:b w:val="1"/>
          <w:sz w:val="28"/>
          <w:szCs w:val="28"/>
        </w:rPr>
        <w:t>Во введении</w:t>
      </w:r>
      <w:r>
        <w:rPr>
          <w:rFonts w:ascii="Times New Roman" w:hAnsi="Times New Roman" w:cs="Times New Roman"/>
          <w:sz w:val="28"/>
          <w:szCs w:val="28"/>
        </w:rPr>
        <w:t xml:space="preserve"> раскрыта актуальность темы диссертации, обозначены цель и задачи исследования, охарактеризованы его теоретико-методологические и информационно-эмпирические основания, представлены положения научной новизны, а также теоретическая и практическая значимость полученных результатов.</w:t>
      </w:r>
    </w:p>
    <w:p>
      <w:pPr>
        <w:widowControl w:val="0"/>
        <w:shd w:val="clear" w:fill="FFFFFF"/>
        <w:spacing w:lineRule="auto" w:line="360" w:after="0" w:beforeAutospacing="0" w:afterAutospacing="0"/>
        <w:ind w:firstLine="709"/>
        <w:jc w:val="both"/>
        <w:rPr>
          <w:rFonts w:ascii="Times New Roman" w:hAnsi="Times New Roman" w:cs="Times New Roman"/>
          <w:sz w:val="28"/>
          <w:szCs w:val="28"/>
        </w:rPr>
      </w:pPr>
      <w:r>
        <w:rPr>
          <w:rFonts w:ascii="Times New Roman" w:hAnsi="Times New Roman" w:cs="Times New Roman"/>
          <w:b w:val="1"/>
          <w:sz w:val="28"/>
          <w:szCs w:val="28"/>
        </w:rPr>
        <w:t>В первой главе</w:t>
      </w:r>
      <w:r>
        <w:rPr>
          <w:rFonts w:ascii="Times New Roman" w:hAnsi="Times New Roman" w:cs="Times New Roman"/>
          <w:sz w:val="28"/>
          <w:szCs w:val="28"/>
        </w:rPr>
        <w:t xml:space="preserve"> «Теоретико-методические основы формирования инновационно-инклюзивной модели регионального развития» изучена взаимосвязь устойчивого, инклюзивного и инновационного развития, уточнено содержание инновационно-инклюзивного развития применительно к развивающимся экономикам, систематизированы механизмы развития национальных и региональных инновационных систем, обоснована роль цифровой платформизации и института доверия в повышении связности инновационной среды, предложен методический подход к оценке инновационно-инклюзивного развития регионов.</w:t>
      </w:r>
    </w:p>
    <w:p>
      <w:pPr>
        <w:widowControl w:val="0"/>
        <w:shd w:val="clear" w:fill="FFFFFF"/>
        <w:spacing w:lineRule="auto" w:line="360" w:after="0" w:beforeAutospacing="0" w:afterAutospacing="0"/>
        <w:ind w:firstLine="709"/>
        <w:jc w:val="both"/>
        <w:rPr>
          <w:rFonts w:ascii="Times New Roman" w:hAnsi="Times New Roman" w:cs="Times New Roman"/>
          <w:sz w:val="28"/>
          <w:szCs w:val="28"/>
        </w:rPr>
      </w:pPr>
      <w:r>
        <w:rPr>
          <w:rFonts w:ascii="Times New Roman" w:hAnsi="Times New Roman" w:cs="Times New Roman"/>
          <w:b w:val="1"/>
          <w:sz w:val="28"/>
          <w:szCs w:val="28"/>
        </w:rPr>
        <w:t>Во второй главе</w:t>
      </w:r>
      <w:r>
        <w:rPr>
          <w:rFonts w:ascii="Times New Roman" w:hAnsi="Times New Roman" w:cs="Times New Roman"/>
          <w:sz w:val="28"/>
          <w:szCs w:val="28"/>
        </w:rPr>
        <w:t xml:space="preserve"> «Анализ инновационно-инклюзивного развития Республики Кот-д’Ивуар и факторов его формирования» исследованы социально-экономические предпосылки и институциональные барьеры инновационного развития страны, выявлены региональные особенности инновационной активности и цифровой трансформации, проанализированы устойчивые траектории инновационно-инклюзивного развития, раскрыты институциональные и сетевые механизмы внешнего включения Республики Кот-д’Ивуар в региональные и глобальные цепочки создания стоимости. </w:t>
      </w:r>
    </w:p>
    <w:p>
      <w:pPr>
        <w:widowControl w:val="0"/>
        <w:shd w:val="clear" w:fill="FFFFFF"/>
        <w:spacing w:lineRule="auto" w:line="360" w:after="0" w:beforeAutospacing="0" w:afterAutospacing="0"/>
        <w:ind w:firstLine="709"/>
        <w:jc w:val="both"/>
        <w:rPr>
          <w:rFonts w:ascii="Times New Roman" w:hAnsi="Times New Roman" w:cs="Times New Roman"/>
          <w:sz w:val="28"/>
          <w:szCs w:val="28"/>
        </w:rPr>
      </w:pPr>
      <w:r>
        <w:rPr>
          <w:rFonts w:ascii="Times New Roman" w:hAnsi="Times New Roman" w:cs="Times New Roman"/>
          <w:b w:val="1"/>
          <w:sz w:val="28"/>
          <w:szCs w:val="28"/>
        </w:rPr>
        <w:t>В третьей главе</w:t>
      </w:r>
      <w:r>
        <w:rPr>
          <w:rFonts w:ascii="Times New Roman" w:hAnsi="Times New Roman" w:cs="Times New Roman"/>
          <w:sz w:val="28"/>
          <w:szCs w:val="28"/>
        </w:rPr>
        <w:t xml:space="preserve"> «Проектирование платформенного механизма инновационно-инклюзивного развития Республики Кот-д’Ивуар» обоснован платформенный подход к структурной трансформации экономики страны, предложена модель платформенного механизма инновационно-инклюзивной трансформации, разработан инновационный проект цифровой платформы развития национальной инновационной системы «Берег Восхода», выполнено сценарное моделирование развития платформенной экономики и сформирован комплекс его социально-институционального обеспечения, включающий концепцию фронтира, корпоративной ответственности и философию Убунту.</w:t>
      </w:r>
    </w:p>
    <w:p>
      <w:pPr>
        <w:widowControl w:val="0"/>
        <w:shd w:val="clear" w:fill="FFFFFF"/>
        <w:spacing w:lineRule="auto" w:line="360" w:after="0" w:beforeAutospacing="0" w:afterAutospacing="0"/>
        <w:ind w:firstLine="709"/>
        <w:jc w:val="both"/>
        <w:rPr>
          <w:rFonts w:ascii="Times New Roman" w:hAnsi="Times New Roman" w:cs="Times New Roman"/>
          <w:sz w:val="28"/>
          <w:szCs w:val="28"/>
        </w:rPr>
      </w:pPr>
      <w:r>
        <w:rPr>
          <w:rFonts w:ascii="Times New Roman" w:hAnsi="Times New Roman" w:cs="Times New Roman"/>
          <w:b w:val="1"/>
          <w:sz w:val="28"/>
          <w:szCs w:val="28"/>
        </w:rPr>
        <w:t>В заключении</w:t>
      </w:r>
      <w:r>
        <w:rPr>
          <w:rFonts w:ascii="Times New Roman" w:hAnsi="Times New Roman" w:cs="Times New Roman"/>
          <w:sz w:val="28"/>
          <w:szCs w:val="28"/>
        </w:rPr>
        <w:t xml:space="preserve"> обобщены основные результаты поведенного исследования, выводы и практические рекомендации по их использованию.</w:t>
      </w:r>
    </w:p>
    <w:p>
      <w:pPr>
        <w:widowControl w:val="0"/>
        <w:spacing w:lineRule="auto" w:line="360" w:after="0" w:beforeAutospacing="0" w:afterAutospacing="0"/>
        <w:ind w:firstLine="709" w:left="20" w:right="20"/>
        <w:jc w:val="both"/>
        <w:rPr>
          <w:rFonts w:ascii="Times New Roman" w:hAnsi="Times New Roman" w:cs="Times New Roman"/>
          <w:b w:val="1"/>
          <w:sz w:val="28"/>
          <w:szCs w:val="28"/>
        </w:rPr>
      </w:pPr>
      <w:bookmarkEnd w:id="0"/>
      <w:r>
        <w:rPr>
          <w:rFonts w:ascii="Times New Roman" w:hAnsi="Times New Roman" w:cs="Times New Roman"/>
          <w:b w:val="1"/>
          <w:sz w:val="28"/>
          <w:szCs w:val="28"/>
        </w:rPr>
        <w:br w:type="page"/>
      </w:r>
    </w:p>
    <w:p>
      <w:pPr>
        <w:spacing w:lineRule="auto" w:line="360" w:after="0" w:beforeAutospacing="0" w:afterAutospacing="0"/>
        <w:ind w:firstLine="709"/>
        <w:jc w:val="center"/>
        <w:rPr>
          <w:rFonts w:ascii="Times New Roman" w:hAnsi="Times New Roman" w:cs="Times New Roman"/>
          <w:b w:val="1"/>
          <w:caps w:val="1"/>
          <w:sz w:val="28"/>
          <w:szCs w:val="28"/>
        </w:rPr>
      </w:pPr>
      <w:r>
        <w:rPr>
          <w:rFonts w:ascii="Times New Roman" w:hAnsi="Times New Roman" w:cs="Times New Roman"/>
          <w:b w:val="1"/>
          <w:sz w:val="28"/>
          <w:szCs w:val="28"/>
        </w:rPr>
        <w:t xml:space="preserve">ГЛАВА 1. </w:t>
      </w:r>
      <w:r>
        <w:rPr>
          <w:rFonts w:ascii="Times New Roman" w:hAnsi="Times New Roman" w:cs="Times New Roman"/>
          <w:b w:val="1"/>
          <w:caps w:val="1"/>
          <w:sz w:val="28"/>
          <w:szCs w:val="28"/>
        </w:rPr>
        <w:t>Теоретико-методические основы формирования инновационно-инклюзивной модели регионального развития</w:t>
      </w:r>
    </w:p>
    <w:p>
      <w:pPr>
        <w:spacing w:lineRule="auto" w:line="360" w:after="0" w:beforeAutospacing="0" w:afterAutospacing="0"/>
        <w:ind w:firstLine="709"/>
        <w:jc w:val="center"/>
        <w:rPr>
          <w:rFonts w:ascii="Times New Roman" w:hAnsi="Times New Roman" w:cs="Times New Roman"/>
          <w:b w:val="1"/>
          <w:sz w:val="28"/>
          <w:szCs w:val="28"/>
        </w:rPr>
      </w:pPr>
    </w:p>
    <w:p>
      <w:pPr>
        <w:spacing w:lineRule="auto" w:line="360" w:after="0" w:beforeAutospacing="0" w:afterAutospacing="0"/>
        <w:ind w:firstLine="709"/>
        <w:jc w:val="center"/>
        <w:rPr>
          <w:rFonts w:ascii="Times New Roman" w:hAnsi="Times New Roman" w:cs="Times New Roman"/>
          <w:b w:val="1"/>
          <w:sz w:val="28"/>
          <w:szCs w:val="28"/>
        </w:rPr>
      </w:pPr>
    </w:p>
    <w:p>
      <w:pPr>
        <w:spacing w:lineRule="auto" w:line="360" w:after="0" w:beforeAutospacing="0" w:afterAutospacing="0"/>
        <w:ind w:firstLine="709"/>
        <w:jc w:val="center"/>
        <w:rPr>
          <w:rFonts w:ascii="Times New Roman" w:hAnsi="Times New Roman" w:cs="Times New Roman"/>
          <w:b w:val="1"/>
          <w:sz w:val="28"/>
          <w:szCs w:val="28"/>
        </w:rPr>
      </w:pPr>
    </w:p>
    <w:p>
      <w:pPr>
        <w:spacing w:lineRule="auto" w:line="360" w:after="0" w:beforeAutospacing="0" w:afterAutospacing="0"/>
        <w:ind w:firstLine="709"/>
        <w:jc w:val="center"/>
        <w:rPr>
          <w:rFonts w:ascii="Times New Roman" w:hAnsi="Times New Roman" w:cs="Times New Roman"/>
          <w:b w:val="1"/>
          <w:bCs w:val="1"/>
          <w:sz w:val="28"/>
          <w:szCs w:val="28"/>
        </w:rPr>
      </w:pPr>
      <w:r>
        <w:rPr>
          <w:rFonts w:ascii="Times New Roman" w:hAnsi="Times New Roman" w:cs="Times New Roman"/>
          <w:b w:val="1"/>
          <w:bCs w:val="1"/>
          <w:sz w:val="28"/>
          <w:szCs w:val="28"/>
        </w:rPr>
        <w:t xml:space="preserve">1.1. </w:t>
      </w:r>
      <w:r>
        <w:rPr>
          <w:rFonts w:ascii="Times New Roman" w:hAnsi="Times New Roman" w:cs="Times New Roman"/>
          <w:b w:val="1"/>
          <w:sz w:val="28"/>
          <w:szCs w:val="28"/>
        </w:rPr>
        <w:t>Концептуальные основы устойчивого, инклюзивного и инновационного развития экономики</w:t>
      </w:r>
    </w:p>
    <w:p>
      <w:pPr>
        <w:spacing w:lineRule="auto" w:line="360" w:after="0" w:beforeAutospacing="0" w:afterAutospacing="0"/>
        <w:ind w:firstLine="709"/>
        <w:jc w:val="both"/>
        <w:rPr>
          <w:rFonts w:ascii="Times New Roman" w:hAnsi="Times New Roman" w:cs="Times New Roman"/>
          <w:sz w:val="28"/>
          <w:szCs w:val="28"/>
        </w:rPr>
      </w:pPr>
    </w:p>
    <w:p>
      <w:pPr>
        <w:spacing w:lineRule="auto" w:line="360" w:after="0" w:beforeAutospacing="0" w:afterAutospacing="0"/>
        <w:ind w:firstLine="709"/>
        <w:jc w:val="both"/>
        <w:rPr>
          <w:rFonts w:ascii="Times New Roman" w:hAnsi="Times New Roman" w:cs="Times New Roman"/>
          <w:sz w:val="28"/>
          <w:szCs w:val="28"/>
        </w:rPr>
      </w:pPr>
    </w:p>
    <w:p>
      <w:pPr>
        <w:spacing w:lineRule="auto" w:line="360" w:after="0" w:beforeAutospacing="0" w:afterAutospacing="0"/>
        <w:ind w:firstLine="709"/>
        <w:jc w:val="both"/>
        <w:rPr>
          <w:rFonts w:ascii="Times New Roman" w:hAnsi="Times New Roman" w:cs="Times New Roman"/>
          <w:sz w:val="28"/>
          <w:szCs w:val="28"/>
        </w:rPr>
      </w:pPr>
    </w:p>
    <w:p>
      <w:pPr>
        <w:pStyle w:val="P13"/>
        <w:spacing w:lineRule="auto" w:line="360" w:beforeAutospacing="0" w:afterAutospacing="0"/>
        <w:ind w:firstLine="709"/>
        <w:jc w:val="both"/>
        <w:rPr>
          <w:sz w:val="28"/>
          <w:szCs w:val="28"/>
          <w:lang w:val="ru-RU"/>
        </w:rPr>
      </w:pPr>
      <w:r>
        <w:rPr>
          <w:sz w:val="28"/>
          <w:szCs w:val="28"/>
          <w:lang w:val="ru-RU"/>
        </w:rPr>
        <w:t xml:space="preserve">В условиях трансформации мировой экономики и усиления структурной неоднородности стран и регионов ключевыми аналитическими категориями современной экономической науки становятся устойчивое развитие, инклюзивное развитие и инновационное развитие. Несмотря на то что данные дефиниции формировались в разных исследовательских традициях и отражали различные приоритеты общественного прогресса, но в условиях развивающихся экономик, характеризующихся институциональной неоднородностью, структурной зависимостью от сырьевых отраслей и выраженными социально-территориальными разрывами, данные концепты неизбежно сближаются, поскольку описывают взаимосвязанные контуры одной и той же задачи – обеспечение долгосрочного экономического роста, сопровождаемого расширением возможностей для населения и снижением рисков социально-экологической деградации. </w:t>
      </w:r>
    </w:p>
    <w:p>
      <w:pPr>
        <w:pStyle w:val="P13"/>
        <w:spacing w:lineRule="auto" w:line="360" w:beforeAutospacing="0" w:afterAutospacing="0"/>
        <w:ind w:firstLine="709"/>
        <w:jc w:val="both"/>
        <w:rPr>
          <w:sz w:val="28"/>
          <w:szCs w:val="28"/>
          <w:lang w:val="ru-RU"/>
        </w:rPr>
      </w:pPr>
      <w:r>
        <w:rPr>
          <w:sz w:val="28"/>
          <w:szCs w:val="28"/>
          <w:lang w:val="ru-RU"/>
        </w:rPr>
        <w:t>Раскроем экономическое содержание и взаимосвязь данных понятий.</w:t>
      </w:r>
    </w:p>
    <w:p>
      <w:pPr>
        <w:pStyle w:val="P13"/>
        <w:spacing w:lineRule="auto" w:line="360" w:beforeAutospacing="0" w:afterAutospacing="0"/>
        <w:ind w:firstLine="709"/>
        <w:jc w:val="both"/>
        <w:rPr>
          <w:sz w:val="28"/>
          <w:szCs w:val="28"/>
          <w:lang w:val="ru-RU"/>
        </w:rPr>
      </w:pPr>
      <w:r>
        <w:rPr>
          <w:sz w:val="28"/>
          <w:szCs w:val="28"/>
          <w:lang w:val="ru-RU"/>
        </w:rPr>
        <w:t>В широком историческом смысле элементы устойчивого развития присутствовали в хозяйственной деятельности человеческих обществ с древнейших времен, что было обусловлено объективной зависимостью выживания общин от состояния природной среды и доступности ресурсов. Ранние доиндустриальные общества выстраивали формы хозяйствования, не нарушавшие воспроизводственные возможности природных экосистем, что обеспечивало их длительное существование</w:t>
      </w:r>
      <w:r>
        <w:rPr>
          <w:rStyle w:val="C42"/>
          <w:sz w:val="28"/>
          <w:szCs w:val="28"/>
          <w:lang w:val="ru-RU"/>
        </w:rPr>
        <w:footnoteReference w:id="1"/>
      </w:r>
      <w:r>
        <w:rPr>
          <w:sz w:val="28"/>
          <w:szCs w:val="28"/>
          <w:lang w:val="ru-RU"/>
        </w:rPr>
        <w:t>. При этом устойчивость таких систем достигалась ценой крайне низкого уровня жизни и ограниченного экономического развития</w:t>
      </w:r>
      <w:r>
        <w:rPr>
          <w:rStyle w:val="C42"/>
          <w:sz w:val="28"/>
          <w:szCs w:val="28"/>
          <w:lang w:val="ru-RU"/>
        </w:rPr>
        <w:footnoteReference w:id="2"/>
      </w:r>
      <w:r>
        <w:rPr>
          <w:sz w:val="28"/>
          <w:szCs w:val="28"/>
          <w:lang w:val="ru-RU"/>
        </w:rPr>
        <w:t>, что принципиально отличает их от современных представлений об устойчивом развитии.</w:t>
      </w:r>
    </w:p>
    <w:p>
      <w:pPr>
        <w:pStyle w:val="P13"/>
        <w:spacing w:lineRule="auto" w:line="360" w:beforeAutospacing="0" w:afterAutospacing="0"/>
        <w:ind w:firstLine="709"/>
        <w:jc w:val="both"/>
        <w:rPr>
          <w:sz w:val="28"/>
          <w:szCs w:val="28"/>
          <w:lang w:val="ru-RU"/>
        </w:rPr>
      </w:pPr>
      <w:r>
        <w:rPr>
          <w:sz w:val="28"/>
          <w:szCs w:val="28"/>
          <w:lang w:val="ru-RU"/>
        </w:rPr>
        <w:t>Формирование устойчивого развития как осознанной экономической и управленческой категории связано с ростом масштабов хозяйственной деятельности и ресурсных ограничений. Уже в позднем Средневековье в Европе проявились первые признаки экологических кризисов, вызванных чрезмерной эксплуатацией природных ресурсов, что стимулировало появление регламентированных форм природопользования и зачатков межпоколенческой ответственности</w:t>
      </w:r>
      <w:r>
        <w:rPr>
          <w:rStyle w:val="C42"/>
          <w:sz w:val="28"/>
          <w:szCs w:val="28"/>
          <w:lang w:val="ru-RU"/>
        </w:rPr>
        <w:footnoteReference w:id="3"/>
      </w:r>
      <w:r>
        <w:rPr>
          <w:sz w:val="28"/>
          <w:szCs w:val="28"/>
          <w:lang w:val="ru-RU"/>
        </w:rPr>
        <w:t>.</w:t>
      </w:r>
    </w:p>
    <w:p>
      <w:pPr>
        <w:pStyle w:val="P13"/>
        <w:spacing w:lineRule="auto" w:line="360" w:beforeAutospacing="0" w:afterAutospacing="0"/>
        <w:ind w:firstLine="709"/>
        <w:jc w:val="both"/>
        <w:rPr>
          <w:sz w:val="28"/>
          <w:szCs w:val="28"/>
          <w:lang w:val="ru-RU"/>
        </w:rPr>
      </w:pPr>
      <w:r>
        <w:rPr>
          <w:sz w:val="28"/>
          <w:szCs w:val="28"/>
          <w:lang w:val="ru-RU"/>
        </w:rPr>
        <w:t>Ключевым этапом институционализации концепции устойчивости стало начало XVIII века, когда Г.К. фон Карловиц в работе 1713 года впервые сформулировал принцип устойчивого использования ресурсов, обосновав необходимость соотнесения текущего потребления с возможностями их воспроизводства</w:t>
      </w:r>
      <w:r>
        <w:rPr>
          <w:rStyle w:val="C42"/>
          <w:sz w:val="28"/>
          <w:szCs w:val="28"/>
          <w:lang w:val="ru-RU"/>
        </w:rPr>
        <w:footnoteReference w:id="4"/>
      </w:r>
      <w:r>
        <w:rPr>
          <w:sz w:val="28"/>
          <w:szCs w:val="28"/>
          <w:lang w:val="ru-RU"/>
        </w:rPr>
        <w:t>. В интерпретации последующих исследователей данный подход уже содержал базовые элементы современного понимания устойчивого развития, включая долгосрочную перспективу, ответственность перед будущими поколениями и сочетание экономических, социальных и природных аспектов развития</w:t>
      </w:r>
      <w:r>
        <w:rPr>
          <w:rStyle w:val="C42"/>
          <w:sz w:val="28"/>
          <w:szCs w:val="28"/>
          <w:lang w:val="ru-RU"/>
        </w:rPr>
        <w:footnoteReference w:id="5"/>
      </w:r>
      <w:r>
        <w:rPr>
          <w:sz w:val="28"/>
          <w:szCs w:val="28"/>
          <w:lang w:val="ru-RU"/>
        </w:rPr>
        <w:t>.</w:t>
      </w:r>
    </w:p>
    <w:p>
      <w:pPr>
        <w:pStyle w:val="P13"/>
        <w:spacing w:lineRule="auto" w:line="360" w:beforeAutospacing="0" w:afterAutospacing="0"/>
        <w:ind w:firstLine="709"/>
        <w:jc w:val="both"/>
        <w:rPr>
          <w:sz w:val="28"/>
          <w:szCs w:val="28"/>
          <w:lang w:val="ru-RU"/>
        </w:rPr>
      </w:pPr>
      <w:r>
        <w:rPr>
          <w:sz w:val="28"/>
          <w:szCs w:val="28"/>
          <w:lang w:val="ru-RU"/>
        </w:rPr>
        <w:t>В период индустриализации XVIII–XIX веков ориентация экономических систем на ускоренный рост и максимизацию прибыли привела к обострению противоречий между экономическим развитием и сохранением природной среды, а также к формированию социально-экономических дисбалансов</w:t>
      </w:r>
      <w:r>
        <w:rPr>
          <w:rStyle w:val="C42"/>
          <w:sz w:val="28"/>
          <w:szCs w:val="28"/>
          <w:lang w:val="ru-RU"/>
        </w:rPr>
        <w:footnoteReference w:id="6"/>
      </w:r>
      <w:r>
        <w:rPr>
          <w:sz w:val="28"/>
          <w:szCs w:val="28"/>
          <w:lang w:val="ru-RU"/>
        </w:rPr>
        <w:t>. Однако вплоть до середины XX века устойчивость рассматривалась преимущественно в узкоотраслевом или ресурсном контексте и не воспринималась как системная категория социально-экономического развития</w:t>
      </w:r>
      <w:r>
        <w:rPr>
          <w:rStyle w:val="C42"/>
          <w:sz w:val="28"/>
          <w:szCs w:val="28"/>
          <w:lang w:val="ru-RU"/>
        </w:rPr>
        <w:footnoteReference w:id="7"/>
      </w:r>
      <w:r>
        <w:rPr>
          <w:sz w:val="28"/>
          <w:szCs w:val="28"/>
          <w:lang w:val="ru-RU"/>
        </w:rPr>
        <w:t>.</w:t>
      </w:r>
    </w:p>
    <w:p>
      <w:pPr>
        <w:pStyle w:val="P13"/>
        <w:spacing w:lineRule="auto" w:line="360" w:beforeAutospacing="0" w:afterAutospacing="0"/>
        <w:ind w:firstLine="709"/>
        <w:jc w:val="both"/>
        <w:rPr>
          <w:sz w:val="28"/>
          <w:szCs w:val="28"/>
          <w:lang w:val="ru-RU"/>
        </w:rPr>
      </w:pPr>
      <w:r>
        <w:rPr>
          <w:sz w:val="28"/>
          <w:szCs w:val="28"/>
          <w:lang w:val="ru-RU"/>
        </w:rPr>
        <w:t>Современное понимание устойчивого развития сформировалось во второй половине XX века на фоне осознания глобальных экологических и ресурсных ограничений, ускоренного роста населения и углубления процессов глобализации. Существенную роль в этом процессе сыграли работы Р. Карсон</w:t>
      </w:r>
      <w:r>
        <w:rPr>
          <w:rStyle w:val="C42"/>
          <w:sz w:val="28"/>
          <w:szCs w:val="28"/>
          <w:lang w:val="ru-RU"/>
        </w:rPr>
        <w:footnoteReference w:id="8"/>
      </w:r>
      <w:r>
        <w:rPr>
          <w:sz w:val="28"/>
          <w:szCs w:val="28"/>
          <w:lang w:val="ru-RU"/>
        </w:rPr>
        <w:t xml:space="preserve"> и доклад Римского клуба «Пределы роста»</w:t>
      </w:r>
      <w:r>
        <w:rPr>
          <w:rStyle w:val="C42"/>
          <w:sz w:val="28"/>
          <w:szCs w:val="28"/>
          <w:lang w:val="ru-RU"/>
        </w:rPr>
        <w:footnoteReference w:id="9"/>
      </w:r>
      <w:r>
        <w:rPr>
          <w:sz w:val="28"/>
          <w:szCs w:val="28"/>
          <w:lang w:val="ru-RU"/>
        </w:rPr>
        <w:t>, в которых устойчивость была интерпретирована как системное ограничение экстенсивных моделей экономического роста. С этого момента устойчивое развитие стало рассматриваться как комплексная категория, охватывающая экономическое развитие, социальное благополучие и сохранение природной среды в долгосрочной перспективе</w:t>
      </w:r>
      <w:r>
        <w:rPr>
          <w:rStyle w:val="C42"/>
          <w:sz w:val="28"/>
          <w:szCs w:val="28"/>
          <w:lang w:val="ru-RU"/>
        </w:rPr>
        <w:footnoteReference w:id="10"/>
      </w:r>
      <w:r>
        <w:rPr>
          <w:sz w:val="28"/>
          <w:szCs w:val="28"/>
          <w:lang w:val="ru-RU"/>
        </w:rPr>
        <w:t>.</w:t>
      </w:r>
    </w:p>
    <w:p>
      <w:pPr>
        <w:pStyle w:val="P13"/>
        <w:spacing w:lineRule="auto" w:line="360" w:beforeAutospacing="0" w:afterAutospacing="0"/>
        <w:ind w:firstLine="709"/>
        <w:jc w:val="both"/>
        <w:rPr>
          <w:sz w:val="28"/>
          <w:szCs w:val="28"/>
          <w:lang w:val="ru-RU"/>
        </w:rPr>
      </w:pPr>
      <w:r>
        <w:rPr>
          <w:sz w:val="28"/>
          <w:szCs w:val="28"/>
          <w:lang w:val="ru-RU"/>
        </w:rPr>
        <w:t>Расширение представлений об устойчивом развитии во второй половине XX века привело к выходу данной категории за рамки ее первоначального ресурсно-экологического значения, связанного преимущественно с сельским и лесным хозяйством. Классическая трактовка устойчивости исходила из того, что экономическая деятельность не должна подрывать ресурсную базу собственного воспроизводства. В дальнейшем данное понимание было существенно углублено и дополнено, что выразилось в переходе к более широкой, системной интерпретации устойчивого развития, включающей не только экономические, но и социальные и экологические аспекты</w:t>
      </w:r>
      <w:r>
        <w:rPr>
          <w:rStyle w:val="C42"/>
          <w:sz w:val="28"/>
          <w:szCs w:val="28"/>
          <w:lang w:val="ru-RU"/>
        </w:rPr>
        <w:footnoteReference w:id="11"/>
      </w:r>
      <w:r>
        <w:rPr>
          <w:sz w:val="28"/>
          <w:szCs w:val="28"/>
          <w:lang w:val="ru-RU"/>
        </w:rPr>
        <w:t>.</w:t>
      </w:r>
    </w:p>
    <w:p>
      <w:pPr>
        <w:pStyle w:val="P13"/>
        <w:spacing w:lineRule="auto" w:line="360" w:beforeAutospacing="0" w:afterAutospacing="0"/>
        <w:ind w:firstLine="709"/>
        <w:jc w:val="both"/>
        <w:rPr>
          <w:sz w:val="28"/>
          <w:szCs w:val="28"/>
          <w:lang w:val="ru-RU"/>
        </w:rPr>
      </w:pPr>
      <w:r>
        <w:rPr>
          <w:sz w:val="28"/>
          <w:szCs w:val="28"/>
          <w:lang w:val="ru-RU"/>
        </w:rPr>
        <w:t>Существенный вклад в формирование современного дискурса устойчивого развития внесли исследования Римского клуба, в которых была обоснована необходимость сочетания технологических решений, рационального управления глобальными ресурсами и трансформации системы ценностей в направлении долгосрочной экономической и экологической стабильности, с акцентом на качественный, а не исключительно количественный рост</w:t>
      </w:r>
      <w:r>
        <w:rPr>
          <w:rStyle w:val="C42"/>
          <w:sz w:val="28"/>
          <w:szCs w:val="28"/>
          <w:lang w:val="ru-RU"/>
        </w:rPr>
        <w:footnoteReference w:id="12"/>
      </w:r>
      <w:r>
        <w:rPr>
          <w:sz w:val="28"/>
          <w:szCs w:val="28"/>
          <w:lang w:val="ru-RU"/>
        </w:rPr>
        <w:t>. При этом именно в этот период проявилось принципиальное противоречие между концепциями экономического роста и экологической устойчивости.</w:t>
      </w:r>
    </w:p>
    <w:p>
      <w:pPr>
        <w:pStyle w:val="P13"/>
        <w:spacing w:lineRule="auto" w:line="360" w:beforeAutospacing="0" w:afterAutospacing="0"/>
        <w:ind w:firstLine="709"/>
        <w:jc w:val="both"/>
        <w:rPr>
          <w:sz w:val="28"/>
          <w:szCs w:val="28"/>
          <w:lang w:val="ru-RU"/>
        </w:rPr>
      </w:pPr>
      <w:r>
        <w:rPr>
          <w:sz w:val="28"/>
          <w:szCs w:val="28"/>
          <w:lang w:val="ru-RU"/>
        </w:rPr>
        <w:t>Попытка преодоления данного противоречия была предпринята в докладе Комиссии Брундтланд, в котором устойчивое развитие было определено как процесс, обеспечивающий удовлетворение потребностей нынешнего поколения без ущерба для возможностей будущих поколений [</w:t>
      </w:r>
      <w:r>
        <w:rPr>
          <w:sz w:val="28"/>
          <w:szCs w:val="28"/>
          <w:highlight w:val="yellow"/>
          <w:lang w:val="ru-RU"/>
        </w:rPr>
        <w:t>130</w:t>
      </w:r>
      <w:r>
        <w:rPr>
          <w:sz w:val="28"/>
          <w:szCs w:val="28"/>
          <w:lang w:val="ru-RU"/>
        </w:rPr>
        <w:t>]. Однако универсализация данного определения в условиях углубляющейся глобализации, структурных различий между развитыми и развивающимися странами, ускоренного технологического развития и усиления международной конкуренции привела к его широкой интерпретации и возникновению множества трактовок устойчивого развития, нередко используемых в различных, а иногда и противоположных, концептуальных контекстах [</w:t>
      </w:r>
      <w:r>
        <w:rPr>
          <w:sz w:val="28"/>
          <w:szCs w:val="28"/>
          <w:highlight w:val="yellow"/>
          <w:lang w:val="ru-RU"/>
        </w:rPr>
        <w:t>106</w:t>
      </w:r>
      <w:r>
        <w:rPr>
          <w:sz w:val="28"/>
          <w:szCs w:val="28"/>
          <w:lang w:val="ru-RU"/>
        </w:rPr>
        <w:t>].</w:t>
      </w:r>
    </w:p>
    <w:p>
      <w:pPr>
        <w:pStyle w:val="P13"/>
        <w:spacing w:lineRule="auto" w:line="360" w:beforeAutospacing="0" w:afterAutospacing="0"/>
        <w:ind w:firstLine="709"/>
        <w:jc w:val="both"/>
        <w:rPr>
          <w:sz w:val="28"/>
          <w:szCs w:val="28"/>
          <w:lang w:val="ru-RU"/>
        </w:rPr>
      </w:pPr>
      <w:r>
        <w:rPr>
          <w:sz w:val="28"/>
          <w:szCs w:val="28"/>
          <w:lang w:val="ru-RU"/>
        </w:rPr>
        <w:t>Институциональное закрепление комплексного подхода к устойчивому развитию произошло на Саммите Земли в Рио-де-Жанейро в 1992 г., где была сформулирована модель «треугольника устойчивости», объединяющая экономическое, социальное и экологическое измерения. Дальнейшее развитие данный подход получил в концепции «тройного практического результата» (Triple Bottom Line), предложенной Дж. Элкингтоном, в рамках которой устойчивое развитие рассматривается через призму баланса между интересами людей, прибыли и сохранения окружающей среды [</w:t>
      </w:r>
      <w:r>
        <w:rPr>
          <w:sz w:val="28"/>
          <w:szCs w:val="28"/>
          <w:highlight w:val="yellow"/>
          <w:lang w:val="ru-RU"/>
        </w:rPr>
        <w:t>74</w:t>
      </w:r>
      <w:r>
        <w:rPr>
          <w:sz w:val="28"/>
          <w:szCs w:val="28"/>
          <w:lang w:val="ru-RU"/>
        </w:rPr>
        <w:t>].</w:t>
      </w:r>
    </w:p>
    <w:p>
      <w:pPr>
        <w:pStyle w:val="P13"/>
        <w:spacing w:lineRule="auto" w:line="360" w:beforeAutospacing="0" w:afterAutospacing="0"/>
        <w:ind w:firstLine="709"/>
        <w:jc w:val="both"/>
        <w:rPr>
          <w:sz w:val="28"/>
          <w:szCs w:val="28"/>
          <w:lang w:val="ru-RU"/>
        </w:rPr>
      </w:pPr>
      <w:r>
        <w:rPr>
          <w:sz w:val="28"/>
          <w:szCs w:val="28"/>
          <w:lang w:val="ru-RU"/>
        </w:rPr>
        <w:t>Вместе с тем даже в рамках данной модели сохраняются методологические разногласия, связанные с относительной значимостью отдельных компонентов устойчивого развития и отсутствием однозначных критериев их согласования [</w:t>
      </w:r>
      <w:r>
        <w:rPr>
          <w:sz w:val="28"/>
          <w:szCs w:val="28"/>
          <w:highlight w:val="yellow"/>
          <w:lang w:val="ru-RU"/>
        </w:rPr>
        <w:t>71</w:t>
      </w:r>
      <w:r>
        <w:rPr>
          <w:sz w:val="28"/>
          <w:szCs w:val="28"/>
          <w:lang w:val="ru-RU"/>
        </w:rPr>
        <w:t>]. Эти дискуссии указывают на ограниченность универсальных трактовок устойчивого развития и подчеркивают необходимость их адаптации к конкретным условиям социально-экономического развития, особенно в контексте развивающихся стран.</w:t>
      </w:r>
    </w:p>
    <w:p>
      <w:pPr>
        <w:pStyle w:val="P13"/>
        <w:spacing w:lineRule="auto" w:line="360" w:beforeAutospacing="0" w:afterAutospacing="0"/>
        <w:ind w:firstLine="709"/>
        <w:jc w:val="both"/>
        <w:rPr>
          <w:sz w:val="28"/>
          <w:szCs w:val="28"/>
          <w:lang w:val="ru-RU"/>
        </w:rPr>
      </w:pPr>
      <w:r>
        <w:rPr>
          <w:sz w:val="28"/>
          <w:szCs w:val="28"/>
          <w:lang w:val="ru-RU"/>
        </w:rPr>
        <w:t xml:space="preserve">К настоящему времени понятие устойчивого развития (от англ.  «sustainable development» – устойчивый, постоянный рост) закрепилось как междисциплинарная категория, объединяющая экономические, социальные и экологические цели. При этом в разных источниках существенно варьируются акценты в зависимости от исследовательской традиции (межпоколенческая справедливость, интеграция трех измерений, целеполагание и управляемость, устойчивость траектории роста).</w:t>
      </w:r>
    </w:p>
    <w:p>
      <w:pPr>
        <w:pStyle w:val="P13"/>
        <w:spacing w:lineRule="auto" w:line="360" w:beforeAutospacing="0" w:afterAutospacing="0"/>
        <w:ind w:firstLine="709"/>
        <w:jc w:val="both"/>
        <w:rPr>
          <w:sz w:val="28"/>
          <w:szCs w:val="28"/>
          <w:lang w:val="ru-RU"/>
        </w:rPr>
      </w:pPr>
      <w:r>
        <w:rPr>
          <w:sz w:val="28"/>
          <w:szCs w:val="28"/>
          <w:lang w:val="ru-RU"/>
        </w:rPr>
        <w:t>Понятие устойчивого развития закрепилось в научном и политическом дискурсе как универсальная нормативная основа долгосрочного развития. Классическое определение, данное Комиссией ООН по окружающей среде и развитию в докладе «Our Common Future» (WCED, доклад «Our Common Future», 1987), трактует устойчивое развитие как развитие, удовлетворяющее потребности настоящего поколения без ущерба для возможностей будущих поколений удовлетворять свои потребности. Данное определение акцентирует межпоколенческий аспект и долгосрочную ответственность экономических решений</w:t>
      </w:r>
      <w:r>
        <w:rPr>
          <w:rStyle w:val="C42"/>
          <w:sz w:val="28"/>
          <w:szCs w:val="28"/>
          <w:lang w:val="ru-RU"/>
        </w:rPr>
        <w:footnoteReference w:id="13"/>
      </w:r>
      <w:r>
        <w:rPr>
          <w:sz w:val="28"/>
          <w:szCs w:val="28"/>
          <w:lang w:val="ru-RU"/>
        </w:rPr>
        <w:t xml:space="preserve">. </w:t>
      </w:r>
    </w:p>
    <w:p>
      <w:pPr>
        <w:pStyle w:val="P13"/>
        <w:spacing w:lineRule="auto" w:line="360" w:beforeAutospacing="0" w:afterAutospacing="0"/>
        <w:ind w:firstLine="709"/>
        <w:jc w:val="both"/>
        <w:rPr>
          <w:sz w:val="28"/>
          <w:szCs w:val="28"/>
          <w:lang w:val="ru-RU"/>
        </w:rPr>
      </w:pPr>
      <w:r>
        <w:rPr>
          <w:sz w:val="28"/>
          <w:szCs w:val="28"/>
          <w:lang w:val="ru-RU"/>
        </w:rPr>
        <w:t>В последующих интерпретациях, получивших развитие в документах ООН, Европейского союза</w:t>
      </w:r>
      <w:r>
        <w:rPr>
          <w:rStyle w:val="C42"/>
          <w:sz w:val="28"/>
          <w:szCs w:val="28"/>
          <w:lang w:val="ru-RU"/>
        </w:rPr>
        <w:footnoteReference w:id="14"/>
      </w:r>
      <w:r>
        <w:rPr>
          <w:sz w:val="28"/>
          <w:szCs w:val="28"/>
          <w:lang w:val="ru-RU"/>
        </w:rPr>
        <w:t xml:space="preserve"> и Программы развития ООН</w:t>
      </w:r>
      <w:r>
        <w:rPr>
          <w:rStyle w:val="C42"/>
          <w:sz w:val="28"/>
          <w:szCs w:val="28"/>
          <w:lang w:val="ru-RU"/>
        </w:rPr>
        <w:footnoteReference w:id="15"/>
      </w:r>
      <w:r>
        <w:rPr>
          <w:sz w:val="28"/>
          <w:szCs w:val="28"/>
          <w:lang w:val="ru-RU"/>
        </w:rPr>
        <w:t>, устойчивое развитие рассматривается как интеграция трех взаимосвязанных измерений – экономического, социального и экологического. В рамках Повестки-2030 подчеркивается неделимость и взаимозависимость целей устойчивого развития, что означает невозможность достижения устойчивости в одном измерении за счет деградации других</w:t>
      </w:r>
      <w:r>
        <w:rPr>
          <w:rStyle w:val="C42"/>
          <w:sz w:val="28"/>
          <w:szCs w:val="28"/>
          <w:lang w:val="ru-RU"/>
        </w:rPr>
        <w:footnoteReference w:id="16"/>
      </w:r>
      <w:r>
        <w:rPr>
          <w:sz w:val="28"/>
          <w:szCs w:val="28"/>
          <w:lang w:val="ru-RU"/>
        </w:rPr>
        <w:t>.</w:t>
      </w:r>
    </w:p>
    <w:p>
      <w:pPr>
        <w:pStyle w:val="P13"/>
        <w:spacing w:lineRule="auto" w:line="360" w:beforeAutospacing="0" w:afterAutospacing="0"/>
        <w:ind w:firstLine="709"/>
        <w:jc w:val="both"/>
        <w:rPr>
          <w:sz w:val="28"/>
          <w:szCs w:val="28"/>
          <w:lang w:val="ru-RU"/>
        </w:rPr>
      </w:pPr>
      <w:r>
        <w:rPr>
          <w:sz w:val="28"/>
          <w:szCs w:val="28"/>
          <w:lang w:val="ru-RU"/>
        </w:rPr>
        <w:t>Практико-правовая трактовка устойчивого развития (ЕС, официальные определения политики устойчивости) фиксирует устойчивое развитие как базовую основу публичной политики, ориентированную на согласование социального включения, экономического роста и экологической ответственности</w:t>
      </w:r>
      <w:r>
        <w:rPr>
          <w:rStyle w:val="C42"/>
          <w:sz w:val="28"/>
          <w:szCs w:val="28"/>
          <w:lang w:val="ru-RU"/>
        </w:rPr>
        <w:footnoteReference w:id="17"/>
      </w:r>
      <w:r>
        <w:rPr>
          <w:sz w:val="28"/>
          <w:szCs w:val="28"/>
          <w:lang w:val="ru-RU"/>
        </w:rPr>
        <w:t>.</w:t>
      </w:r>
    </w:p>
    <w:p>
      <w:pPr>
        <w:pStyle w:val="P13"/>
        <w:spacing w:lineRule="auto" w:line="360" w:beforeAutospacing="0" w:afterAutospacing="0"/>
        <w:ind w:firstLine="709"/>
        <w:jc w:val="both"/>
        <w:rPr>
          <w:sz w:val="28"/>
          <w:szCs w:val="28"/>
          <w:lang w:val="ru-RU"/>
        </w:rPr>
      </w:pPr>
      <w:r>
        <w:rPr>
          <w:sz w:val="28"/>
          <w:szCs w:val="28"/>
          <w:lang w:val="ru-RU"/>
        </w:rPr>
        <w:t>Концептуальная интерпретация, закрепившаяся в научной традиции после WCED, рассматривает устойчивое развитие как норму управляемой траектории роста, когда развитие допустимо, если оно одновременно сохраняет ресурсные основания жизни и снижает риск долговременной деградации качества жизни</w:t>
      </w:r>
      <w:r>
        <w:rPr>
          <w:rStyle w:val="C42"/>
          <w:sz w:val="28"/>
          <w:szCs w:val="28"/>
          <w:lang w:val="ru-RU"/>
        </w:rPr>
        <w:footnoteReference w:id="18"/>
      </w:r>
      <w:r>
        <w:rPr>
          <w:sz w:val="28"/>
          <w:szCs w:val="28"/>
          <w:lang w:val="ru-RU"/>
        </w:rPr>
        <w:t>. Таким образом, устойчивое развитие выступает не столько описанием фактического состояния экономики, сколько нормативной основой и критерием оценки допустимости и долгосрочной состоятельности выбранной модели развития.</w:t>
      </w:r>
    </w:p>
    <w:p>
      <w:pPr>
        <w:pStyle w:val="P13"/>
        <w:spacing w:lineRule="auto" w:line="360" w:beforeAutospacing="0" w:afterAutospacing="0"/>
        <w:ind w:firstLine="709"/>
        <w:jc w:val="both"/>
        <w:rPr>
          <w:sz w:val="28"/>
          <w:szCs w:val="28"/>
          <w:lang w:val="ru-RU"/>
        </w:rPr>
      </w:pPr>
      <w:r>
        <w:rPr>
          <w:sz w:val="28"/>
          <w:szCs w:val="28"/>
          <w:lang w:val="ru-RU"/>
        </w:rPr>
        <w:t xml:space="preserve">Такое фундаментальное понимание  концепции устойчивого развития WCED, несмотря на его институциональный характер, стало отправной точкой для широкой научной дискуссии. Так, развивая  идею этическо-экономической концепции межпоколенческой справедливости, Р. Солоу в рамках неоклассической теории роста рассматривал устойчивость как сохранение совокупного капитала (produced&amp;natural capital), достаточного для обеспечения благосостояния будущих поколений</w:t>
      </w:r>
      <w:r>
        <w:rPr>
          <w:rStyle w:val="C42"/>
          <w:sz w:val="28"/>
          <w:szCs w:val="28"/>
          <w:lang w:val="ru-RU"/>
        </w:rPr>
        <w:footnoteReference w:id="19"/>
      </w:r>
      <w:r>
        <w:rPr>
          <w:sz w:val="28"/>
          <w:szCs w:val="28"/>
          <w:lang w:val="ru-RU"/>
        </w:rPr>
        <w:t>. В этом подходе устойчивое развитие связывается с интертемпоральной оптимизацией и возможностью взаимозамещения факторов производства</w:t>
      </w:r>
      <w:r>
        <w:rPr>
          <w:rStyle w:val="C42"/>
          <w:sz w:val="28"/>
          <w:szCs w:val="28"/>
          <w:lang w:val="ru-RU"/>
        </w:rPr>
        <w:footnoteReference w:id="20"/>
      </w:r>
      <w:r>
        <w:rPr>
          <w:sz w:val="28"/>
          <w:szCs w:val="28"/>
          <w:lang w:val="ru-RU"/>
        </w:rPr>
        <w:t>.</w:t>
      </w:r>
    </w:p>
    <w:p>
      <w:pPr>
        <w:pStyle w:val="P13"/>
        <w:spacing w:lineRule="auto" w:line="360" w:beforeAutospacing="0" w:afterAutospacing="0"/>
        <w:ind w:firstLine="709"/>
        <w:jc w:val="both"/>
        <w:rPr>
          <w:sz w:val="28"/>
          <w:szCs w:val="28"/>
          <w:lang w:val="ru-RU"/>
        </w:rPr>
      </w:pPr>
      <w:r>
        <w:rPr>
          <w:sz w:val="28"/>
          <w:szCs w:val="28"/>
          <w:lang w:val="ru-RU"/>
        </w:rPr>
        <w:t>Принципиально иную трактовку устойчивого развития предложили представители экологической экономики. Г. Дейли рассматривал устойчивое развитие как развитие без роста (development without growth), подчеркивая, что экономический рост в условиях ограниченности природных ресурсов неизбежно сталкивается с биофизическими пределами</w:t>
      </w:r>
      <w:r>
        <w:rPr>
          <w:rStyle w:val="C42"/>
          <w:sz w:val="28"/>
          <w:szCs w:val="28"/>
          <w:lang w:val="ru-RU"/>
        </w:rPr>
        <w:footnoteReference w:id="21"/>
      </w:r>
      <w:r>
        <w:rPr>
          <w:sz w:val="28"/>
          <w:szCs w:val="28"/>
          <w:lang w:val="ru-RU"/>
        </w:rPr>
        <w:t>. С его точки зрения, устойчивость предполагает стабильный масштаб экономики, ограничение материальных потоков, приоритет качественных изменений над количественным ростом.</w:t>
      </w:r>
    </w:p>
    <w:p>
      <w:pPr>
        <w:pStyle w:val="P13"/>
        <w:spacing w:lineRule="auto" w:line="360" w:beforeAutospacing="0" w:afterAutospacing="0"/>
        <w:ind w:firstLine="709"/>
        <w:jc w:val="both"/>
        <w:rPr>
          <w:sz w:val="28"/>
          <w:szCs w:val="28"/>
          <w:lang w:val="ru-RU"/>
        </w:rPr>
      </w:pPr>
      <w:r>
        <w:rPr>
          <w:sz w:val="28"/>
          <w:szCs w:val="28"/>
          <w:lang w:val="ru-RU"/>
        </w:rPr>
        <w:t>Аналогичную позицию занимает Н. Георгеску-Реген, который связывал неустойчивость экономического роста с законами термодинамики и энтропии, указывая на принципиальную невозможность бесконечного роста материального производства</w:t>
      </w:r>
      <w:r>
        <w:rPr>
          <w:rStyle w:val="C42"/>
          <w:sz w:val="28"/>
          <w:szCs w:val="28"/>
          <w:lang w:val="ru-RU"/>
        </w:rPr>
        <w:footnoteReference w:id="22"/>
      </w:r>
      <w:r>
        <w:rPr>
          <w:sz w:val="28"/>
          <w:szCs w:val="28"/>
          <w:lang w:val="ru-RU"/>
        </w:rPr>
        <w:t>. В рамках данных подходов устойчивое развитие трактуется, прежде всего, как ограничение, а не как расширение экономической активности.</w:t>
      </w:r>
    </w:p>
    <w:p>
      <w:pPr>
        <w:pStyle w:val="P13"/>
        <w:spacing w:lineRule="auto" w:line="360" w:beforeAutospacing="0" w:afterAutospacing="0"/>
        <w:ind w:firstLine="709"/>
        <w:jc w:val="both"/>
        <w:rPr>
          <w:sz w:val="28"/>
          <w:szCs w:val="28"/>
          <w:lang w:val="ru-RU"/>
        </w:rPr>
      </w:pPr>
      <w:r>
        <w:rPr>
          <w:sz w:val="28"/>
          <w:szCs w:val="28"/>
          <w:lang w:val="ru-RU"/>
        </w:rPr>
        <w:t>В институциональной экономике устойчивое развитие рассматривается как результат качества институтов и управления. Так, Д. Норт связывал устойчивость развития с эволюцией формальных и неформальных институтов, снижающих транзакционные издержки и обеспечивающих предсказуемость экономического поведения</w:t>
      </w:r>
      <w:r>
        <w:rPr>
          <w:rStyle w:val="C42"/>
          <w:sz w:val="28"/>
          <w:szCs w:val="28"/>
          <w:lang w:val="ru-RU"/>
        </w:rPr>
        <w:footnoteReference w:id="23"/>
      </w:r>
      <w:r>
        <w:rPr>
          <w:sz w:val="28"/>
          <w:szCs w:val="28"/>
          <w:lang w:val="ru-RU"/>
        </w:rPr>
        <w:t>. В этом контексте устойчивое развитие интерпретируется не как статическое равновесие, а как способность системы адаптироваться к изменениям, сохраняя базовые функции.</w:t>
      </w:r>
    </w:p>
    <w:p>
      <w:pPr>
        <w:pStyle w:val="P13"/>
        <w:spacing w:lineRule="auto" w:line="360" w:beforeAutospacing="0" w:afterAutospacing="0"/>
        <w:ind w:firstLine="709"/>
        <w:jc w:val="both"/>
        <w:rPr>
          <w:sz w:val="28"/>
          <w:szCs w:val="28"/>
          <w:lang w:val="ru-RU"/>
        </w:rPr>
      </w:pPr>
      <w:r>
        <w:rPr>
          <w:sz w:val="28"/>
          <w:szCs w:val="28"/>
          <w:lang w:val="ru-RU"/>
        </w:rPr>
        <w:t>Э. Остром, анализируя управление общими ресурсами, показала, что устойчивость возможна при наличии институциональных механизмов коллективного действия, децентрализованного управления и доверия</w:t>
      </w:r>
      <w:r>
        <w:rPr>
          <w:rStyle w:val="C42"/>
          <w:sz w:val="28"/>
          <w:szCs w:val="28"/>
          <w:lang w:val="ru-RU"/>
        </w:rPr>
        <w:footnoteReference w:id="24"/>
      </w:r>
      <w:r>
        <w:rPr>
          <w:sz w:val="28"/>
          <w:szCs w:val="28"/>
          <w:lang w:val="ru-RU"/>
        </w:rPr>
        <w:t>. Ее подход расширяет понимание устойчивого развития, включая в него социальный капитал и институциональное разнообразие.</w:t>
      </w:r>
    </w:p>
    <w:p>
      <w:pPr>
        <w:pStyle w:val="P13"/>
        <w:tabs>
          <w:tab w:val="left" w:pos="284" w:leader="none"/>
        </w:tabs>
        <w:spacing w:lineRule="auto" w:line="360" w:beforeAutospacing="0" w:afterAutospacing="0"/>
        <w:ind w:firstLine="709"/>
        <w:jc w:val="both"/>
        <w:rPr>
          <w:sz w:val="28"/>
          <w:szCs w:val="28"/>
          <w:lang w:val="ru-RU"/>
        </w:rPr>
      </w:pPr>
      <w:r>
        <w:rPr>
          <w:sz w:val="28"/>
          <w:szCs w:val="28"/>
          <w:lang w:val="ru-RU"/>
        </w:rPr>
        <w:t xml:space="preserve">В рамках теории человеческого развития А. Сен предложил интерпретировать устойчивое развитие через призму расширения свобод и возможностей человека </w:t>
      </w:r>
      <w:r>
        <w:rPr>
          <w:rStyle w:val="C42"/>
          <w:sz w:val="28"/>
          <w:szCs w:val="28"/>
          <w:lang w:val="ru-RU"/>
        </w:rPr>
        <w:footnoteReference w:id="25"/>
      </w:r>
      <w:r>
        <w:rPr>
          <w:sz w:val="28"/>
          <w:szCs w:val="28"/>
          <w:lang w:val="ru-RU"/>
        </w:rPr>
        <w:t>. В данном подходе устойчивость означает не только сохранение ресурсов, но и способность общества обеспечивать долгосрочное расширение человеческого потенциала.</w:t>
      </w:r>
    </w:p>
    <w:p>
      <w:pPr>
        <w:pStyle w:val="P13"/>
        <w:spacing w:lineRule="auto" w:line="360" w:beforeAutospacing="0" w:afterAutospacing="0"/>
        <w:ind w:firstLine="709"/>
        <w:jc w:val="both"/>
        <w:rPr>
          <w:sz w:val="28"/>
          <w:szCs w:val="28"/>
          <w:lang w:val="ru-RU"/>
        </w:rPr>
      </w:pPr>
      <w:r>
        <w:rPr>
          <w:sz w:val="28"/>
          <w:szCs w:val="28"/>
          <w:lang w:val="ru-RU"/>
        </w:rPr>
        <w:t>Данная логика получила развитие в работе Дж. Стиглица, А. Сена и Ж.-П. Фитусси, где устойчивое развитие связывается с критикой ВВП как универсального индикатора и необходимостью учета качества жизни, социальной безопасности и институционального доверия</w:t>
      </w:r>
      <w:r>
        <w:rPr>
          <w:rStyle w:val="C42"/>
          <w:sz w:val="28"/>
          <w:szCs w:val="28"/>
          <w:lang w:val="ru-RU"/>
        </w:rPr>
        <w:footnoteReference w:id="26"/>
      </w:r>
      <w:r>
        <w:rPr>
          <w:sz w:val="28"/>
          <w:szCs w:val="28"/>
          <w:lang w:val="ru-RU"/>
        </w:rPr>
        <w:t>. Устойчивость трактуется как способность экономики обеспечивать благосостояние без нарастания социальных и институциональных рисков.</w:t>
      </w:r>
    </w:p>
    <w:p>
      <w:pPr>
        <w:pStyle w:val="P13"/>
        <w:spacing w:lineRule="auto" w:line="360" w:beforeAutospacing="0" w:afterAutospacing="0"/>
        <w:ind w:firstLine="709"/>
        <w:jc w:val="both"/>
        <w:rPr>
          <w:sz w:val="28"/>
          <w:szCs w:val="28"/>
          <w:lang w:val="ru-RU"/>
        </w:rPr>
      </w:pPr>
      <w:r>
        <w:rPr>
          <w:sz w:val="28"/>
          <w:szCs w:val="28"/>
          <w:lang w:val="ru-RU"/>
        </w:rPr>
        <w:t>В эволюционной экономике устойчивое развитие рассматривается как способность сложной экономической системы к адаптации и трансформации. Так, Р. Нельсон и С. Уинтер связывали устойчивость с механизмами обучения, разнообразия и инновационной адаптации</w:t>
      </w:r>
      <w:r>
        <w:rPr>
          <w:rStyle w:val="C42"/>
          <w:sz w:val="28"/>
          <w:szCs w:val="28"/>
          <w:lang w:val="ru-RU"/>
        </w:rPr>
        <w:footnoteReference w:id="27"/>
      </w:r>
      <w:r>
        <w:rPr>
          <w:sz w:val="28"/>
          <w:szCs w:val="28"/>
          <w:lang w:val="ru-RU"/>
        </w:rPr>
        <w:t>. В этом контексте устойчивое развитие не означает сохранение структуры, а предполагает управляемую трансформацию без разрушения базовых функций экономики.</w:t>
      </w:r>
    </w:p>
    <w:p>
      <w:pPr>
        <w:pStyle w:val="P13"/>
        <w:spacing w:lineRule="auto" w:line="360" w:beforeAutospacing="0" w:afterAutospacing="0"/>
        <w:ind w:firstLine="709"/>
        <w:jc w:val="both"/>
        <w:rPr>
          <w:sz w:val="28"/>
          <w:szCs w:val="28"/>
          <w:lang w:val="ru-RU"/>
        </w:rPr>
      </w:pPr>
      <w:r>
        <w:rPr>
          <w:sz w:val="28"/>
          <w:szCs w:val="28"/>
          <w:lang w:val="ru-RU"/>
        </w:rPr>
        <w:t>Современные системные исследователи</w:t>
      </w:r>
      <w:r>
        <w:rPr>
          <w:rStyle w:val="C42"/>
          <w:sz w:val="28"/>
          <w:szCs w:val="28"/>
          <w:lang w:val="ru-RU"/>
        </w:rPr>
        <w:footnoteReference w:id="28"/>
      </w:r>
      <w:r>
        <w:rPr>
          <w:sz w:val="28"/>
          <w:szCs w:val="28"/>
          <w:lang w:val="ru-RU"/>
        </w:rPr>
        <w:t xml:space="preserve"> (в т.ч. в рамках complexity economics</w:t>
      </w:r>
      <w:r>
        <w:rPr>
          <w:rStyle w:val="C42"/>
          <w:sz w:val="28"/>
          <w:szCs w:val="28"/>
          <w:lang w:val="ru-RU"/>
        </w:rPr>
        <w:footnoteReference w:id="29"/>
      </w:r>
      <w:r>
        <w:rPr>
          <w:sz w:val="28"/>
          <w:szCs w:val="28"/>
          <w:lang w:val="ru-RU"/>
        </w:rPr>
        <w:t>) рассматривают устойчивость как свойство сложных адаптивных систем, способных выдерживать шоки и перестраиваться, сохраняя долгосрочную жизнеспособность.</w:t>
      </w:r>
    </w:p>
    <w:p>
      <w:pPr>
        <w:pStyle w:val="P13"/>
        <w:spacing w:lineRule="auto" w:line="360" w:beforeAutospacing="0" w:afterAutospacing="0"/>
        <w:ind w:firstLine="709"/>
        <w:jc w:val="both"/>
        <w:rPr>
          <w:sz w:val="28"/>
          <w:szCs w:val="28"/>
          <w:lang w:val="ru-RU"/>
        </w:rPr>
      </w:pPr>
      <w:r>
        <w:rPr>
          <w:sz w:val="28"/>
          <w:szCs w:val="28"/>
          <w:lang w:val="ru-RU"/>
        </w:rPr>
        <w:t>Систематизация научных трактовок, представленная нами в таблице 1, позволяет выделить несколько устойчивых линий интерпретации устойчивого развития. Видим, что данная категория не сводится к темпам экономического роста и требует учета долгосрочных последствий экономических решений, качества институтов и способности системы к адаптации. В рамках настоящего исследования устойчивое развитие нами рассматривается как многоаспектная теоретическая категория, отражающая долгосрочную состоятельность траектории развития, необходимость согласования экономических, социальных и экологических целей, институциональную и системную способность экономики к адаптации и трансформации. Такое понимание устойчивого развития создает теоретическую основу для его последующего сопряжения с концепциями инклюзивного и инновационного развития и позволяет рассматривать устойчивость не как внешнее ограничение, а как внутреннее качество экономической системы.</w:t>
      </w:r>
    </w:p>
    <w:p>
      <w:pPr>
        <w:pStyle w:val="P13"/>
        <w:spacing w:lineRule="auto" w:line="360" w:beforeAutospacing="0" w:afterAutospacing="0"/>
        <w:ind w:firstLine="709"/>
        <w:jc w:val="both"/>
        <w:rPr>
          <w:sz w:val="28"/>
          <w:szCs w:val="28"/>
          <w:lang w:val="ru-RU"/>
        </w:rPr>
      </w:pPr>
    </w:p>
    <w:p>
      <w:pPr>
        <w:pStyle w:val="P13"/>
        <w:spacing w:lineRule="auto" w:line="360" w:beforeAutospacing="0" w:afterAutospacing="0"/>
        <w:jc w:val="both"/>
        <w:rPr>
          <w:sz w:val="28"/>
          <w:szCs w:val="28"/>
          <w:lang w:val="ru-RU"/>
        </w:rPr>
      </w:pPr>
      <w:r>
        <w:rPr>
          <w:sz w:val="28"/>
          <w:szCs w:val="28"/>
          <w:lang w:val="ru-RU"/>
        </w:rPr>
        <w:t>Таблица 1 – Основные научные подходы к трактовке устойчивого развития (составлено автором)</w:t>
      </w:r>
    </w:p>
    <w:tbl>
      <w:tblPr>
        <w:tblStyle w:val="T3"/>
        <w:tblW w:w="9918" w:type="dxa"/>
        <w:tblLayout w:type="fixed"/>
        <w:tblLook w:val="04A0"/>
      </w:tblPr>
      <w:tblGrid>
        <w:gridCol w:w="1696"/>
        <w:gridCol w:w="1843"/>
        <w:gridCol w:w="4111"/>
        <w:gridCol w:w="2268"/>
      </w:tblGrid>
      <w:tr>
        <w:tc>
          <w:tcPr>
            <w:tcW w:w="1696" w:type="dxa"/>
            <w:hideMark/>
          </w:tcPr>
          <w:p>
            <w:pPr>
              <w:jc w:val="center"/>
              <w:rPr>
                <w:rFonts w:ascii="Times New Roman" w:hAnsi="Times New Roman" w:cs="Times New Roman" w:eastAsia="Times New Roman"/>
                <w:bCs w:val="1"/>
                <w:sz w:val="24"/>
                <w:szCs w:val="24"/>
                <w:lang w:eastAsia="ru-RU"/>
              </w:rPr>
            </w:pPr>
            <w:r>
              <w:rPr>
                <w:rFonts w:ascii="Times New Roman" w:hAnsi="Times New Roman" w:cs="Times New Roman" w:eastAsia="Times New Roman"/>
                <w:bCs w:val="1"/>
                <w:sz w:val="24"/>
                <w:szCs w:val="24"/>
                <w:lang w:eastAsia="ru-RU"/>
              </w:rPr>
              <w:t>Научный подход</w:t>
            </w:r>
          </w:p>
        </w:tc>
        <w:tc>
          <w:tcPr>
            <w:tcW w:w="1843" w:type="dxa"/>
            <w:hideMark/>
          </w:tcPr>
          <w:p>
            <w:pPr>
              <w:jc w:val="center"/>
              <w:rPr>
                <w:rFonts w:ascii="Times New Roman" w:hAnsi="Times New Roman" w:cs="Times New Roman" w:eastAsia="Times New Roman"/>
                <w:bCs w:val="1"/>
                <w:sz w:val="24"/>
                <w:szCs w:val="24"/>
                <w:lang w:eastAsia="ru-RU"/>
              </w:rPr>
            </w:pPr>
            <w:r>
              <w:rPr>
                <w:rFonts w:ascii="Times New Roman" w:hAnsi="Times New Roman" w:cs="Times New Roman" w:eastAsia="Times New Roman"/>
                <w:bCs w:val="1"/>
                <w:sz w:val="24"/>
                <w:szCs w:val="24"/>
                <w:lang w:eastAsia="ru-RU"/>
              </w:rPr>
              <w:t>Ключевые представители</w:t>
            </w:r>
          </w:p>
        </w:tc>
        <w:tc>
          <w:tcPr>
            <w:tcW w:w="4111" w:type="dxa"/>
            <w:hideMark/>
          </w:tcPr>
          <w:p>
            <w:pPr>
              <w:jc w:val="center"/>
              <w:rPr>
                <w:rFonts w:ascii="Times New Roman" w:hAnsi="Times New Roman" w:cs="Times New Roman" w:eastAsia="Times New Roman"/>
                <w:bCs w:val="1"/>
                <w:sz w:val="24"/>
                <w:szCs w:val="24"/>
                <w:lang w:eastAsia="ru-RU"/>
              </w:rPr>
            </w:pPr>
            <w:r>
              <w:rPr>
                <w:rFonts w:ascii="Times New Roman" w:hAnsi="Times New Roman" w:cs="Times New Roman" w:eastAsia="Times New Roman"/>
                <w:bCs w:val="1"/>
                <w:sz w:val="24"/>
                <w:szCs w:val="24"/>
                <w:lang w:eastAsia="ru-RU"/>
              </w:rPr>
              <w:t>Сущность трактовки устойчивого развития</w:t>
            </w:r>
          </w:p>
        </w:tc>
        <w:tc>
          <w:tcPr>
            <w:tcW w:w="2268" w:type="dxa"/>
            <w:hideMark/>
          </w:tcPr>
          <w:p>
            <w:pPr>
              <w:jc w:val="center"/>
              <w:rPr>
                <w:rFonts w:ascii="Times New Roman" w:hAnsi="Times New Roman" w:cs="Times New Roman" w:eastAsia="Times New Roman"/>
                <w:bCs w:val="1"/>
                <w:sz w:val="24"/>
                <w:szCs w:val="24"/>
                <w:lang w:eastAsia="ru-RU"/>
              </w:rPr>
            </w:pPr>
            <w:r>
              <w:rPr>
                <w:rFonts w:ascii="Times New Roman" w:hAnsi="Times New Roman" w:cs="Times New Roman" w:eastAsia="Times New Roman"/>
                <w:bCs w:val="1"/>
                <w:sz w:val="24"/>
                <w:szCs w:val="24"/>
                <w:lang w:eastAsia="ru-RU"/>
              </w:rPr>
              <w:t>Основной акцент</w:t>
            </w:r>
          </w:p>
        </w:tc>
      </w:tr>
      <w:tr>
        <w:tc>
          <w:tcPr>
            <w:tcW w:w="1696"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Межпоколен-ческий (неоклассический)</w:t>
            </w:r>
          </w:p>
        </w:tc>
        <w:tc>
          <w:tcPr>
            <w:tcW w:w="1843"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Г. Брундтланд, Р. Солоу</w:t>
            </w:r>
            <w:r>
              <w:rPr>
                <w:rStyle w:val="C42"/>
                <w:rFonts w:ascii="Times New Roman" w:hAnsi="Times New Roman" w:cs="Times New Roman" w:eastAsia="Times New Roman"/>
                <w:sz w:val="24"/>
                <w:szCs w:val="24"/>
                <w:lang w:eastAsia="ru-RU"/>
              </w:rPr>
              <w:footnoteReference w:id="30"/>
            </w:r>
          </w:p>
        </w:tc>
        <w:tc>
          <w:tcPr>
            <w:tcW w:w="4111"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Устойчивое развитие как развитие, обеспечивающее удовлетворение потребностей настоящего без ущерба для будущих поколений; сохранение совокупного капитала во времени</w:t>
            </w:r>
          </w:p>
        </w:tc>
        <w:tc>
          <w:tcPr>
            <w:tcW w:w="2268"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Интертемпоральная справедливость, долгосрочное благосостояние</w:t>
            </w:r>
          </w:p>
        </w:tc>
      </w:tr>
      <w:tr>
        <w:tc>
          <w:tcPr>
            <w:tcW w:w="1696"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Экологико-экономичес-кий (ресур-сно-ограни-чительный)</w:t>
            </w:r>
          </w:p>
        </w:tc>
        <w:tc>
          <w:tcPr>
            <w:tcW w:w="1843"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Г. Дейли</w:t>
            </w:r>
            <w:r>
              <w:rPr>
                <w:rStyle w:val="C42"/>
                <w:rFonts w:ascii="Times New Roman" w:hAnsi="Times New Roman" w:cs="Times New Roman" w:eastAsia="Times New Roman"/>
                <w:sz w:val="24"/>
                <w:szCs w:val="24"/>
                <w:lang w:eastAsia="ru-RU"/>
              </w:rPr>
              <w:footnoteReference w:id="31"/>
            </w:r>
            <w:r>
              <w:rPr>
                <w:rFonts w:ascii="Times New Roman" w:hAnsi="Times New Roman" w:cs="Times New Roman" w:eastAsia="Times New Roman"/>
                <w:sz w:val="24"/>
                <w:szCs w:val="24"/>
                <w:lang w:eastAsia="ru-RU"/>
              </w:rPr>
              <w:t xml:space="preserve">, </w:t>
            </w:r>
          </w:p>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Н. Георгеску-Реген</w:t>
            </w:r>
            <w:r>
              <w:rPr>
                <w:rStyle w:val="C42"/>
                <w:rFonts w:ascii="Times New Roman" w:hAnsi="Times New Roman" w:cs="Times New Roman" w:eastAsia="Times New Roman"/>
                <w:sz w:val="24"/>
                <w:szCs w:val="24"/>
                <w:lang w:eastAsia="ru-RU"/>
              </w:rPr>
              <w:footnoteReference w:id="32"/>
            </w:r>
          </w:p>
        </w:tc>
        <w:tc>
          <w:tcPr>
            <w:tcW w:w="4111"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Устойчивое развитие как развитие без количественного роста; приоритет качественных изменений при жестких природных ограничениях</w:t>
            </w:r>
          </w:p>
        </w:tc>
        <w:tc>
          <w:tcPr>
            <w:tcW w:w="2268"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Экологические пределы, биофизические ограничения роста</w:t>
            </w:r>
          </w:p>
        </w:tc>
      </w:tr>
      <w:tr>
        <w:tc>
          <w:tcPr>
            <w:tcW w:w="1696"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Институцио-нально-эконо-мический</w:t>
            </w:r>
          </w:p>
        </w:tc>
        <w:tc>
          <w:tcPr>
            <w:tcW w:w="1843"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Д. Норт</w:t>
            </w:r>
            <w:r>
              <w:rPr>
                <w:rStyle w:val="C42"/>
                <w:rFonts w:ascii="Times New Roman" w:hAnsi="Times New Roman" w:cs="Times New Roman" w:eastAsia="Times New Roman"/>
                <w:sz w:val="24"/>
                <w:szCs w:val="24"/>
                <w:lang w:eastAsia="ru-RU"/>
              </w:rPr>
              <w:footnoteReference w:id="33"/>
            </w:r>
            <w:r>
              <w:rPr>
                <w:rFonts w:ascii="Times New Roman" w:hAnsi="Times New Roman" w:cs="Times New Roman" w:eastAsia="Times New Roman"/>
                <w:sz w:val="24"/>
                <w:szCs w:val="24"/>
                <w:lang w:eastAsia="ru-RU"/>
              </w:rPr>
              <w:t xml:space="preserve">, </w:t>
            </w:r>
          </w:p>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Э. Остром</w:t>
            </w:r>
            <w:r>
              <w:rPr>
                <w:rStyle w:val="C42"/>
                <w:rFonts w:ascii="Times New Roman" w:hAnsi="Times New Roman" w:cs="Times New Roman" w:eastAsia="Times New Roman"/>
                <w:sz w:val="24"/>
                <w:szCs w:val="24"/>
                <w:lang w:eastAsia="ru-RU"/>
              </w:rPr>
              <w:footnoteReference w:id="34"/>
            </w:r>
          </w:p>
        </w:tc>
        <w:tc>
          <w:tcPr>
            <w:tcW w:w="4111"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Устойчивость как результат качества институтов, обеспечивающих предсказуемость, адаптацию и коллективное управление ресурсами</w:t>
            </w:r>
          </w:p>
        </w:tc>
        <w:tc>
          <w:tcPr>
            <w:tcW w:w="2268"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Институты, управление, транзакционные издержки</w:t>
            </w:r>
          </w:p>
        </w:tc>
      </w:tr>
      <w:tr>
        <w:tc>
          <w:tcPr>
            <w:tcW w:w="1696"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Социально-экономичес-кий (чело-векоцентричный)</w:t>
            </w:r>
          </w:p>
        </w:tc>
        <w:tc>
          <w:tcPr>
            <w:tcW w:w="1843"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 xml:space="preserve">А. Сен, </w:t>
            </w:r>
          </w:p>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Дж. Стиглиц, Ж.-П. Фитусси</w:t>
            </w:r>
            <w:r>
              <w:rPr>
                <w:rStyle w:val="C42"/>
                <w:rFonts w:ascii="Times New Roman" w:hAnsi="Times New Roman" w:cs="Times New Roman" w:eastAsia="Times New Roman"/>
                <w:sz w:val="24"/>
                <w:szCs w:val="24"/>
                <w:lang w:eastAsia="ru-RU"/>
              </w:rPr>
              <w:footnoteReference w:id="35"/>
            </w:r>
          </w:p>
        </w:tc>
        <w:tc>
          <w:tcPr>
            <w:tcW w:w="4111"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Устойчивое развитие как расширение возможностей и свобод человека, повышение качества жизни и социальной безопасности</w:t>
            </w:r>
          </w:p>
        </w:tc>
        <w:tc>
          <w:tcPr>
            <w:tcW w:w="2268"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Человеческий капитал, благосостояние, качество жизни</w:t>
            </w:r>
          </w:p>
        </w:tc>
      </w:tr>
      <w:tr>
        <w:tc>
          <w:tcPr>
            <w:tcW w:w="1696" w:type="dxa"/>
            <w:hideMark/>
          </w:tcPr>
          <w:p>
            <w:pPr>
              <w:ind w:right="-108"/>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Эволюционно-системный</w:t>
            </w:r>
          </w:p>
        </w:tc>
        <w:tc>
          <w:tcPr>
            <w:tcW w:w="1843"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 xml:space="preserve">Р. Нельсон, </w:t>
            </w:r>
          </w:p>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С. Уинтер</w:t>
            </w:r>
            <w:r>
              <w:rPr>
                <w:rStyle w:val="C42"/>
                <w:rFonts w:ascii="Times New Roman" w:hAnsi="Times New Roman" w:cs="Times New Roman" w:eastAsia="Times New Roman"/>
                <w:sz w:val="24"/>
                <w:szCs w:val="24"/>
                <w:lang w:eastAsia="ru-RU"/>
              </w:rPr>
              <w:footnoteReference w:id="36"/>
            </w:r>
          </w:p>
        </w:tc>
        <w:tc>
          <w:tcPr>
            <w:tcW w:w="4111"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Устойчивость как способность экономической системы к обучению, адаптации и трансформации без утраты базовых функций</w:t>
            </w:r>
          </w:p>
        </w:tc>
        <w:tc>
          <w:tcPr>
            <w:tcW w:w="2268"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Адаптация, инновации, динамическая устойчивость</w:t>
            </w:r>
          </w:p>
        </w:tc>
      </w:tr>
      <w:tr>
        <w:tc>
          <w:tcPr>
            <w:tcW w:w="1696"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Комплексный (интегратив-ный)</w:t>
            </w:r>
          </w:p>
        </w:tc>
        <w:tc>
          <w:tcPr>
            <w:tcW w:w="1843" w:type="dxa"/>
            <w:hideMark/>
          </w:tcPr>
          <w:p>
            <w:pPr>
              <w:rPr>
                <w:rFonts w:ascii="Times New Roman" w:hAnsi="Times New Roman" w:cs="Times New Roman" w:eastAsia="Times New Roman"/>
                <w:sz w:val="24"/>
                <w:szCs w:val="24"/>
                <w:highlight w:val="yellow"/>
                <w:lang w:eastAsia="ru-RU"/>
              </w:rPr>
            </w:pPr>
            <w:r>
              <w:rPr>
                <w:rFonts w:ascii="Times New Roman" w:hAnsi="Times New Roman" w:cs="Times New Roman" w:eastAsia="Times New Roman"/>
                <w:sz w:val="24"/>
                <w:szCs w:val="24"/>
                <w:lang w:eastAsia="ru-RU"/>
              </w:rPr>
              <w:t xml:space="preserve">Авторский подход </w:t>
            </w:r>
          </w:p>
        </w:tc>
        <w:tc>
          <w:tcPr>
            <w:tcW w:w="4111"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Устойчивое развитие как интеграция экономических, социальных и экологических целей в рамках управляемой траектории развития</w:t>
            </w:r>
          </w:p>
        </w:tc>
        <w:tc>
          <w:tcPr>
            <w:tcW w:w="2268"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Системность, согласование целей</w:t>
            </w:r>
          </w:p>
        </w:tc>
      </w:tr>
    </w:tbl>
    <w:p>
      <w:pPr>
        <w:pStyle w:val="P13"/>
        <w:spacing w:lineRule="auto" w:line="360" w:beforeAutospacing="0" w:afterAutospacing="0"/>
        <w:jc w:val="both"/>
        <w:rPr>
          <w:sz w:val="28"/>
          <w:szCs w:val="28"/>
          <w:lang w:val="ru-RU"/>
        </w:rPr>
      </w:pPr>
    </w:p>
    <w:p>
      <w:pPr>
        <w:pStyle w:val="P13"/>
        <w:spacing w:lineRule="auto" w:line="360" w:beforeAutospacing="0" w:afterAutospacing="0"/>
        <w:ind w:firstLine="709"/>
        <w:jc w:val="both"/>
        <w:rPr>
          <w:color w:val="000000" w:themeColor="text1"/>
          <w:sz w:val="28"/>
          <w:szCs w:val="28"/>
          <w:lang w:val="ru-RU"/>
        </w:rPr>
      </w:pPr>
      <w:r>
        <w:rPr>
          <w:color w:val="000000" w:themeColor="text1"/>
          <w:sz w:val="28"/>
          <w:szCs w:val="28"/>
          <w:lang w:val="ru-RU"/>
        </w:rPr>
        <w:t>Практика реализации концепции устойчивого развития в экономически развитых странах показывает, что баланс между ее экономическими, социальными и экологическими компонентами носит контекстно-зависимый характер. В периоды экономического подъема социальные и экологические аспекты устойчивого развития, как правило, приобретают большее значение, тогда как в условиях кризисов приоритет смещается в сторону экономической устойчивости и финансовых показателей, что приводит к рассогласованию целей устойчивого развития и повышению издержек их достижения [</w:t>
      </w:r>
      <w:r>
        <w:rPr>
          <w:color w:val="000000" w:themeColor="text1"/>
          <w:sz w:val="28"/>
          <w:szCs w:val="28"/>
          <w:highlight w:val="yellow"/>
          <w:lang w:val="ru-RU"/>
        </w:rPr>
        <w:t>81</w:t>
      </w:r>
      <w:r>
        <w:rPr>
          <w:color w:val="000000" w:themeColor="text1"/>
          <w:sz w:val="28"/>
          <w:szCs w:val="28"/>
          <w:lang w:val="ru-RU"/>
        </w:rPr>
        <w:t>]. Данное обстоятельство во многом объясняет многообразие и фрагментарность современных трактовок устойчивого развития в западной научной и управленческой практике.</w:t>
      </w:r>
    </w:p>
    <w:p>
      <w:pPr>
        <w:pStyle w:val="P13"/>
        <w:spacing w:lineRule="auto" w:line="360" w:beforeAutospacing="0" w:afterAutospacing="0"/>
        <w:ind w:firstLine="709"/>
        <w:jc w:val="both"/>
        <w:rPr>
          <w:color w:val="000000" w:themeColor="text1"/>
          <w:sz w:val="28"/>
          <w:szCs w:val="28"/>
          <w:lang w:val="ru-RU"/>
        </w:rPr>
      </w:pPr>
      <w:r>
        <w:rPr>
          <w:color w:val="000000" w:themeColor="text1"/>
          <w:sz w:val="28"/>
          <w:szCs w:val="28"/>
          <w:lang w:val="ru-RU"/>
        </w:rPr>
        <w:t>В качестве одной из наиболее распространенных и институционально оформленных концепций устойчивого развития в предпринимательской сфере выступает концепция корпоративной ответственности, получившая развитие в середине XX века и рассматривающая бизнес как активного участника решения социально-экономических и экологических проблем [</w:t>
      </w:r>
      <w:r>
        <w:rPr>
          <w:color w:val="000000" w:themeColor="text1"/>
          <w:sz w:val="28"/>
          <w:szCs w:val="28"/>
          <w:highlight w:val="yellow"/>
          <w:lang w:val="ru-RU"/>
        </w:rPr>
        <w:t>12; 17; 138</w:t>
      </w:r>
      <w:r>
        <w:rPr>
          <w:color w:val="000000" w:themeColor="text1"/>
          <w:sz w:val="28"/>
          <w:szCs w:val="28"/>
          <w:lang w:val="ru-RU"/>
        </w:rPr>
        <w:t>]. Эволюция данной концепции отражает переход от филантропических форм социальной активности к стратегической интеграции принципов устойчивости в деятельность компаний, что нашло отражение в работах Г. Боуэна [</w:t>
      </w:r>
      <w:r>
        <w:rPr>
          <w:color w:val="000000" w:themeColor="text1"/>
          <w:sz w:val="28"/>
          <w:szCs w:val="28"/>
          <w:highlight w:val="yellow"/>
          <w:lang w:val="ru-RU"/>
        </w:rPr>
        <w:t>14</w:t>
      </w:r>
      <w:r>
        <w:rPr>
          <w:color w:val="000000" w:themeColor="text1"/>
          <w:sz w:val="28"/>
          <w:szCs w:val="28"/>
          <w:lang w:val="ru-RU"/>
        </w:rPr>
        <w:t>], а также в развитии стейкхолдерского подхода, подчеркивающего ответственность бизнеса перед широким кругом заинтересованных сторон [</w:t>
      </w:r>
      <w:r>
        <w:rPr>
          <w:color w:val="000000" w:themeColor="text1"/>
          <w:sz w:val="28"/>
          <w:szCs w:val="28"/>
          <w:highlight w:val="yellow"/>
          <w:lang w:val="ru-RU"/>
        </w:rPr>
        <w:t>51; 77</w:t>
      </w:r>
      <w:r>
        <w:rPr>
          <w:color w:val="000000" w:themeColor="text1"/>
          <w:sz w:val="28"/>
          <w:szCs w:val="28"/>
          <w:lang w:val="ru-RU"/>
        </w:rPr>
        <w:t>].</w:t>
      </w:r>
    </w:p>
    <w:p>
      <w:pPr>
        <w:pStyle w:val="P13"/>
        <w:spacing w:lineRule="auto" w:line="360" w:beforeAutospacing="0" w:afterAutospacing="0"/>
        <w:ind w:firstLine="709"/>
        <w:jc w:val="both"/>
        <w:rPr>
          <w:color w:val="000000" w:themeColor="text1"/>
          <w:sz w:val="28"/>
          <w:szCs w:val="28"/>
          <w:lang w:val="ru-RU"/>
        </w:rPr>
      </w:pPr>
      <w:r>
        <w:rPr>
          <w:color w:val="000000" w:themeColor="text1"/>
          <w:sz w:val="28"/>
          <w:szCs w:val="28"/>
          <w:lang w:val="ru-RU"/>
        </w:rPr>
        <w:t>С начала 1990-х годов корпоративная ответственность стала рассматриваться как один из ключевых механизмов практической реализации устойчивого развития. Это закреплено в международных и наднациональных документах, включая «Повестку дня на XXI век» ООН [</w:t>
      </w:r>
      <w:r>
        <w:rPr>
          <w:color w:val="000000" w:themeColor="text1"/>
          <w:sz w:val="28"/>
          <w:szCs w:val="28"/>
          <w:highlight w:val="yellow"/>
          <w:lang w:val="ru-RU"/>
        </w:rPr>
        <w:t>8</w:t>
      </w:r>
      <w:r>
        <w:rPr>
          <w:color w:val="000000" w:themeColor="text1"/>
          <w:sz w:val="28"/>
          <w:szCs w:val="28"/>
          <w:lang w:val="ru-RU"/>
        </w:rPr>
        <w:t>], а также в определении Европейской комиссии, согласно которому корпоративная ответственность трактуется как добровольная интеграция социальных и экологических аспектов в хозяйственную деятельность и взаимодействие компаний с заинтересованными сторонами [</w:t>
      </w:r>
      <w:r>
        <w:rPr>
          <w:color w:val="000000" w:themeColor="text1"/>
          <w:sz w:val="28"/>
          <w:szCs w:val="28"/>
          <w:highlight w:val="yellow"/>
          <w:lang w:val="ru-RU"/>
        </w:rPr>
        <w:t>60</w:t>
      </w:r>
      <w:r>
        <w:rPr>
          <w:color w:val="000000" w:themeColor="text1"/>
          <w:sz w:val="28"/>
          <w:szCs w:val="28"/>
          <w:lang w:val="ru-RU"/>
        </w:rPr>
        <w:t>]. Дальнейшее развитие получили институциональные формы поддержки корпоративной ответственности, в том числе через деятельность Всемирного экономического форума, инициативы Глобального договора ООН и международные стандарты отчетности и сертификации [</w:t>
      </w:r>
      <w:r>
        <w:rPr>
          <w:color w:val="000000" w:themeColor="text1"/>
          <w:sz w:val="28"/>
          <w:szCs w:val="28"/>
          <w:highlight w:val="yellow"/>
          <w:lang w:val="ru-RU"/>
        </w:rPr>
        <w:t>3; 4; 52; 73; 166</w:t>
      </w:r>
      <w:r>
        <w:rPr>
          <w:color w:val="000000" w:themeColor="text1"/>
          <w:sz w:val="28"/>
          <w:szCs w:val="28"/>
          <w:lang w:val="ru-RU"/>
        </w:rPr>
        <w:t>].</w:t>
      </w:r>
    </w:p>
    <w:p>
      <w:pPr>
        <w:pStyle w:val="P13"/>
        <w:spacing w:lineRule="auto" w:line="360" w:beforeAutospacing="0" w:afterAutospacing="0"/>
        <w:ind w:firstLine="709"/>
        <w:jc w:val="both"/>
        <w:rPr>
          <w:color w:val="000000" w:themeColor="text1"/>
          <w:sz w:val="28"/>
          <w:szCs w:val="28"/>
          <w:lang w:val="ru-RU"/>
        </w:rPr>
      </w:pPr>
      <w:r>
        <w:rPr>
          <w:color w:val="000000" w:themeColor="text1"/>
          <w:sz w:val="28"/>
          <w:szCs w:val="28"/>
          <w:lang w:val="ru-RU"/>
        </w:rPr>
        <w:t>В то же время в научной литературе сохраняется принципиальная дискуссия относительно экономической целесообразности корпоративной ответственности. Представители акционерного подхода, прежде всего М. Фридман, рассматривают социально-экологические обязательства бизнеса как издержки, не связанные с основной целью максимизации прибыли [</w:t>
      </w:r>
      <w:r>
        <w:rPr>
          <w:color w:val="000000" w:themeColor="text1"/>
          <w:sz w:val="28"/>
          <w:szCs w:val="28"/>
          <w:highlight w:val="yellow"/>
          <w:lang w:val="ru-RU"/>
        </w:rPr>
        <w:t>85</w:t>
      </w:r>
      <w:r>
        <w:rPr>
          <w:color w:val="000000" w:themeColor="text1"/>
          <w:sz w:val="28"/>
          <w:szCs w:val="28"/>
          <w:lang w:val="ru-RU"/>
        </w:rPr>
        <w:t>]. В противоположность этому стейкхолдерский подход исходит из того, что учет интересов заинтересованных сторон является условием долгосрочной устойчивости компаний, повышения доверия и снижения транзакционных издержек в экономике [</w:t>
      </w:r>
      <w:r>
        <w:rPr>
          <w:color w:val="000000" w:themeColor="text1"/>
          <w:sz w:val="28"/>
          <w:szCs w:val="28"/>
          <w:highlight w:val="yellow"/>
          <w:lang w:val="ru-RU"/>
        </w:rPr>
        <w:t>82; 89; 99</w:t>
      </w:r>
      <w:r>
        <w:rPr>
          <w:color w:val="000000" w:themeColor="text1"/>
          <w:sz w:val="28"/>
          <w:szCs w:val="28"/>
          <w:lang w:val="ru-RU"/>
        </w:rPr>
        <w:t>].</w:t>
      </w:r>
    </w:p>
    <w:p>
      <w:pPr>
        <w:pStyle w:val="P13"/>
        <w:spacing w:lineRule="auto" w:line="360" w:beforeAutospacing="0" w:afterAutospacing="0"/>
        <w:ind w:firstLine="709"/>
        <w:jc w:val="both"/>
        <w:rPr>
          <w:color w:val="000000" w:themeColor="text1"/>
          <w:sz w:val="28"/>
          <w:szCs w:val="28"/>
          <w:lang w:val="ru-RU"/>
        </w:rPr>
      </w:pPr>
      <w:r>
        <w:rPr>
          <w:color w:val="000000" w:themeColor="text1"/>
          <w:sz w:val="28"/>
          <w:szCs w:val="28"/>
          <w:lang w:val="ru-RU"/>
        </w:rPr>
        <w:t>Именно в рамках стейкхолдерской логики устойчивое развитие все чаще интерпретируется как процесс согласования экономических, социальных и экологических интересов на основе институциональных и управленческих механизмов. В обобщенном виде данный подход находит отражение в модели «тройного практического результата», предполагающей интеграцию экономической эффективности, социальной справедливости и экологической сбалансированности в стратегиях развития бизнеса и общества [</w:t>
      </w:r>
      <w:r>
        <w:rPr>
          <w:color w:val="000000" w:themeColor="text1"/>
          <w:sz w:val="28"/>
          <w:szCs w:val="28"/>
          <w:highlight w:val="yellow"/>
          <w:lang w:val="ru-RU"/>
        </w:rPr>
        <w:t>55</w:t>
      </w:r>
      <w:r>
        <w:rPr>
          <w:color w:val="000000" w:themeColor="text1"/>
          <w:sz w:val="28"/>
          <w:szCs w:val="28"/>
          <w:lang w:val="ru-RU"/>
        </w:rPr>
        <w:t>].</w:t>
      </w:r>
    </w:p>
    <w:p>
      <w:pPr>
        <w:pStyle w:val="P13"/>
        <w:spacing w:lineRule="auto" w:line="360" w:beforeAutospacing="0" w:afterAutospacing="0"/>
        <w:ind w:firstLine="709"/>
        <w:jc w:val="both"/>
        <w:rPr>
          <w:sz w:val="28"/>
          <w:szCs w:val="28"/>
          <w:lang w:val="ru-RU"/>
        </w:rPr>
      </w:pPr>
      <w:bookmarkStart w:id="1" w:name="_Hlk137746464"/>
      <w:r>
        <w:rPr>
          <w:sz w:val="28"/>
          <w:szCs w:val="28"/>
          <w:lang w:val="ru-RU"/>
        </w:rPr>
        <w:t>Анализ практик корпоративной ответственности показывает, что реализация принципов устойчивого развития в значительной степени зависит от институционального типа экономики и характера взаимодействия государства и бизнеса. В странах с координированной рыночной экономикой (Германия, Австрия и др.) устойчивое развитие и корпоративная ответственность поддерживаются через институционализированные формы сотрудничества и государственные стимулы, тогда как в странах с либеральной рыночной экономикой (США, Великобритания) преобладает более узкая трактовка ответственности бизнеса [</w:t>
      </w:r>
      <w:r>
        <w:rPr>
          <w:sz w:val="28"/>
          <w:szCs w:val="28"/>
          <w:highlight w:val="yellow"/>
          <w:lang w:val="ru-RU"/>
        </w:rPr>
        <w:t>98; 183</w:t>
      </w:r>
      <w:r>
        <w:rPr>
          <w:sz w:val="28"/>
          <w:szCs w:val="28"/>
          <w:lang w:val="ru-RU"/>
        </w:rPr>
        <w:t>].</w:t>
      </w:r>
    </w:p>
    <w:p>
      <w:pPr>
        <w:pStyle w:val="P13"/>
        <w:spacing w:lineRule="auto" w:line="360" w:beforeAutospacing="0" w:afterAutospacing="0"/>
        <w:ind w:firstLine="709"/>
        <w:jc w:val="both"/>
        <w:rPr>
          <w:sz w:val="28"/>
          <w:szCs w:val="28"/>
          <w:lang w:val="ru-RU"/>
        </w:rPr>
      </w:pPr>
      <w:r>
        <w:rPr>
          <w:sz w:val="28"/>
          <w:szCs w:val="28"/>
          <w:lang w:val="ru-RU"/>
        </w:rPr>
        <w:t>Для целей настоящего исследования принципиально важно, что даже при широком распространении концепции устойчивого развития отсутствует универсальный механизм согласования ее компонентов (рисунок 1), а практики ее реализации остаются неравномерными и институционально обусловленными. Это особенно характерно для развивающихся стран, которые, с одной стороны, сталкиваются с наибольшими социальными и экологическими рисками, а с другой – обладают ограниченными ресурсами для их преодоления [</w:t>
      </w:r>
      <w:r>
        <w:rPr>
          <w:sz w:val="28"/>
          <w:szCs w:val="28"/>
          <w:highlight w:val="yellow"/>
          <w:lang w:val="ru-RU"/>
        </w:rPr>
        <w:t>10</w:t>
      </w:r>
      <w:r>
        <w:rPr>
          <w:sz w:val="28"/>
          <w:szCs w:val="28"/>
          <w:lang w:val="ru-RU"/>
        </w:rPr>
        <w:t>].</w:t>
      </w:r>
    </w:p>
    <w:p>
      <w:pPr>
        <w:pStyle w:val="P13"/>
        <w:spacing w:lineRule="auto" w:line="360" w:beforeAutospacing="0" w:afterAutospacing="0"/>
        <w:ind w:firstLine="709"/>
        <w:jc w:val="both"/>
        <w:rPr>
          <w:color w:val="FF0000"/>
          <w:sz w:val="28"/>
          <w:szCs w:val="28"/>
          <w:lang w:val="ru-RU"/>
        </w:rPr>
      </w:pPr>
      <w:bookmarkEnd w:id="1"/>
    </w:p>
    <w:p>
      <w:pPr>
        <w:ind w:firstLine="708"/>
        <w:rPr>
          <w:rFonts w:ascii="Times New Roman" w:hAnsi="Times New Roman" w:cs="Times New Roman"/>
          <w:sz w:val="28"/>
          <w:szCs w:val="28"/>
        </w:rPr>
      </w:pPr>
      <w:r>
        <w:rPr>
          <w:rFonts w:ascii="Times New Roman" w:hAnsi="Times New Roman" w:cs="Times New Roman"/>
          <w:noProof w:val="1"/>
          <w:sz w:val="28"/>
          <w:szCs w:val="28"/>
          <w:lang w:eastAsia="ru-RU"/>
        </w:rPr>
        <mc:AlternateContent>
          <mc:Choice Requires="wpg">
            <w:drawing>
              <wp:anchor xmlns:wp="http://schemas.openxmlformats.org/drawingml/2006/wordprocessingDrawing" distT="0" distB="0" distL="114300" distR="114300" simplePos="0" relativeHeight="67" behindDoc="0" locked="0" layoutInCell="1" allowOverlap="1">
                <wp:simplePos x="0" y="0"/>
                <wp:positionH relativeFrom="column">
                  <wp:posOffset>358140</wp:posOffset>
                </wp:positionH>
                <wp:positionV relativeFrom="paragraph">
                  <wp:posOffset>88265</wp:posOffset>
                </wp:positionV>
                <wp:extent cx="5207000" cy="3041015"/>
                <wp:effectExtent l="0" t="0" r="0" b="26035"/>
                <wp:wrapNone/>
                <wp:docPr id="624" name="Группа 624"/>
                <wp:cNvGraphicFramePr/>
                <a:graphic xmlns:a="http://schemas.openxmlformats.org/drawingml/2006/main">
                  <a:graphicData uri="http://schemas.microsoft.com/office/word/2010/wordprocessingGroup">
                    <wpg:wgp>
                      <wpg:cNvGrpSpPr/>
                      <wpg:grpSpPr>
                        <a:xfrm>
                          <a:off x="0" y="0"/>
                          <a:ext cx="5207232" cy="3041015"/>
                          <a:chOff x="0" y="0"/>
                          <a:chExt cx="5207232" cy="3041015"/>
                        </a:xfrm>
                      </wpg:grpSpPr>
                      <wps:wsp>
                        <wps:cNvPr id="625" name="Надпись 625"/>
                        <wps:cNvSpPr txBox="1"/>
                        <wps:spPr>
                          <a:xfrm>
                            <a:off x="434975" y="241300"/>
                            <a:ext cx="1851660" cy="864870"/>
                          </a:xfrm>
                          <a:prstGeom prst="rect"/>
                          <a:noFill/>
                          <a:ln w="6350">
                            <a:noFill/>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spacing w:lineRule="auto" w:line="240" w:after="0" w:beforeAutospacing="0" w:afterAutospacing="0"/>
                                <w:jc w:val="center"/>
                                <w:rPr>
                                  <w:rFonts w:ascii="Times New Roman" w:hAnsi="Times New Roman" w:cs="Times New Roman"/>
                                  <w:b w:val="1"/>
                                  <w:bCs w:val="1"/>
                                  <w:sz w:val="24"/>
                                  <w:szCs w:val="24"/>
                                  <w:u w:val="single"/>
                                </w:rPr>
                              </w:pPr>
                              <w:r>
                                <w:rPr>
                                  <w:rFonts w:ascii="Times New Roman" w:hAnsi="Times New Roman" w:cs="Times New Roman"/>
                                  <w:b w:val="1"/>
                                  <w:bCs w:val="1"/>
                                  <w:sz w:val="24"/>
                                  <w:szCs w:val="24"/>
                                  <w:u w:val="single"/>
                                </w:rPr>
                                <w:t>Экономический рост</w:t>
                              </w:r>
                            </w:p>
                            <w:p>
                              <w:pPr>
                                <w:spacing w:lineRule="auto" w:line="240" w:after="0" w:beforeAutospacing="0" w:afterAutospacing="0"/>
                                <w:rPr>
                                  <w:rFonts w:ascii="Times New Roman" w:hAnsi="Times New Roman" w:cs="Times New Roman"/>
                                  <w:sz w:val="24"/>
                                  <w:szCs w:val="24"/>
                                </w:rPr>
                              </w:pPr>
                              <w:r>
                                <w:rPr>
                                  <w:rFonts w:ascii="Times New Roman" w:hAnsi="Times New Roman" w:cs="Times New Roman"/>
                                  <w:sz w:val="24"/>
                                  <w:szCs w:val="24"/>
                                </w:rPr>
                                <w:t>- комплексность;</w:t>
                              </w:r>
                            </w:p>
                            <w:p>
                              <w:pPr>
                                <w:spacing w:lineRule="auto" w:line="240" w:after="0" w:beforeAutospacing="0" w:afterAutospacing="0"/>
                                <w:rPr>
                                  <w:rFonts w:ascii="Times New Roman" w:hAnsi="Times New Roman" w:cs="Times New Roman"/>
                                  <w:sz w:val="24"/>
                                  <w:szCs w:val="24"/>
                                </w:rPr>
                              </w:pPr>
                              <w:r>
                                <w:rPr>
                                  <w:rFonts w:ascii="Times New Roman" w:hAnsi="Times New Roman" w:cs="Times New Roman"/>
                                  <w:sz w:val="24"/>
                                  <w:szCs w:val="24"/>
                                </w:rPr>
                                <w:t>- эффективность;</w:t>
                              </w:r>
                            </w:p>
                            <w:p>
                              <w:pPr>
                                <w:spacing w:lineRule="auto" w:line="240" w:after="0" w:beforeAutospacing="0" w:afterAutospacing="0"/>
                                <w:rPr>
                                  <w:rFonts w:ascii="Times New Roman" w:hAnsi="Times New Roman" w:cs="Times New Roman"/>
                                  <w:sz w:val="24"/>
                                  <w:szCs w:val="24"/>
                                </w:rPr>
                              </w:pPr>
                              <w:r>
                                <w:rPr>
                                  <w:rFonts w:ascii="Times New Roman" w:hAnsi="Times New Roman" w:cs="Times New Roman"/>
                                  <w:sz w:val="24"/>
                                  <w:szCs w:val="24"/>
                                </w:rPr>
                                <w:t>- устойчивость.</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626" name="Надпись 626"/>
                        <wps:cNvSpPr txBox="1"/>
                        <wps:spPr>
                          <a:xfrm>
                            <a:off x="2695575" y="238125"/>
                            <a:ext cx="1870710" cy="933450"/>
                          </a:xfrm>
                          <a:prstGeom prst="rect"/>
                          <a:noFill/>
                          <a:ln w="6350">
                            <a:noFill/>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spacing w:lineRule="auto" w:line="240" w:after="0" w:beforeAutospacing="0" w:afterAutospacing="0"/>
                                <w:rPr>
                                  <w:rFonts w:ascii="Times New Roman" w:hAnsi="Times New Roman" w:cs="Times New Roman"/>
                                  <w:b w:val="1"/>
                                  <w:bCs w:val="1"/>
                                  <w:sz w:val="24"/>
                                  <w:szCs w:val="24"/>
                                  <w:u w:val="single"/>
                                </w:rPr>
                              </w:pPr>
                              <w:r>
                                <w:rPr>
                                  <w:rFonts w:ascii="Times New Roman" w:hAnsi="Times New Roman" w:cs="Times New Roman"/>
                                  <w:b w:val="1"/>
                                  <w:bCs w:val="1"/>
                                  <w:sz w:val="24"/>
                                  <w:szCs w:val="24"/>
                                  <w:u w:val="single"/>
                                </w:rPr>
                                <w:t>Социальное развитие</w:t>
                              </w:r>
                            </w:p>
                            <w:p>
                              <w:pPr>
                                <w:spacing w:lineRule="auto" w:line="240" w:after="0" w:beforeAutospacing="0" w:afterAutospacing="0"/>
                                <w:rPr>
                                  <w:rFonts w:ascii="Times New Roman" w:hAnsi="Times New Roman" w:cs="Times New Roman"/>
                                  <w:sz w:val="24"/>
                                  <w:szCs w:val="24"/>
                                </w:rPr>
                              </w:pPr>
                              <w:r>
                                <w:rPr>
                                  <w:rFonts w:ascii="Times New Roman" w:hAnsi="Times New Roman" w:cs="Times New Roman"/>
                                  <w:sz w:val="24"/>
                                  <w:szCs w:val="24"/>
                                </w:rPr>
                                <w:t>- права и возможности;</w:t>
                              </w:r>
                            </w:p>
                            <w:p>
                              <w:pPr>
                                <w:spacing w:lineRule="auto" w:line="240" w:after="0" w:beforeAutospacing="0" w:afterAutospacing="0"/>
                                <w:rPr>
                                  <w:rFonts w:ascii="Times New Roman" w:hAnsi="Times New Roman" w:cs="Times New Roman"/>
                                  <w:sz w:val="24"/>
                                  <w:szCs w:val="24"/>
                                </w:rPr>
                              </w:pPr>
                              <w:r>
                                <w:rPr>
                                  <w:rFonts w:ascii="Times New Roman" w:hAnsi="Times New Roman" w:cs="Times New Roman"/>
                                  <w:sz w:val="24"/>
                                  <w:szCs w:val="24"/>
                                </w:rPr>
                                <w:t>- рост благосостояния;</w:t>
                              </w:r>
                            </w:p>
                            <w:p>
                              <w:pPr>
                                <w:spacing w:lineRule="auto" w:line="240" w:after="0" w:beforeAutospacing="0" w:afterAutospacing="0"/>
                                <w:rPr>
                                  <w:rFonts w:ascii="Times New Roman" w:hAnsi="Times New Roman" w:cs="Times New Roman"/>
                                  <w:sz w:val="24"/>
                                  <w:szCs w:val="24"/>
                                </w:rPr>
                              </w:pPr>
                              <w:r>
                                <w:rPr>
                                  <w:rFonts w:ascii="Times New Roman" w:hAnsi="Times New Roman" w:cs="Times New Roman"/>
                                  <w:sz w:val="24"/>
                                  <w:szCs w:val="24"/>
                                </w:rPr>
                                <w:t>- социальное равенство.</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627" name="Овал 627"/>
                        <wps:cNvSpPr/>
                        <wps:spPr>
                          <a:xfrm>
                            <a:off x="254000" y="22225"/>
                            <a:ext cx="2385060" cy="1973580"/>
                          </a:xfrm>
                          <a:prstGeom prst="ellipse"/>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628" name="Овал 628"/>
                        <wps:cNvSpPr/>
                        <wps:spPr>
                          <a:xfrm>
                            <a:off x="2082800" y="0"/>
                            <a:ext cx="2487930" cy="2000250"/>
                          </a:xfrm>
                          <a:prstGeom prst="ellipse"/>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629" name="Овал 629"/>
                        <wps:cNvSpPr/>
                        <wps:spPr>
                          <a:xfrm>
                            <a:off x="1171575" y="987425"/>
                            <a:ext cx="2385060" cy="2053590"/>
                          </a:xfrm>
                          <a:prstGeom prst="ellipse"/>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630" name="Надпись 630"/>
                        <wps:cNvSpPr txBox="1"/>
                        <wps:spPr>
                          <a:xfrm>
                            <a:off x="4054475" y="1809750"/>
                            <a:ext cx="1152758" cy="651959"/>
                          </a:xfrm>
                          <a:prstGeom prst="rect"/>
                          <a:noFill/>
                          <a:ln w="6350">
                            <a:noFill/>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spacing w:lineRule="auto" w:line="240" w:after="0" w:beforeAutospacing="0" w:afterAutospacing="0"/>
                                <w:jc w:val="center"/>
                                <w:rPr>
                                  <w:rFonts w:ascii="Times New Roman" w:hAnsi="Times New Roman" w:cs="Times New Roman"/>
                                  <w:bCs w:val="1"/>
                                  <w:sz w:val="24"/>
                                  <w:szCs w:val="24"/>
                                </w:rPr>
                              </w:pPr>
                              <w:r>
                                <w:rPr>
                                  <w:rFonts w:ascii="Times New Roman" w:hAnsi="Times New Roman" w:cs="Times New Roman"/>
                                  <w:bCs w:val="1"/>
                                  <w:sz w:val="24"/>
                                  <w:szCs w:val="24"/>
                                </w:rPr>
                                <w:t xml:space="preserve">Инклюзивный рост  </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631" name="Надпись 631"/>
                        <wps:cNvSpPr txBox="1"/>
                        <wps:spPr>
                          <a:xfrm>
                            <a:off x="1609725" y="2028825"/>
                            <a:ext cx="1684020" cy="864870"/>
                          </a:xfrm>
                          <a:prstGeom prst="rect"/>
                          <a:noFill/>
                          <a:ln w="6350">
                            <a:noFill/>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spacing w:lineRule="auto" w:line="240" w:after="0" w:beforeAutospacing="0" w:afterAutospacing="0"/>
                                <w:rPr>
                                  <w:rFonts w:ascii="Times New Roman" w:hAnsi="Times New Roman" w:cs="Times New Roman"/>
                                  <w:b w:val="1"/>
                                  <w:bCs w:val="1"/>
                                  <w:sz w:val="24"/>
                                  <w:szCs w:val="24"/>
                                  <w:u w:val="single"/>
                                </w:rPr>
                              </w:pPr>
                              <w:r>
                                <w:rPr>
                                  <w:rFonts w:ascii="Times New Roman" w:hAnsi="Times New Roman" w:cs="Times New Roman"/>
                                  <w:b w:val="1"/>
                                  <w:bCs w:val="1"/>
                                  <w:sz w:val="24"/>
                                  <w:szCs w:val="24"/>
                                  <w:u w:val="single"/>
                                </w:rPr>
                                <w:t>Окружающая среда</w:t>
                              </w:r>
                            </w:p>
                            <w:p>
                              <w:pPr>
                                <w:spacing w:lineRule="auto" w:line="240" w:after="0" w:beforeAutospacing="0" w:afterAutospacing="0"/>
                                <w:rPr>
                                  <w:rFonts w:ascii="Times New Roman" w:hAnsi="Times New Roman" w:cs="Times New Roman"/>
                                  <w:sz w:val="24"/>
                                  <w:szCs w:val="24"/>
                                </w:rPr>
                              </w:pPr>
                              <w:r>
                                <w:rPr>
                                  <w:rFonts w:ascii="Times New Roman" w:hAnsi="Times New Roman" w:cs="Times New Roman"/>
                                  <w:sz w:val="24"/>
                                  <w:szCs w:val="24"/>
                                </w:rPr>
                                <w:t>- биоразнообразие;</w:t>
                              </w:r>
                            </w:p>
                            <w:p>
                              <w:pPr>
                                <w:spacing w:lineRule="auto" w:line="240" w:after="0" w:beforeAutospacing="0" w:afterAutospacing="0"/>
                                <w:rPr>
                                  <w:rFonts w:ascii="Times New Roman" w:hAnsi="Times New Roman" w:cs="Times New Roman"/>
                                  <w:sz w:val="24"/>
                                  <w:szCs w:val="24"/>
                                </w:rPr>
                              </w:pPr>
                              <w:r>
                                <w:rPr>
                                  <w:rFonts w:ascii="Times New Roman" w:hAnsi="Times New Roman" w:cs="Times New Roman"/>
                                  <w:sz w:val="24"/>
                                  <w:szCs w:val="24"/>
                                </w:rPr>
                                <w:t>- природные ресурсы;</w:t>
                              </w:r>
                            </w:p>
                            <w:p>
                              <w:pPr>
                                <w:spacing w:lineRule="auto" w:line="240" w:after="0" w:beforeAutospacing="0" w:afterAutospacing="0"/>
                                <w:rPr>
                                  <w:rFonts w:ascii="Times New Roman" w:hAnsi="Times New Roman" w:cs="Times New Roman"/>
                                  <w:sz w:val="24"/>
                                  <w:szCs w:val="24"/>
                                </w:rPr>
                              </w:pPr>
                              <w:r>
                                <w:rPr>
                                  <w:rFonts w:ascii="Times New Roman" w:hAnsi="Times New Roman" w:cs="Times New Roman"/>
                                  <w:sz w:val="24"/>
                                  <w:szCs w:val="24"/>
                                </w:rPr>
                                <w:t xml:space="preserve">- загрязнение. </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632" name="Прямая соединительная линия 632"/>
                        <wps:cNvCnPr/>
                        <wps:spPr>
                          <a:xfrm flipH="1">
                            <a:off x="1174750" y="371475"/>
                            <a:ext cx="1180379" cy="1592267"/>
                          </a:xfrm>
                          <a:prstGeom prst="line"/>
                          <a:ln w="12700">
                            <a:prstDash val="dash"/>
                          </a:ln>
                        </wps:spPr>
                        <wps:style>
                          <a:lnRef idx="1">
                            <a:schemeClr val="dk1"/>
                          </a:lnRef>
                          <a:fillRef idx="0">
                            <a:schemeClr val="dk1"/>
                          </a:fillRef>
                          <a:effectRef idx="0">
                            <a:schemeClr val="dk1"/>
                          </a:effectRef>
                          <a:fontRef idx="minor">
                            <a:schemeClr val="tx1"/>
                          </a:fontRef>
                        </wps:style>
                        <wps:bodyPr/>
                      </wps:wsp>
                      <wps:wsp>
                        <wps:cNvPr id="633" name="Прямая соединительная линия 633"/>
                        <wps:cNvCnPr/>
                        <wps:spPr>
                          <a:xfrm>
                            <a:off x="1177925" y="1958975"/>
                            <a:ext cx="2371572" cy="22005"/>
                          </a:xfrm>
                          <a:prstGeom prst="line"/>
                          <a:ln w="12700">
                            <a:prstDash val="dash"/>
                          </a:ln>
                        </wps:spPr>
                        <wps:style>
                          <a:lnRef idx="1">
                            <a:schemeClr val="dk1"/>
                          </a:lnRef>
                          <a:fillRef idx="0">
                            <a:schemeClr val="dk1"/>
                          </a:fillRef>
                          <a:effectRef idx="0">
                            <a:schemeClr val="dk1"/>
                          </a:effectRef>
                          <a:fontRef idx="minor">
                            <a:schemeClr val="tx1"/>
                          </a:fontRef>
                        </wps:style>
                        <wps:bodyPr/>
                      </wps:wsp>
                      <wps:wsp>
                        <wps:cNvPr id="634" name="Прямая соединительная линия 634"/>
                        <wps:cNvCnPr/>
                        <wps:spPr>
                          <a:xfrm>
                            <a:off x="2355850" y="374650"/>
                            <a:ext cx="1197847" cy="1603453"/>
                          </a:xfrm>
                          <a:prstGeom prst="line"/>
                          <a:ln w="12700">
                            <a:prstDash val="dash"/>
                          </a:ln>
                        </wps:spPr>
                        <wps:style>
                          <a:lnRef idx="1">
                            <a:schemeClr val="dk1"/>
                          </a:lnRef>
                          <a:fillRef idx="0">
                            <a:schemeClr val="dk1"/>
                          </a:fillRef>
                          <a:effectRef idx="0">
                            <a:schemeClr val="dk1"/>
                          </a:effectRef>
                          <a:fontRef idx="minor">
                            <a:schemeClr val="tx1"/>
                          </a:fontRef>
                        </wps:style>
                        <wps:bodyPr/>
                      </wps:wsp>
                      <wps:wsp>
                        <wps:cNvPr id="635" name="Надпись 635"/>
                        <wps:cNvSpPr txBox="1"/>
                        <wps:spPr>
                          <a:xfrm>
                            <a:off x="0" y="2028825"/>
                            <a:ext cx="1200760" cy="447532"/>
                          </a:xfrm>
                          <a:prstGeom prst="rect"/>
                          <a:noFill/>
                          <a:ln w="6350">
                            <a:noFill/>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spacing w:lineRule="auto" w:line="240" w:after="0" w:beforeAutospacing="0" w:afterAutospacing="0"/>
                                <w:jc w:val="center"/>
                                <w:rPr>
                                  <w:rFonts w:ascii="Times New Roman" w:hAnsi="Times New Roman" w:cs="Times New Roman"/>
                                  <w:bCs w:val="1"/>
                                  <w:sz w:val="24"/>
                                  <w:szCs w:val="24"/>
                                </w:rPr>
                              </w:pPr>
                              <w:r>
                                <w:rPr>
                                  <w:rFonts w:ascii="Times New Roman" w:hAnsi="Times New Roman" w:cs="Times New Roman"/>
                                  <w:bCs w:val="1"/>
                                  <w:sz w:val="24"/>
                                  <w:szCs w:val="24"/>
                                </w:rPr>
                                <w:t xml:space="preserve">«Треугольник устойчивости»  </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636" name="Надпись 636"/>
                        <wps:cNvSpPr txBox="1"/>
                        <wps:spPr>
                          <a:xfrm>
                            <a:off x="1457325" y="1527175"/>
                            <a:ext cx="650981" cy="302781"/>
                          </a:xfrm>
                          <a:prstGeom prst="rect"/>
                          <a:noFill/>
                          <a:ln w="6350">
                            <a:noFill/>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spacing w:lineRule="auto" w:line="240" w:after="0" w:beforeAutospacing="0" w:afterAutospacing="0"/>
                                <w:jc w:val="center"/>
                                <w:rPr>
                                  <w:rFonts w:ascii="Times New Roman" w:hAnsi="Times New Roman" w:cs="Times New Roman"/>
                                  <w:i w:val="1"/>
                                  <w:bCs w:val="1"/>
                                  <w:iCs w:val="1"/>
                                  <w:sz w:val="24"/>
                                  <w:szCs w:val="24"/>
                                </w:rPr>
                              </w:pPr>
                              <w:r>
                                <w:rPr>
                                  <w:rFonts w:ascii="Times New Roman" w:hAnsi="Times New Roman" w:cs="Times New Roman"/>
                                  <w:i w:val="1"/>
                                  <w:bCs w:val="1"/>
                                  <w:iCs w:val="1"/>
                                  <w:sz w:val="24"/>
                                  <w:szCs w:val="24"/>
                                </w:rPr>
                                <w:t xml:space="preserve">Бизнес  </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637" name="Надпись 637"/>
                        <wps:cNvSpPr txBox="1"/>
                        <wps:spPr>
                          <a:xfrm>
                            <a:off x="2444750" y="1527175"/>
                            <a:ext cx="926511" cy="302781"/>
                          </a:xfrm>
                          <a:prstGeom prst="rect"/>
                          <a:noFill/>
                          <a:ln w="6350">
                            <a:noFill/>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spacing w:lineRule="auto" w:line="240" w:after="0" w:beforeAutospacing="0" w:afterAutospacing="0"/>
                                <w:jc w:val="center"/>
                                <w:rPr>
                                  <w:rFonts w:ascii="Times New Roman" w:hAnsi="Times New Roman" w:cs="Times New Roman"/>
                                  <w:i w:val="1"/>
                                  <w:bCs w:val="1"/>
                                  <w:iCs w:val="1"/>
                                  <w:sz w:val="24"/>
                                  <w:szCs w:val="24"/>
                                </w:rPr>
                              </w:pPr>
                              <w:r>
                                <w:rPr>
                                  <w:rFonts w:ascii="Times New Roman" w:hAnsi="Times New Roman" w:cs="Times New Roman"/>
                                  <w:i w:val="1"/>
                                  <w:bCs w:val="1"/>
                                  <w:iCs w:val="1"/>
                                  <w:sz w:val="24"/>
                                  <w:szCs w:val="24"/>
                                </w:rPr>
                                <w:t xml:space="preserve">Общество  </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638" name="Надпись 638"/>
                        <wps:cNvSpPr txBox="1"/>
                        <wps:spPr>
                          <a:xfrm>
                            <a:off x="2032000" y="714375"/>
                            <a:ext cx="693369" cy="302781"/>
                          </a:xfrm>
                          <a:prstGeom prst="rect"/>
                          <a:noFill/>
                          <a:ln w="6350">
                            <a:noFill/>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spacing w:lineRule="auto" w:line="240" w:after="0" w:beforeAutospacing="0" w:afterAutospacing="0"/>
                                <w:jc w:val="center"/>
                                <w:rPr>
                                  <w:rFonts w:ascii="Times New Roman" w:hAnsi="Times New Roman" w:cs="Times New Roman"/>
                                  <w:i w:val="1"/>
                                  <w:bCs w:val="1"/>
                                  <w:iCs w:val="1"/>
                                  <w:sz w:val="24"/>
                                  <w:szCs w:val="24"/>
                                </w:rPr>
                              </w:pPr>
                              <w:r>
                                <w:rPr>
                                  <w:rFonts w:ascii="Times New Roman" w:hAnsi="Times New Roman" w:cs="Times New Roman"/>
                                  <w:i w:val="1"/>
                                  <w:bCs w:val="1"/>
                                  <w:iCs w:val="1"/>
                                  <w:sz w:val="24"/>
                                  <w:szCs w:val="24"/>
                                </w:rPr>
                                <w:t xml:space="preserve">Власть  </w:t>
                              </w:r>
                            </w:p>
                          </w:txbxContent>
                        </wps:txbx>
                        <wps:bodyPr rot="0" spcFirstLastPara="0" vertOverflow="overflow" horzOverflow="overflow" vert="horz" wrap="square" lIns="91440" tIns="45720" rIns="91440" bIns="45720" numCol="1" spcCol="0" rtlCol="0" fromWordArt="0" anchor="t" anchorCtr="0" forceAA="0" compatLnSpc="1">
                          <a:noAutofit/>
                        </wps:bodyPr>
                      </wps:wsp>
                    </wpg:wgp>
                  </a:graphicData>
                </a:graphic>
              </wp:anchor>
            </w:drawing>
          </mc:Choice>
          <mc:Fallback>
            <w:pict>
              <v:group xmlns:o="urn:schemas-microsoft-com:office:office" id="Группа 624" style="position:absolute;width:410pt;height:239.45pt;z-index:67;mso-wrap-distance-left:9pt;mso-wrap-distance-top:0pt;mso-wrap-distance-right:9pt;mso-wrap-distance-bottom:0pt;margin-left:28.2pt;margin-top:6.95pt;mso-position-horizontal:absolute;mso-position-horizontal-relative:text;mso-position-vertical:absolute;mso-position-vertical-relative:text" coordsize="5207231,3041015" o:allowincell="t">
                <v:shapetype id="_x0000_t202" coordsize="21600,21600" o:spt="202" path="m,l,21600r21600,l21600,xe">
                  <v:stroke joinstyle="miter"/>
                  <v:path gradientshapeok="t" o:connecttype="rect"/>
                </v:shapetype>
                <v:shape type="#_x0000_t202" id="Надпись 625" o:spid="_x0000_s1027" style="position:absolute;left:434975;top:241300;width:1851660;height:864870" o:allowincell="t" filled="f" strokeweight="0.5pt" stroked="f">
                  <v:textbox inset="3mm,1mm,3mm,1mm">
                    <w:txbxContent>
                      <w:p>
                        <w:pPr>
                          <w:spacing w:lineRule="auto" w:line="240" w:after="0" w:beforeAutospacing="0" w:afterAutospacing="0"/>
                          <w:jc w:val="center"/>
                          <w:rPr>
                            <w:rFonts w:ascii="Times New Roman" w:hAnsi="Times New Roman" w:cs="Times New Roman"/>
                            <w:b w:val="1"/>
                            <w:bCs w:val="1"/>
                            <w:sz w:val="24"/>
                            <w:szCs w:val="24"/>
                            <w:u w:val="single"/>
                          </w:rPr>
                        </w:pPr>
                        <w:r>
                          <w:rPr>
                            <w:rFonts w:ascii="Times New Roman" w:hAnsi="Times New Roman" w:cs="Times New Roman"/>
                            <w:b w:val="1"/>
                            <w:bCs w:val="1"/>
                            <w:sz w:val="24"/>
                            <w:szCs w:val="24"/>
                            <w:u w:val="single"/>
                          </w:rPr>
                          <w:t>Экономический рост</w:t>
                        </w:r>
                      </w:p>
                      <w:p>
                        <w:pPr>
                          <w:spacing w:lineRule="auto" w:line="240" w:after="0" w:beforeAutospacing="0" w:afterAutospacing="0"/>
                          <w:rPr>
                            <w:rFonts w:ascii="Times New Roman" w:hAnsi="Times New Roman" w:cs="Times New Roman"/>
                            <w:sz w:val="24"/>
                            <w:szCs w:val="24"/>
                          </w:rPr>
                        </w:pPr>
                        <w:r>
                          <w:rPr>
                            <w:rFonts w:ascii="Times New Roman" w:hAnsi="Times New Roman" w:cs="Times New Roman"/>
                            <w:sz w:val="24"/>
                            <w:szCs w:val="24"/>
                          </w:rPr>
                          <w:t>- комплексность;</w:t>
                        </w:r>
                      </w:p>
                      <w:p>
                        <w:pPr>
                          <w:spacing w:lineRule="auto" w:line="240" w:after="0" w:beforeAutospacing="0" w:afterAutospacing="0"/>
                          <w:rPr>
                            <w:rFonts w:ascii="Times New Roman" w:hAnsi="Times New Roman" w:cs="Times New Roman"/>
                            <w:sz w:val="24"/>
                            <w:szCs w:val="24"/>
                          </w:rPr>
                        </w:pPr>
                        <w:r>
                          <w:rPr>
                            <w:rFonts w:ascii="Times New Roman" w:hAnsi="Times New Roman" w:cs="Times New Roman"/>
                            <w:sz w:val="24"/>
                            <w:szCs w:val="24"/>
                          </w:rPr>
                          <w:t>- эффективность;</w:t>
                        </w:r>
                      </w:p>
                      <w:p>
                        <w:pPr>
                          <w:spacing w:lineRule="auto" w:line="240" w:after="0" w:beforeAutospacing="0" w:afterAutospacing="0"/>
                          <w:rPr>
                            <w:rFonts w:ascii="Times New Roman" w:hAnsi="Times New Roman" w:cs="Times New Roman"/>
                            <w:sz w:val="24"/>
                            <w:szCs w:val="24"/>
                          </w:rPr>
                        </w:pPr>
                        <w:r>
                          <w:rPr>
                            <w:rFonts w:ascii="Times New Roman" w:hAnsi="Times New Roman" w:cs="Times New Roman"/>
                            <w:sz w:val="24"/>
                            <w:szCs w:val="24"/>
                          </w:rPr>
                          <w:t>- устойчивость.</w:t>
                        </w:r>
                      </w:p>
                    </w:txbxContent>
                  </v:textbox>
                </v:shape>
                <v:shape type="#_x0000_t202" id="Надпись 626" o:spid="_x0000_s1028" style="position:absolute;left:2695575;top:238125;width:1870710;height:933450" o:allowincell="t" filled="f" strokeweight="0.5pt" stroked="f">
                  <v:textbox inset="3mm,1mm,3mm,1mm">
                    <w:txbxContent>
                      <w:p>
                        <w:pPr>
                          <w:spacing w:lineRule="auto" w:line="240" w:after="0" w:beforeAutospacing="0" w:afterAutospacing="0"/>
                          <w:rPr>
                            <w:rFonts w:ascii="Times New Roman" w:hAnsi="Times New Roman" w:cs="Times New Roman"/>
                            <w:b w:val="1"/>
                            <w:bCs w:val="1"/>
                            <w:sz w:val="24"/>
                            <w:szCs w:val="24"/>
                            <w:u w:val="single"/>
                          </w:rPr>
                        </w:pPr>
                        <w:r>
                          <w:rPr>
                            <w:rFonts w:ascii="Times New Roman" w:hAnsi="Times New Roman" w:cs="Times New Roman"/>
                            <w:b w:val="1"/>
                            <w:bCs w:val="1"/>
                            <w:sz w:val="24"/>
                            <w:szCs w:val="24"/>
                            <w:u w:val="single"/>
                          </w:rPr>
                          <w:t>Социальное развитие</w:t>
                        </w:r>
                      </w:p>
                      <w:p>
                        <w:pPr>
                          <w:spacing w:lineRule="auto" w:line="240" w:after="0" w:beforeAutospacing="0" w:afterAutospacing="0"/>
                          <w:rPr>
                            <w:rFonts w:ascii="Times New Roman" w:hAnsi="Times New Roman" w:cs="Times New Roman"/>
                            <w:sz w:val="24"/>
                            <w:szCs w:val="24"/>
                          </w:rPr>
                        </w:pPr>
                        <w:r>
                          <w:rPr>
                            <w:rFonts w:ascii="Times New Roman" w:hAnsi="Times New Roman" w:cs="Times New Roman"/>
                            <w:sz w:val="24"/>
                            <w:szCs w:val="24"/>
                          </w:rPr>
                          <w:t>- права и возможности;</w:t>
                        </w:r>
                      </w:p>
                      <w:p>
                        <w:pPr>
                          <w:spacing w:lineRule="auto" w:line="240" w:after="0" w:beforeAutospacing="0" w:afterAutospacing="0"/>
                          <w:rPr>
                            <w:rFonts w:ascii="Times New Roman" w:hAnsi="Times New Roman" w:cs="Times New Roman"/>
                            <w:sz w:val="24"/>
                            <w:szCs w:val="24"/>
                          </w:rPr>
                        </w:pPr>
                        <w:r>
                          <w:rPr>
                            <w:rFonts w:ascii="Times New Roman" w:hAnsi="Times New Roman" w:cs="Times New Roman"/>
                            <w:sz w:val="24"/>
                            <w:szCs w:val="24"/>
                          </w:rPr>
                          <w:t>- рост благосостояния;</w:t>
                        </w:r>
                      </w:p>
                      <w:p>
                        <w:pPr>
                          <w:spacing w:lineRule="auto" w:line="240" w:after="0" w:beforeAutospacing="0" w:afterAutospacing="0"/>
                          <w:rPr>
                            <w:rFonts w:ascii="Times New Roman" w:hAnsi="Times New Roman" w:cs="Times New Roman"/>
                            <w:sz w:val="24"/>
                            <w:szCs w:val="24"/>
                          </w:rPr>
                        </w:pPr>
                        <w:r>
                          <w:rPr>
                            <w:rFonts w:ascii="Times New Roman" w:hAnsi="Times New Roman" w:cs="Times New Roman"/>
                            <w:sz w:val="24"/>
                            <w:szCs w:val="24"/>
                          </w:rPr>
                          <w:t>- социальное равенство.</w:t>
                        </w:r>
                      </w:p>
                    </w:txbxContent>
                  </v:textbox>
                </v:shape>
                <v:oval id="Овал 627" o:spid="_x0000_s1029" style="position:absolute;left:254000;top:22225;width:2385060;height:1973580;v-text-anchor:middle" o:allowincell="t" filled="f" strokecolor="#000000" strokeweight="0.5pt" stroked="t"/>
                <v:oval id="Овал 628" o:spid="_x0000_s1030" style="position:absolute;left:2082800;width:2487930;height:2000250;v-text-anchor:middle" o:allowincell="t" filled="f" strokecolor="#000000" strokeweight="0.5pt" stroked="t"/>
                <v:oval id="Овал 629" o:spid="_x0000_s1031" style="position:absolute;left:1171575;top:987425;width:2385060;height:2053590;v-text-anchor:middle" o:allowincell="t" filled="f" strokecolor="#000000" strokeweight="0.5pt" stroked="t"/>
                <v:shape type="#_x0000_t202" id="Надпись 630" o:spid="_x0000_s1032" style="position:absolute;left:4054475;top:1809750;width:1152757;height:651958" o:allowincell="t" filled="f" strokeweight="0.5pt" stroked="f">
                  <v:textbox inset="3mm,1mm,3mm,1mm">
                    <w:txbxContent>
                      <w:p>
                        <w:pPr>
                          <w:spacing w:lineRule="auto" w:line="240" w:after="0" w:beforeAutospacing="0" w:afterAutospacing="0"/>
                          <w:jc w:val="center"/>
                          <w:rPr>
                            <w:rFonts w:ascii="Times New Roman" w:hAnsi="Times New Roman" w:cs="Times New Roman"/>
                            <w:bCs w:val="1"/>
                            <w:sz w:val="24"/>
                            <w:szCs w:val="24"/>
                          </w:rPr>
                        </w:pPr>
                        <w:r>
                          <w:rPr>
                            <w:rFonts w:ascii="Times New Roman" w:hAnsi="Times New Roman" w:cs="Times New Roman"/>
                            <w:bCs w:val="1"/>
                            <w:sz w:val="24"/>
                            <w:szCs w:val="24"/>
                          </w:rPr>
                          <w:t xml:space="preserve">Инклюзивный рост  </w:t>
                        </w:r>
                      </w:p>
                    </w:txbxContent>
                  </v:textbox>
                </v:shape>
                <v:shape type="#_x0000_t202" id="Надпись 631" o:spid="_x0000_s1033" style="position:absolute;left:1609725;top:2028825;width:1684020;height:864870" o:allowincell="t" filled="f" strokeweight="0.5pt" stroked="f">
                  <v:textbox inset="3mm,1mm,3mm,1mm">
                    <w:txbxContent>
                      <w:p>
                        <w:pPr>
                          <w:spacing w:lineRule="auto" w:line="240" w:after="0" w:beforeAutospacing="0" w:afterAutospacing="0"/>
                          <w:rPr>
                            <w:rFonts w:ascii="Times New Roman" w:hAnsi="Times New Roman" w:cs="Times New Roman"/>
                            <w:b w:val="1"/>
                            <w:bCs w:val="1"/>
                            <w:sz w:val="24"/>
                            <w:szCs w:val="24"/>
                            <w:u w:val="single"/>
                          </w:rPr>
                        </w:pPr>
                        <w:r>
                          <w:rPr>
                            <w:rFonts w:ascii="Times New Roman" w:hAnsi="Times New Roman" w:cs="Times New Roman"/>
                            <w:b w:val="1"/>
                            <w:bCs w:val="1"/>
                            <w:sz w:val="24"/>
                            <w:szCs w:val="24"/>
                            <w:u w:val="single"/>
                          </w:rPr>
                          <w:t>Окружающая среда</w:t>
                        </w:r>
                      </w:p>
                      <w:p>
                        <w:pPr>
                          <w:spacing w:lineRule="auto" w:line="240" w:after="0" w:beforeAutospacing="0" w:afterAutospacing="0"/>
                          <w:rPr>
                            <w:rFonts w:ascii="Times New Roman" w:hAnsi="Times New Roman" w:cs="Times New Roman"/>
                            <w:sz w:val="24"/>
                            <w:szCs w:val="24"/>
                          </w:rPr>
                        </w:pPr>
                        <w:r>
                          <w:rPr>
                            <w:rFonts w:ascii="Times New Roman" w:hAnsi="Times New Roman" w:cs="Times New Roman"/>
                            <w:sz w:val="24"/>
                            <w:szCs w:val="24"/>
                          </w:rPr>
                          <w:t>- биоразнообразие;</w:t>
                        </w:r>
                      </w:p>
                      <w:p>
                        <w:pPr>
                          <w:spacing w:lineRule="auto" w:line="240" w:after="0" w:beforeAutospacing="0" w:afterAutospacing="0"/>
                          <w:rPr>
                            <w:rFonts w:ascii="Times New Roman" w:hAnsi="Times New Roman" w:cs="Times New Roman"/>
                            <w:sz w:val="24"/>
                            <w:szCs w:val="24"/>
                          </w:rPr>
                        </w:pPr>
                        <w:r>
                          <w:rPr>
                            <w:rFonts w:ascii="Times New Roman" w:hAnsi="Times New Roman" w:cs="Times New Roman"/>
                            <w:sz w:val="24"/>
                            <w:szCs w:val="24"/>
                          </w:rPr>
                          <w:t>- природные ресурсы;</w:t>
                        </w:r>
                      </w:p>
                      <w:p>
                        <w:pPr>
                          <w:spacing w:lineRule="auto" w:line="240" w:after="0" w:beforeAutospacing="0" w:afterAutospacing="0"/>
                          <w:rPr>
                            <w:rFonts w:ascii="Times New Roman" w:hAnsi="Times New Roman" w:cs="Times New Roman"/>
                            <w:sz w:val="24"/>
                            <w:szCs w:val="24"/>
                          </w:rPr>
                        </w:pPr>
                        <w:r>
                          <w:rPr>
                            <w:rFonts w:ascii="Times New Roman" w:hAnsi="Times New Roman" w:cs="Times New Roman"/>
                            <w:sz w:val="24"/>
                            <w:szCs w:val="24"/>
                          </w:rPr>
                          <w:t xml:space="preserve">- загрязнение. </w:t>
                        </w:r>
                      </w:p>
                    </w:txbxContent>
                  </v:textbox>
                </v:shape>
                <v:line id="Прямая соединительная линия 632" o:spid="_x0000_s1034" style="position:absolute;flip:x" strokecolor="#000000" strokeweight="1pt" stroked="t" o:allowincell="t" from="1174750,371475" to="2355128,1963741">
                  <v:stroke dashstyle="dash"/>
                </v:line>
                <v:line id="Прямая соединительная линия 633" o:spid="_x0000_s1035" style="position:absolute" strokecolor="#000000" strokeweight="1pt" stroked="t" o:allowincell="t" from="1177925,1958975" to="3549496,1980978">
                  <v:stroke dashstyle="dash"/>
                </v:line>
                <v:line id="Прямая соединительная линия 634" o:spid="_x0000_s1036" style="position:absolute" strokecolor="#000000" strokeweight="1pt" stroked="t" o:allowincell="t" from="2355850,374650" to="3553696,1978102">
                  <v:stroke dashstyle="dash"/>
                </v:line>
                <v:shape type="#_x0000_t202" id="Надпись 635" o:spid="_x0000_s1037" style="position:absolute;top:2028825;width:1200759;height:447531" o:allowincell="t" filled="f" strokeweight="0.5pt" stroked="f">
                  <v:textbox inset="3mm,1mm,3mm,1mm">
                    <w:txbxContent>
                      <w:p>
                        <w:pPr>
                          <w:spacing w:lineRule="auto" w:line="240" w:after="0" w:beforeAutospacing="0" w:afterAutospacing="0"/>
                          <w:jc w:val="center"/>
                          <w:rPr>
                            <w:rFonts w:ascii="Times New Roman" w:hAnsi="Times New Roman" w:cs="Times New Roman"/>
                            <w:bCs w:val="1"/>
                            <w:sz w:val="24"/>
                            <w:szCs w:val="24"/>
                          </w:rPr>
                        </w:pPr>
                        <w:r>
                          <w:rPr>
                            <w:rFonts w:ascii="Times New Roman" w:hAnsi="Times New Roman" w:cs="Times New Roman"/>
                            <w:bCs w:val="1"/>
                            <w:sz w:val="24"/>
                            <w:szCs w:val="24"/>
                          </w:rPr>
                          <w:t xml:space="preserve">«Треугольник устойчивости»  </w:t>
                        </w:r>
                      </w:p>
                    </w:txbxContent>
                  </v:textbox>
                </v:shape>
                <v:shape type="#_x0000_t202" id="Надпись 636" o:spid="_x0000_s1038" style="position:absolute;left:1457325;top:1527175;width:650980;height:302780" o:allowincell="t" filled="f" strokeweight="0.5pt" stroked="f">
                  <v:textbox inset="3mm,1mm,3mm,1mm">
                    <w:txbxContent>
                      <w:p>
                        <w:pPr>
                          <w:spacing w:lineRule="auto" w:line="240" w:after="0" w:beforeAutospacing="0" w:afterAutospacing="0"/>
                          <w:jc w:val="center"/>
                          <w:rPr>
                            <w:rFonts w:ascii="Times New Roman" w:hAnsi="Times New Roman" w:cs="Times New Roman"/>
                            <w:i w:val="1"/>
                            <w:bCs w:val="1"/>
                            <w:iCs w:val="1"/>
                            <w:sz w:val="24"/>
                            <w:szCs w:val="24"/>
                          </w:rPr>
                        </w:pPr>
                        <w:r>
                          <w:rPr>
                            <w:rFonts w:ascii="Times New Roman" w:hAnsi="Times New Roman" w:cs="Times New Roman"/>
                            <w:i w:val="1"/>
                            <w:bCs w:val="1"/>
                            <w:iCs w:val="1"/>
                            <w:sz w:val="24"/>
                            <w:szCs w:val="24"/>
                          </w:rPr>
                          <w:t xml:space="preserve">Бизнес  </w:t>
                        </w:r>
                      </w:p>
                    </w:txbxContent>
                  </v:textbox>
                </v:shape>
                <v:shape type="#_x0000_t202" id="Надпись 637" o:spid="_x0000_s1039" style="position:absolute;left:2444750;top:1527175;width:926510;height:302780" o:allowincell="t" filled="f" strokeweight="0.5pt" stroked="f">
                  <v:textbox inset="3mm,1mm,3mm,1mm">
                    <w:txbxContent>
                      <w:p>
                        <w:pPr>
                          <w:spacing w:lineRule="auto" w:line="240" w:after="0" w:beforeAutospacing="0" w:afterAutospacing="0"/>
                          <w:jc w:val="center"/>
                          <w:rPr>
                            <w:rFonts w:ascii="Times New Roman" w:hAnsi="Times New Roman" w:cs="Times New Roman"/>
                            <w:i w:val="1"/>
                            <w:bCs w:val="1"/>
                            <w:iCs w:val="1"/>
                            <w:sz w:val="24"/>
                            <w:szCs w:val="24"/>
                          </w:rPr>
                        </w:pPr>
                        <w:r>
                          <w:rPr>
                            <w:rFonts w:ascii="Times New Roman" w:hAnsi="Times New Roman" w:cs="Times New Roman"/>
                            <w:i w:val="1"/>
                            <w:bCs w:val="1"/>
                            <w:iCs w:val="1"/>
                            <w:sz w:val="24"/>
                            <w:szCs w:val="24"/>
                          </w:rPr>
                          <w:t xml:space="preserve">Общество  </w:t>
                        </w:r>
                      </w:p>
                    </w:txbxContent>
                  </v:textbox>
                </v:shape>
                <v:shape type="#_x0000_t202" id="Надпись 638" o:spid="_x0000_s1040" style="position:absolute;left:2032000;top:714375;width:693368;height:302780" o:allowincell="t" filled="f" strokeweight="0.5pt" stroked="f">
                  <v:textbox inset="3mm,1mm,3mm,1mm">
                    <w:txbxContent>
                      <w:p>
                        <w:pPr>
                          <w:spacing w:lineRule="auto" w:line="240" w:after="0" w:beforeAutospacing="0" w:afterAutospacing="0"/>
                          <w:jc w:val="center"/>
                          <w:rPr>
                            <w:rFonts w:ascii="Times New Roman" w:hAnsi="Times New Roman" w:cs="Times New Roman"/>
                            <w:i w:val="1"/>
                            <w:bCs w:val="1"/>
                            <w:iCs w:val="1"/>
                            <w:sz w:val="24"/>
                            <w:szCs w:val="24"/>
                          </w:rPr>
                        </w:pPr>
                        <w:r>
                          <w:rPr>
                            <w:rFonts w:ascii="Times New Roman" w:hAnsi="Times New Roman" w:cs="Times New Roman"/>
                            <w:i w:val="1"/>
                            <w:bCs w:val="1"/>
                            <w:iCs w:val="1"/>
                            <w:sz w:val="24"/>
                            <w:szCs w:val="24"/>
                          </w:rPr>
                          <w:t xml:space="preserve">Власть  </w:t>
                        </w:r>
                      </w:p>
                    </w:txbxContent>
                  </v:textbox>
                </v:shape>
              </v:group>
            </w:pict>
          </mc:Fallback>
        </mc:AlternateContent>
      </w:r>
    </w:p>
    <w:p>
      <w:pPr>
        <w:rPr>
          <w:rFonts w:ascii="Times New Roman" w:hAnsi="Times New Roman" w:cs="Times New Roman"/>
          <w:sz w:val="28"/>
          <w:szCs w:val="28"/>
        </w:rPr>
      </w:pPr>
    </w:p>
    <w:p>
      <w:pPr>
        <w:rPr>
          <w:rFonts w:ascii="Times New Roman" w:hAnsi="Times New Roman" w:cs="Times New Roman"/>
          <w:sz w:val="28"/>
          <w:szCs w:val="28"/>
        </w:rPr>
      </w:pPr>
    </w:p>
    <w:p>
      <w:pPr>
        <w:rPr>
          <w:rFonts w:ascii="Times New Roman" w:hAnsi="Times New Roman" w:cs="Times New Roman"/>
          <w:sz w:val="28"/>
          <w:szCs w:val="28"/>
        </w:rPr>
      </w:pPr>
    </w:p>
    <w:p>
      <w:pPr>
        <w:rPr>
          <w:rFonts w:ascii="Times New Roman" w:hAnsi="Times New Roman" w:cs="Times New Roman"/>
          <w:sz w:val="28"/>
          <w:szCs w:val="28"/>
        </w:rPr>
      </w:pPr>
      <w:r>
        <w:rPr>
          <w:rFonts w:ascii="Times New Roman" w:hAnsi="Times New Roman" w:cs="Times New Roman"/>
          <w:noProof w:val="1"/>
          <w:sz w:val="28"/>
          <w:szCs w:val="28"/>
          <w:lang w:eastAsia="ru-RU"/>
        </w:rPr>
        <mc:AlternateContent>
          <mc:Choice Requires="wps">
            <w:drawing>
              <wp:anchor xmlns:wp="http://schemas.openxmlformats.org/drawingml/2006/wordprocessingDrawing" distT="0" distB="0" distL="114300" distR="114300" simplePos="0" relativeHeight="65" behindDoc="0" locked="0" layoutInCell="1" allowOverlap="1">
                <wp:simplePos x="0" y="0"/>
                <wp:positionH relativeFrom="column">
                  <wp:posOffset>2715260</wp:posOffset>
                </wp:positionH>
                <wp:positionV relativeFrom="paragraph">
                  <wp:posOffset>33020</wp:posOffset>
                </wp:positionV>
                <wp:extent cx="2077720" cy="593725"/>
                <wp:effectExtent l="38100" t="57150" r="17780" b="34925"/>
                <wp:wrapNone/>
                <wp:docPr id="639" name="Прямая со стрелкой 639"/>
                <wp:cNvGraphicFramePr/>
                <a:graphic xmlns:a="http://schemas.openxmlformats.org/drawingml/2006/main">
                  <a:graphicData uri="http://schemas.microsoft.com/office/word/2010/wordprocessingShape">
                    <wps:wsp>
                      <wps:cNvCnPr/>
                      <wps:spPr>
                        <a:xfrm flipV="1" flipH="1">
                          <a:off x="0" y="0"/>
                          <a:ext cx="2078342" cy="594192"/>
                        </a:xfrm>
                        <a:prstGeom prst="straightConnector1"/>
                        <a:ln w="12700">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xmlns:o="urn:schemas-microsoft-com:office:office" id="_x0000_t32" coordsize="21600,21600" o:spt="32" path="m,l21600,21600e" filled="f">
                <v:path fillok="f" o:connecttype="none"/>
                <o:lock v:ext="edit" shapetype="t"/>
              </v:shapetype>
              <v:shape xmlns:o="urn:schemas-microsoft-com:office:office" type="#_x0000_t32" id="Прямая со стрелкой 639" o:spid="_x0000_s1041" style="position:absolute;width:163.6pt;height:46.75pt;flip:x y;z-index:65;mso-wrap-distance-left:9pt;mso-wrap-distance-top:0pt;mso-wrap-distance-right:9pt;mso-wrap-distance-bottom:0pt;margin-left:213.8pt;margin-top:2.6pt;mso-position-horizontal:absolute;mso-position-horizontal-relative:text;mso-position-vertical:absolute;mso-position-vertical-relative:text" strokecolor="#000000" strokeweight="1pt" stroked="t" o:allowincell="t">
                <v:stroke endarrow="block"/>
              </v:shape>
            </w:pict>
          </mc:Fallback>
        </mc:AlternateContent>
      </w:r>
    </w:p>
    <w:p>
      <w:pPr>
        <w:rPr>
          <w:rFonts w:ascii="Times New Roman" w:hAnsi="Times New Roman" w:cs="Times New Roman"/>
          <w:sz w:val="28"/>
          <w:szCs w:val="28"/>
        </w:rPr>
      </w:pPr>
      <w:r>
        <w:rPr>
          <w:rFonts w:ascii="Times New Roman" w:hAnsi="Times New Roman" w:cs="Times New Roman"/>
          <w:noProof w:val="1"/>
          <w:sz w:val="28"/>
          <w:szCs w:val="28"/>
          <w:lang w:eastAsia="ru-RU"/>
        </w:rPr>
        <mc:AlternateContent>
          <mc:Choice Requires="wps">
            <w:drawing>
              <wp:anchor xmlns:wp="http://schemas.openxmlformats.org/drawingml/2006/wordprocessingDrawing" distT="0" distB="0" distL="114300" distR="114300" simplePos="0" relativeHeight="66" behindDoc="0" locked="0" layoutInCell="1" allowOverlap="1">
                <wp:simplePos x="0" y="0"/>
                <wp:positionH relativeFrom="column">
                  <wp:posOffset>994410</wp:posOffset>
                </wp:positionH>
                <wp:positionV relativeFrom="paragraph">
                  <wp:posOffset>79375</wp:posOffset>
                </wp:positionV>
                <wp:extent cx="789940" cy="372745"/>
                <wp:effectExtent l="0" t="38100" r="48260" b="27305"/>
                <wp:wrapNone/>
                <wp:docPr id="259" name="Прямая со стрелкой 259"/>
                <wp:cNvGraphicFramePr/>
                <a:graphic xmlns:a="http://schemas.openxmlformats.org/drawingml/2006/main">
                  <a:graphicData uri="http://schemas.microsoft.com/office/word/2010/wordprocessingShape">
                    <wps:wsp>
                      <wps:cNvCnPr/>
                      <wps:spPr>
                        <a:xfrm flipV="1">
                          <a:off x="0" y="0"/>
                          <a:ext cx="790087" cy="372944"/>
                        </a:xfrm>
                        <a:prstGeom prst="straightConnector1"/>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xmlns:o="urn:schemas-microsoft-com:office:office" type="#_x0000_t32" id="Прямая со стрелкой 259" o:spid="_x0000_s1042" style="position:absolute;width:62.2pt;height:29.35pt;flip:y;z-index:66;mso-wrap-distance-left:9pt;mso-wrap-distance-top:0pt;mso-wrap-distance-right:9pt;mso-wrap-distance-bottom:0pt;margin-left:78.3pt;margin-top:6.25pt;mso-position-horizontal:absolute;mso-position-horizontal-relative:text;mso-position-vertical:absolute;mso-position-vertical-relative:text" strokecolor="#000000" strokeweight="0.5pt" stroked="t" o:allowincell="t">
                <v:stroke endarrow="block"/>
              </v:shape>
            </w:pict>
          </mc:Fallback>
        </mc:AlternateContent>
      </w:r>
    </w:p>
    <w:p>
      <w:pPr>
        <w:rPr>
          <w:rFonts w:ascii="Times New Roman" w:hAnsi="Times New Roman" w:cs="Times New Roman"/>
          <w:sz w:val="28"/>
          <w:szCs w:val="28"/>
        </w:rPr>
      </w:pPr>
    </w:p>
    <w:p>
      <w:pPr>
        <w:rPr>
          <w:rFonts w:ascii="Times New Roman" w:hAnsi="Times New Roman" w:cs="Times New Roman"/>
          <w:sz w:val="28"/>
          <w:szCs w:val="28"/>
        </w:rPr>
      </w:pPr>
    </w:p>
    <w:p>
      <w:pPr>
        <w:jc w:val="center"/>
        <w:rPr>
          <w:rFonts w:ascii="Times New Roman" w:hAnsi="Times New Roman" w:cs="Times New Roman"/>
          <w:sz w:val="28"/>
          <w:szCs w:val="28"/>
        </w:rPr>
      </w:pPr>
    </w:p>
    <w:p>
      <w:pPr>
        <w:jc w:val="center"/>
        <w:rPr>
          <w:rFonts w:ascii="Times New Roman" w:hAnsi="Times New Roman" w:cs="Times New Roman"/>
          <w:sz w:val="28"/>
          <w:szCs w:val="28"/>
        </w:rPr>
      </w:pPr>
    </w:p>
    <w:p>
      <w:pPr>
        <w:tabs>
          <w:tab w:val="left" w:pos="443" w:leader="none"/>
          <w:tab w:val="left" w:pos="3996" w:leader="none"/>
        </w:tabs>
        <w:spacing w:lineRule="auto" w:line="360" w:after="0" w:beforeAutospacing="0" w:afterAutospacing="0"/>
        <w:jc w:val="center"/>
        <w:rPr>
          <w:rFonts w:ascii="Times New Roman" w:hAnsi="Times New Roman" w:cs="Times New Roman"/>
          <w:sz w:val="28"/>
          <w:szCs w:val="28"/>
        </w:rPr>
      </w:pPr>
      <w:r>
        <w:rPr>
          <w:rFonts w:ascii="Times New Roman" w:hAnsi="Times New Roman" w:cs="Times New Roman"/>
          <w:sz w:val="28"/>
          <w:szCs w:val="28"/>
        </w:rPr>
        <w:t>Рисунок 1 – Согласование целей устойчивого развития в рамках концепции инклюзивного роста (составлено автором)</w:t>
      </w:r>
    </w:p>
    <w:p>
      <w:pPr>
        <w:pStyle w:val="P13"/>
        <w:spacing w:lineRule="auto" w:line="360" w:beforeAutospacing="0" w:afterAutospacing="0"/>
        <w:ind w:firstLine="709"/>
        <w:jc w:val="both"/>
        <w:rPr>
          <w:sz w:val="28"/>
          <w:szCs w:val="28"/>
          <w:lang w:val="ru-RU"/>
        </w:rPr>
      </w:pPr>
    </w:p>
    <w:p>
      <w:pPr>
        <w:pStyle w:val="P13"/>
        <w:spacing w:lineRule="auto" w:line="360" w:beforeAutospacing="0" w:afterAutospacing="0"/>
        <w:ind w:firstLine="709"/>
        <w:jc w:val="both"/>
        <w:rPr>
          <w:sz w:val="28"/>
          <w:szCs w:val="28"/>
          <w:lang w:val="ru-RU"/>
        </w:rPr>
      </w:pPr>
      <w:r>
        <w:rPr>
          <w:sz w:val="28"/>
          <w:szCs w:val="28"/>
          <w:lang w:val="ru-RU"/>
        </w:rPr>
        <w:t>В этой связи в современных исследованиях устойчивого развития все большее внимание уделяется вопросам включенности экономических агентов и территорий в процессы создания и распределения результатов развития. Данный сдвиг отражает переход от статической модели балансирования трех компонентов устойчивости к анализу динамических механизмов роста, доступности экономических возможностей и участия в развитии, что находит отражение в формировании концепции инклюзивного роста (</w:t>
      </w:r>
      <w:r>
        <w:rPr>
          <w:sz w:val="28"/>
          <w:szCs w:val="28"/>
          <w:highlight w:val="yellow"/>
          <w:lang w:val="ru-RU"/>
        </w:rPr>
        <w:t>OECD; World Economic Forum; UNDP</w:t>
      </w:r>
      <w:r>
        <w:rPr>
          <w:sz w:val="28"/>
          <w:szCs w:val="28"/>
          <w:lang w:val="ru-RU"/>
        </w:rPr>
        <w:t>).</w:t>
      </w:r>
    </w:p>
    <w:p>
      <w:pPr>
        <w:pStyle w:val="P13"/>
        <w:spacing w:lineRule="auto" w:line="360" w:beforeAutospacing="0" w:afterAutospacing="0"/>
        <w:ind w:firstLine="709"/>
        <w:jc w:val="both"/>
        <w:rPr>
          <w:sz w:val="28"/>
          <w:szCs w:val="28"/>
          <w:lang w:val="ru-RU"/>
        </w:rPr>
      </w:pPr>
      <w:r>
        <w:rPr>
          <w:sz w:val="28"/>
          <w:szCs w:val="28"/>
          <w:lang w:val="ru-RU"/>
        </w:rPr>
        <w:t>Инклюзивный рост в этом контексте рассматривается как инструмент операционализации устойчивого развития, позволяющий связать макроэкономические цели с институциональными и социальными механизмами вовлечения, а также с факторами выбора стратегий развития в условиях структурных и ресурсных ограничений (рисунок 2).</w:t>
      </w:r>
    </w:p>
    <w:p>
      <w:pPr>
        <w:pStyle w:val="P13"/>
        <w:spacing w:lineRule="auto" w:line="360" w:beforeAutospacing="0" w:afterAutospacing="0"/>
        <w:ind w:firstLine="709"/>
        <w:jc w:val="both"/>
        <w:rPr>
          <w:sz w:val="28"/>
          <w:szCs w:val="28"/>
          <w:lang w:val="ru-RU"/>
        </w:rPr>
      </w:pPr>
      <w:r>
        <w:rPr>
          <w:sz w:val="28"/>
          <w:szCs w:val="28"/>
          <w:lang w:val="ru-RU"/>
        </w:rPr>
        <w:t>Указанные обстоятельства обусловливают необходимость перехода от общей концепции устойчивого развития к анализу инклюзивного развития, позволяющего раскрыть механизмы расширения участия экономических агентов и территорий в процессах создания и распределения результатов развития и тем самым операционализировать цели устойчивости в условиях институциональной и социально-экономической неоднородности.</w:t>
      </w:r>
    </w:p>
    <w:p>
      <w:pPr>
        <w:pStyle w:val="P13"/>
        <w:spacing w:lineRule="auto" w:line="360" w:beforeAutospacing="0" w:afterAutospacing="0"/>
        <w:ind w:firstLine="709"/>
        <w:jc w:val="both"/>
        <w:rPr>
          <w:sz w:val="28"/>
          <w:szCs w:val="28"/>
          <w:lang w:val="ru-RU"/>
        </w:rPr>
      </w:pPr>
    </w:p>
    <w:p>
      <w:pPr>
        <w:tabs>
          <w:tab w:val="left" w:pos="437" w:leader="none"/>
        </w:tabs>
        <w:rPr>
          <w:rFonts w:ascii="Times New Roman" w:hAnsi="Times New Roman" w:cs="Times New Roman"/>
          <w:sz w:val="28"/>
          <w:szCs w:val="28"/>
        </w:rPr>
      </w:pPr>
      <w:r>
        <w:rPr>
          <w:rFonts w:ascii="Times New Roman" w:hAnsi="Times New Roman" w:cs="Times New Roman"/>
          <w:noProof w:val="1"/>
          <w:sz w:val="28"/>
          <w:szCs w:val="28"/>
          <w:lang w:eastAsia="ru-RU"/>
        </w:rPr>
        <mc:AlternateContent>
          <mc:Choice Requires="wpg">
            <w:drawing>
              <wp:anchor xmlns:wp="http://schemas.openxmlformats.org/drawingml/2006/wordprocessingDrawing" distT="0" distB="0" distL="114300" distR="114300" simplePos="0" relativeHeight="63" behindDoc="0" locked="0" layoutInCell="1" allowOverlap="1">
                <wp:simplePos x="0" y="0"/>
                <wp:positionH relativeFrom="column">
                  <wp:posOffset>1905</wp:posOffset>
                </wp:positionH>
                <wp:positionV relativeFrom="paragraph">
                  <wp:posOffset>160020</wp:posOffset>
                </wp:positionV>
                <wp:extent cx="5912485" cy="2284730"/>
                <wp:effectExtent l="0" t="0" r="12065" b="20320"/>
                <wp:wrapNone/>
                <wp:docPr id="79" name="Группа 79"/>
                <wp:cNvGraphicFramePr/>
                <a:graphic xmlns:a="http://schemas.openxmlformats.org/drawingml/2006/main">
                  <a:graphicData uri="http://schemas.microsoft.com/office/word/2010/wordprocessingGroup">
                    <wpg:wgp>
                      <wpg:cNvGrpSpPr/>
                      <wpg:grpSpPr>
                        <a:xfrm>
                          <a:off x="0" y="0"/>
                          <a:ext cx="5912639" cy="2285208"/>
                          <a:chOff x="0" y="0"/>
                          <a:chExt cx="5912639" cy="2285208"/>
                        </a:xfrm>
                      </wpg:grpSpPr>
                      <wps:wsp>
                        <wps:cNvPr id="64" name="Надпись 64"/>
                        <wps:cNvSpPr txBox="1"/>
                        <wps:spPr>
                          <a:xfrm>
                            <a:off x="918210" y="0"/>
                            <a:ext cx="3550024" cy="318591"/>
                          </a:xfrm>
                          <a:prstGeom prst="rect"/>
                          <a:solidFill>
                            <a:schemeClr val="lt1"/>
                          </a:solidFill>
                          <a:ln w="19050">
                            <a:solidFill>
                              <a:prstClr val="black"/>
                            </a:solidFill>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spacing w:lineRule="auto" w:line="240" w:after="0" w:beforeAutospacing="0" w:afterAutospacing="0"/>
                                <w:jc w:val="center"/>
                                <w:rPr>
                                  <w:rFonts w:ascii="Times New Roman" w:hAnsi="Times New Roman" w:cs="Times New Roman"/>
                                  <w:b w:val="1"/>
                                  <w:sz w:val="24"/>
                                  <w:szCs w:val="24"/>
                                </w:rPr>
                              </w:pPr>
                              <w:r>
                                <w:rPr>
                                  <w:rFonts w:ascii="Times New Roman" w:hAnsi="Times New Roman" w:cs="Times New Roman"/>
                                  <w:b w:val="1"/>
                                  <w:sz w:val="24"/>
                                  <w:szCs w:val="24"/>
                                </w:rPr>
                                <w:t>Драйверы стратегий инклюзивного роста</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65" name="Надпись 65"/>
                        <wps:cNvSpPr txBox="1"/>
                        <wps:spPr>
                          <a:xfrm>
                            <a:off x="0" y="476250"/>
                            <a:ext cx="2544599" cy="318591"/>
                          </a:xfrm>
                          <a:prstGeom prst="rect"/>
                          <a:solidFill>
                            <a:schemeClr val="lt1"/>
                          </a:solidFill>
                          <a:ln w="19050">
                            <a:solidFill>
                              <a:prstClr val="black"/>
                            </a:solidFill>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spacing w:lineRule="auto" w:line="240" w:after="0" w:beforeAutospacing="0" w:afterAutospacing="0"/>
                                <w:jc w:val="center"/>
                                <w:rPr>
                                  <w:rFonts w:ascii="Times New Roman" w:hAnsi="Times New Roman" w:cs="Times New Roman"/>
                                  <w:sz w:val="24"/>
                                  <w:szCs w:val="24"/>
                                </w:rPr>
                              </w:pPr>
                              <w:r>
                                <w:rPr>
                                  <w:rFonts w:ascii="Times New Roman" w:hAnsi="Times New Roman" w:cs="Times New Roman"/>
                                  <w:sz w:val="24"/>
                                  <w:szCs w:val="24"/>
                                </w:rPr>
                                <w:t>Фискальные обязательства</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66" name="Надпись 66"/>
                        <wps:cNvSpPr txBox="1"/>
                        <wps:spPr>
                          <a:xfrm>
                            <a:off x="0" y="910590"/>
                            <a:ext cx="2544599" cy="318591"/>
                          </a:xfrm>
                          <a:prstGeom prst="rect"/>
                          <a:solidFill>
                            <a:schemeClr val="lt1"/>
                          </a:solidFill>
                          <a:ln w="19050">
                            <a:solidFill>
                              <a:prstClr val="black"/>
                            </a:solidFill>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spacing w:lineRule="auto" w:line="240" w:after="0" w:beforeAutospacing="0" w:afterAutospacing="0"/>
                                <w:jc w:val="center"/>
                                <w:rPr>
                                  <w:rFonts w:ascii="Times New Roman" w:hAnsi="Times New Roman" w:cs="Times New Roman"/>
                                  <w:sz w:val="24"/>
                                  <w:szCs w:val="24"/>
                                </w:rPr>
                              </w:pPr>
                              <w:r>
                                <w:rPr>
                                  <w:rFonts w:ascii="Times New Roman" w:hAnsi="Times New Roman" w:cs="Times New Roman"/>
                                  <w:sz w:val="24"/>
                                  <w:szCs w:val="24"/>
                                </w:rPr>
                                <w:t>Общественная активность</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67" name="Надпись 67"/>
                        <wps:cNvSpPr txBox="1"/>
                        <wps:spPr>
                          <a:xfrm>
                            <a:off x="0" y="1325880"/>
                            <a:ext cx="2544599" cy="459269"/>
                          </a:xfrm>
                          <a:prstGeom prst="rect"/>
                          <a:solidFill>
                            <a:schemeClr val="lt1"/>
                          </a:solidFill>
                          <a:ln w="19050">
                            <a:solidFill>
                              <a:prstClr val="black"/>
                            </a:solidFill>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spacing w:lineRule="auto" w:line="240" w:after="0" w:beforeAutospacing="0" w:afterAutospacing="0"/>
                                <w:jc w:val="center"/>
                                <w:rPr>
                                  <w:rFonts w:ascii="Times New Roman" w:hAnsi="Times New Roman" w:cs="Times New Roman"/>
                                  <w:sz w:val="24"/>
                                  <w:szCs w:val="24"/>
                                </w:rPr>
                              </w:pPr>
                              <w:r>
                                <w:rPr>
                                  <w:rFonts w:ascii="Times New Roman" w:hAnsi="Times New Roman" w:cs="Times New Roman"/>
                                  <w:sz w:val="24"/>
                                  <w:szCs w:val="24"/>
                                </w:rPr>
                                <w:t>Национальное и международное влияние</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68" name="Надпись 68"/>
                        <wps:cNvSpPr txBox="1"/>
                        <wps:spPr>
                          <a:xfrm>
                            <a:off x="3368040" y="472440"/>
                            <a:ext cx="2544599" cy="318591"/>
                          </a:xfrm>
                          <a:prstGeom prst="rect"/>
                          <a:solidFill>
                            <a:schemeClr val="lt1"/>
                          </a:solidFill>
                          <a:ln w="19050">
                            <a:solidFill>
                              <a:prstClr val="black"/>
                            </a:solidFill>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spacing w:lineRule="auto" w:line="240" w:after="0" w:beforeAutospacing="0" w:afterAutospacing="0"/>
                                <w:jc w:val="center"/>
                                <w:rPr>
                                  <w:rFonts w:ascii="Times New Roman" w:hAnsi="Times New Roman" w:cs="Times New Roman"/>
                                  <w:sz w:val="24"/>
                                  <w:szCs w:val="24"/>
                                  <w:lang w:val="en-US"/>
                                </w:rPr>
                              </w:pPr>
                              <w:r>
                                <w:rPr>
                                  <w:rFonts w:ascii="Times New Roman" w:hAnsi="Times New Roman" w:cs="Times New Roman"/>
                                  <w:sz w:val="24"/>
                                  <w:szCs w:val="24"/>
                                </w:rPr>
                                <w:t>Солидарность в решении проблем</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69" name="Надпись 69"/>
                        <wps:cNvSpPr txBox="1"/>
                        <wps:spPr>
                          <a:xfrm>
                            <a:off x="3368040" y="1325880"/>
                            <a:ext cx="2544445" cy="459105"/>
                          </a:xfrm>
                          <a:prstGeom prst="rect"/>
                          <a:solidFill>
                            <a:schemeClr val="lt1"/>
                          </a:solidFill>
                          <a:ln w="19050">
                            <a:solidFill>
                              <a:prstClr val="black"/>
                            </a:solidFill>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spacing w:lineRule="auto" w:line="240" w:after="0" w:beforeAutospacing="0" w:afterAutospacing="0"/>
                                <w:jc w:val="center"/>
                                <w:rPr>
                                  <w:rFonts w:ascii="Times New Roman" w:hAnsi="Times New Roman" w:cs="Times New Roman"/>
                                  <w:sz w:val="24"/>
                                  <w:szCs w:val="24"/>
                                </w:rPr>
                              </w:pPr>
                              <w:r>
                                <w:rPr>
                                  <w:rFonts w:ascii="Times New Roman" w:hAnsi="Times New Roman" w:cs="Times New Roman"/>
                                  <w:sz w:val="24"/>
                                  <w:szCs w:val="24"/>
                                </w:rPr>
                                <w:t>Обеспокоенность по поводу темпов роста</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70" name="Надпись 70"/>
                        <wps:cNvSpPr txBox="1"/>
                        <wps:spPr>
                          <a:xfrm>
                            <a:off x="3368040" y="910590"/>
                            <a:ext cx="2544599" cy="318591"/>
                          </a:xfrm>
                          <a:prstGeom prst="rect"/>
                          <a:solidFill>
                            <a:schemeClr val="lt1"/>
                          </a:solidFill>
                          <a:ln w="19050">
                            <a:solidFill>
                              <a:prstClr val="black"/>
                            </a:solidFill>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spacing w:lineRule="auto" w:line="240" w:after="0" w:beforeAutospacing="0" w:afterAutospacing="0"/>
                                <w:jc w:val="center"/>
                                <w:rPr>
                                  <w:rFonts w:ascii="Times New Roman" w:hAnsi="Times New Roman" w:cs="Times New Roman"/>
                                  <w:sz w:val="24"/>
                                  <w:szCs w:val="24"/>
                                  <w:lang w:val="en-US"/>
                                </w:rPr>
                              </w:pPr>
                              <w:r>
                                <w:rPr>
                                  <w:rFonts w:ascii="Times New Roman" w:hAnsi="Times New Roman" w:cs="Times New Roman"/>
                                  <w:sz w:val="24"/>
                                  <w:szCs w:val="24"/>
                                </w:rPr>
                                <w:t>Обмен опытом и данными</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71" name="Надпись 71"/>
                        <wps:cNvSpPr txBox="1"/>
                        <wps:spPr>
                          <a:xfrm>
                            <a:off x="1645920" y="1958340"/>
                            <a:ext cx="2544445" cy="326867"/>
                          </a:xfrm>
                          <a:prstGeom prst="rect"/>
                          <a:solidFill>
                            <a:schemeClr val="lt1"/>
                          </a:solidFill>
                          <a:ln w="19050">
                            <a:solidFill>
                              <a:prstClr val="black"/>
                            </a:solidFill>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spacing w:lineRule="auto" w:line="240" w:after="0" w:beforeAutospacing="0" w:afterAutospacing="0"/>
                                <w:jc w:val="center"/>
                                <w:rPr>
                                  <w:rFonts w:ascii="Times New Roman" w:hAnsi="Times New Roman" w:cs="Times New Roman"/>
                                  <w:sz w:val="24"/>
                                  <w:szCs w:val="24"/>
                                </w:rPr>
                              </w:pPr>
                              <w:r>
                                <w:rPr>
                                  <w:rFonts w:ascii="Times New Roman" w:hAnsi="Times New Roman" w:cs="Times New Roman"/>
                                  <w:sz w:val="24"/>
                                  <w:szCs w:val="24"/>
                                </w:rPr>
                                <w:t>Долгосрочные цели</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72" name="Прямая соединительная линия 72"/>
                        <wps:cNvCnPr/>
                        <wps:spPr>
                          <a:xfrm flipH="1">
                            <a:off x="2960370" y="323850"/>
                            <a:ext cx="3810" cy="1630680"/>
                          </a:xfrm>
                          <a:prstGeom prst="line"/>
                        </wps:spPr>
                        <wps:style>
                          <a:lnRef idx="1">
                            <a:schemeClr val="dk1"/>
                          </a:lnRef>
                          <a:fillRef idx="0">
                            <a:schemeClr val="dk1"/>
                          </a:fillRef>
                          <a:effectRef idx="0">
                            <a:schemeClr val="dk1"/>
                          </a:effectRef>
                          <a:fontRef idx="minor">
                            <a:schemeClr val="tx1"/>
                          </a:fontRef>
                        </wps:style>
                        <wps:bodyPr/>
                      </wps:wsp>
                      <wps:wsp>
                        <wps:cNvPr id="73" name="Прямая соединительная линия 73"/>
                        <wps:cNvCnPr/>
                        <wps:spPr>
                          <a:xfrm>
                            <a:off x="2533650" y="586740"/>
                            <a:ext cx="427355" cy="0"/>
                          </a:xfrm>
                          <a:prstGeom prst="line"/>
                        </wps:spPr>
                        <wps:style>
                          <a:lnRef idx="1">
                            <a:schemeClr val="dk1"/>
                          </a:lnRef>
                          <a:fillRef idx="0">
                            <a:schemeClr val="dk1"/>
                          </a:fillRef>
                          <a:effectRef idx="0">
                            <a:schemeClr val="dk1"/>
                          </a:effectRef>
                          <a:fontRef idx="minor">
                            <a:schemeClr val="tx1"/>
                          </a:fontRef>
                        </wps:style>
                        <wps:bodyPr/>
                      </wps:wsp>
                      <wps:wsp>
                        <wps:cNvPr id="74" name="Прямая соединительная линия 74"/>
                        <wps:cNvCnPr/>
                        <wps:spPr>
                          <a:xfrm>
                            <a:off x="2964180" y="697230"/>
                            <a:ext cx="407670" cy="0"/>
                          </a:xfrm>
                          <a:prstGeom prst="line"/>
                        </wps:spPr>
                        <wps:style>
                          <a:lnRef idx="1">
                            <a:schemeClr val="dk1"/>
                          </a:lnRef>
                          <a:fillRef idx="0">
                            <a:schemeClr val="dk1"/>
                          </a:fillRef>
                          <a:effectRef idx="0">
                            <a:schemeClr val="dk1"/>
                          </a:effectRef>
                          <a:fontRef idx="minor">
                            <a:schemeClr val="tx1"/>
                          </a:fontRef>
                        </wps:style>
                        <wps:bodyPr/>
                      </wps:wsp>
                      <wps:wsp>
                        <wps:cNvPr id="75" name="Прямая соединительная линия 75"/>
                        <wps:cNvCnPr/>
                        <wps:spPr>
                          <a:xfrm>
                            <a:off x="2960370" y="1002030"/>
                            <a:ext cx="407670" cy="0"/>
                          </a:xfrm>
                          <a:prstGeom prst="line"/>
                        </wps:spPr>
                        <wps:style>
                          <a:lnRef idx="1">
                            <a:schemeClr val="dk1"/>
                          </a:lnRef>
                          <a:fillRef idx="0">
                            <a:schemeClr val="dk1"/>
                          </a:fillRef>
                          <a:effectRef idx="0">
                            <a:schemeClr val="dk1"/>
                          </a:effectRef>
                          <a:fontRef idx="minor">
                            <a:schemeClr val="tx1"/>
                          </a:fontRef>
                        </wps:style>
                        <wps:bodyPr/>
                      </wps:wsp>
                      <wps:wsp>
                        <wps:cNvPr id="76" name="Прямая соединительная линия 76"/>
                        <wps:cNvCnPr/>
                        <wps:spPr>
                          <a:xfrm>
                            <a:off x="2537460" y="1116330"/>
                            <a:ext cx="427355" cy="0"/>
                          </a:xfrm>
                          <a:prstGeom prst="line"/>
                        </wps:spPr>
                        <wps:style>
                          <a:lnRef idx="1">
                            <a:schemeClr val="dk1"/>
                          </a:lnRef>
                          <a:fillRef idx="0">
                            <a:schemeClr val="dk1"/>
                          </a:fillRef>
                          <a:effectRef idx="0">
                            <a:schemeClr val="dk1"/>
                          </a:effectRef>
                          <a:fontRef idx="minor">
                            <a:schemeClr val="tx1"/>
                          </a:fontRef>
                        </wps:style>
                        <wps:bodyPr/>
                      </wps:wsp>
                      <wps:wsp>
                        <wps:cNvPr id="77" name="Прямая соединительная линия 77"/>
                        <wps:cNvCnPr/>
                        <wps:spPr>
                          <a:xfrm>
                            <a:off x="2541270" y="1463040"/>
                            <a:ext cx="427355" cy="0"/>
                          </a:xfrm>
                          <a:prstGeom prst="line"/>
                        </wps:spPr>
                        <wps:style>
                          <a:lnRef idx="1">
                            <a:schemeClr val="dk1"/>
                          </a:lnRef>
                          <a:fillRef idx="0">
                            <a:schemeClr val="dk1"/>
                          </a:fillRef>
                          <a:effectRef idx="0">
                            <a:schemeClr val="dk1"/>
                          </a:effectRef>
                          <a:fontRef idx="minor">
                            <a:schemeClr val="tx1"/>
                          </a:fontRef>
                        </wps:style>
                        <wps:bodyPr/>
                      </wps:wsp>
                      <wps:wsp>
                        <wps:cNvPr id="78" name="Прямая соединительная линия 78"/>
                        <wps:cNvCnPr/>
                        <wps:spPr>
                          <a:xfrm>
                            <a:off x="2964180" y="1615440"/>
                            <a:ext cx="407670" cy="0"/>
                          </a:xfrm>
                          <a:prstGeom prst="line"/>
                        </wps:spPr>
                        <wps:style>
                          <a:lnRef idx="1">
                            <a:schemeClr val="dk1"/>
                          </a:lnRef>
                          <a:fillRef idx="0">
                            <a:schemeClr val="dk1"/>
                          </a:fillRef>
                          <a:effectRef idx="0">
                            <a:schemeClr val="dk1"/>
                          </a:effectRef>
                          <a:fontRef idx="minor">
                            <a:schemeClr val="tx1"/>
                          </a:fontRef>
                        </wps:style>
                        <wps:bodyPr/>
                      </wps:wsp>
                    </wpg:wgp>
                  </a:graphicData>
                </a:graphic>
              </wp:anchor>
            </w:drawing>
          </mc:Choice>
          <mc:Fallback>
            <w:pict>
              <v:group xmlns:o="urn:schemas-microsoft-com:office:office" id="Группа 79" style="position:absolute;width:465.55pt;height:179.9pt;z-index:63;mso-wrap-distance-left:9pt;mso-wrap-distance-top:0pt;mso-wrap-distance-right:9pt;mso-wrap-distance-bottom:0pt;margin-left:0.15pt;margin-top:12.6pt;mso-position-horizontal:absolute;mso-position-horizontal-relative:text;mso-position-vertical:absolute;mso-position-vertical-relative:text" coordsize="5912638,2285207" o:allowincell="t">
                <v:shape type="#_x0000_t202" id="Надпись 64" o:spid="_x0000_s1044" style="position:absolute;left:918210;width:3550023;height:318590" o:allowincell="t" fillcolor="#FFFFFF" strokecolor="#000000" strokeweight="1.5pt" stroked="t">
                  <v:textbox inset="3mm,1mm,3mm,1mm">
                    <w:txbxContent>
                      <w:p>
                        <w:pPr>
                          <w:spacing w:lineRule="auto" w:line="240" w:after="0" w:beforeAutospacing="0" w:afterAutospacing="0"/>
                          <w:jc w:val="center"/>
                          <w:rPr>
                            <w:rFonts w:ascii="Times New Roman" w:hAnsi="Times New Roman" w:cs="Times New Roman"/>
                            <w:b w:val="1"/>
                            <w:sz w:val="24"/>
                            <w:szCs w:val="24"/>
                          </w:rPr>
                        </w:pPr>
                        <w:r>
                          <w:rPr>
                            <w:rFonts w:ascii="Times New Roman" w:hAnsi="Times New Roman" w:cs="Times New Roman"/>
                            <w:b w:val="1"/>
                            <w:sz w:val="24"/>
                            <w:szCs w:val="24"/>
                          </w:rPr>
                          <w:t>Драйверы стратегий инклюзивного роста</w:t>
                        </w:r>
                      </w:p>
                    </w:txbxContent>
                  </v:textbox>
                </v:shape>
                <v:shape type="#_x0000_t202" id="Надпись 65" o:spid="_x0000_s1045" style="position:absolute;top:476250;width:2544598;height:318590" o:allowincell="t" fillcolor="#FFFFFF" strokecolor="#000000" strokeweight="1.5pt" stroked="t">
                  <v:textbox inset="3mm,1mm,3mm,1mm">
                    <w:txbxContent>
                      <w:p>
                        <w:pPr>
                          <w:spacing w:lineRule="auto" w:line="240" w:after="0" w:beforeAutospacing="0" w:afterAutospacing="0"/>
                          <w:jc w:val="center"/>
                          <w:rPr>
                            <w:rFonts w:ascii="Times New Roman" w:hAnsi="Times New Roman" w:cs="Times New Roman"/>
                            <w:sz w:val="24"/>
                            <w:szCs w:val="24"/>
                          </w:rPr>
                        </w:pPr>
                        <w:r>
                          <w:rPr>
                            <w:rFonts w:ascii="Times New Roman" w:hAnsi="Times New Roman" w:cs="Times New Roman"/>
                            <w:sz w:val="24"/>
                            <w:szCs w:val="24"/>
                          </w:rPr>
                          <w:t>Фискальные обязательства</w:t>
                        </w:r>
                      </w:p>
                    </w:txbxContent>
                  </v:textbox>
                </v:shape>
                <v:shape type="#_x0000_t202" id="Надпись 66" o:spid="_x0000_s1046" style="position:absolute;top:910590;width:2544598;height:318590" o:allowincell="t" fillcolor="#FFFFFF" strokecolor="#000000" strokeweight="1.5pt" stroked="t">
                  <v:textbox inset="3mm,1mm,3mm,1mm">
                    <w:txbxContent>
                      <w:p>
                        <w:pPr>
                          <w:spacing w:lineRule="auto" w:line="240" w:after="0" w:beforeAutospacing="0" w:afterAutospacing="0"/>
                          <w:jc w:val="center"/>
                          <w:rPr>
                            <w:rFonts w:ascii="Times New Roman" w:hAnsi="Times New Roman" w:cs="Times New Roman"/>
                            <w:sz w:val="24"/>
                            <w:szCs w:val="24"/>
                          </w:rPr>
                        </w:pPr>
                        <w:r>
                          <w:rPr>
                            <w:rFonts w:ascii="Times New Roman" w:hAnsi="Times New Roman" w:cs="Times New Roman"/>
                            <w:sz w:val="24"/>
                            <w:szCs w:val="24"/>
                          </w:rPr>
                          <w:t>Общественная активность</w:t>
                        </w:r>
                      </w:p>
                    </w:txbxContent>
                  </v:textbox>
                </v:shape>
                <v:shape type="#_x0000_t202" id="Надпись 67" o:spid="_x0000_s1047" style="position:absolute;top:1325880;width:2544598;height:459268" o:allowincell="t" fillcolor="#FFFFFF" strokecolor="#000000" strokeweight="1.5pt" stroked="t">
                  <v:textbox inset="3mm,1mm,3mm,1mm">
                    <w:txbxContent>
                      <w:p>
                        <w:pPr>
                          <w:spacing w:lineRule="auto" w:line="240" w:after="0" w:beforeAutospacing="0" w:afterAutospacing="0"/>
                          <w:jc w:val="center"/>
                          <w:rPr>
                            <w:rFonts w:ascii="Times New Roman" w:hAnsi="Times New Roman" w:cs="Times New Roman"/>
                            <w:sz w:val="24"/>
                            <w:szCs w:val="24"/>
                          </w:rPr>
                        </w:pPr>
                        <w:r>
                          <w:rPr>
                            <w:rFonts w:ascii="Times New Roman" w:hAnsi="Times New Roman" w:cs="Times New Roman"/>
                            <w:sz w:val="24"/>
                            <w:szCs w:val="24"/>
                          </w:rPr>
                          <w:t>Национальное и международное влияние</w:t>
                        </w:r>
                      </w:p>
                    </w:txbxContent>
                  </v:textbox>
                </v:shape>
                <v:shape type="#_x0000_t202" id="Надпись 68" o:spid="_x0000_s1048" style="position:absolute;left:3368040;top:472440;width:2544598;height:318590" o:allowincell="t" fillcolor="#FFFFFF" strokecolor="#000000" strokeweight="1.5pt" stroked="t">
                  <v:textbox inset="3mm,1mm,3mm,1mm">
                    <w:txbxContent>
                      <w:p>
                        <w:pPr>
                          <w:spacing w:lineRule="auto" w:line="240" w:after="0" w:beforeAutospacing="0" w:afterAutospacing="0"/>
                          <w:jc w:val="center"/>
                          <w:rPr>
                            <w:rFonts w:ascii="Times New Roman" w:hAnsi="Times New Roman" w:cs="Times New Roman"/>
                            <w:sz w:val="24"/>
                            <w:szCs w:val="24"/>
                            <w:lang w:val="en-US"/>
                          </w:rPr>
                        </w:pPr>
                        <w:r>
                          <w:rPr>
                            <w:rFonts w:ascii="Times New Roman" w:hAnsi="Times New Roman" w:cs="Times New Roman"/>
                            <w:sz w:val="24"/>
                            <w:szCs w:val="24"/>
                          </w:rPr>
                          <w:t>Солидарность в решении проблем</w:t>
                        </w:r>
                      </w:p>
                    </w:txbxContent>
                  </v:textbox>
                </v:shape>
                <v:shape type="#_x0000_t202" id="Надпись 69" o:spid="_x0000_s1049" style="position:absolute;left:3368040;top:1325880;width:2544445;height:459105" o:allowincell="t" fillcolor="#FFFFFF" strokecolor="#000000" strokeweight="1.5pt" stroked="t">
                  <v:textbox inset="3mm,1mm,3mm,1mm">
                    <w:txbxContent>
                      <w:p>
                        <w:pPr>
                          <w:spacing w:lineRule="auto" w:line="240" w:after="0" w:beforeAutospacing="0" w:afterAutospacing="0"/>
                          <w:jc w:val="center"/>
                          <w:rPr>
                            <w:rFonts w:ascii="Times New Roman" w:hAnsi="Times New Roman" w:cs="Times New Roman"/>
                            <w:sz w:val="24"/>
                            <w:szCs w:val="24"/>
                          </w:rPr>
                        </w:pPr>
                        <w:r>
                          <w:rPr>
                            <w:rFonts w:ascii="Times New Roman" w:hAnsi="Times New Roman" w:cs="Times New Roman"/>
                            <w:sz w:val="24"/>
                            <w:szCs w:val="24"/>
                          </w:rPr>
                          <w:t>Обеспокоенность по поводу темпов роста</w:t>
                        </w:r>
                      </w:p>
                    </w:txbxContent>
                  </v:textbox>
                </v:shape>
                <v:shape type="#_x0000_t202" id="Надпись 70" o:spid="_x0000_s1050" style="position:absolute;left:3368040;top:910590;width:2544598;height:318590" o:allowincell="t" fillcolor="#FFFFFF" strokecolor="#000000" strokeweight="1.5pt" stroked="t">
                  <v:textbox inset="3mm,1mm,3mm,1mm">
                    <w:txbxContent>
                      <w:p>
                        <w:pPr>
                          <w:spacing w:lineRule="auto" w:line="240" w:after="0" w:beforeAutospacing="0" w:afterAutospacing="0"/>
                          <w:jc w:val="center"/>
                          <w:rPr>
                            <w:rFonts w:ascii="Times New Roman" w:hAnsi="Times New Roman" w:cs="Times New Roman"/>
                            <w:sz w:val="24"/>
                            <w:szCs w:val="24"/>
                            <w:lang w:val="en-US"/>
                          </w:rPr>
                        </w:pPr>
                        <w:r>
                          <w:rPr>
                            <w:rFonts w:ascii="Times New Roman" w:hAnsi="Times New Roman" w:cs="Times New Roman"/>
                            <w:sz w:val="24"/>
                            <w:szCs w:val="24"/>
                          </w:rPr>
                          <w:t>Обмен опытом и данными</w:t>
                        </w:r>
                      </w:p>
                    </w:txbxContent>
                  </v:textbox>
                </v:shape>
                <v:shape type="#_x0000_t202" id="Надпись 71" o:spid="_x0000_s1051" style="position:absolute;left:1645920;top:1958340;width:2544445;height:326866" o:allowincell="t" fillcolor="#FFFFFF" strokecolor="#000000" strokeweight="1.5pt" stroked="t">
                  <v:textbox inset="3mm,1mm,3mm,1mm">
                    <w:txbxContent>
                      <w:p>
                        <w:pPr>
                          <w:spacing w:lineRule="auto" w:line="240" w:after="0" w:beforeAutospacing="0" w:afterAutospacing="0"/>
                          <w:jc w:val="center"/>
                          <w:rPr>
                            <w:rFonts w:ascii="Times New Roman" w:hAnsi="Times New Roman" w:cs="Times New Roman"/>
                            <w:sz w:val="24"/>
                            <w:szCs w:val="24"/>
                          </w:rPr>
                        </w:pPr>
                        <w:r>
                          <w:rPr>
                            <w:rFonts w:ascii="Times New Roman" w:hAnsi="Times New Roman" w:cs="Times New Roman"/>
                            <w:sz w:val="24"/>
                            <w:szCs w:val="24"/>
                          </w:rPr>
                          <w:t>Долгосрочные цели</w:t>
                        </w:r>
                      </w:p>
                    </w:txbxContent>
                  </v:textbox>
                </v:shape>
                <v:line id="Прямая соединительная линия 72" o:spid="_x0000_s1052" style="position:absolute;flip:x" strokecolor="#000000" strokeweight="0.5pt" stroked="t" o:allowincell="t" from="2960370,323850" to="2964180,1954530"/>
                <v:line id="Прямая соединительная линия 73" o:spid="_x0000_s1053" style="position:absolute" strokecolor="#000000" strokeweight="0.5pt" stroked="t" o:allowincell="t" from="2533650,586740" to="2961005,586740"/>
                <v:line id="Прямая соединительная линия 74" o:spid="_x0000_s1054" style="position:absolute" strokecolor="#000000" strokeweight="0.5pt" stroked="t" o:allowincell="t" from="2964180,697230" to="3371850,697230"/>
                <v:line id="Прямая соединительная линия 75" o:spid="_x0000_s1055" style="position:absolute" strokecolor="#000000" strokeweight="0.5pt" stroked="t" o:allowincell="t" from="2960370,1002030" to="3368040,1002030"/>
                <v:line id="Прямая соединительная линия 76" o:spid="_x0000_s1056" style="position:absolute" strokecolor="#000000" strokeweight="0.5pt" stroked="t" o:allowincell="t" from="2537460,1116330" to="2964815,1116330"/>
                <v:line id="Прямая соединительная линия 77" o:spid="_x0000_s1057" style="position:absolute" strokecolor="#000000" strokeweight="0.5pt" stroked="t" o:allowincell="t" from="2541270,1463040" to="2968625,1463040"/>
                <v:line id="Прямая соединительная линия 78" o:spid="_x0000_s1058" style="position:absolute" strokecolor="#000000" strokeweight="0.5pt" stroked="t" o:allowincell="t" from="2964180,1615440" to="3371850,1615440"/>
              </v:group>
            </w:pict>
          </mc:Fallback>
        </mc:AlternateContent>
      </w:r>
    </w:p>
    <w:p>
      <w:pPr>
        <w:rPr>
          <w:rFonts w:ascii="Times New Roman" w:hAnsi="Times New Roman" w:cs="Times New Roman"/>
          <w:sz w:val="28"/>
          <w:szCs w:val="28"/>
        </w:rPr>
      </w:pPr>
    </w:p>
    <w:p>
      <w:pPr>
        <w:rPr>
          <w:rFonts w:ascii="Times New Roman" w:hAnsi="Times New Roman" w:cs="Times New Roman"/>
          <w:sz w:val="28"/>
          <w:szCs w:val="28"/>
        </w:rPr>
      </w:pPr>
    </w:p>
    <w:p>
      <w:pPr>
        <w:rPr>
          <w:rFonts w:ascii="Times New Roman" w:hAnsi="Times New Roman" w:cs="Times New Roman"/>
          <w:sz w:val="28"/>
          <w:szCs w:val="28"/>
        </w:rPr>
      </w:pPr>
    </w:p>
    <w:p>
      <w:pPr>
        <w:rPr>
          <w:rFonts w:ascii="Times New Roman" w:hAnsi="Times New Roman" w:cs="Times New Roman"/>
          <w:sz w:val="28"/>
          <w:szCs w:val="28"/>
        </w:rPr>
      </w:pPr>
    </w:p>
    <w:p>
      <w:pPr>
        <w:rPr>
          <w:rFonts w:ascii="Times New Roman" w:hAnsi="Times New Roman" w:cs="Times New Roman"/>
          <w:sz w:val="28"/>
          <w:szCs w:val="28"/>
        </w:rPr>
      </w:pPr>
    </w:p>
    <w:p>
      <w:pPr>
        <w:rPr>
          <w:rFonts w:ascii="Times New Roman" w:hAnsi="Times New Roman" w:cs="Times New Roman"/>
          <w:sz w:val="28"/>
          <w:szCs w:val="28"/>
        </w:rPr>
      </w:pPr>
    </w:p>
    <w:p>
      <w:pPr>
        <w:rPr>
          <w:rFonts w:ascii="Times New Roman" w:hAnsi="Times New Roman" w:cs="Times New Roman"/>
          <w:sz w:val="28"/>
          <w:szCs w:val="28"/>
        </w:rPr>
      </w:pPr>
    </w:p>
    <w:p>
      <w:pPr>
        <w:pStyle w:val="P13"/>
        <w:spacing w:lineRule="auto" w:line="360" w:beforeAutospacing="0" w:afterAutospacing="0"/>
        <w:ind w:firstLine="709"/>
        <w:jc w:val="center"/>
        <w:rPr>
          <w:sz w:val="28"/>
          <w:szCs w:val="28"/>
          <w:lang w:val="ru-RU"/>
        </w:rPr>
      </w:pPr>
      <w:r>
        <w:rPr>
          <w:sz w:val="28"/>
          <w:szCs w:val="28"/>
          <w:lang w:val="ru-RU"/>
        </w:rPr>
        <w:t>Рисунок 2 – Основные драйверы выбора стратегий инклюзивного роста (составлено автором по [33, 115])</w:t>
      </w:r>
    </w:p>
    <w:p>
      <w:pPr>
        <w:pStyle w:val="P13"/>
        <w:spacing w:lineRule="auto" w:line="360" w:beforeAutospacing="0" w:afterAutospacing="0"/>
        <w:ind w:firstLine="707" w:right="167"/>
        <w:jc w:val="both"/>
        <w:rPr>
          <w:sz w:val="28"/>
          <w:szCs w:val="28"/>
          <w:lang w:val="ru-RU"/>
        </w:rPr>
      </w:pPr>
    </w:p>
    <w:p>
      <w:pPr>
        <w:pStyle w:val="P13"/>
        <w:spacing w:lineRule="auto" w:line="360" w:beforeAutospacing="0" w:afterAutospacing="0"/>
        <w:ind w:firstLine="707" w:right="167"/>
        <w:jc w:val="both"/>
        <w:rPr>
          <w:sz w:val="28"/>
          <w:szCs w:val="28"/>
          <w:lang w:val="ru-RU"/>
        </w:rPr>
      </w:pPr>
      <w:bookmarkStart w:id="2" w:name="_Hlk138254125"/>
      <w:bookmarkStart w:id="3" w:name="_Hlk138355368"/>
      <w:r>
        <w:rPr>
          <w:sz w:val="28"/>
          <w:szCs w:val="28"/>
          <w:lang w:val="ru-RU"/>
        </w:rPr>
        <w:t>В отличие от концепции устойчивого развития, инклюзивное развитие формировалось как ответ на ограниченность традиционных подходов, ориентированных исключительно на агрегированные макроэкономические показатели. Инклюзивное развитие (от англ. inclusive development/inclusive growth) в научной и прикладной литературе используется для описания таких траекторий экономической динамики, при которых рост сопровождается расширением участия различных групп населения и территорий в создании и распределении экономических результатов</w:t>
      </w:r>
      <w:r>
        <w:rPr>
          <w:rStyle w:val="C42"/>
          <w:sz w:val="28"/>
          <w:szCs w:val="28"/>
          <w:lang w:val="ru-RU"/>
        </w:rPr>
        <w:footnoteReference w:id="37"/>
      </w:r>
      <w:r>
        <w:rPr>
          <w:sz w:val="28"/>
          <w:szCs w:val="28"/>
          <w:lang w:val="ru-RU"/>
        </w:rPr>
        <w:t>.</w:t>
      </w:r>
    </w:p>
    <w:p>
      <w:pPr>
        <w:pStyle w:val="P13"/>
        <w:spacing w:lineRule="auto" w:line="360" w:beforeAutospacing="0" w:afterAutospacing="0"/>
        <w:ind w:firstLine="707" w:right="167"/>
        <w:jc w:val="both"/>
        <w:rPr>
          <w:sz w:val="28"/>
          <w:szCs w:val="28"/>
          <w:lang w:val="ru-RU"/>
        </w:rPr>
      </w:pPr>
      <w:r>
        <w:rPr>
          <w:sz w:val="28"/>
          <w:szCs w:val="28"/>
          <w:lang w:val="ru-RU"/>
        </w:rPr>
        <w:t xml:space="preserve">Одним из теоретических оснований концепции инклюзивного развития является подход, разработанный </w:t>
      </w:r>
      <w:r>
        <w:rPr>
          <w:sz w:val="28"/>
          <w:szCs w:val="28"/>
          <w:highlight w:val="yellow"/>
          <w:lang w:val="ru-RU"/>
        </w:rPr>
        <w:t>А. Сеном</w:t>
      </w:r>
      <w:r>
        <w:rPr>
          <w:sz w:val="28"/>
          <w:szCs w:val="28"/>
          <w:lang w:val="ru-RU"/>
        </w:rPr>
        <w:t xml:space="preserve"> в рамках теории возможностей (capability approach). В данной трактовке развитие понимается как процесс расширения реальных свобод и возможностей человека, а экономический рост рассматривается лишь как средство, а не как самоцель. Инклюзивность в этом контексте означает доступ различных групп населения к базовым возможностям – образованию, занятости, здравоохранению, участию в экономической и общественной жизни.</w:t>
      </w:r>
    </w:p>
    <w:p>
      <w:pPr>
        <w:pStyle w:val="P13"/>
        <w:spacing w:lineRule="auto" w:line="360" w:beforeAutospacing="0" w:afterAutospacing="0"/>
        <w:ind w:firstLine="707" w:right="167"/>
        <w:jc w:val="both"/>
        <w:rPr>
          <w:sz w:val="28"/>
          <w:szCs w:val="28"/>
          <w:lang w:val="ru-RU"/>
        </w:rPr>
      </w:pPr>
      <w:r>
        <w:rPr>
          <w:sz w:val="28"/>
          <w:szCs w:val="28"/>
          <w:lang w:val="ru-RU"/>
        </w:rPr>
        <w:t xml:space="preserve">Дальнейшее развитие данный подход получил в </w:t>
      </w:r>
      <w:r>
        <w:rPr>
          <w:sz w:val="28"/>
          <w:szCs w:val="28"/>
          <w:highlight w:val="yellow"/>
          <w:lang w:val="ru-RU"/>
        </w:rPr>
        <w:t>работах Дж. Стиглица, А. Сена и Ж.-П. Фитусси</w:t>
      </w:r>
      <w:r>
        <w:rPr>
          <w:sz w:val="28"/>
          <w:szCs w:val="28"/>
          <w:lang w:val="ru-RU"/>
        </w:rPr>
        <w:t>, где подчеркивается необходимость оценки развития с учетом качества жизни, социальной безопасности и устойчивости благосостояния. Инклюзивное развитие здесь трактуется как такое развитие, которое снижает социальные и институциональные риски и обеспечивает долгосрочное повышение благосостояния, а не краткосрочный рост доходов.</w:t>
      </w:r>
    </w:p>
    <w:p>
      <w:pPr>
        <w:pStyle w:val="P13"/>
        <w:spacing w:lineRule="auto" w:line="360" w:beforeAutospacing="0" w:afterAutospacing="0"/>
        <w:ind w:firstLine="707" w:right="167"/>
        <w:jc w:val="both"/>
        <w:rPr>
          <w:sz w:val="28"/>
          <w:szCs w:val="28"/>
          <w:lang w:val="ru-RU"/>
        </w:rPr>
      </w:pPr>
      <w:r>
        <w:rPr>
          <w:sz w:val="28"/>
          <w:szCs w:val="28"/>
          <w:lang w:val="ru-RU"/>
        </w:rPr>
        <w:t xml:space="preserve">В рамках макроэкономического анализа инклюзивное развитие активно исследуется в работах Всемирного банка. В исследованиях </w:t>
      </w:r>
      <w:r>
        <w:rPr>
          <w:sz w:val="28"/>
          <w:szCs w:val="28"/>
          <w:highlight w:val="yellow"/>
          <w:lang w:val="ru-RU"/>
        </w:rPr>
        <w:t>И. Янчовичиной и С. Лундстрем</w:t>
      </w:r>
      <w:r>
        <w:rPr>
          <w:sz w:val="28"/>
          <w:szCs w:val="28"/>
          <w:lang w:val="ru-RU"/>
        </w:rPr>
        <w:t xml:space="preserve"> инклюзивный рост определяется как рост, который позволяет людям участвовать в экономической активности и получать выгоды от экономического роста</w:t>
      </w:r>
      <w:r>
        <w:rPr>
          <w:rStyle w:val="C42"/>
          <w:sz w:val="28"/>
          <w:szCs w:val="28"/>
          <w:lang w:val="ru-RU"/>
        </w:rPr>
        <w:footnoteReference w:id="38"/>
      </w:r>
      <w:r>
        <w:rPr>
          <w:sz w:val="28"/>
          <w:szCs w:val="28"/>
          <w:lang w:val="ru-RU"/>
        </w:rPr>
        <w:t>. Ключевым элементом здесь выступает принцип одновременного учета темпов роста и структуры распределения его результатов («</w:t>
      </w:r>
      <w:r>
        <w:rPr>
          <w:sz w:val="28"/>
          <w:szCs w:val="28"/>
        </w:rPr>
        <w:t>contribute</w:t>
      </w:r>
      <w:r>
        <w:rPr>
          <w:sz w:val="28"/>
          <w:szCs w:val="28"/>
          <w:lang w:val="ru-RU"/>
        </w:rPr>
        <w:t xml:space="preserve"> </w:t>
      </w:r>
      <w:r>
        <w:rPr>
          <w:sz w:val="28"/>
          <w:szCs w:val="28"/>
        </w:rPr>
        <w:t>to</w:t>
      </w:r>
      <w:r>
        <w:rPr>
          <w:sz w:val="28"/>
          <w:szCs w:val="28"/>
          <w:lang w:val="ru-RU"/>
        </w:rPr>
        <w:t xml:space="preserve"> </w:t>
      </w:r>
      <w:r>
        <w:rPr>
          <w:sz w:val="28"/>
          <w:szCs w:val="28"/>
        </w:rPr>
        <w:t>and</w:t>
      </w:r>
      <w:r>
        <w:rPr>
          <w:sz w:val="28"/>
          <w:szCs w:val="28"/>
          <w:lang w:val="ru-RU"/>
        </w:rPr>
        <w:t xml:space="preserve"> </w:t>
      </w:r>
      <w:r>
        <w:rPr>
          <w:sz w:val="28"/>
          <w:szCs w:val="28"/>
        </w:rPr>
        <w:t>benefit</w:t>
      </w:r>
      <w:r>
        <w:rPr>
          <w:sz w:val="28"/>
          <w:szCs w:val="28"/>
          <w:lang w:val="ru-RU"/>
        </w:rPr>
        <w:t xml:space="preserve"> </w:t>
      </w:r>
      <w:r>
        <w:rPr>
          <w:sz w:val="28"/>
          <w:szCs w:val="28"/>
        </w:rPr>
        <w:t>from</w:t>
      </w:r>
      <w:r>
        <w:rPr>
          <w:sz w:val="28"/>
          <w:szCs w:val="28"/>
          <w:lang w:val="ru-RU"/>
        </w:rPr>
        <w:t xml:space="preserve"> </w:t>
      </w:r>
      <w:r>
        <w:rPr>
          <w:sz w:val="28"/>
          <w:szCs w:val="28"/>
        </w:rPr>
        <w:t>growth</w:t>
      </w:r>
      <w:r>
        <w:rPr>
          <w:sz w:val="28"/>
          <w:szCs w:val="28"/>
          <w:lang w:val="ru-RU"/>
        </w:rPr>
        <w:t>»).</w:t>
      </w:r>
    </w:p>
    <w:p>
      <w:pPr>
        <w:pStyle w:val="P13"/>
        <w:spacing w:lineRule="auto" w:line="360" w:beforeAutospacing="0" w:afterAutospacing="0"/>
        <w:ind w:firstLine="707" w:right="167"/>
        <w:jc w:val="both"/>
        <w:rPr>
          <w:sz w:val="28"/>
          <w:szCs w:val="28"/>
          <w:lang w:val="ru-RU"/>
        </w:rPr>
      </w:pPr>
      <w:r>
        <w:rPr>
          <w:sz w:val="28"/>
          <w:szCs w:val="28"/>
          <w:lang w:val="ru-RU"/>
        </w:rPr>
        <w:t>Аналогичная логика представлена в работах Международного валютного фонда, где инклюзивное развитие связывается с устойчивым сокращением бедности и неравенства при сохранении макроэкономической стабильности</w:t>
      </w:r>
      <w:r>
        <w:rPr>
          <w:rStyle w:val="C42"/>
          <w:sz w:val="28"/>
          <w:szCs w:val="28"/>
          <w:lang w:val="ru-RU"/>
        </w:rPr>
        <w:footnoteReference w:id="39"/>
      </w:r>
      <w:r>
        <w:rPr>
          <w:sz w:val="28"/>
          <w:szCs w:val="28"/>
          <w:lang w:val="ru-RU"/>
        </w:rPr>
        <w:t>. В данных подходах подчеркивается, что рост без включенности способен подрывать собственные основы устойчивости, формируя социальную нестабильность и институциональные риски.</w:t>
      </w:r>
    </w:p>
    <w:p>
      <w:pPr>
        <w:pStyle w:val="P13"/>
        <w:spacing w:lineRule="auto" w:line="360" w:beforeAutospacing="0" w:afterAutospacing="0"/>
        <w:ind w:firstLine="707" w:right="167"/>
        <w:jc w:val="both"/>
        <w:rPr>
          <w:sz w:val="28"/>
          <w:szCs w:val="28"/>
          <w:lang w:val="ru-RU"/>
        </w:rPr>
      </w:pPr>
      <w:r>
        <w:rPr>
          <w:sz w:val="28"/>
          <w:szCs w:val="28"/>
          <w:lang w:val="ru-RU"/>
        </w:rPr>
        <w:t>Организация экономического сотрудничества и развития рассматривает инклюзивное развитие как рост, создающий возможности для всех и обеспечивающий справедливое распределение экономических и социальных выгод</w:t>
      </w:r>
      <w:r>
        <w:rPr>
          <w:rStyle w:val="C42"/>
          <w:sz w:val="28"/>
          <w:szCs w:val="28"/>
          <w:lang w:val="ru-RU"/>
        </w:rPr>
        <w:footnoteReference w:id="40"/>
      </w:r>
      <w:r>
        <w:rPr>
          <w:sz w:val="28"/>
          <w:szCs w:val="28"/>
          <w:lang w:val="ru-RU"/>
        </w:rPr>
        <w:t>. В институциональной трактовке ОЭСР ключевыми элементами инклюзивности выступают доступ к рынкам труда, образованию, финансам и предпринимательской деятельности, а также качество институтов, обеспечивающих равные правила игры. В данном подходе инклюзивное развитие тесно связано с институциональными реформами и рассматривается как результат сочетания экономической эффективности и социальной справедливости. Особое внимание уделяется роли государства в формировании условий для инклюзивного роста через регулирование, налоговую политику и развитие человеческого капитала.</w:t>
      </w:r>
    </w:p>
    <w:p>
      <w:pPr>
        <w:pStyle w:val="P13"/>
        <w:spacing w:lineRule="auto" w:line="360" w:beforeAutospacing="0" w:afterAutospacing="0"/>
        <w:ind w:firstLine="707" w:right="167"/>
        <w:jc w:val="both"/>
        <w:rPr>
          <w:sz w:val="28"/>
          <w:szCs w:val="28"/>
          <w:lang w:val="ru-RU"/>
        </w:rPr>
      </w:pPr>
      <w:r>
        <w:rPr>
          <w:sz w:val="28"/>
          <w:szCs w:val="28"/>
          <w:lang w:val="ru-RU"/>
        </w:rPr>
        <w:t>В исследованиях регионального развития инклюзивность все чаще рассматривается в пространственном измерении. В работах регионалистов подчеркивается, что инклюзивное развитие предполагает включение отстающих регионов в экономическую динамику, снижение территориальных диспропорций и расширение доступа регионов к инвестициям, инфраструктуре и инновациям.</w:t>
      </w:r>
    </w:p>
    <w:p>
      <w:pPr>
        <w:pStyle w:val="P13"/>
        <w:spacing w:lineRule="auto" w:line="360" w:beforeAutospacing="0" w:afterAutospacing="0"/>
        <w:ind w:firstLine="707" w:right="167"/>
        <w:jc w:val="both"/>
        <w:rPr>
          <w:sz w:val="28"/>
          <w:szCs w:val="28"/>
          <w:lang w:val="ru-RU"/>
        </w:rPr>
      </w:pPr>
      <w:r>
        <w:rPr>
          <w:sz w:val="28"/>
          <w:szCs w:val="28"/>
          <w:lang w:val="ru-RU"/>
        </w:rPr>
        <w:t>Региональные банки развития (в частности, Азиатский (Asian Development Bank</w:t>
      </w:r>
      <w:r>
        <w:rPr>
          <w:rStyle w:val="C42"/>
          <w:sz w:val="28"/>
          <w:szCs w:val="28"/>
          <w:lang w:val="ru-RU"/>
        </w:rPr>
        <w:footnoteReference w:id="41"/>
      </w:r>
      <w:r>
        <w:rPr>
          <w:sz w:val="28"/>
          <w:szCs w:val="28"/>
          <w:lang w:val="ru-RU"/>
        </w:rPr>
        <w:t xml:space="preserve"> и Африканский (African Development Bank</w:t>
      </w:r>
      <w:r>
        <w:rPr>
          <w:rStyle w:val="C42"/>
          <w:sz w:val="28"/>
          <w:szCs w:val="28"/>
          <w:lang w:val="ru-RU"/>
        </w:rPr>
        <w:footnoteReference w:id="42"/>
      </w:r>
      <w:r>
        <w:rPr>
          <w:sz w:val="28"/>
          <w:szCs w:val="28"/>
          <w:lang w:val="ru-RU"/>
        </w:rPr>
        <w:t>) банки развития) трактуют инклюзивный рост как сочетание высоких темпов роста и расширения доступа к экономическим возможностям для различных территорий и социальных групп. В этих подходах инклюзивность приобретает выраженный территориальный характер и тесно связывается с региональной политикой.</w:t>
      </w:r>
    </w:p>
    <w:p>
      <w:pPr>
        <w:pStyle w:val="P13"/>
        <w:spacing w:lineRule="auto" w:line="360" w:beforeAutospacing="0" w:afterAutospacing="0"/>
        <w:ind w:firstLine="707" w:right="167"/>
        <w:jc w:val="both"/>
        <w:rPr>
          <w:sz w:val="28"/>
          <w:szCs w:val="28"/>
          <w:lang w:val="ru-RU"/>
        </w:rPr>
      </w:pPr>
      <w:r>
        <w:rPr>
          <w:sz w:val="28"/>
          <w:szCs w:val="28"/>
          <w:lang w:val="ru-RU"/>
        </w:rPr>
        <w:t>Ряд исследователей акцентируют внимание на институциональных и социальных механизмах включения. В рамках данного подхода инклюзивное развитие рассматривается как процесс расширения участия различных стейкхолдеров в принятии экономических решений, формировании политики и распределении ресурсов. Здесь важную роль играют социальный капитал, доверие и формы коллективного действия.</w:t>
      </w:r>
    </w:p>
    <w:p>
      <w:pPr>
        <w:pStyle w:val="P13"/>
        <w:spacing w:lineRule="auto" w:line="360" w:beforeAutospacing="0" w:afterAutospacing="0"/>
        <w:ind w:firstLine="707" w:right="167"/>
        <w:jc w:val="both"/>
        <w:rPr>
          <w:sz w:val="28"/>
          <w:szCs w:val="28"/>
          <w:lang w:val="ru-RU"/>
        </w:rPr>
      </w:pPr>
      <w:r>
        <w:rPr>
          <w:sz w:val="28"/>
          <w:szCs w:val="28"/>
          <w:lang w:val="ru-RU"/>
        </w:rPr>
        <w:t>В данной логике инклюзивность выходит за рамки перераспределения доходов и предполагает вовлеченность экономических агентов в процессы развития, что особенно актуально для развивающихся стран с фрагментированной институциональной средой</w:t>
      </w:r>
      <w:r>
        <w:rPr>
          <w:rStyle w:val="C42"/>
          <w:sz w:val="28"/>
          <w:szCs w:val="28"/>
          <w:lang w:val="ru-RU"/>
        </w:rPr>
        <w:footnoteReference w:id="43"/>
      </w:r>
      <w:r>
        <w:rPr>
          <w:sz w:val="28"/>
          <w:szCs w:val="28"/>
          <w:lang w:val="ru-RU"/>
        </w:rPr>
        <w:t>.</w:t>
      </w:r>
    </w:p>
    <w:p>
      <w:pPr>
        <w:pStyle w:val="P13"/>
        <w:spacing w:lineRule="auto" w:line="360" w:beforeAutospacing="0" w:afterAutospacing="0"/>
        <w:ind w:firstLine="707" w:right="167"/>
        <w:jc w:val="both"/>
        <w:rPr>
          <w:sz w:val="28"/>
          <w:szCs w:val="28"/>
          <w:lang w:val="ru-RU"/>
        </w:rPr>
      </w:pPr>
      <w:r>
        <w:rPr>
          <w:sz w:val="28"/>
          <w:szCs w:val="28"/>
          <w:lang w:val="ru-RU"/>
        </w:rPr>
        <w:t>В современной литературе все чаще подчеркивается, что инклюзивное развитие не может быть обеспечено исключительно через социальную политику или перераспределение доходов. В условиях экономики знаний и цифровой трансформации инклюзивность все в большей степени зависит от доступа к инновационным процессам, технологиям и новым формам экономической активности</w:t>
      </w:r>
      <w:r>
        <w:rPr>
          <w:rStyle w:val="C42"/>
          <w:sz w:val="28"/>
          <w:szCs w:val="28"/>
          <w:lang w:val="ru-RU"/>
        </w:rPr>
        <w:footnoteReference w:id="44"/>
      </w:r>
      <w:r>
        <w:rPr>
          <w:sz w:val="28"/>
          <w:szCs w:val="28"/>
          <w:lang w:val="ru-RU"/>
        </w:rPr>
        <w:t>. В этом контексте особое значение приобретает процессная трактовка инклюзивности, согласно которой экономическая система должна быть организована таким образом, чтобы расширять участие в создании инноваций и использовании их результатов</w:t>
      </w:r>
      <w:r>
        <w:rPr>
          <w:rStyle w:val="C42"/>
          <w:sz w:val="28"/>
          <w:szCs w:val="28"/>
          <w:lang w:val="ru-RU"/>
        </w:rPr>
        <w:footnoteReference w:id="45"/>
      </w:r>
      <w:r>
        <w:rPr>
          <w:sz w:val="28"/>
          <w:szCs w:val="28"/>
          <w:lang w:val="ru-RU"/>
        </w:rPr>
        <w:t>. Данная логика создает теоретическую основу для перехода от концепции инклюзивного роста к категории инклюзивных инноваций и, далее, к интегративной категории инновационно-инклюзивного развития.</w:t>
      </w:r>
    </w:p>
    <w:p>
      <w:pPr>
        <w:pStyle w:val="P13"/>
        <w:spacing w:lineRule="auto" w:line="360" w:beforeAutospacing="0" w:afterAutospacing="0"/>
        <w:ind w:firstLine="707" w:right="167"/>
        <w:jc w:val="both"/>
        <w:rPr>
          <w:sz w:val="28"/>
          <w:szCs w:val="28"/>
          <w:lang w:val="ru-RU"/>
        </w:rPr>
      </w:pPr>
      <w:r>
        <w:rPr>
          <w:sz w:val="28"/>
          <w:szCs w:val="28"/>
          <w:lang w:val="ru-RU"/>
        </w:rPr>
        <w:t>Анализ научных и институциональных подходов, представленный таблице 2, показывает, что инклюзивное развитие трактуется как многоаспектная категория, включающая расширение возможностей и свобод человека, участие в экономическом росте и распределении его выгод, территориальную и институциональную включенность, вовлеченность экономических агентов в процессы развития.</w:t>
      </w:r>
    </w:p>
    <w:p>
      <w:pPr>
        <w:pStyle w:val="P13"/>
        <w:spacing w:lineRule="auto" w:line="360" w:beforeAutospacing="0" w:afterAutospacing="0"/>
        <w:ind w:firstLine="707" w:right="167"/>
        <w:jc w:val="both"/>
        <w:rPr>
          <w:sz w:val="28"/>
          <w:szCs w:val="28"/>
          <w:lang w:val="ru-RU"/>
        </w:rPr>
      </w:pPr>
      <w:r>
        <w:rPr>
          <w:sz w:val="28"/>
          <w:szCs w:val="28"/>
          <w:lang w:val="ru-RU"/>
        </w:rPr>
        <w:t>Исходя из целей диссертационного исследования инклюзивное развитие нами рассматривается как качественная характеристика экономической динамики, которая в современных условиях все более тесно сопрягается с инновационным развитием и формирует теоретическую основу для категории инновационно-инклюзивного развития.</w:t>
      </w:r>
    </w:p>
    <w:p>
      <w:pPr>
        <w:pStyle w:val="P13"/>
        <w:spacing w:lineRule="auto" w:line="360" w:beforeAutospacing="0" w:afterAutospacing="0"/>
        <w:ind w:firstLine="707" w:right="167"/>
        <w:jc w:val="both"/>
        <w:rPr>
          <w:sz w:val="28"/>
          <w:szCs w:val="28"/>
          <w:lang w:val="ru-RU"/>
        </w:rPr>
      </w:pPr>
    </w:p>
    <w:p>
      <w:pPr>
        <w:pStyle w:val="P13"/>
        <w:spacing w:lineRule="auto" w:line="360" w:beforeAutospacing="0" w:afterAutospacing="0"/>
        <w:ind w:right="167"/>
        <w:jc w:val="both"/>
        <w:rPr>
          <w:sz w:val="28"/>
          <w:szCs w:val="28"/>
          <w:lang w:val="ru-RU"/>
        </w:rPr>
      </w:pPr>
      <w:r>
        <w:rPr>
          <w:sz w:val="28"/>
          <w:szCs w:val="28"/>
          <w:lang w:val="ru-RU"/>
        </w:rPr>
        <w:t>Таблица 2 – Основные подходы к трактовке инклюзивного развития (составлено автором)</w:t>
      </w:r>
    </w:p>
    <w:tbl>
      <w:tblPr>
        <w:tblStyle w:val="T3"/>
        <w:tblW w:w="0" w:type="auto"/>
        <w:tblLayout w:type="fixed"/>
        <w:tblLook w:val="04A0"/>
      </w:tblPr>
      <w:tblGrid>
        <w:gridCol w:w="1555"/>
        <w:gridCol w:w="2126"/>
        <w:gridCol w:w="2547"/>
        <w:gridCol w:w="1778"/>
        <w:gridCol w:w="1906"/>
      </w:tblGrid>
      <w:tr>
        <w:tc>
          <w:tcPr>
            <w:tcW w:w="1555" w:type="dxa"/>
            <w:hideMark/>
          </w:tcPr>
          <w:p>
            <w:pPr>
              <w:jc w:val="center"/>
              <w:rPr>
                <w:rFonts w:ascii="Times New Roman" w:hAnsi="Times New Roman" w:cs="Times New Roman" w:eastAsia="Times New Roman"/>
                <w:bCs w:val="1"/>
                <w:sz w:val="24"/>
                <w:szCs w:val="24"/>
                <w:lang w:eastAsia="ru-RU"/>
              </w:rPr>
            </w:pPr>
            <w:r>
              <w:rPr>
                <w:rFonts w:ascii="Times New Roman" w:hAnsi="Times New Roman" w:cs="Times New Roman" w:eastAsia="Times New Roman"/>
                <w:bCs w:val="1"/>
                <w:sz w:val="24"/>
                <w:szCs w:val="24"/>
                <w:lang w:eastAsia="ru-RU"/>
              </w:rPr>
              <w:t>Подход</w:t>
            </w:r>
          </w:p>
        </w:tc>
        <w:tc>
          <w:tcPr>
            <w:tcW w:w="2126" w:type="dxa"/>
            <w:hideMark/>
          </w:tcPr>
          <w:p>
            <w:pPr>
              <w:jc w:val="center"/>
              <w:rPr>
                <w:rFonts w:ascii="Times New Roman" w:hAnsi="Times New Roman" w:cs="Times New Roman" w:eastAsia="Times New Roman"/>
                <w:bCs w:val="1"/>
                <w:sz w:val="24"/>
                <w:szCs w:val="24"/>
                <w:lang w:eastAsia="ru-RU"/>
              </w:rPr>
            </w:pPr>
            <w:r>
              <w:rPr>
                <w:rFonts w:ascii="Times New Roman" w:hAnsi="Times New Roman" w:cs="Times New Roman" w:eastAsia="Times New Roman"/>
                <w:bCs w:val="1"/>
                <w:sz w:val="24"/>
                <w:szCs w:val="24"/>
                <w:lang w:eastAsia="ru-RU"/>
              </w:rPr>
              <w:t>Ключевые представители / институты</w:t>
            </w:r>
          </w:p>
        </w:tc>
        <w:tc>
          <w:tcPr>
            <w:tcW w:w="2547" w:type="dxa"/>
            <w:hideMark/>
          </w:tcPr>
          <w:p>
            <w:pPr>
              <w:jc w:val="center"/>
              <w:rPr>
                <w:rFonts w:ascii="Times New Roman" w:hAnsi="Times New Roman" w:cs="Times New Roman" w:eastAsia="Times New Roman"/>
                <w:bCs w:val="1"/>
                <w:sz w:val="24"/>
                <w:szCs w:val="24"/>
                <w:lang w:eastAsia="ru-RU"/>
              </w:rPr>
            </w:pPr>
            <w:r>
              <w:rPr>
                <w:rFonts w:ascii="Times New Roman" w:hAnsi="Times New Roman" w:cs="Times New Roman" w:eastAsia="Times New Roman"/>
                <w:bCs w:val="1"/>
                <w:sz w:val="24"/>
                <w:szCs w:val="24"/>
                <w:lang w:eastAsia="ru-RU"/>
              </w:rPr>
              <w:t>Сущность трактовки инклюзивного развития</w:t>
            </w:r>
          </w:p>
        </w:tc>
        <w:tc>
          <w:tcPr>
            <w:tcW w:w="1778" w:type="dxa"/>
            <w:hideMark/>
          </w:tcPr>
          <w:p>
            <w:pPr>
              <w:jc w:val="center"/>
              <w:rPr>
                <w:rFonts w:ascii="Times New Roman" w:hAnsi="Times New Roman" w:cs="Times New Roman" w:eastAsia="Times New Roman"/>
                <w:bCs w:val="1"/>
                <w:sz w:val="24"/>
                <w:szCs w:val="24"/>
                <w:lang w:eastAsia="ru-RU"/>
              </w:rPr>
            </w:pPr>
            <w:r>
              <w:rPr>
                <w:rFonts w:ascii="Times New Roman" w:hAnsi="Times New Roman" w:cs="Times New Roman" w:eastAsia="Times New Roman"/>
                <w:bCs w:val="1"/>
                <w:sz w:val="24"/>
                <w:szCs w:val="24"/>
                <w:lang w:eastAsia="ru-RU"/>
              </w:rPr>
              <w:t>Ключевые акценты</w:t>
            </w:r>
          </w:p>
        </w:tc>
        <w:tc>
          <w:tcPr>
            <w:tcW w:w="1906" w:type="dxa"/>
            <w:hideMark/>
          </w:tcPr>
          <w:p>
            <w:pPr>
              <w:jc w:val="center"/>
              <w:rPr>
                <w:rFonts w:ascii="Times New Roman" w:hAnsi="Times New Roman" w:cs="Times New Roman" w:eastAsia="Times New Roman"/>
                <w:bCs w:val="1"/>
                <w:sz w:val="24"/>
                <w:szCs w:val="24"/>
                <w:lang w:eastAsia="ru-RU"/>
              </w:rPr>
            </w:pPr>
            <w:r>
              <w:rPr>
                <w:rFonts w:ascii="Times New Roman" w:hAnsi="Times New Roman" w:cs="Times New Roman" w:eastAsia="Times New Roman"/>
                <w:bCs w:val="1"/>
                <w:sz w:val="24"/>
                <w:szCs w:val="24"/>
                <w:lang w:eastAsia="ru-RU"/>
              </w:rPr>
              <w:t>Ограничения подхода</w:t>
            </w:r>
          </w:p>
        </w:tc>
      </w:tr>
      <w:tr>
        <w:tc>
          <w:tcPr>
            <w:tcW w:w="1555"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Человеко-центричный (теория возможнос-тей)</w:t>
            </w:r>
          </w:p>
        </w:tc>
        <w:tc>
          <w:tcPr>
            <w:tcW w:w="2126"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 xml:space="preserve">А. Сен; </w:t>
            </w:r>
          </w:p>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Дж. Стиглиц, А. Сен, Ж.-П. Фитусси</w:t>
            </w:r>
          </w:p>
        </w:tc>
        <w:tc>
          <w:tcPr>
            <w:tcW w:w="2547"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Инклюзивное развитие как процесс расширения возможностей и свобод человека; рост рассматривается как средство, а не цель</w:t>
            </w:r>
          </w:p>
        </w:tc>
        <w:tc>
          <w:tcPr>
            <w:tcW w:w="1778"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Качество жизни, человеческий потенциал, социальная безопасность</w:t>
            </w:r>
          </w:p>
        </w:tc>
        <w:tc>
          <w:tcPr>
            <w:tcW w:w="1906"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Недостаточная операционали-зация экономических механизмов роста</w:t>
            </w:r>
          </w:p>
        </w:tc>
      </w:tr>
      <w:tr>
        <w:tc>
          <w:tcPr>
            <w:tcW w:w="1555"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Макроэко-номический (рост и распределе-ние)</w:t>
            </w:r>
          </w:p>
        </w:tc>
        <w:tc>
          <w:tcPr>
            <w:tcW w:w="2126"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 xml:space="preserve">Всемирный банк; </w:t>
            </w:r>
          </w:p>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МВФ</w:t>
            </w:r>
          </w:p>
        </w:tc>
        <w:tc>
          <w:tcPr>
            <w:tcW w:w="2547"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Инклюзивный рост как рост, позволяющий широким слоям населения участвовать в экономической деятельности и получать выгоды от роста</w:t>
            </w:r>
          </w:p>
        </w:tc>
        <w:tc>
          <w:tcPr>
            <w:tcW w:w="1778"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Темпы роста, распределение доходов, снижение бедности</w:t>
            </w:r>
          </w:p>
        </w:tc>
        <w:tc>
          <w:tcPr>
            <w:tcW w:w="1906"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Склонность к сохранению логики «рост прежде всего»</w:t>
            </w:r>
          </w:p>
        </w:tc>
      </w:tr>
      <w:tr>
        <w:tc>
          <w:tcPr>
            <w:tcW w:w="1555"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Институци-онально-экономичес-кий</w:t>
            </w:r>
          </w:p>
        </w:tc>
        <w:tc>
          <w:tcPr>
            <w:tcW w:w="2126"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ОЭСР</w:t>
            </w:r>
          </w:p>
        </w:tc>
        <w:tc>
          <w:tcPr>
            <w:tcW w:w="2547"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Инклюзивное развитие как рост, создающий равные возможности через доступ к рынкам труда, образованию, финансам и предпринимательству</w:t>
            </w:r>
          </w:p>
        </w:tc>
        <w:tc>
          <w:tcPr>
            <w:tcW w:w="1778"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Равенство возможностей, институты, государственная политика</w:t>
            </w:r>
          </w:p>
        </w:tc>
        <w:tc>
          <w:tcPr>
            <w:tcW w:w="1906"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Ограниченный учет структурных различий развивающихся стран</w:t>
            </w:r>
          </w:p>
        </w:tc>
      </w:tr>
      <w:tr>
        <w:tc>
          <w:tcPr>
            <w:tcW w:w="1555"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Социально-политичес-кий</w:t>
            </w:r>
          </w:p>
        </w:tc>
        <w:tc>
          <w:tcPr>
            <w:tcW w:w="2126" w:type="dxa"/>
            <w:hideMark/>
          </w:tcPr>
          <w:p>
            <w:pPr>
              <w:rPr>
                <w:rFonts w:ascii="Times New Roman" w:hAnsi="Times New Roman" w:cs="Times New Roman" w:eastAsia="Times New Roman"/>
                <w:sz w:val="24"/>
                <w:szCs w:val="24"/>
                <w:lang w:val="en-US" w:eastAsia="ru-RU"/>
              </w:rPr>
            </w:pPr>
            <w:r>
              <w:rPr>
                <w:rFonts w:ascii="Times New Roman" w:hAnsi="Times New Roman" w:cs="Times New Roman" w:eastAsia="Times New Roman"/>
                <w:sz w:val="24"/>
                <w:szCs w:val="24"/>
                <w:lang w:val="en-US" w:eastAsia="ru-RU"/>
              </w:rPr>
              <w:t xml:space="preserve">UNDP, </w:t>
            </w:r>
            <w:r>
              <w:rPr>
                <w:rFonts w:ascii="Times New Roman" w:hAnsi="Times New Roman" w:cs="Times New Roman" w:eastAsia="Times New Roman"/>
                <w:sz w:val="24"/>
                <w:szCs w:val="24"/>
                <w:lang w:eastAsia="ru-RU"/>
              </w:rPr>
              <w:t>ООН</w:t>
            </w:r>
            <w:r>
              <w:rPr>
                <w:rFonts w:ascii="Times New Roman" w:hAnsi="Times New Roman" w:cs="Times New Roman" w:eastAsia="Times New Roman"/>
                <w:sz w:val="24"/>
                <w:szCs w:val="24"/>
                <w:lang w:val="en-US" w:eastAsia="ru-RU"/>
              </w:rPr>
              <w:t xml:space="preserve"> (Human Development, SDGs)</w:t>
            </w:r>
          </w:p>
        </w:tc>
        <w:tc>
          <w:tcPr>
            <w:tcW w:w="2547"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Инклюзивное развитие как часть устойчивого развития, ориентированная на социальную справедливость, сокращение неравенства и защиту уязвимых групп</w:t>
            </w:r>
          </w:p>
        </w:tc>
        <w:tc>
          <w:tcPr>
            <w:tcW w:w="1778"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Социальная включенность, базовые услуги, равенство</w:t>
            </w:r>
          </w:p>
        </w:tc>
        <w:tc>
          <w:tcPr>
            <w:tcW w:w="1906"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Часто нормативный и декларативный характер</w:t>
            </w:r>
          </w:p>
        </w:tc>
      </w:tr>
      <w:tr>
        <w:tc>
          <w:tcPr>
            <w:tcW w:w="1555" w:type="dxa"/>
            <w:hideMark/>
          </w:tcPr>
          <w:p>
            <w:pPr>
              <w:ind w:right="-108"/>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Регионально-пространст-венный</w:t>
            </w:r>
          </w:p>
        </w:tc>
        <w:tc>
          <w:tcPr>
            <w:tcW w:w="2126"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Азиатский банк развития; Африканский банк развития</w:t>
            </w:r>
          </w:p>
        </w:tc>
        <w:tc>
          <w:tcPr>
            <w:tcW w:w="2547"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Инклюзивное развитие как включение отстающих регионов в экономическую динамику и сокращение территориальных диспропорций</w:t>
            </w:r>
          </w:p>
        </w:tc>
        <w:tc>
          <w:tcPr>
            <w:tcW w:w="1778"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Пространственная инклюзив-ность, инфрас-труктура, региональная политика</w:t>
            </w:r>
          </w:p>
        </w:tc>
        <w:tc>
          <w:tcPr>
            <w:tcW w:w="1906"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Недостаточное внимание инновацион-ному фактору</w:t>
            </w:r>
          </w:p>
        </w:tc>
      </w:tr>
      <w:tr>
        <w:tc>
          <w:tcPr>
            <w:tcW w:w="1555"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Социально-институцио-нальный</w:t>
            </w:r>
          </w:p>
        </w:tc>
        <w:tc>
          <w:tcPr>
            <w:tcW w:w="2126"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Современные институциональ-ные и социоэкономиче-ские исследования</w:t>
            </w:r>
          </w:p>
        </w:tc>
        <w:tc>
          <w:tcPr>
            <w:tcW w:w="2547"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Инклюзивность как вовлеченность стейкхолдеров в экономические процессы и принятие решений</w:t>
            </w:r>
          </w:p>
        </w:tc>
        <w:tc>
          <w:tcPr>
            <w:tcW w:w="1778"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Участие, социальный капитал, доверие</w:t>
            </w:r>
          </w:p>
        </w:tc>
        <w:tc>
          <w:tcPr>
            <w:tcW w:w="1906"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Сложность количественной оценки</w:t>
            </w:r>
          </w:p>
        </w:tc>
      </w:tr>
      <w:tr>
        <w:tc>
          <w:tcPr>
            <w:tcW w:w="1555" w:type="dxa"/>
            <w:hideMark/>
          </w:tcPr>
          <w:p>
            <w:pPr>
              <w:ind w:right="-108"/>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Инновацио-нно-ориентирова-нный (процессный)</w:t>
            </w:r>
          </w:p>
        </w:tc>
        <w:tc>
          <w:tcPr>
            <w:tcW w:w="2126"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 xml:space="preserve">М.Н. Деньщик, </w:t>
            </w:r>
          </w:p>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 xml:space="preserve">Н. Богдан, </w:t>
            </w:r>
          </w:p>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 xml:space="preserve">С. Вархурст </w:t>
            </w:r>
          </w:p>
        </w:tc>
        <w:tc>
          <w:tcPr>
            <w:tcW w:w="2547"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Инклюзивное развитие через перестройку инновационного процесса; включение исключенных групп, фирм и территорий в инновационную систему</w:t>
            </w:r>
          </w:p>
        </w:tc>
        <w:tc>
          <w:tcPr>
            <w:tcW w:w="1778"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Инклюзивные инновации, процессная инклюзив-ность</w:t>
            </w:r>
          </w:p>
        </w:tc>
        <w:tc>
          <w:tcPr>
            <w:tcW w:w="1906"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Требует развитой институциона-льной среды</w:t>
            </w:r>
          </w:p>
        </w:tc>
      </w:tr>
      <w:tr>
        <w:tc>
          <w:tcPr>
            <w:tcW w:w="1555"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 xml:space="preserve">Интегратив-ный </w:t>
            </w:r>
          </w:p>
        </w:tc>
        <w:tc>
          <w:tcPr>
            <w:tcW w:w="2126"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Авторский подход</w:t>
            </w:r>
          </w:p>
        </w:tc>
        <w:tc>
          <w:tcPr>
            <w:tcW w:w="2547"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Инклюзивное развитие как сочетание роста, инноваций, социальной и территориальной включенности</w:t>
            </w:r>
          </w:p>
        </w:tc>
        <w:tc>
          <w:tcPr>
            <w:tcW w:w="1778"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Системность, долгосрочная устойчивость</w:t>
            </w:r>
          </w:p>
        </w:tc>
        <w:tc>
          <w:tcPr>
            <w:tcW w:w="1906"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Высокая сложность реализации</w:t>
            </w:r>
          </w:p>
        </w:tc>
      </w:tr>
    </w:tbl>
    <w:p>
      <w:pPr>
        <w:pStyle w:val="P13"/>
        <w:spacing w:lineRule="auto" w:line="360" w:beforeAutospacing="0" w:afterAutospacing="0"/>
        <w:ind w:firstLine="707" w:right="167"/>
        <w:jc w:val="both"/>
        <w:rPr>
          <w:sz w:val="28"/>
          <w:szCs w:val="28"/>
          <w:lang w:val="ru-RU"/>
        </w:rPr>
      </w:pPr>
    </w:p>
    <w:p>
      <w:pPr>
        <w:pStyle w:val="P13"/>
        <w:spacing w:lineRule="auto" w:line="360" w:beforeAutospacing="0" w:afterAutospacing="0"/>
        <w:ind w:firstLine="707" w:right="167"/>
        <w:jc w:val="both"/>
        <w:rPr>
          <w:sz w:val="28"/>
          <w:szCs w:val="28"/>
          <w:lang w:val="ru-RU"/>
        </w:rPr>
      </w:pPr>
      <w:r>
        <w:rPr>
          <w:sz w:val="28"/>
          <w:szCs w:val="28"/>
          <w:lang w:val="ru-RU"/>
        </w:rPr>
        <w:t>Концепт инновационного развития в экономике инноваций традиционно связывается с формированием условий для генерации, распространения и коммерциализации нововведений, т.е. для инноваций. Понятие инноваций и производная от него категория «инновационное развитие» занимают центральное место в теории экономического роста и структурных преобразований. В научной литературе инновации рассматриваются как ключевой источник долгосрочного экономического развития, повышения производительности и конкурентоспособности, однако содержание и акценты данного понятия существенно эволюционировали от узкого технологического понимания к системной и институциональной трактовке.</w:t>
      </w:r>
    </w:p>
    <w:p>
      <w:pPr>
        <w:pStyle w:val="P13"/>
        <w:spacing w:lineRule="auto" w:line="360" w:beforeAutospacing="0" w:afterAutospacing="0"/>
        <w:ind w:firstLine="707" w:right="167"/>
        <w:jc w:val="both"/>
        <w:rPr>
          <w:sz w:val="28"/>
          <w:szCs w:val="28"/>
          <w:lang w:val="ru-RU"/>
        </w:rPr>
      </w:pPr>
      <w:r>
        <w:rPr>
          <w:sz w:val="28"/>
          <w:szCs w:val="28"/>
          <w:lang w:val="ru-RU"/>
        </w:rPr>
        <w:t xml:space="preserve">Отправной точкой теоретического анализа инноваций по праву считается подход </w:t>
      </w:r>
      <w:r>
        <w:rPr>
          <w:sz w:val="28"/>
          <w:szCs w:val="28"/>
          <w:highlight w:val="yellow"/>
          <w:lang w:val="ru-RU"/>
        </w:rPr>
        <w:t>Й. Шумпетера</w:t>
      </w:r>
      <w:r>
        <w:rPr>
          <w:sz w:val="28"/>
          <w:szCs w:val="28"/>
          <w:lang w:val="ru-RU"/>
        </w:rPr>
        <w:t>. В его концепции инновации трактуются как «новые комбинации», включающие:</w:t>
      </w:r>
    </w:p>
    <w:p>
      <w:pPr>
        <w:pStyle w:val="P13"/>
        <w:spacing w:lineRule="auto" w:line="360" w:beforeAutospacing="0" w:afterAutospacing="0"/>
        <w:ind w:firstLine="707" w:right="167"/>
        <w:jc w:val="both"/>
        <w:rPr>
          <w:sz w:val="28"/>
          <w:szCs w:val="28"/>
          <w:lang w:val="ru-RU"/>
        </w:rPr>
      </w:pPr>
      <w:r>
        <w:rPr>
          <w:sz w:val="28"/>
          <w:szCs w:val="28"/>
          <w:lang w:val="ru-RU"/>
        </w:rPr>
        <w:t>- создание новых товаров или качественно новых характеристик существующих;</w:t>
      </w:r>
    </w:p>
    <w:p>
      <w:pPr>
        <w:pStyle w:val="P13"/>
        <w:spacing w:lineRule="auto" w:line="360" w:beforeAutospacing="0" w:afterAutospacing="0"/>
        <w:ind w:firstLine="707" w:right="167"/>
        <w:jc w:val="both"/>
        <w:rPr>
          <w:sz w:val="28"/>
          <w:szCs w:val="28"/>
          <w:lang w:val="ru-RU"/>
        </w:rPr>
      </w:pPr>
      <w:r>
        <w:rPr>
          <w:sz w:val="28"/>
          <w:szCs w:val="28"/>
          <w:lang w:val="ru-RU"/>
        </w:rPr>
        <w:t>- внедрение новых методов производства;</w:t>
      </w:r>
    </w:p>
    <w:p>
      <w:pPr>
        <w:pStyle w:val="P13"/>
        <w:spacing w:lineRule="auto" w:line="360" w:beforeAutospacing="0" w:afterAutospacing="0"/>
        <w:ind w:firstLine="707" w:right="167"/>
        <w:jc w:val="both"/>
        <w:rPr>
          <w:sz w:val="28"/>
          <w:szCs w:val="28"/>
          <w:lang w:val="ru-RU"/>
        </w:rPr>
      </w:pPr>
      <w:r>
        <w:rPr>
          <w:sz w:val="28"/>
          <w:szCs w:val="28"/>
          <w:lang w:val="ru-RU"/>
        </w:rPr>
        <w:t>- освоение новых рынков;</w:t>
      </w:r>
    </w:p>
    <w:p>
      <w:pPr>
        <w:pStyle w:val="P13"/>
        <w:spacing w:lineRule="auto" w:line="360" w:beforeAutospacing="0" w:afterAutospacing="0"/>
        <w:ind w:firstLine="707" w:right="167"/>
        <w:jc w:val="both"/>
        <w:rPr>
          <w:sz w:val="28"/>
          <w:szCs w:val="28"/>
          <w:lang w:val="ru-RU"/>
        </w:rPr>
      </w:pPr>
      <w:r>
        <w:rPr>
          <w:sz w:val="28"/>
          <w:szCs w:val="28"/>
          <w:lang w:val="ru-RU"/>
        </w:rPr>
        <w:t>- использование новых источников сырья;</w:t>
      </w:r>
    </w:p>
    <w:p>
      <w:pPr>
        <w:pStyle w:val="P13"/>
        <w:spacing w:lineRule="auto" w:line="360" w:beforeAutospacing="0" w:afterAutospacing="0"/>
        <w:ind w:firstLine="707" w:right="167"/>
        <w:jc w:val="both"/>
        <w:rPr>
          <w:sz w:val="28"/>
          <w:szCs w:val="28"/>
          <w:lang w:val="ru-RU"/>
        </w:rPr>
      </w:pPr>
      <w:r>
        <w:rPr>
          <w:sz w:val="28"/>
          <w:szCs w:val="28"/>
          <w:lang w:val="ru-RU"/>
        </w:rPr>
        <w:t>- формирование новых форм организации.</w:t>
      </w:r>
    </w:p>
    <w:p>
      <w:pPr>
        <w:pStyle w:val="P13"/>
        <w:spacing w:lineRule="auto" w:line="360" w:beforeAutospacing="0" w:afterAutospacing="0"/>
        <w:ind w:firstLine="707" w:right="167"/>
        <w:jc w:val="both"/>
        <w:rPr>
          <w:sz w:val="28"/>
          <w:szCs w:val="28"/>
          <w:lang w:val="ru-RU"/>
        </w:rPr>
      </w:pPr>
      <w:r>
        <w:rPr>
          <w:sz w:val="28"/>
          <w:szCs w:val="28"/>
          <w:lang w:val="ru-RU"/>
        </w:rPr>
        <w:t>Ключевым элементом данного подхода является разграничение изобретения и инновации, при котором инновация возникает только в момент экономического внедрения новшества. Инновации, по Й. Шумпетеру, выступают источником «созидательного разрушения», обеспечивающего структурную трансформацию экономики. В рамках этого подхода инновационное развитие напрямую связано с предпринимательской активностью и динамикой капитализма.</w:t>
      </w:r>
    </w:p>
    <w:p>
      <w:pPr>
        <w:pStyle w:val="P13"/>
        <w:spacing w:lineRule="auto" w:line="360" w:beforeAutospacing="0" w:afterAutospacing="0"/>
        <w:ind w:firstLine="707" w:right="167"/>
        <w:jc w:val="both"/>
        <w:rPr>
          <w:sz w:val="28"/>
          <w:szCs w:val="28"/>
          <w:lang w:val="ru-RU"/>
        </w:rPr>
      </w:pPr>
      <w:r>
        <w:rPr>
          <w:sz w:val="28"/>
          <w:szCs w:val="28"/>
          <w:lang w:val="ru-RU"/>
        </w:rPr>
        <w:t xml:space="preserve">В неоклассических моделях экономического роста инновации первоначально рассматривались как экзогенный фактор, отражающий технический прогресс. Однако дальнейшее развитие теории привело к формированию моделей эндогенного роста, в которых инновации и накопление знаний становятся внутренними факторами экономической динамики. В работах </w:t>
      </w:r>
      <w:r>
        <w:rPr>
          <w:sz w:val="28"/>
          <w:szCs w:val="28"/>
          <w:highlight w:val="yellow"/>
          <w:lang w:val="ru-RU"/>
        </w:rPr>
        <w:t>П. Ромера и Р. Лукаса</w:t>
      </w:r>
      <w:r>
        <w:rPr>
          <w:sz w:val="28"/>
          <w:szCs w:val="28"/>
          <w:lang w:val="ru-RU"/>
        </w:rPr>
        <w:t xml:space="preserve"> инновации связываются с инвестициями в человеческий капитал, научные исследования и обучение, а знания рассматриваются как особый фактор производства с эффектами внешней экономии. В рамках данного подхода инновационное развитие трактуется как результат целенаправленных инвестиций в знания и образование, а государственная политика получает обоснование как инструмент стимулирования инновационной активности.</w:t>
      </w:r>
    </w:p>
    <w:p>
      <w:pPr>
        <w:pStyle w:val="P13"/>
        <w:spacing w:lineRule="auto" w:line="360" w:beforeAutospacing="0" w:afterAutospacing="0"/>
        <w:ind w:firstLine="707" w:right="167"/>
        <w:jc w:val="both"/>
        <w:rPr>
          <w:sz w:val="28"/>
          <w:szCs w:val="28"/>
          <w:lang w:val="ru-RU"/>
        </w:rPr>
      </w:pPr>
      <w:r>
        <w:rPr>
          <w:sz w:val="28"/>
          <w:szCs w:val="28"/>
          <w:lang w:val="ru-RU"/>
        </w:rPr>
        <w:t>В эволюционной экономике (</w:t>
      </w:r>
      <w:r>
        <w:rPr>
          <w:sz w:val="28"/>
          <w:szCs w:val="28"/>
          <w:highlight w:val="yellow"/>
          <w:lang w:val="ru-RU"/>
        </w:rPr>
        <w:t>Р. Нельсон, С. Уинтер</w:t>
      </w:r>
      <w:r>
        <w:rPr>
          <w:sz w:val="28"/>
          <w:szCs w:val="28"/>
          <w:lang w:val="ru-RU"/>
        </w:rPr>
        <w:t>) инновации рассматриваются как результат процессов поиска, экспериментов и обучения, происходящих в условиях неопределенности. Экономическое развитие трактуется как эволюционный процесс, в котором фирмы отличаются по инновационным стратегиям, а рыночный отбор закрепляет более эффективные практики. Существенным вкладом данного подхода является акцент на рутинах, организационных возможностях и накопленном знании, что позволяет рассматривать инновационное развитие как непрерывный и кумулятивный процесс, а не как серию разрозненных технологических прорывов.</w:t>
      </w:r>
    </w:p>
    <w:p>
      <w:pPr>
        <w:pStyle w:val="P13"/>
        <w:spacing w:lineRule="auto" w:line="360" w:beforeAutospacing="0" w:afterAutospacing="0"/>
        <w:ind w:firstLine="707" w:right="167"/>
        <w:jc w:val="both"/>
        <w:rPr>
          <w:sz w:val="28"/>
          <w:szCs w:val="28"/>
          <w:lang w:val="ru-RU"/>
        </w:rPr>
      </w:pPr>
      <w:r>
        <w:rPr>
          <w:sz w:val="28"/>
          <w:szCs w:val="28"/>
          <w:lang w:val="ru-RU"/>
        </w:rPr>
        <w:t xml:space="preserve">В конце XX века сформировался системный подход к инновациям, представленный в работах </w:t>
      </w:r>
      <w:r>
        <w:rPr>
          <w:sz w:val="28"/>
          <w:szCs w:val="28"/>
          <w:highlight w:val="yellow"/>
          <w:lang w:val="ru-RU"/>
        </w:rPr>
        <w:t>Б.-А. Лундваля, Р. Нельсона, К. Фримена</w:t>
      </w:r>
      <w:r>
        <w:rPr>
          <w:sz w:val="28"/>
          <w:szCs w:val="28"/>
          <w:lang w:val="ru-RU"/>
        </w:rPr>
        <w:t>. В рамках данного подхода инновации рассматриваются как результат взаимодействия множества акторов – фирм, университетов, исследовательских центров, государства и финансовых институтов. В этой связи авторами вводится понятие инновационной системы. Категория национальной и региональной инновационной системы позволяет анализировать инновационное развитие через призму институтов, сетей и механизмов координации. В этой логике инновационное развитие определяется не только уровнем НИОКР или количеством патентов, но и качеством взаимодействий, механизмами передачи знаний и институциональной средой.</w:t>
      </w:r>
    </w:p>
    <w:p>
      <w:pPr>
        <w:pStyle w:val="P13"/>
        <w:spacing w:lineRule="auto" w:line="360" w:beforeAutospacing="0" w:afterAutospacing="0"/>
        <w:ind w:firstLine="707" w:right="167"/>
        <w:jc w:val="both"/>
        <w:rPr>
          <w:sz w:val="28"/>
          <w:szCs w:val="28"/>
          <w:lang w:val="ru-RU"/>
        </w:rPr>
      </w:pPr>
      <w:r>
        <w:rPr>
          <w:sz w:val="28"/>
          <w:szCs w:val="28"/>
          <w:highlight w:val="yellow"/>
          <w:lang w:val="ru-RU"/>
        </w:rPr>
        <w:t>Институциональная</w:t>
      </w:r>
      <w:r>
        <w:rPr>
          <w:sz w:val="28"/>
          <w:szCs w:val="28"/>
          <w:lang w:val="ru-RU"/>
        </w:rPr>
        <w:t xml:space="preserve"> экономическая теория дополняет системный подход, подчеркивая роль формальных и неформальных институтов в формировании стимулов к инновациям. Качество прав собственности, контрактных механизмов, финансовых институтов и регулирования рассматривается как ключевое условие инновационного развития.</w:t>
      </w:r>
    </w:p>
    <w:p>
      <w:pPr>
        <w:pStyle w:val="P13"/>
        <w:spacing w:lineRule="auto" w:line="360" w:beforeAutospacing="0" w:afterAutospacing="0"/>
        <w:ind w:firstLine="707" w:right="167"/>
        <w:jc w:val="both"/>
        <w:rPr>
          <w:sz w:val="28"/>
          <w:szCs w:val="28"/>
          <w:lang w:val="ru-RU"/>
        </w:rPr>
      </w:pPr>
      <w:r>
        <w:rPr>
          <w:sz w:val="28"/>
          <w:szCs w:val="28"/>
          <w:lang w:val="ru-RU"/>
        </w:rPr>
        <w:t xml:space="preserve">Параллельно развивается </w:t>
      </w:r>
      <w:r>
        <w:rPr>
          <w:sz w:val="28"/>
          <w:szCs w:val="28"/>
          <w:highlight w:val="yellow"/>
          <w:lang w:val="ru-RU"/>
        </w:rPr>
        <w:t>организационный</w:t>
      </w:r>
      <w:r>
        <w:rPr>
          <w:sz w:val="28"/>
          <w:szCs w:val="28"/>
          <w:lang w:val="ru-RU"/>
        </w:rPr>
        <w:t xml:space="preserve"> подход, в рамках которого инновации связываются с управленческими практиками, организационным дизайном и корпоративной культурой. Инновационное развитие в этом контексте трактуется как способность организаций адаптироваться, обучаться и внедрять новые бизнес-модели.</w:t>
      </w:r>
    </w:p>
    <w:p>
      <w:pPr>
        <w:pStyle w:val="P13"/>
        <w:spacing w:lineRule="auto" w:line="360" w:beforeAutospacing="0" w:afterAutospacing="0"/>
        <w:ind w:firstLine="707" w:right="167"/>
        <w:jc w:val="both"/>
        <w:rPr>
          <w:sz w:val="28"/>
          <w:szCs w:val="28"/>
          <w:lang w:val="ru-RU"/>
        </w:rPr>
      </w:pPr>
      <w:r>
        <w:rPr>
          <w:sz w:val="28"/>
          <w:szCs w:val="28"/>
          <w:lang w:val="ru-RU"/>
        </w:rPr>
        <w:t xml:space="preserve">Существенное влияние на современное понимание инноваций оказали международные институциональные трактовки, прежде всего, разработанные </w:t>
      </w:r>
      <w:r>
        <w:rPr>
          <w:sz w:val="28"/>
          <w:szCs w:val="28"/>
          <w:highlight w:val="yellow"/>
          <w:lang w:val="ru-RU"/>
        </w:rPr>
        <w:t>ОЭСР и Евростатом</w:t>
      </w:r>
      <w:r>
        <w:rPr>
          <w:sz w:val="28"/>
          <w:szCs w:val="28"/>
          <w:lang w:val="ru-RU"/>
        </w:rPr>
        <w:t>. В соответствии с «Руководством Осло» инновации включают не только технологические, но и маркетинговые и организационные нововведения, что расширяет границы анализа инновационного развития.</w:t>
      </w:r>
    </w:p>
    <w:p>
      <w:pPr>
        <w:pStyle w:val="P13"/>
        <w:spacing w:lineRule="auto" w:line="360" w:beforeAutospacing="0" w:afterAutospacing="0"/>
        <w:ind w:firstLine="707" w:right="167"/>
        <w:jc w:val="both"/>
        <w:rPr>
          <w:sz w:val="28"/>
          <w:szCs w:val="28"/>
          <w:lang w:val="ru-RU"/>
        </w:rPr>
      </w:pPr>
      <w:r>
        <w:rPr>
          <w:sz w:val="28"/>
          <w:szCs w:val="28"/>
          <w:lang w:val="ru-RU"/>
        </w:rPr>
        <w:t>В данных подходах инновационное развитие получает операционализированную форму через системы индикаторов, позволяющие проводить международные сопоставления и оценивать эффективность инновационной политики.</w:t>
      </w:r>
    </w:p>
    <w:p>
      <w:pPr>
        <w:pStyle w:val="P13"/>
        <w:spacing w:lineRule="auto" w:line="360" w:beforeAutospacing="0" w:afterAutospacing="0"/>
        <w:ind w:firstLine="707" w:right="167"/>
        <w:jc w:val="both"/>
        <w:rPr>
          <w:sz w:val="28"/>
          <w:szCs w:val="28"/>
          <w:lang w:val="ru-RU"/>
        </w:rPr>
      </w:pPr>
      <w:r>
        <w:rPr>
          <w:sz w:val="28"/>
          <w:szCs w:val="28"/>
          <w:lang w:val="ru-RU"/>
        </w:rPr>
        <w:t xml:space="preserve">В последние годы в научной литературе усиливается внимание к </w:t>
      </w:r>
      <w:r>
        <w:rPr>
          <w:sz w:val="28"/>
          <w:szCs w:val="28"/>
          <w:highlight w:val="yellow"/>
          <w:lang w:val="ru-RU"/>
        </w:rPr>
        <w:t>социальным последствиям инновационного развития</w:t>
      </w:r>
      <w:r>
        <w:rPr>
          <w:sz w:val="28"/>
          <w:szCs w:val="28"/>
          <w:lang w:val="ru-RU"/>
        </w:rPr>
        <w:t>. Отмечается, что инновации могут не только способствовать росту, но и усиливать неравенство и территориальную поляризацию, если доступ к инновационным процессам ограничен. В этой связи формируются подходы, рассматривающие инновации в более широком социально-экономическом контексте, включая социальные, институциональные и пользовательские инновации. Данные трактовки создают теоретическую основу для концепции инклюзивных инноваций и дальнейшего перехода к категории инновационно-инклюзивного развития.</w:t>
      </w:r>
    </w:p>
    <w:p>
      <w:pPr>
        <w:pStyle w:val="P13"/>
        <w:spacing w:lineRule="auto" w:line="360" w:beforeAutospacing="0" w:afterAutospacing="0"/>
        <w:ind w:firstLine="707" w:right="167"/>
        <w:jc w:val="both"/>
        <w:rPr>
          <w:sz w:val="28"/>
          <w:szCs w:val="28"/>
          <w:lang w:val="ru-RU"/>
        </w:rPr>
      </w:pPr>
      <w:r>
        <w:rPr>
          <w:sz w:val="28"/>
          <w:szCs w:val="28"/>
          <w:lang w:val="ru-RU"/>
        </w:rPr>
        <w:t xml:space="preserve">Систематизация научных и институциональных подходов показывает, что понимание инноваций и инновационного развития эволюционировало от узкотехнологической и экзогенной трактовки к комплексному системному и институциональному пониманию (таблица 3). Современные подходы подчеркивают, что инновационное развитие является управляемым, многоакторным и социально обусловленным процессом. </w:t>
      </w:r>
    </w:p>
    <w:p>
      <w:pPr>
        <w:pStyle w:val="P13"/>
        <w:spacing w:lineRule="auto" w:line="360" w:beforeAutospacing="0" w:afterAutospacing="0"/>
        <w:ind w:firstLine="707" w:right="167"/>
        <w:jc w:val="both"/>
        <w:rPr>
          <w:sz w:val="28"/>
          <w:szCs w:val="28"/>
          <w:lang w:val="ru-RU"/>
        </w:rPr>
      </w:pPr>
    </w:p>
    <w:p>
      <w:pPr>
        <w:pStyle w:val="P13"/>
        <w:spacing w:lineRule="auto" w:line="360" w:beforeAutospacing="0" w:afterAutospacing="0"/>
        <w:ind w:right="167"/>
        <w:jc w:val="both"/>
        <w:rPr>
          <w:sz w:val="28"/>
          <w:szCs w:val="28"/>
          <w:lang w:val="ru-RU"/>
        </w:rPr>
      </w:pPr>
      <w:r>
        <w:rPr>
          <w:sz w:val="28"/>
          <w:szCs w:val="28"/>
          <w:lang w:val="ru-RU"/>
        </w:rPr>
        <w:t xml:space="preserve">Таблица 3 – Основные подходы к инновациям и инновационному развитию (составлено автором) </w:t>
      </w:r>
    </w:p>
    <w:tbl>
      <w:tblPr>
        <w:tblStyle w:val="T3"/>
        <w:tblW w:w="0" w:type="auto"/>
        <w:tblLayout w:type="fixed"/>
        <w:tblLook w:val="04A0"/>
      </w:tblPr>
      <w:tblGrid>
        <w:gridCol w:w="1271"/>
        <w:gridCol w:w="1701"/>
        <w:gridCol w:w="1701"/>
        <w:gridCol w:w="1985"/>
        <w:gridCol w:w="1559"/>
        <w:gridCol w:w="1695"/>
      </w:tblGrid>
      <w:tr>
        <w:tc>
          <w:tcPr>
            <w:tcW w:w="1271" w:type="dxa"/>
            <w:hideMark/>
          </w:tcPr>
          <w:p>
            <w:pPr>
              <w:jc w:val="center"/>
              <w:rPr>
                <w:rFonts w:ascii="Times New Roman" w:hAnsi="Times New Roman" w:cs="Times New Roman" w:eastAsia="Times New Roman"/>
                <w:bCs w:val="1"/>
                <w:sz w:val="24"/>
                <w:szCs w:val="24"/>
                <w:lang w:eastAsia="ru-RU"/>
              </w:rPr>
            </w:pPr>
            <w:r>
              <w:rPr>
                <w:rFonts w:ascii="Times New Roman" w:hAnsi="Times New Roman" w:cs="Times New Roman" w:eastAsia="Times New Roman"/>
                <w:bCs w:val="1"/>
                <w:sz w:val="24"/>
                <w:szCs w:val="24"/>
                <w:lang w:eastAsia="ru-RU"/>
              </w:rPr>
              <w:t>Подход</w:t>
            </w:r>
          </w:p>
        </w:tc>
        <w:tc>
          <w:tcPr>
            <w:tcW w:w="1701" w:type="dxa"/>
            <w:hideMark/>
          </w:tcPr>
          <w:p>
            <w:pPr>
              <w:jc w:val="center"/>
              <w:rPr>
                <w:rFonts w:ascii="Times New Roman" w:hAnsi="Times New Roman" w:cs="Times New Roman" w:eastAsia="Times New Roman"/>
                <w:bCs w:val="1"/>
                <w:sz w:val="24"/>
                <w:szCs w:val="24"/>
                <w:lang w:eastAsia="ru-RU"/>
              </w:rPr>
            </w:pPr>
            <w:r>
              <w:rPr>
                <w:rFonts w:ascii="Times New Roman" w:hAnsi="Times New Roman" w:cs="Times New Roman" w:eastAsia="Times New Roman"/>
                <w:bCs w:val="1"/>
                <w:sz w:val="24"/>
                <w:szCs w:val="24"/>
                <w:lang w:eastAsia="ru-RU"/>
              </w:rPr>
              <w:t>Ключевые представители / институты</w:t>
            </w:r>
          </w:p>
        </w:tc>
        <w:tc>
          <w:tcPr>
            <w:tcW w:w="1701" w:type="dxa"/>
            <w:hideMark/>
          </w:tcPr>
          <w:p>
            <w:pPr>
              <w:jc w:val="center"/>
              <w:rPr>
                <w:rFonts w:ascii="Times New Roman" w:hAnsi="Times New Roman" w:cs="Times New Roman" w:eastAsia="Times New Roman"/>
                <w:bCs w:val="1"/>
                <w:sz w:val="24"/>
                <w:szCs w:val="24"/>
                <w:lang w:eastAsia="ru-RU"/>
              </w:rPr>
            </w:pPr>
            <w:r>
              <w:rPr>
                <w:rFonts w:ascii="Times New Roman" w:hAnsi="Times New Roman" w:cs="Times New Roman" w:eastAsia="Times New Roman"/>
                <w:bCs w:val="1"/>
                <w:sz w:val="24"/>
                <w:szCs w:val="24"/>
                <w:lang w:eastAsia="ru-RU"/>
              </w:rPr>
              <w:t>Трактовка инноваций</w:t>
            </w:r>
          </w:p>
        </w:tc>
        <w:tc>
          <w:tcPr>
            <w:tcW w:w="1985" w:type="dxa"/>
            <w:hideMark/>
          </w:tcPr>
          <w:p>
            <w:pPr>
              <w:jc w:val="center"/>
              <w:rPr>
                <w:rFonts w:ascii="Times New Roman" w:hAnsi="Times New Roman" w:cs="Times New Roman" w:eastAsia="Times New Roman"/>
                <w:bCs w:val="1"/>
                <w:sz w:val="24"/>
                <w:szCs w:val="24"/>
                <w:lang w:eastAsia="ru-RU"/>
              </w:rPr>
            </w:pPr>
            <w:r>
              <w:rPr>
                <w:rFonts w:ascii="Times New Roman" w:hAnsi="Times New Roman" w:cs="Times New Roman" w:eastAsia="Times New Roman"/>
                <w:bCs w:val="1"/>
                <w:sz w:val="24"/>
                <w:szCs w:val="24"/>
                <w:lang w:eastAsia="ru-RU"/>
              </w:rPr>
              <w:t>Понимание инновационного развития</w:t>
            </w:r>
          </w:p>
        </w:tc>
        <w:tc>
          <w:tcPr>
            <w:tcW w:w="1559" w:type="dxa"/>
            <w:hideMark/>
          </w:tcPr>
          <w:p>
            <w:pPr>
              <w:jc w:val="center"/>
              <w:rPr>
                <w:rFonts w:ascii="Times New Roman" w:hAnsi="Times New Roman" w:cs="Times New Roman" w:eastAsia="Times New Roman"/>
                <w:bCs w:val="1"/>
                <w:sz w:val="24"/>
                <w:szCs w:val="24"/>
                <w:lang w:eastAsia="ru-RU"/>
              </w:rPr>
            </w:pPr>
            <w:r>
              <w:rPr>
                <w:rFonts w:ascii="Times New Roman" w:hAnsi="Times New Roman" w:cs="Times New Roman" w:eastAsia="Times New Roman"/>
                <w:bCs w:val="1"/>
                <w:sz w:val="24"/>
                <w:szCs w:val="24"/>
                <w:lang w:eastAsia="ru-RU"/>
              </w:rPr>
              <w:t>Ключевые акценты</w:t>
            </w:r>
          </w:p>
        </w:tc>
        <w:tc>
          <w:tcPr>
            <w:tcW w:w="1695" w:type="dxa"/>
            <w:hideMark/>
          </w:tcPr>
          <w:p>
            <w:pPr>
              <w:jc w:val="center"/>
              <w:rPr>
                <w:rFonts w:ascii="Times New Roman" w:hAnsi="Times New Roman" w:cs="Times New Roman" w:eastAsia="Times New Roman"/>
                <w:bCs w:val="1"/>
                <w:sz w:val="24"/>
                <w:szCs w:val="24"/>
                <w:lang w:eastAsia="ru-RU"/>
              </w:rPr>
            </w:pPr>
            <w:r>
              <w:rPr>
                <w:rFonts w:ascii="Times New Roman" w:hAnsi="Times New Roman" w:cs="Times New Roman" w:eastAsia="Times New Roman"/>
                <w:bCs w:val="1"/>
                <w:sz w:val="24"/>
                <w:szCs w:val="24"/>
                <w:lang w:eastAsia="ru-RU"/>
              </w:rPr>
              <w:t>Ограничения подхода</w:t>
            </w:r>
          </w:p>
        </w:tc>
      </w:tr>
      <w:tr>
        <w:tc>
          <w:tcPr>
            <w:tcW w:w="1271"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Классический шумпетерианский</w:t>
            </w:r>
          </w:p>
        </w:tc>
        <w:tc>
          <w:tcPr>
            <w:tcW w:w="1701" w:type="dxa"/>
            <w:hideMark/>
          </w:tcPr>
          <w:p>
            <w:pPr>
              <w:rPr>
                <w:rFonts w:ascii="Times New Roman" w:hAnsi="Times New Roman" w:cs="Times New Roman" w:eastAsia="Times New Roman"/>
                <w:sz w:val="24"/>
                <w:szCs w:val="24"/>
                <w:highlight w:val="yellow"/>
                <w:lang w:eastAsia="ru-RU"/>
              </w:rPr>
            </w:pPr>
            <w:r>
              <w:rPr>
                <w:rFonts w:ascii="Times New Roman" w:hAnsi="Times New Roman" w:cs="Times New Roman" w:eastAsia="Times New Roman"/>
                <w:sz w:val="24"/>
                <w:szCs w:val="24"/>
                <w:highlight w:val="yellow"/>
                <w:lang w:eastAsia="ru-RU"/>
              </w:rPr>
              <w:t>Й. Шумпетер</w:t>
            </w:r>
          </w:p>
        </w:tc>
        <w:tc>
          <w:tcPr>
            <w:tcW w:w="1701"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Инновации как «новые комбинации» (продукты, процессы, рынки, формы организации)</w:t>
            </w:r>
          </w:p>
        </w:tc>
        <w:tc>
          <w:tcPr>
            <w:tcW w:w="1985"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Инновационное развитие как процесс созидательного разрушения и структурной трансформации</w:t>
            </w:r>
          </w:p>
        </w:tc>
        <w:tc>
          <w:tcPr>
            <w:tcW w:w="1559" w:type="dxa"/>
            <w:hideMark/>
          </w:tcPr>
          <w:p>
            <w:pPr>
              <w:ind w:right="-138"/>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Предпринимательство, динамика капитализма, структурные сдвиги</w:t>
            </w:r>
          </w:p>
        </w:tc>
        <w:tc>
          <w:tcPr>
            <w:tcW w:w="1695" w:type="dxa"/>
            <w:hideMark/>
          </w:tcPr>
          <w:p>
            <w:pPr>
              <w:ind w:right="-114"/>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Недостаточное внимание институтам и социальной среде</w:t>
            </w:r>
          </w:p>
        </w:tc>
      </w:tr>
      <w:tr>
        <w:tc>
          <w:tcPr>
            <w:tcW w:w="1271"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Неоклассический</w:t>
            </w:r>
          </w:p>
        </w:tc>
        <w:tc>
          <w:tcPr>
            <w:tcW w:w="1701" w:type="dxa"/>
            <w:hideMark/>
          </w:tcPr>
          <w:p>
            <w:pPr>
              <w:rPr>
                <w:rFonts w:ascii="Times New Roman" w:hAnsi="Times New Roman" w:cs="Times New Roman" w:eastAsia="Times New Roman"/>
                <w:sz w:val="24"/>
                <w:szCs w:val="24"/>
                <w:highlight w:val="yellow"/>
                <w:lang w:eastAsia="ru-RU"/>
              </w:rPr>
            </w:pPr>
            <w:r>
              <w:rPr>
                <w:rFonts w:ascii="Times New Roman" w:hAnsi="Times New Roman" w:cs="Times New Roman" w:eastAsia="Times New Roman"/>
                <w:sz w:val="24"/>
                <w:szCs w:val="24"/>
                <w:highlight w:val="yellow"/>
                <w:lang w:eastAsia="ru-RU"/>
              </w:rPr>
              <w:t>Р. Солоу</w:t>
            </w:r>
          </w:p>
        </w:tc>
        <w:tc>
          <w:tcPr>
            <w:tcW w:w="1701"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Технический прогресс как фактор роста (экзогенный)</w:t>
            </w:r>
          </w:p>
        </w:tc>
        <w:tc>
          <w:tcPr>
            <w:tcW w:w="1985"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Инновационное развитие как результат внешнего технического прогресса</w:t>
            </w:r>
          </w:p>
        </w:tc>
        <w:tc>
          <w:tcPr>
            <w:tcW w:w="1559"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Производи-тельность, рост ВВП</w:t>
            </w:r>
          </w:p>
        </w:tc>
        <w:tc>
          <w:tcPr>
            <w:tcW w:w="1695"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Игнорирова-ние институ-циональных и социальных факторов</w:t>
            </w:r>
          </w:p>
        </w:tc>
      </w:tr>
      <w:tr>
        <w:tc>
          <w:tcPr>
            <w:tcW w:w="1271"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Эндоген-ного роста</w:t>
            </w:r>
          </w:p>
        </w:tc>
        <w:tc>
          <w:tcPr>
            <w:tcW w:w="1701" w:type="dxa"/>
            <w:hideMark/>
          </w:tcPr>
          <w:p>
            <w:pPr>
              <w:rPr>
                <w:rFonts w:ascii="Times New Roman" w:hAnsi="Times New Roman" w:cs="Times New Roman" w:eastAsia="Times New Roman"/>
                <w:sz w:val="24"/>
                <w:szCs w:val="24"/>
                <w:highlight w:val="yellow"/>
                <w:lang w:eastAsia="ru-RU"/>
              </w:rPr>
            </w:pPr>
            <w:r>
              <w:rPr>
                <w:rFonts w:ascii="Times New Roman" w:hAnsi="Times New Roman" w:cs="Times New Roman" w:eastAsia="Times New Roman"/>
                <w:sz w:val="24"/>
                <w:szCs w:val="24"/>
                <w:highlight w:val="yellow"/>
                <w:lang w:eastAsia="ru-RU"/>
              </w:rPr>
              <w:t xml:space="preserve">П. Ромер, </w:t>
            </w:r>
          </w:p>
          <w:p>
            <w:pPr>
              <w:rPr>
                <w:rFonts w:ascii="Times New Roman" w:hAnsi="Times New Roman" w:cs="Times New Roman" w:eastAsia="Times New Roman"/>
                <w:sz w:val="24"/>
                <w:szCs w:val="24"/>
                <w:highlight w:val="yellow"/>
                <w:lang w:eastAsia="ru-RU"/>
              </w:rPr>
            </w:pPr>
            <w:r>
              <w:rPr>
                <w:rFonts w:ascii="Times New Roman" w:hAnsi="Times New Roman" w:cs="Times New Roman" w:eastAsia="Times New Roman"/>
                <w:sz w:val="24"/>
                <w:szCs w:val="24"/>
                <w:highlight w:val="yellow"/>
                <w:lang w:eastAsia="ru-RU"/>
              </w:rPr>
              <w:t>Р. Лукас</w:t>
            </w:r>
          </w:p>
        </w:tc>
        <w:tc>
          <w:tcPr>
            <w:tcW w:w="1701"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Инновации как результат инвестиций в знания и человеческий капитал</w:t>
            </w:r>
          </w:p>
        </w:tc>
        <w:tc>
          <w:tcPr>
            <w:tcW w:w="1985"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Инновационное развитие как управляемый процесс накопления знаний</w:t>
            </w:r>
          </w:p>
        </w:tc>
        <w:tc>
          <w:tcPr>
            <w:tcW w:w="1559"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Человечес-кий капитал, НИОКР, эффекты масштаба</w:t>
            </w:r>
          </w:p>
        </w:tc>
        <w:tc>
          <w:tcPr>
            <w:tcW w:w="1695"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Ограничен-ный учет институцио-нальной неоднородно-сти</w:t>
            </w:r>
          </w:p>
        </w:tc>
      </w:tr>
      <w:tr>
        <w:tc>
          <w:tcPr>
            <w:tcW w:w="1271"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Эволю-ционный</w:t>
            </w:r>
          </w:p>
        </w:tc>
        <w:tc>
          <w:tcPr>
            <w:tcW w:w="1701" w:type="dxa"/>
            <w:hideMark/>
          </w:tcPr>
          <w:p>
            <w:pPr>
              <w:rPr>
                <w:rFonts w:ascii="Times New Roman" w:hAnsi="Times New Roman" w:cs="Times New Roman" w:eastAsia="Times New Roman"/>
                <w:sz w:val="24"/>
                <w:szCs w:val="24"/>
                <w:highlight w:val="yellow"/>
                <w:lang w:eastAsia="ru-RU"/>
              </w:rPr>
            </w:pPr>
            <w:r>
              <w:rPr>
                <w:rFonts w:ascii="Times New Roman" w:hAnsi="Times New Roman" w:cs="Times New Roman" w:eastAsia="Times New Roman"/>
                <w:sz w:val="24"/>
                <w:szCs w:val="24"/>
                <w:highlight w:val="yellow"/>
                <w:lang w:eastAsia="ru-RU"/>
              </w:rPr>
              <w:t xml:space="preserve">Р. Нельсон, </w:t>
            </w:r>
          </w:p>
          <w:p>
            <w:pPr>
              <w:rPr>
                <w:rFonts w:ascii="Times New Roman" w:hAnsi="Times New Roman" w:cs="Times New Roman" w:eastAsia="Times New Roman"/>
                <w:sz w:val="24"/>
                <w:szCs w:val="24"/>
                <w:highlight w:val="yellow"/>
                <w:lang w:eastAsia="ru-RU"/>
              </w:rPr>
            </w:pPr>
            <w:r>
              <w:rPr>
                <w:rFonts w:ascii="Times New Roman" w:hAnsi="Times New Roman" w:cs="Times New Roman" w:eastAsia="Times New Roman"/>
                <w:sz w:val="24"/>
                <w:szCs w:val="24"/>
                <w:highlight w:val="yellow"/>
                <w:lang w:eastAsia="ru-RU"/>
              </w:rPr>
              <w:t>С. Уинтер</w:t>
            </w:r>
          </w:p>
        </w:tc>
        <w:tc>
          <w:tcPr>
            <w:tcW w:w="1701"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Инновации как результат обучения, эксперимен-тов и отбора</w:t>
            </w:r>
          </w:p>
        </w:tc>
        <w:tc>
          <w:tcPr>
            <w:tcW w:w="1985"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Инновационное развитие как кумулятивный, нелинейный процесс</w:t>
            </w:r>
          </w:p>
        </w:tc>
        <w:tc>
          <w:tcPr>
            <w:tcW w:w="1559"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Рутина, обучение, адаптация</w:t>
            </w:r>
          </w:p>
        </w:tc>
        <w:tc>
          <w:tcPr>
            <w:tcW w:w="1695"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Сложность формализации и измерения</w:t>
            </w:r>
          </w:p>
        </w:tc>
      </w:tr>
      <w:tr>
        <w:tc>
          <w:tcPr>
            <w:tcW w:w="1271"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Систем-ный (НИС/</w:t>
            </w:r>
          </w:p>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РИС)</w:t>
            </w:r>
          </w:p>
        </w:tc>
        <w:tc>
          <w:tcPr>
            <w:tcW w:w="1701" w:type="dxa"/>
            <w:hideMark/>
          </w:tcPr>
          <w:p>
            <w:pPr>
              <w:rPr>
                <w:rFonts w:ascii="Times New Roman" w:hAnsi="Times New Roman" w:cs="Times New Roman" w:eastAsia="Times New Roman"/>
                <w:sz w:val="24"/>
                <w:szCs w:val="24"/>
                <w:highlight w:val="yellow"/>
                <w:lang w:eastAsia="ru-RU"/>
              </w:rPr>
            </w:pPr>
            <w:r>
              <w:rPr>
                <w:rFonts w:ascii="Times New Roman" w:hAnsi="Times New Roman" w:cs="Times New Roman" w:eastAsia="Times New Roman"/>
                <w:sz w:val="24"/>
                <w:szCs w:val="24"/>
                <w:highlight w:val="yellow"/>
                <w:lang w:eastAsia="ru-RU"/>
              </w:rPr>
              <w:t xml:space="preserve">Б.-А. Лундвалль, </w:t>
            </w:r>
          </w:p>
          <w:p>
            <w:pPr>
              <w:rPr>
                <w:rFonts w:ascii="Times New Roman" w:hAnsi="Times New Roman" w:cs="Times New Roman" w:eastAsia="Times New Roman"/>
                <w:sz w:val="24"/>
                <w:szCs w:val="24"/>
                <w:highlight w:val="yellow"/>
                <w:lang w:eastAsia="ru-RU"/>
              </w:rPr>
            </w:pPr>
            <w:r>
              <w:rPr>
                <w:rFonts w:ascii="Times New Roman" w:hAnsi="Times New Roman" w:cs="Times New Roman" w:eastAsia="Times New Roman"/>
                <w:sz w:val="24"/>
                <w:szCs w:val="24"/>
                <w:highlight w:val="yellow"/>
                <w:lang w:eastAsia="ru-RU"/>
              </w:rPr>
              <w:t xml:space="preserve">К. Фримен, </w:t>
            </w:r>
          </w:p>
          <w:p>
            <w:pPr>
              <w:rPr>
                <w:rFonts w:ascii="Times New Roman" w:hAnsi="Times New Roman" w:cs="Times New Roman" w:eastAsia="Times New Roman"/>
                <w:sz w:val="24"/>
                <w:szCs w:val="24"/>
                <w:highlight w:val="yellow"/>
                <w:lang w:eastAsia="ru-RU"/>
              </w:rPr>
            </w:pPr>
            <w:r>
              <w:rPr>
                <w:rFonts w:ascii="Times New Roman" w:hAnsi="Times New Roman" w:cs="Times New Roman" w:eastAsia="Times New Roman"/>
                <w:sz w:val="24"/>
                <w:szCs w:val="24"/>
                <w:highlight w:val="yellow"/>
                <w:lang w:eastAsia="ru-RU"/>
              </w:rPr>
              <w:t>Р. Нельсон</w:t>
            </w:r>
          </w:p>
        </w:tc>
        <w:tc>
          <w:tcPr>
            <w:tcW w:w="1701"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Инновации как результат взаимодейс-твия акторов</w:t>
            </w:r>
          </w:p>
        </w:tc>
        <w:tc>
          <w:tcPr>
            <w:tcW w:w="1985"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Инновационное развитие как функционирова-ние инноваци-онной системы</w:t>
            </w:r>
          </w:p>
        </w:tc>
        <w:tc>
          <w:tcPr>
            <w:tcW w:w="1559"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Институты, сети, координация</w:t>
            </w:r>
          </w:p>
        </w:tc>
        <w:tc>
          <w:tcPr>
            <w:tcW w:w="1695"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Требует развитой институциональной среды</w:t>
            </w:r>
          </w:p>
        </w:tc>
      </w:tr>
      <w:tr>
        <w:tc>
          <w:tcPr>
            <w:tcW w:w="1271"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Институ-циональ-ный</w:t>
            </w:r>
          </w:p>
        </w:tc>
        <w:tc>
          <w:tcPr>
            <w:tcW w:w="1701" w:type="dxa"/>
            <w:hideMark/>
          </w:tcPr>
          <w:p>
            <w:pPr>
              <w:rPr>
                <w:rFonts w:ascii="Times New Roman" w:hAnsi="Times New Roman" w:cs="Times New Roman" w:eastAsia="Times New Roman"/>
                <w:sz w:val="24"/>
                <w:szCs w:val="24"/>
                <w:highlight w:val="yellow"/>
                <w:lang w:eastAsia="ru-RU"/>
              </w:rPr>
            </w:pPr>
            <w:r>
              <w:rPr>
                <w:rFonts w:ascii="Times New Roman" w:hAnsi="Times New Roman" w:cs="Times New Roman" w:eastAsia="Times New Roman"/>
                <w:sz w:val="24"/>
                <w:szCs w:val="24"/>
                <w:highlight w:val="yellow"/>
                <w:lang w:eastAsia="ru-RU"/>
              </w:rPr>
              <w:t>Д. Норт</w:t>
            </w:r>
          </w:p>
        </w:tc>
        <w:tc>
          <w:tcPr>
            <w:tcW w:w="1701" w:type="dxa"/>
            <w:hideMark/>
          </w:tcPr>
          <w:p>
            <w:pPr>
              <w:ind w:right="-108"/>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Инновации как институцио-нально обусловлен-ные изменения</w:t>
            </w:r>
          </w:p>
        </w:tc>
        <w:tc>
          <w:tcPr>
            <w:tcW w:w="1985"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Инновационное развитие зависит от качества институтов и правил</w:t>
            </w:r>
          </w:p>
        </w:tc>
        <w:tc>
          <w:tcPr>
            <w:tcW w:w="1559"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Права собственности, стимулы, регулирование</w:t>
            </w:r>
          </w:p>
        </w:tc>
        <w:tc>
          <w:tcPr>
            <w:tcW w:w="1695"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Косвенная связь с технологи-ческим содержанием</w:t>
            </w:r>
          </w:p>
        </w:tc>
      </w:tr>
      <w:tr>
        <w:tc>
          <w:tcPr>
            <w:tcW w:w="1271"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Организационный и управленческий</w:t>
            </w:r>
          </w:p>
        </w:tc>
        <w:tc>
          <w:tcPr>
            <w:tcW w:w="1701" w:type="dxa"/>
            <w:hideMark/>
          </w:tcPr>
          <w:p>
            <w:pPr>
              <w:rPr>
                <w:rFonts w:ascii="Times New Roman" w:hAnsi="Times New Roman" w:cs="Times New Roman" w:eastAsia="Times New Roman"/>
                <w:sz w:val="24"/>
                <w:szCs w:val="24"/>
                <w:highlight w:val="yellow"/>
                <w:lang w:eastAsia="ru-RU"/>
              </w:rPr>
            </w:pPr>
            <w:r>
              <w:rPr>
                <w:rFonts w:ascii="Times New Roman" w:hAnsi="Times New Roman" w:cs="Times New Roman" w:eastAsia="Times New Roman"/>
                <w:sz w:val="24"/>
                <w:szCs w:val="24"/>
                <w:highlight w:val="yellow"/>
                <w:lang w:eastAsia="ru-RU"/>
              </w:rPr>
              <w:t>Современные исследования менеджмента</w:t>
            </w:r>
          </w:p>
        </w:tc>
        <w:tc>
          <w:tcPr>
            <w:tcW w:w="1701"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Инновации как результат управленческих и организационных изменений</w:t>
            </w:r>
          </w:p>
        </w:tc>
        <w:tc>
          <w:tcPr>
            <w:tcW w:w="1985"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Инновационное развитие как способность организаций к адаптации</w:t>
            </w:r>
          </w:p>
        </w:tc>
        <w:tc>
          <w:tcPr>
            <w:tcW w:w="1559"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Корпоративная культура, бизнес-модели</w:t>
            </w:r>
          </w:p>
        </w:tc>
        <w:tc>
          <w:tcPr>
            <w:tcW w:w="1695"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Ограниченность макроэкономического анализа</w:t>
            </w:r>
          </w:p>
        </w:tc>
      </w:tr>
      <w:tr>
        <w:tc>
          <w:tcPr>
            <w:tcW w:w="1271"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Статистико-институ-циональный</w:t>
            </w:r>
          </w:p>
        </w:tc>
        <w:tc>
          <w:tcPr>
            <w:tcW w:w="1701" w:type="dxa"/>
            <w:hideMark/>
          </w:tcPr>
          <w:p>
            <w:pPr>
              <w:rPr>
                <w:rFonts w:ascii="Times New Roman" w:hAnsi="Times New Roman" w:cs="Times New Roman" w:eastAsia="Times New Roman"/>
                <w:sz w:val="24"/>
                <w:szCs w:val="24"/>
                <w:highlight w:val="yellow"/>
                <w:lang w:eastAsia="ru-RU"/>
              </w:rPr>
            </w:pPr>
            <w:r>
              <w:rPr>
                <w:rFonts w:ascii="Times New Roman" w:hAnsi="Times New Roman" w:cs="Times New Roman" w:eastAsia="Times New Roman"/>
                <w:sz w:val="24"/>
                <w:szCs w:val="24"/>
                <w:highlight w:val="yellow"/>
                <w:lang w:eastAsia="ru-RU"/>
              </w:rPr>
              <w:t>ОЭСР, Евростат (Oslo Manual)</w:t>
            </w:r>
          </w:p>
        </w:tc>
        <w:tc>
          <w:tcPr>
            <w:tcW w:w="1701"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Инновации как внедренные продуктовые, процессные, маркетинго-вые и организаци-онные нововведения</w:t>
            </w:r>
          </w:p>
        </w:tc>
        <w:tc>
          <w:tcPr>
            <w:tcW w:w="1985"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Инновационное развитие как измеряемый процесс</w:t>
            </w:r>
          </w:p>
        </w:tc>
        <w:tc>
          <w:tcPr>
            <w:tcW w:w="1559"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Операцио-нализация, индикаторы</w:t>
            </w:r>
          </w:p>
        </w:tc>
        <w:tc>
          <w:tcPr>
            <w:tcW w:w="1695"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Формальный характер, ограничен-ность контекста</w:t>
            </w:r>
          </w:p>
        </w:tc>
      </w:tr>
      <w:tr>
        <w:tc>
          <w:tcPr>
            <w:tcW w:w="1271"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Социаль-но-ориен-тированный</w:t>
            </w:r>
          </w:p>
        </w:tc>
        <w:tc>
          <w:tcPr>
            <w:tcW w:w="1701" w:type="dxa"/>
            <w:hideMark/>
          </w:tcPr>
          <w:p>
            <w:pPr>
              <w:rPr>
                <w:rFonts w:ascii="Times New Roman" w:hAnsi="Times New Roman" w:cs="Times New Roman" w:eastAsia="Times New Roman"/>
                <w:sz w:val="24"/>
                <w:szCs w:val="24"/>
                <w:highlight w:val="yellow"/>
                <w:lang w:eastAsia="ru-RU"/>
              </w:rPr>
            </w:pPr>
            <w:r>
              <w:rPr>
                <w:rFonts w:ascii="Times New Roman" w:hAnsi="Times New Roman" w:cs="Times New Roman" w:eastAsia="Times New Roman"/>
                <w:sz w:val="24"/>
                <w:szCs w:val="24"/>
                <w:highlight w:val="yellow"/>
                <w:lang w:eastAsia="ru-RU"/>
              </w:rPr>
              <w:t>Современные междисциплинарные исследования</w:t>
            </w:r>
          </w:p>
        </w:tc>
        <w:tc>
          <w:tcPr>
            <w:tcW w:w="1701"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Инновации как фактор социальных изменений</w:t>
            </w:r>
          </w:p>
        </w:tc>
        <w:tc>
          <w:tcPr>
            <w:tcW w:w="1985"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Инновационное развитие с учетом социальных эффектов</w:t>
            </w:r>
          </w:p>
        </w:tc>
        <w:tc>
          <w:tcPr>
            <w:tcW w:w="1559"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Социальные инновации, неравенство</w:t>
            </w:r>
          </w:p>
        </w:tc>
        <w:tc>
          <w:tcPr>
            <w:tcW w:w="1695"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Размытость границ инноваций</w:t>
            </w:r>
          </w:p>
        </w:tc>
      </w:tr>
      <w:tr>
        <w:tc>
          <w:tcPr>
            <w:tcW w:w="1271"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Интегративный -</w:t>
            </w:r>
          </w:p>
        </w:tc>
        <w:tc>
          <w:tcPr>
            <w:tcW w:w="1701"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Авторский подход</w:t>
            </w:r>
          </w:p>
        </w:tc>
        <w:tc>
          <w:tcPr>
            <w:tcW w:w="1701"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Инновации как комплекс технологиче-ских, институцио-нальных и социальных изменений</w:t>
            </w:r>
          </w:p>
        </w:tc>
        <w:tc>
          <w:tcPr>
            <w:tcW w:w="1985"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Инновационное развитие как системная трансформация</w:t>
            </w:r>
          </w:p>
        </w:tc>
        <w:tc>
          <w:tcPr>
            <w:tcW w:w="1559"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Систем-ность, устойчи-вость, инклюзив-ность</w:t>
            </w:r>
          </w:p>
        </w:tc>
        <w:tc>
          <w:tcPr>
            <w:tcW w:w="1695"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Высокая сложность реализации</w:t>
            </w:r>
          </w:p>
        </w:tc>
      </w:tr>
    </w:tbl>
    <w:p>
      <w:pPr>
        <w:pStyle w:val="P13"/>
        <w:spacing w:lineRule="auto" w:line="360" w:beforeAutospacing="0" w:afterAutospacing="0"/>
        <w:ind w:firstLine="707" w:right="167"/>
        <w:jc w:val="both"/>
        <w:rPr>
          <w:sz w:val="28"/>
          <w:szCs w:val="28"/>
          <w:lang w:val="ru-RU"/>
        </w:rPr>
      </w:pPr>
    </w:p>
    <w:p>
      <w:pPr>
        <w:pStyle w:val="P13"/>
        <w:spacing w:lineRule="auto" w:line="360" w:beforeAutospacing="0" w:afterAutospacing="0"/>
        <w:ind w:firstLine="707" w:right="167"/>
        <w:jc w:val="both"/>
        <w:rPr>
          <w:sz w:val="28"/>
          <w:szCs w:val="28"/>
          <w:lang w:val="ru-RU"/>
        </w:rPr>
      </w:pPr>
      <w:r>
        <w:rPr>
          <w:sz w:val="28"/>
          <w:szCs w:val="28"/>
          <w:lang w:val="ru-RU"/>
        </w:rPr>
        <w:t>Для целей настоящего исследования инновационное развитие рассматривается как управляемый и институционально обусловленный процесс, который в современных условиях требует сопряжения с принципами инклюзивности и устойчивости, создавая тем самым теоретическую основу для формирования интегративной категории инновационно-инклюзивного развития.</w:t>
      </w:r>
    </w:p>
    <w:p>
      <w:pPr>
        <w:pStyle w:val="P13"/>
        <w:spacing w:lineRule="auto" w:line="360" w:beforeAutospacing="0" w:afterAutospacing="0"/>
        <w:ind w:firstLine="707" w:right="167"/>
        <w:jc w:val="both"/>
        <w:rPr>
          <w:sz w:val="28"/>
          <w:szCs w:val="28"/>
          <w:lang w:val="ru-RU"/>
        </w:rPr>
      </w:pPr>
      <w:r>
        <w:rPr>
          <w:sz w:val="28"/>
          <w:szCs w:val="28"/>
          <w:lang w:val="ru-RU"/>
        </w:rPr>
        <w:t>Рассмотренные концепции позволяют нам выявить устойчивую дихотомию, характерную для традиционных моделей развития, – противопоставление экономического роста и социальной политики. В рамках данной логики рост рассматривался как первоочередная цель, а социальная политика – как вторичный компенсаторный механизм перераспределения.</w:t>
      </w:r>
    </w:p>
    <w:p>
      <w:pPr>
        <w:pStyle w:val="P13"/>
        <w:spacing w:lineRule="auto" w:line="360" w:beforeAutospacing="0" w:afterAutospacing="0"/>
        <w:ind w:firstLine="707" w:right="167"/>
        <w:jc w:val="both"/>
        <w:rPr>
          <w:sz w:val="28"/>
          <w:szCs w:val="28"/>
          <w:lang w:val="ru-RU"/>
        </w:rPr>
      </w:pPr>
      <w:r>
        <w:rPr>
          <w:sz w:val="28"/>
          <w:szCs w:val="28"/>
          <w:lang w:val="ru-RU"/>
        </w:rPr>
        <w:t xml:space="preserve">Однако </w:t>
      </w:r>
      <w:r>
        <w:rPr>
          <w:sz w:val="28"/>
          <w:szCs w:val="28"/>
          <w:highlight w:val="yellow"/>
          <w:lang w:val="ru-RU"/>
        </w:rPr>
        <w:t>эмпирический опыт</w:t>
      </w:r>
      <w:r>
        <w:rPr>
          <w:sz w:val="28"/>
          <w:szCs w:val="28"/>
          <w:lang w:val="ru-RU"/>
        </w:rPr>
        <w:t xml:space="preserve"> последних десятилетий показал ограниченность подобного подхода. </w:t>
      </w:r>
      <w:r>
        <w:rPr>
          <w:sz w:val="28"/>
          <w:szCs w:val="28"/>
          <w:highlight w:val="yellow"/>
          <w:lang w:val="ru-RU"/>
        </w:rPr>
        <w:t>Международные организации и исследовательские центры</w:t>
      </w:r>
      <w:r>
        <w:rPr>
          <w:sz w:val="28"/>
          <w:szCs w:val="28"/>
          <w:lang w:val="ru-RU"/>
        </w:rPr>
        <w:t xml:space="preserve"> фиксируют, что высокие темпы экономического роста не гарантируют автоматического сокращения бедности, снижения неравенства и расширения экономических возможностей, особенно в условиях институциональной слабости и территориальной неоднородности. В условиях развивающихся стран это приводит к воспроизводству структурных диспропорций и снижению устойчивости экономической динамики </w:t>
      </w:r>
      <w:r>
        <w:rPr>
          <w:rStyle w:val="C42"/>
          <w:sz w:val="28"/>
          <w:szCs w:val="28"/>
          <w:lang w:val="ru-RU"/>
        </w:rPr>
        <w:footnoteReference w:id="46"/>
      </w:r>
      <w:r>
        <w:rPr>
          <w:sz w:val="28"/>
          <w:szCs w:val="28"/>
          <w:lang w:val="ru-RU"/>
        </w:rPr>
        <w:t>. Именно это обстоятельство стало основанием для переосмысления дихотомии «рост – социальная политика»</w:t>
      </w:r>
      <w:r>
        <w:rPr>
          <w:rStyle w:val="C42"/>
          <w:sz w:val="28"/>
          <w:szCs w:val="28"/>
          <w:lang w:val="ru-RU"/>
        </w:rPr>
        <w:footnoteReference w:id="47"/>
      </w:r>
      <w:r>
        <w:rPr>
          <w:sz w:val="28"/>
          <w:szCs w:val="28"/>
          <w:lang w:val="ru-RU"/>
        </w:rPr>
        <w:t xml:space="preserve">. </w:t>
      </w:r>
    </w:p>
    <w:p>
      <w:pPr>
        <w:pStyle w:val="P13"/>
        <w:spacing w:lineRule="auto" w:line="360" w:beforeAutospacing="0" w:afterAutospacing="0"/>
        <w:ind w:firstLine="707" w:right="167"/>
        <w:jc w:val="both"/>
        <w:rPr>
          <w:sz w:val="28"/>
          <w:szCs w:val="28"/>
          <w:lang w:val="ru-RU"/>
        </w:rPr>
      </w:pPr>
      <w:r>
        <w:rPr>
          <w:sz w:val="28"/>
          <w:szCs w:val="28"/>
          <w:highlight w:val="yellow"/>
          <w:lang w:val="ru-RU"/>
        </w:rPr>
        <w:t>Вместе с тем инновационное развитие</w:t>
      </w:r>
      <w:r>
        <w:rPr>
          <w:sz w:val="28"/>
          <w:szCs w:val="28"/>
          <w:lang w:val="ru-RU"/>
        </w:rPr>
        <w:t xml:space="preserve"> без учета инклюзивности способно усиливать данную дихотомию, концентрируя выгоды в отдельных секторах и регионах</w:t>
      </w:r>
      <w:r>
        <w:rPr>
          <w:rStyle w:val="C42"/>
          <w:sz w:val="28"/>
          <w:szCs w:val="28"/>
          <w:lang w:val="ru-RU"/>
        </w:rPr>
        <w:footnoteReference w:id="48"/>
      </w:r>
      <w:r>
        <w:rPr>
          <w:sz w:val="28"/>
          <w:szCs w:val="28"/>
          <w:lang w:val="ru-RU"/>
        </w:rPr>
        <w:t>. В ответ на это формируется необходимость интеграции инновационного и инклюзивного контуров развития.</w:t>
      </w:r>
    </w:p>
    <w:p>
      <w:pPr>
        <w:pStyle w:val="P13"/>
        <w:spacing w:lineRule="auto" w:line="360" w:beforeAutospacing="0" w:afterAutospacing="0"/>
        <w:ind w:firstLine="707" w:right="167"/>
        <w:jc w:val="both"/>
        <w:rPr>
          <w:sz w:val="28"/>
          <w:szCs w:val="28"/>
          <w:lang w:val="ru-RU"/>
        </w:rPr>
      </w:pPr>
      <w:r>
        <w:rPr>
          <w:sz w:val="28"/>
          <w:szCs w:val="28"/>
          <w:lang w:val="ru-RU"/>
        </w:rPr>
        <w:t xml:space="preserve">Проведенный нами теоретический анализ показывает, что устойчивое, инклюзивное и инновационное развитие представляют собой взаимосвязанные, но концептуально самостоятельные категории, каждая из которых отражает отдельный аспект современной экономической динамики. Устойчивое развитие формирует нормативные рамки и долгосрочные ограничения экономического роста. Инклюзивное  развитие задает критерии участия и распределения социально-экономических выгод. Инновационное  развитие выступает ключевым механизмом структурных преобразований и повышения производительности. Их изолированное применение в условиях развивающихся стран оказывается методологически и практически недостаточным, поскольку не позволяет одновременно решать задачи роста, социальной включенности и долгосрочной устойчивости. В этой связи в работе обоснована целесообразность использования интегративной категории инновационно-инклюзивного развития, отражающей такой тип экономической динамики, при котором инновации становятся источником роста, а инклюзивность – внутренним принципом организации инновационного процесса. Сравнительная характеристика указанных концепций и логика их сопряжения представлены в таблице 4.</w:t>
      </w:r>
    </w:p>
    <w:p>
      <w:pPr>
        <w:pStyle w:val="P13"/>
        <w:spacing w:lineRule="auto" w:line="360" w:beforeAutospacing="0" w:afterAutospacing="0"/>
        <w:ind w:firstLine="707" w:right="167"/>
        <w:jc w:val="both"/>
        <w:rPr>
          <w:sz w:val="28"/>
          <w:szCs w:val="28"/>
          <w:lang w:val="ru-RU"/>
        </w:rPr>
      </w:pPr>
    </w:p>
    <w:p>
      <w:pPr>
        <w:pStyle w:val="P13"/>
        <w:spacing w:lineRule="auto" w:line="360" w:beforeAutospacing="0" w:afterAutospacing="0"/>
        <w:ind w:right="167"/>
        <w:jc w:val="both"/>
        <w:rPr>
          <w:sz w:val="28"/>
          <w:szCs w:val="28"/>
          <w:lang w:val="ru-RU"/>
        </w:rPr>
      </w:pPr>
      <w:r>
        <w:rPr>
          <w:sz w:val="28"/>
          <w:szCs w:val="28"/>
          <w:lang w:val="ru-RU"/>
        </w:rPr>
        <w:t>Таблица 4 – Сравнительная характеристика концепций развития и переход к инновационно-инклюзивному развитию (составлено автором)</w:t>
      </w:r>
    </w:p>
    <w:tbl>
      <w:tblPr>
        <w:tblStyle w:val="T3"/>
        <w:tblW w:w="0" w:type="auto"/>
        <w:tblLayout w:type="fixed"/>
        <w:tblLook w:val="04A0"/>
      </w:tblPr>
      <w:tblGrid>
        <w:gridCol w:w="1696"/>
        <w:gridCol w:w="2127"/>
        <w:gridCol w:w="2126"/>
        <w:gridCol w:w="1984"/>
        <w:gridCol w:w="1979"/>
      </w:tblGrid>
      <w:tr>
        <w:tc>
          <w:tcPr>
            <w:tcW w:w="1696" w:type="dxa"/>
            <w:hideMark/>
          </w:tcPr>
          <w:p>
            <w:pPr>
              <w:jc w:val="center"/>
              <w:rPr>
                <w:rFonts w:ascii="Times New Roman" w:hAnsi="Times New Roman" w:cs="Times New Roman" w:eastAsia="Times New Roman"/>
                <w:bCs w:val="1"/>
                <w:sz w:val="24"/>
                <w:szCs w:val="24"/>
                <w:lang w:eastAsia="ru-RU"/>
              </w:rPr>
            </w:pPr>
            <w:r>
              <w:rPr>
                <w:rFonts w:ascii="Times New Roman" w:hAnsi="Times New Roman" w:cs="Times New Roman" w:eastAsia="Times New Roman"/>
                <w:bCs w:val="1"/>
                <w:sz w:val="24"/>
                <w:szCs w:val="24"/>
                <w:lang w:eastAsia="ru-RU"/>
              </w:rPr>
              <w:t>Характери-стика</w:t>
            </w:r>
          </w:p>
        </w:tc>
        <w:tc>
          <w:tcPr>
            <w:tcW w:w="2127" w:type="dxa"/>
            <w:hideMark/>
          </w:tcPr>
          <w:p>
            <w:pPr>
              <w:jc w:val="center"/>
              <w:rPr>
                <w:rFonts w:ascii="Times New Roman" w:hAnsi="Times New Roman" w:cs="Times New Roman" w:eastAsia="Times New Roman"/>
                <w:bCs w:val="1"/>
                <w:sz w:val="24"/>
                <w:szCs w:val="24"/>
                <w:lang w:eastAsia="ru-RU"/>
              </w:rPr>
            </w:pPr>
            <w:r>
              <w:rPr>
                <w:rFonts w:ascii="Times New Roman" w:hAnsi="Times New Roman" w:cs="Times New Roman" w:eastAsia="Times New Roman"/>
                <w:bCs w:val="1"/>
                <w:sz w:val="24"/>
                <w:szCs w:val="24"/>
                <w:lang w:eastAsia="ru-RU"/>
              </w:rPr>
              <w:t>Устойчивое развитие</w:t>
            </w:r>
          </w:p>
        </w:tc>
        <w:tc>
          <w:tcPr>
            <w:tcW w:w="2126" w:type="dxa"/>
            <w:hideMark/>
          </w:tcPr>
          <w:p>
            <w:pPr>
              <w:jc w:val="center"/>
              <w:rPr>
                <w:rFonts w:ascii="Times New Roman" w:hAnsi="Times New Roman" w:cs="Times New Roman" w:eastAsia="Times New Roman"/>
                <w:bCs w:val="1"/>
                <w:sz w:val="24"/>
                <w:szCs w:val="24"/>
                <w:lang w:eastAsia="ru-RU"/>
              </w:rPr>
            </w:pPr>
            <w:r>
              <w:rPr>
                <w:rFonts w:ascii="Times New Roman" w:hAnsi="Times New Roman" w:cs="Times New Roman" w:eastAsia="Times New Roman"/>
                <w:bCs w:val="1"/>
                <w:sz w:val="24"/>
                <w:szCs w:val="24"/>
                <w:lang w:eastAsia="ru-RU"/>
              </w:rPr>
              <w:t>Инклюзивное развитие</w:t>
            </w:r>
          </w:p>
        </w:tc>
        <w:tc>
          <w:tcPr>
            <w:tcW w:w="1984" w:type="dxa"/>
            <w:hideMark/>
          </w:tcPr>
          <w:p>
            <w:pPr>
              <w:jc w:val="center"/>
              <w:rPr>
                <w:rFonts w:ascii="Times New Roman" w:hAnsi="Times New Roman" w:cs="Times New Roman" w:eastAsia="Times New Roman"/>
                <w:bCs w:val="1"/>
                <w:sz w:val="24"/>
                <w:szCs w:val="24"/>
                <w:lang w:eastAsia="ru-RU"/>
              </w:rPr>
            </w:pPr>
            <w:r>
              <w:rPr>
                <w:rFonts w:ascii="Times New Roman" w:hAnsi="Times New Roman" w:cs="Times New Roman" w:eastAsia="Times New Roman"/>
                <w:bCs w:val="1"/>
                <w:sz w:val="24"/>
                <w:szCs w:val="24"/>
                <w:lang w:eastAsia="ru-RU"/>
              </w:rPr>
              <w:t>Инновационное развитие</w:t>
            </w:r>
          </w:p>
        </w:tc>
        <w:tc>
          <w:tcPr>
            <w:tcW w:w="1979" w:type="dxa"/>
            <w:hideMark/>
          </w:tcPr>
          <w:p>
            <w:pPr>
              <w:jc w:val="center"/>
              <w:rPr>
                <w:rFonts w:ascii="Times New Roman" w:hAnsi="Times New Roman" w:cs="Times New Roman" w:eastAsia="Times New Roman"/>
                <w:bCs w:val="1"/>
                <w:sz w:val="24"/>
                <w:szCs w:val="24"/>
                <w:lang w:eastAsia="ru-RU"/>
              </w:rPr>
            </w:pPr>
            <w:r>
              <w:rPr>
                <w:rFonts w:ascii="Times New Roman" w:hAnsi="Times New Roman" w:cs="Times New Roman" w:eastAsia="Times New Roman"/>
                <w:bCs w:val="1"/>
                <w:sz w:val="24"/>
                <w:szCs w:val="24"/>
                <w:lang w:eastAsia="ru-RU"/>
              </w:rPr>
              <w:t>Инновационно-инклюзивное развитие</w:t>
            </w:r>
          </w:p>
        </w:tc>
      </w:tr>
      <w:tr>
        <w:tc>
          <w:tcPr>
            <w:tcW w:w="1696"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Ключевая цель</w:t>
            </w:r>
          </w:p>
        </w:tc>
        <w:tc>
          <w:tcPr>
            <w:tcW w:w="2127"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Долгосрочная устойчивость развития</w:t>
            </w:r>
          </w:p>
        </w:tc>
        <w:tc>
          <w:tcPr>
            <w:tcW w:w="2126"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Расширение участия и распределения выгод</w:t>
            </w:r>
          </w:p>
        </w:tc>
        <w:tc>
          <w:tcPr>
            <w:tcW w:w="1984"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Структурная трансформация и рост производитель-ности</w:t>
            </w:r>
          </w:p>
        </w:tc>
        <w:tc>
          <w:tcPr>
            <w:tcW w:w="1979"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Рост и трансформация через включение в инновации</w:t>
            </w:r>
          </w:p>
        </w:tc>
      </w:tr>
      <w:tr>
        <w:tc>
          <w:tcPr>
            <w:tcW w:w="1696"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Основной фокус</w:t>
            </w:r>
          </w:p>
        </w:tc>
        <w:tc>
          <w:tcPr>
            <w:tcW w:w="2127"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Баланс экономических, социальных и экологических целей</w:t>
            </w:r>
          </w:p>
        </w:tc>
        <w:tc>
          <w:tcPr>
            <w:tcW w:w="2126"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Участие групп и территорий в экономическом росте</w:t>
            </w:r>
          </w:p>
        </w:tc>
        <w:tc>
          <w:tcPr>
            <w:tcW w:w="1984"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Создание и внедрение новшеств</w:t>
            </w:r>
          </w:p>
        </w:tc>
        <w:tc>
          <w:tcPr>
            <w:tcW w:w="1979"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Организация инновационного процесса как включающего</w:t>
            </w:r>
          </w:p>
        </w:tc>
      </w:tr>
      <w:tr>
        <w:tc>
          <w:tcPr>
            <w:tcW w:w="1696"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Роль инноваций</w:t>
            </w:r>
          </w:p>
        </w:tc>
        <w:tc>
          <w:tcPr>
            <w:tcW w:w="2127"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Инструмент повышения эффективности</w:t>
            </w:r>
          </w:p>
        </w:tc>
        <w:tc>
          <w:tcPr>
            <w:tcW w:w="2126"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Потенциальный фактор расширения возможностей</w:t>
            </w:r>
          </w:p>
        </w:tc>
        <w:tc>
          <w:tcPr>
            <w:tcW w:w="1984"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Ключевой источник роста</w:t>
            </w:r>
          </w:p>
        </w:tc>
        <w:tc>
          <w:tcPr>
            <w:tcW w:w="1979"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Основной механизм инклюзивного роста</w:t>
            </w:r>
          </w:p>
        </w:tc>
      </w:tr>
      <w:tr>
        <w:tc>
          <w:tcPr>
            <w:tcW w:w="1696"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Роль инклюзи-вности</w:t>
            </w:r>
          </w:p>
        </w:tc>
        <w:tc>
          <w:tcPr>
            <w:tcW w:w="2127"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Косвенная (через социальную компоненту)</w:t>
            </w:r>
          </w:p>
        </w:tc>
        <w:tc>
          <w:tcPr>
            <w:tcW w:w="2126"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Центральная характеристика</w:t>
            </w:r>
          </w:p>
        </w:tc>
        <w:tc>
          <w:tcPr>
            <w:tcW w:w="1984"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Не является обязательной</w:t>
            </w:r>
          </w:p>
        </w:tc>
        <w:tc>
          <w:tcPr>
            <w:tcW w:w="1979"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Внутреннее свойство инновационного процесса</w:t>
            </w:r>
          </w:p>
        </w:tc>
      </w:tr>
      <w:tr>
        <w:tc>
          <w:tcPr>
            <w:tcW w:w="1696"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Характер роста</w:t>
            </w:r>
          </w:p>
        </w:tc>
        <w:tc>
          <w:tcPr>
            <w:tcW w:w="2127"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Ограниченный рамками устойчивости</w:t>
            </w:r>
          </w:p>
        </w:tc>
        <w:tc>
          <w:tcPr>
            <w:tcW w:w="2126"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Качественно ориентированный</w:t>
            </w:r>
          </w:p>
        </w:tc>
        <w:tc>
          <w:tcPr>
            <w:tcW w:w="1984"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Инновационно обусловленный</w:t>
            </w:r>
          </w:p>
        </w:tc>
        <w:tc>
          <w:tcPr>
            <w:tcW w:w="1979"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Инновационно и социально ори-ентированный</w:t>
            </w:r>
          </w:p>
        </w:tc>
      </w:tr>
      <w:tr>
        <w:tc>
          <w:tcPr>
            <w:tcW w:w="1696"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Институцио-нальный акцент</w:t>
            </w:r>
          </w:p>
        </w:tc>
        <w:tc>
          <w:tcPr>
            <w:tcW w:w="2127"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Институты устойчивого развития</w:t>
            </w:r>
          </w:p>
        </w:tc>
        <w:tc>
          <w:tcPr>
            <w:tcW w:w="2126"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Институты равных возможностей</w:t>
            </w:r>
          </w:p>
        </w:tc>
        <w:tc>
          <w:tcPr>
            <w:tcW w:w="1984"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Институты НИС/РИС</w:t>
            </w:r>
          </w:p>
        </w:tc>
        <w:tc>
          <w:tcPr>
            <w:tcW w:w="1979"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Институты включения в инновационную систему</w:t>
            </w:r>
          </w:p>
        </w:tc>
      </w:tr>
      <w:tr>
        <w:tc>
          <w:tcPr>
            <w:tcW w:w="1696"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Ограничения подхода</w:t>
            </w:r>
          </w:p>
        </w:tc>
        <w:tc>
          <w:tcPr>
            <w:tcW w:w="2127"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Нормативность, слабая операционализа-ция</w:t>
            </w:r>
          </w:p>
        </w:tc>
        <w:tc>
          <w:tcPr>
            <w:tcW w:w="2126"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Риск компенсаторного перераспределе-ния</w:t>
            </w:r>
          </w:p>
        </w:tc>
        <w:tc>
          <w:tcPr>
            <w:tcW w:w="1984"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Риск усиления неравенства</w:t>
            </w:r>
          </w:p>
        </w:tc>
        <w:tc>
          <w:tcPr>
            <w:tcW w:w="1979"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Высокие требования к институтам</w:t>
            </w:r>
          </w:p>
        </w:tc>
      </w:tr>
      <w:tr>
        <w:tc>
          <w:tcPr>
            <w:tcW w:w="1696" w:type="dxa"/>
          </w:tcPr>
          <w:p>
            <w:pPr>
              <w:rPr>
                <w:rFonts w:ascii="Times New Roman" w:hAnsi="Times New Roman" w:cs="Times New Roman" w:eastAsia="Times New Roman"/>
                <w:sz w:val="24"/>
                <w:szCs w:val="24"/>
                <w:lang w:eastAsia="ru-RU"/>
              </w:rPr>
            </w:pPr>
            <w:r>
              <w:rPr>
                <w:rFonts w:ascii="Times New Roman" w:hAnsi="Times New Roman" w:cs="Times New Roman" w:eastAsia="Times New Roman"/>
                <w:bCs w:val="1"/>
                <w:sz w:val="24"/>
                <w:szCs w:val="24"/>
                <w:lang w:eastAsia="ru-RU"/>
              </w:rPr>
              <w:t>Ключевая проблема</w:t>
            </w:r>
          </w:p>
        </w:tc>
        <w:tc>
          <w:tcPr>
            <w:tcW w:w="2127" w:type="dxa"/>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Как расти, не разрушая будущее</w:t>
            </w:r>
          </w:p>
        </w:tc>
        <w:tc>
          <w:tcPr>
            <w:tcW w:w="2126" w:type="dxa"/>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Кто участвует в росте и получает выгоды</w:t>
            </w:r>
          </w:p>
        </w:tc>
        <w:tc>
          <w:tcPr>
            <w:tcW w:w="1984" w:type="dxa"/>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Как обеспечить устойчивую инновационную динамику</w:t>
            </w:r>
          </w:p>
        </w:tc>
        <w:tc>
          <w:tcPr>
            <w:tcW w:w="1979" w:type="dxa"/>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Как обеспечить рост через включение в инновации</w:t>
            </w:r>
          </w:p>
        </w:tc>
      </w:tr>
      <w:tr>
        <w:tc>
          <w:tcPr>
            <w:tcW w:w="1696" w:type="dxa"/>
          </w:tcPr>
          <w:p>
            <w:pPr>
              <w:rPr>
                <w:rFonts w:ascii="Times New Roman" w:hAnsi="Times New Roman" w:cs="Times New Roman" w:eastAsia="Times New Roman"/>
                <w:bCs w:val="1"/>
                <w:sz w:val="24"/>
                <w:szCs w:val="24"/>
                <w:lang w:eastAsia="ru-RU"/>
              </w:rPr>
            </w:pPr>
            <w:r>
              <w:rPr>
                <w:rFonts w:ascii="Times New Roman" w:hAnsi="Times New Roman" w:cs="Times New Roman" w:eastAsia="Times New Roman"/>
                <w:bCs w:val="1"/>
                <w:sz w:val="24"/>
                <w:szCs w:val="24"/>
                <w:lang w:eastAsia="ru-RU"/>
              </w:rPr>
              <w:t>Релевант-ность для развиваю-щихся стран</w:t>
            </w:r>
          </w:p>
        </w:tc>
        <w:tc>
          <w:tcPr>
            <w:tcW w:w="2127" w:type="dxa"/>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Высокая, но рамочная</w:t>
            </w:r>
          </w:p>
        </w:tc>
        <w:tc>
          <w:tcPr>
            <w:tcW w:w="2126" w:type="dxa"/>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Высокая, но требует механизмов</w:t>
            </w:r>
          </w:p>
        </w:tc>
        <w:tc>
          <w:tcPr>
            <w:tcW w:w="1984" w:type="dxa"/>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Высокая, но риск поляризации</w:t>
            </w:r>
          </w:p>
        </w:tc>
        <w:tc>
          <w:tcPr>
            <w:tcW w:w="1979" w:type="dxa"/>
          </w:tcPr>
          <w:p>
            <w:pPr>
              <w:ind w:right="-114"/>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Максимальная: рост, включение и трансформация одновременно</w:t>
            </w:r>
          </w:p>
        </w:tc>
      </w:tr>
      <w:tr>
        <w:tc>
          <w:tcPr>
            <w:tcW w:w="1696" w:type="dxa"/>
            <w:hideMark/>
          </w:tcPr>
          <w:p>
            <w:pPr>
              <w:ind w:right="-108"/>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Теоретический результат</w:t>
            </w:r>
          </w:p>
        </w:tc>
        <w:tc>
          <w:tcPr>
            <w:tcW w:w="2127"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Нормативная основа развития</w:t>
            </w:r>
          </w:p>
        </w:tc>
        <w:tc>
          <w:tcPr>
            <w:tcW w:w="2126"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Критерий качества роста</w:t>
            </w:r>
          </w:p>
        </w:tc>
        <w:tc>
          <w:tcPr>
            <w:tcW w:w="1984"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Механизм развития</w:t>
            </w:r>
          </w:p>
        </w:tc>
        <w:tc>
          <w:tcPr>
            <w:tcW w:w="1979"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Интегративная модель развития</w:t>
            </w:r>
          </w:p>
        </w:tc>
      </w:tr>
    </w:tbl>
    <w:p>
      <w:pPr>
        <w:pStyle w:val="P13"/>
        <w:spacing w:lineRule="auto" w:line="360" w:beforeAutospacing="0" w:afterAutospacing="0"/>
        <w:ind w:right="167"/>
        <w:jc w:val="both"/>
        <w:rPr>
          <w:sz w:val="28"/>
          <w:szCs w:val="28"/>
          <w:lang w:val="ru-RU"/>
        </w:rPr>
      </w:pPr>
    </w:p>
    <w:p>
      <w:pPr>
        <w:pStyle w:val="P13"/>
        <w:spacing w:lineRule="auto" w:line="360" w:beforeAutospacing="0" w:afterAutospacing="0"/>
        <w:ind w:firstLine="707" w:right="167"/>
        <w:jc w:val="both"/>
        <w:rPr>
          <w:sz w:val="28"/>
          <w:szCs w:val="28"/>
          <w:lang w:val="ru-RU"/>
        </w:rPr>
      </w:pPr>
      <w:r>
        <w:rPr>
          <w:sz w:val="28"/>
          <w:szCs w:val="28"/>
          <w:lang w:val="ru-RU"/>
        </w:rPr>
        <w:t>Таким образом, систематизация теоретических подходов позволяет нам обосновать категорию инновационно-инклюзивного развития как интегративную концепцию, объединяющую механизмы инновационного роста и принципы инклюзивности в рамках устойчивой траектории развития (рисунок 3).</w:t>
      </w:r>
    </w:p>
    <w:p>
      <w:pPr>
        <w:pStyle w:val="P13"/>
        <w:spacing w:lineRule="auto" w:line="360" w:beforeAutospacing="0" w:afterAutospacing="0"/>
        <w:ind w:firstLine="707" w:right="167"/>
        <w:jc w:val="both"/>
        <w:rPr>
          <w:sz w:val="28"/>
          <w:szCs w:val="28"/>
          <w:lang w:val="ru-RU"/>
        </w:rPr>
      </w:pPr>
    </w:p>
    <w:p>
      <w:pPr>
        <w:pStyle w:val="P13"/>
        <w:spacing w:lineRule="auto" w:line="360" w:beforeAutospacing="0" w:afterAutospacing="0"/>
        <w:ind w:firstLine="707" w:right="167"/>
        <w:jc w:val="center"/>
        <w:rPr>
          <w:sz w:val="28"/>
          <w:szCs w:val="28"/>
          <w:lang w:val="ru-RU"/>
        </w:rPr>
      </w:pPr>
      <w:r>
        <w:rPr>
          <w:noProof w:val="1"/>
          <w:sz w:val="28"/>
          <w:szCs w:val="28"/>
          <w:lang w:val="ru-RU" w:eastAsia="ru-RU"/>
        </w:rPr>
        <w:drawing>
          <wp:inline xmlns:wp="http://schemas.openxmlformats.org/drawingml/2006/wordprocessingDrawing" distT="0" distB="0" distL="0" distR="0">
            <wp:extent cx="3524250" cy="2428875"/>
            <wp:effectExtent l="0" t="0" r="0" b="952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dpi="0">
                    <a:blip xmlns:r="http://schemas.openxmlformats.org/officeDocument/2006/relationships" r:embed="Relimage1" cstate="print">
                      <a:extLst>
                        <a:ext uri="{28A0092B-C50C-407E-A947-70E740481C1C}">
                          <a14:useLocalDpi xmlns:a14="http://schemas.microsoft.com/office/drawing/2010/main" val="0"/>
                        </a:ext>
                      </a:extLst>
                    </a:blip>
                    <a:srcRect l="14463" t="12679" r="16040" b="15477"/>
                    <a:stretch>
                      <a:fillRect/>
                    </a:stretch>
                  </pic:blipFill>
                  <pic:spPr bwMode="auto">
                    <a:xfrm>
                      <a:off x="0" y="0"/>
                      <a:ext cx="3525255" cy="2429568"/>
                    </a:xfrm>
                    <a:prstGeom prst="rect"/>
                    <a:noFill/>
                    <a:ln>
                      <a:noFill/>
                    </a:ln>
                  </pic:spPr>
                </pic:pic>
              </a:graphicData>
            </a:graphic>
          </wp:inline>
        </w:drawing>
      </w:r>
    </w:p>
    <w:p>
      <w:pPr>
        <w:pStyle w:val="P13"/>
        <w:spacing w:lineRule="auto" w:line="360" w:beforeAutospacing="0" w:afterAutospacing="0"/>
        <w:ind w:firstLine="707" w:right="167"/>
        <w:jc w:val="center"/>
        <w:rPr>
          <w:sz w:val="28"/>
          <w:szCs w:val="28"/>
          <w:lang w:val="ru-RU"/>
        </w:rPr>
      </w:pPr>
      <w:r>
        <w:rPr>
          <w:sz w:val="28"/>
          <w:szCs w:val="28"/>
          <w:lang w:val="ru-RU"/>
        </w:rPr>
        <w:t xml:space="preserve">Рисунок 3 – Место инновационно-инклюзивного развития в системе современных концепций социально-экономического роста (составлено автором) </w:t>
      </w:r>
    </w:p>
    <w:p>
      <w:pPr>
        <w:pStyle w:val="P13"/>
        <w:spacing w:lineRule="auto" w:line="360" w:beforeAutospacing="0" w:afterAutospacing="0"/>
        <w:ind w:firstLine="707" w:right="167"/>
        <w:jc w:val="both"/>
        <w:rPr>
          <w:sz w:val="28"/>
          <w:szCs w:val="28"/>
          <w:lang w:val="ru-RU"/>
        </w:rPr>
      </w:pPr>
    </w:p>
    <w:p>
      <w:pPr>
        <w:pStyle w:val="P13"/>
        <w:spacing w:lineRule="auto" w:line="360" w:beforeAutospacing="0" w:afterAutospacing="0"/>
        <w:ind w:firstLine="707" w:right="167"/>
        <w:jc w:val="both"/>
        <w:rPr>
          <w:sz w:val="28"/>
          <w:szCs w:val="28"/>
          <w:lang w:val="ru-RU"/>
        </w:rPr>
      </w:pPr>
      <w:r>
        <w:rPr>
          <w:sz w:val="28"/>
          <w:szCs w:val="28"/>
          <w:lang w:val="ru-RU"/>
        </w:rPr>
        <w:t>Инновационно-инклюзивное развитие трактуется нами как такой тип экономического развития, при котором инновации выступают основным источником структурных изменений и повышения производительности, а инклюзивность – принципом организации инновационного процесса и распределения его результатов. В данной логике социальная включенность не является внешним ограничением или компенсаторным механизмом, а становится внутренним свойством инновационного развития.</w:t>
      </w:r>
    </w:p>
    <w:p>
      <w:pPr>
        <w:pStyle w:val="P13"/>
        <w:spacing w:lineRule="auto" w:line="360" w:beforeAutospacing="0" w:afterAutospacing="0"/>
        <w:ind w:firstLine="707" w:right="167"/>
        <w:jc w:val="both"/>
        <w:rPr>
          <w:sz w:val="28"/>
          <w:szCs w:val="28"/>
          <w:lang w:val="ru-RU"/>
        </w:rPr>
      </w:pPr>
      <w:r>
        <w:rPr>
          <w:sz w:val="28"/>
          <w:szCs w:val="28"/>
          <w:lang w:val="ru-RU"/>
        </w:rPr>
        <w:t>Как нам представляется, для развивающихся стран инновационно-инклюзивное развитие приобретает особое значение, поскольку позволяет преодолеть противопоставление между ростом и социальной политикой, обеспечить вовлечение регионов и экономических агентов в инновационный цикл и сформировать более устойчивую и сбалансированную модель развития.</w:t>
      </w:r>
    </w:p>
    <w:p>
      <w:pPr>
        <w:pStyle w:val="P13"/>
        <w:spacing w:lineRule="auto" w:line="360" w:beforeAutospacing="0" w:afterAutospacing="0"/>
        <w:ind w:firstLine="707" w:right="167"/>
        <w:jc w:val="both"/>
        <w:rPr>
          <w:sz w:val="28"/>
          <w:szCs w:val="28"/>
          <w:lang w:val="ru-RU"/>
        </w:rPr>
      </w:pPr>
      <w:r>
        <w:rPr>
          <w:sz w:val="28"/>
          <w:szCs w:val="28"/>
          <w:lang w:val="ru-RU"/>
        </w:rPr>
        <w:t>Выявление взаимосвязи устойчивого, инклюзивного и инновационного развития и обоснование категории инновационно-инклюзивного развития актуализируют вопрос о тех институциональных и организационно-экономических механизмах, посредством которых данные принципы могут быть реализованы на практике.</w:t>
      </w:r>
    </w:p>
    <w:p>
      <w:pPr>
        <w:pStyle w:val="P13"/>
        <w:spacing w:lineRule="auto" w:line="360" w:beforeAutospacing="0" w:afterAutospacing="0"/>
        <w:ind w:firstLine="707" w:right="167"/>
        <w:jc w:val="both"/>
        <w:rPr>
          <w:sz w:val="28"/>
          <w:szCs w:val="28"/>
          <w:lang w:val="ru-RU"/>
        </w:rPr>
      </w:pPr>
      <w:r>
        <w:rPr>
          <w:sz w:val="28"/>
          <w:szCs w:val="28"/>
          <w:lang w:val="ru-RU"/>
        </w:rPr>
        <w:t>В современных условиях такими механизмами выступают национальные и региональные инновационные системы, обеспечивающие координацию акторов, трансляцию знаний, формирование условий для инновационной активности и вовлечение экономических агентов в инновационный процесс.</w:t>
      </w:r>
    </w:p>
    <w:p>
      <w:pPr>
        <w:pStyle w:val="P13"/>
        <w:spacing w:lineRule="auto" w:line="360" w:beforeAutospacing="0" w:afterAutospacing="0"/>
        <w:ind w:firstLine="709" w:right="164"/>
        <w:jc w:val="both"/>
        <w:rPr>
          <w:sz w:val="28"/>
          <w:szCs w:val="28"/>
          <w:lang w:val="ru-RU"/>
        </w:rPr>
      </w:pPr>
      <w:r>
        <w:rPr>
          <w:sz w:val="28"/>
          <w:szCs w:val="28"/>
          <w:lang w:val="ru-RU"/>
        </w:rPr>
        <w:t>В этой связи в следующем подразделе рассмотрим теоретико-методические подходы к формированию и развитию национальных и региональных инновационных систем как основы инновационно-инклюзивного развития экономики.</w:t>
      </w:r>
    </w:p>
    <w:p>
      <w:pPr>
        <w:pStyle w:val="P13"/>
        <w:spacing w:lineRule="auto" w:line="360" w:beforeAutospacing="0" w:afterAutospacing="0"/>
        <w:ind w:firstLine="709" w:right="164"/>
        <w:jc w:val="both"/>
        <w:rPr>
          <w:sz w:val="28"/>
          <w:szCs w:val="28"/>
          <w:lang w:val="ru-RU"/>
        </w:rPr>
      </w:pPr>
    </w:p>
    <w:p>
      <w:pPr>
        <w:pStyle w:val="P13"/>
        <w:spacing w:lineRule="auto" w:line="360" w:beforeAutospacing="0" w:afterAutospacing="0"/>
        <w:ind w:firstLine="709" w:right="164"/>
        <w:jc w:val="both"/>
        <w:rPr>
          <w:sz w:val="28"/>
          <w:szCs w:val="28"/>
          <w:lang w:val="ru-RU"/>
        </w:rPr>
      </w:pPr>
    </w:p>
    <w:p>
      <w:pPr>
        <w:pStyle w:val="P13"/>
        <w:spacing w:lineRule="auto" w:line="360" w:beforeAutospacing="0" w:afterAutospacing="0"/>
        <w:ind w:firstLine="709" w:right="164"/>
        <w:jc w:val="both"/>
        <w:rPr>
          <w:sz w:val="28"/>
          <w:szCs w:val="28"/>
          <w:lang w:val="ru-RU"/>
        </w:rPr>
      </w:pPr>
    </w:p>
    <w:p>
      <w:pPr>
        <w:pStyle w:val="P13"/>
        <w:spacing w:lineRule="auto" w:line="360" w:beforeAutospacing="0" w:afterAutospacing="0"/>
        <w:ind w:firstLine="709" w:right="164"/>
        <w:jc w:val="center"/>
        <w:rPr>
          <w:b w:val="1"/>
          <w:sz w:val="28"/>
          <w:szCs w:val="28"/>
          <w:lang w:val="ru-RU"/>
        </w:rPr>
      </w:pPr>
      <w:r>
        <w:rPr>
          <w:b w:val="1"/>
          <w:sz w:val="28"/>
          <w:szCs w:val="28"/>
          <w:lang w:val="ru-RU"/>
        </w:rPr>
        <w:t>1.2. Механизмы развития национальных и региональных инновационных систем</w:t>
      </w:r>
    </w:p>
    <w:p>
      <w:pPr>
        <w:pStyle w:val="P13"/>
        <w:spacing w:lineRule="auto" w:line="360" w:beforeAutospacing="0" w:afterAutospacing="0"/>
        <w:ind w:firstLine="707" w:right="167"/>
        <w:jc w:val="both"/>
        <w:rPr>
          <w:sz w:val="28"/>
          <w:szCs w:val="28"/>
          <w:lang w:val="ru-RU"/>
        </w:rPr>
      </w:pPr>
    </w:p>
    <w:p>
      <w:pPr>
        <w:pStyle w:val="P13"/>
        <w:spacing w:lineRule="auto" w:line="360" w:beforeAutospacing="0" w:afterAutospacing="0"/>
        <w:ind w:firstLine="707" w:right="167"/>
        <w:jc w:val="both"/>
        <w:rPr>
          <w:sz w:val="28"/>
          <w:szCs w:val="28"/>
          <w:lang w:val="ru-RU"/>
        </w:rPr>
      </w:pPr>
    </w:p>
    <w:p>
      <w:pPr>
        <w:pStyle w:val="P13"/>
        <w:spacing w:lineRule="auto" w:line="360" w:beforeAutospacing="0" w:afterAutospacing="0"/>
        <w:ind w:firstLine="707" w:right="167"/>
        <w:jc w:val="both"/>
        <w:rPr>
          <w:sz w:val="28"/>
          <w:szCs w:val="28"/>
          <w:lang w:val="ru-RU"/>
        </w:rPr>
      </w:pPr>
    </w:p>
    <w:p>
      <w:pPr>
        <w:pStyle w:val="P13"/>
        <w:spacing w:lineRule="auto" w:line="360" w:beforeAutospacing="0" w:afterAutospacing="0"/>
        <w:ind w:firstLine="707" w:right="167"/>
        <w:jc w:val="both"/>
        <w:rPr>
          <w:sz w:val="28"/>
          <w:szCs w:val="28"/>
          <w:lang w:val="ru-RU"/>
        </w:rPr>
      </w:pPr>
      <w:r>
        <w:rPr>
          <w:sz w:val="28"/>
          <w:szCs w:val="28"/>
          <w:lang w:val="ru-RU"/>
        </w:rPr>
        <w:t>Институционально-организационным «носителем» инновационной динамики в современной экономике инноваций выступают национальные и региональные инновационные системы (НИС/РИС). В рамках НИС/РИС инновации трактуются не как разрозненные технологические события, а как результат устойчиво воспроизводимых взаимодействий между акторами, институтами и инфраструктурой, обеспечивающими создание, распространение и использование знаний.</w:t>
      </w:r>
    </w:p>
    <w:p>
      <w:pPr>
        <w:pStyle w:val="P13"/>
        <w:spacing w:lineRule="auto" w:line="360" w:beforeAutospacing="0" w:afterAutospacing="0"/>
        <w:ind w:firstLine="707" w:right="167"/>
        <w:jc w:val="both"/>
        <w:rPr>
          <w:sz w:val="28"/>
          <w:szCs w:val="28"/>
          <w:lang w:val="ru-RU"/>
        </w:rPr>
      </w:pPr>
      <w:r>
        <w:rPr>
          <w:sz w:val="28"/>
          <w:szCs w:val="28"/>
          <w:lang w:val="ru-RU"/>
        </w:rPr>
        <w:t>Рассмотрим особенности формирования и развития НИС и РИС как важнейших оставляющих инновационно-инклюзивного развития.</w:t>
      </w:r>
    </w:p>
    <w:p>
      <w:pPr>
        <w:pStyle w:val="P13"/>
        <w:spacing w:lineRule="auto" w:line="360" w:beforeAutospacing="0" w:afterAutospacing="0"/>
        <w:ind w:firstLine="707" w:right="167"/>
        <w:jc w:val="both"/>
        <w:rPr>
          <w:sz w:val="28"/>
          <w:szCs w:val="28"/>
          <w:lang w:val="ru-RU"/>
        </w:rPr>
      </w:pPr>
      <w:r>
        <w:rPr>
          <w:sz w:val="28"/>
          <w:szCs w:val="28"/>
          <w:lang w:val="ru-RU"/>
        </w:rPr>
        <w:t>В теории инноваций национальная инновационная система рассматривается как институционально-организационный каркас, в пределах которого формируются условия для создания, накопления, распространения и использования новых знаний и технологий. Ключевое отличие системного подхода от «</w:t>
      </w:r>
      <w:r>
        <w:rPr>
          <w:sz w:val="28"/>
          <w:szCs w:val="28"/>
          <w:highlight w:val="yellow"/>
          <w:lang w:val="ru-RU"/>
        </w:rPr>
        <w:t>линейной модели» инноваций</w:t>
      </w:r>
      <w:r>
        <w:rPr>
          <w:sz w:val="28"/>
          <w:szCs w:val="28"/>
          <w:lang w:val="ru-RU"/>
        </w:rPr>
        <w:t xml:space="preserve"> заключается в признании того, что инновации возникают в результате совместного функционирования и взаимодействия множества институтов, а не только как продукт науки или НИОКР.</w:t>
      </w:r>
    </w:p>
    <w:p>
      <w:pPr>
        <w:pStyle w:val="P13"/>
        <w:spacing w:lineRule="auto" w:line="360" w:beforeAutospacing="0" w:afterAutospacing="0"/>
        <w:ind w:firstLine="707" w:right="167"/>
        <w:jc w:val="both"/>
        <w:rPr>
          <w:sz w:val="28"/>
          <w:szCs w:val="28"/>
          <w:lang w:val="ru-RU"/>
        </w:rPr>
      </w:pPr>
      <w:r>
        <w:rPr>
          <w:sz w:val="28"/>
          <w:szCs w:val="28"/>
          <w:lang w:val="ru-RU"/>
        </w:rPr>
        <w:t xml:space="preserve">Классическим и наиболее цитируемым определением НИС является подход </w:t>
      </w:r>
      <w:r>
        <w:rPr>
          <w:sz w:val="28"/>
          <w:szCs w:val="28"/>
          <w:highlight w:val="yellow"/>
          <w:lang w:val="ru-RU"/>
        </w:rPr>
        <w:t>К. Фримена (1987)</w:t>
      </w:r>
      <w:r>
        <w:rPr>
          <w:sz w:val="28"/>
          <w:szCs w:val="28"/>
          <w:lang w:val="ru-RU"/>
        </w:rPr>
        <w:t>, согласно которому национальная инновационная система – это совокупность институтов, которые совместно и по отдельности вносят вклад в создание и распространение новых технологий и формируют основу государственной инновационной политики. При этом НИС трактуется как система взаимосвязанных институтов, создающих, хранящих и передающих знания, навыки и артефакты, определяющие новые технологии.</w:t>
      </w:r>
    </w:p>
    <w:p>
      <w:pPr>
        <w:pStyle w:val="P13"/>
        <w:spacing w:lineRule="auto" w:line="360" w:beforeAutospacing="0" w:afterAutospacing="0"/>
        <w:ind w:firstLine="707" w:right="167"/>
        <w:jc w:val="both"/>
        <w:rPr>
          <w:sz w:val="28"/>
          <w:szCs w:val="28"/>
          <w:lang w:val="ru-RU"/>
        </w:rPr>
      </w:pPr>
      <w:r>
        <w:rPr>
          <w:sz w:val="28"/>
          <w:szCs w:val="28"/>
          <w:highlight w:val="yellow"/>
          <w:lang w:val="ru-RU"/>
        </w:rPr>
        <w:t>Р. Нельсон (1993</w:t>
      </w:r>
      <w:r>
        <w:rPr>
          <w:sz w:val="28"/>
          <w:szCs w:val="28"/>
          <w:lang w:val="ru-RU"/>
        </w:rPr>
        <w:t>) также определяет НИС как совокупность национальных институтов, взаимодействие которых определяет эффективность инновационной деятельности национальных фирм.</w:t>
      </w:r>
    </w:p>
    <w:p>
      <w:pPr>
        <w:pStyle w:val="P13"/>
        <w:spacing w:lineRule="auto" w:line="360" w:beforeAutospacing="0" w:afterAutospacing="0"/>
        <w:ind w:firstLine="707" w:right="167"/>
        <w:jc w:val="both"/>
        <w:rPr>
          <w:sz w:val="28"/>
          <w:szCs w:val="28"/>
          <w:lang w:val="ru-RU"/>
        </w:rPr>
      </w:pPr>
      <w:r>
        <w:rPr>
          <w:sz w:val="28"/>
          <w:szCs w:val="28"/>
          <w:lang w:val="ru-RU"/>
        </w:rPr>
        <w:t xml:space="preserve">Широкая трактовка </w:t>
      </w:r>
      <w:r>
        <w:rPr>
          <w:sz w:val="28"/>
          <w:szCs w:val="28"/>
          <w:highlight w:val="yellow"/>
          <w:lang w:val="ru-RU"/>
        </w:rPr>
        <w:t>Б.-О. Лундвалла (1985)</w:t>
      </w:r>
      <w:r>
        <w:rPr>
          <w:sz w:val="28"/>
          <w:szCs w:val="28"/>
          <w:lang w:val="ru-RU"/>
        </w:rPr>
        <w:t xml:space="preserve"> переносит акцент с отдельных организаций на элементы и связи между ними. По его мнению, инновационная система – это система, состоящая из элементов и отношений, взаимодействующих для производства, распространения и использования новых и экономически полезных знаний.</w:t>
      </w:r>
    </w:p>
    <w:p>
      <w:pPr>
        <w:pStyle w:val="P13"/>
        <w:spacing w:lineRule="auto" w:line="360" w:beforeAutospacing="0" w:afterAutospacing="0"/>
        <w:ind w:firstLine="707" w:right="167"/>
        <w:jc w:val="both"/>
        <w:rPr>
          <w:sz w:val="28"/>
          <w:szCs w:val="28"/>
          <w:lang w:val="ru-RU"/>
        </w:rPr>
      </w:pPr>
      <w:r>
        <w:rPr>
          <w:sz w:val="28"/>
          <w:szCs w:val="28"/>
          <w:lang w:val="ru-RU"/>
        </w:rPr>
        <w:t>Тем самым в «классической школе НИС» фиксируются три устойчивых признака:</w:t>
      </w:r>
    </w:p>
    <w:p>
      <w:pPr>
        <w:pStyle w:val="P13"/>
        <w:spacing w:lineRule="auto" w:line="360" w:beforeAutospacing="0" w:afterAutospacing="0"/>
        <w:ind w:firstLine="707" w:right="167"/>
        <w:jc w:val="both"/>
        <w:rPr>
          <w:sz w:val="28"/>
          <w:szCs w:val="28"/>
          <w:lang w:val="ru-RU"/>
        </w:rPr>
      </w:pPr>
      <w:r>
        <w:rPr>
          <w:sz w:val="28"/>
          <w:szCs w:val="28"/>
          <w:lang w:val="ru-RU"/>
        </w:rPr>
        <w:t>- институциональная множественность (разнообразие организаций и правил);</w:t>
      </w:r>
    </w:p>
    <w:p>
      <w:pPr>
        <w:pStyle w:val="P13"/>
        <w:spacing w:lineRule="auto" w:line="360" w:beforeAutospacing="0" w:afterAutospacing="0"/>
        <w:ind w:firstLine="707" w:right="167"/>
        <w:jc w:val="both"/>
        <w:rPr>
          <w:sz w:val="28"/>
          <w:szCs w:val="28"/>
          <w:lang w:val="ru-RU"/>
        </w:rPr>
      </w:pPr>
      <w:r>
        <w:rPr>
          <w:sz w:val="28"/>
          <w:szCs w:val="28"/>
          <w:lang w:val="ru-RU"/>
        </w:rPr>
        <w:t>- сетевой характер взаимодействий (связи важнее отдельных элементов);</w:t>
      </w:r>
    </w:p>
    <w:p>
      <w:pPr>
        <w:pStyle w:val="P13"/>
        <w:spacing w:lineRule="auto" w:line="360" w:beforeAutospacing="0" w:afterAutospacing="0"/>
        <w:ind w:firstLine="707" w:right="167"/>
        <w:jc w:val="both"/>
        <w:rPr>
          <w:sz w:val="28"/>
          <w:szCs w:val="28"/>
          <w:lang w:val="ru-RU"/>
        </w:rPr>
      </w:pPr>
      <w:r>
        <w:rPr>
          <w:sz w:val="28"/>
          <w:szCs w:val="28"/>
          <w:lang w:val="ru-RU"/>
        </w:rPr>
        <w:t>- ориентация на знания как ресурс.</w:t>
      </w:r>
    </w:p>
    <w:p>
      <w:pPr>
        <w:pStyle w:val="P13"/>
        <w:spacing w:lineRule="auto" w:line="360" w:beforeAutospacing="0" w:afterAutospacing="0"/>
        <w:ind w:firstLine="707" w:right="167"/>
        <w:jc w:val="both"/>
        <w:rPr>
          <w:sz w:val="28"/>
          <w:szCs w:val="28"/>
          <w:lang w:val="ru-RU"/>
        </w:rPr>
      </w:pPr>
      <w:r>
        <w:rPr>
          <w:sz w:val="28"/>
          <w:szCs w:val="28"/>
          <w:lang w:val="ru-RU"/>
        </w:rPr>
        <w:t>Региональная инновационная система методологически вытекает из логики НИС, но переносит анализ на мезоуровень и подчеркивает пространственную обусловленность инноваций: территориальная концентрация знаний, наличие локальных сетей, эффекты агломерации и коллективного обучения.</w:t>
      </w:r>
    </w:p>
    <w:p>
      <w:pPr>
        <w:pStyle w:val="P13"/>
        <w:spacing w:lineRule="auto" w:line="360" w:beforeAutospacing="0" w:afterAutospacing="0"/>
        <w:ind w:firstLine="707" w:right="167"/>
        <w:jc w:val="both"/>
        <w:rPr>
          <w:sz w:val="28"/>
          <w:szCs w:val="28"/>
          <w:lang w:val="ru-RU"/>
        </w:rPr>
      </w:pPr>
      <w:r>
        <w:rPr>
          <w:sz w:val="28"/>
          <w:szCs w:val="28"/>
          <w:lang w:val="ru-RU"/>
        </w:rPr>
        <w:t xml:space="preserve">Важным понятийным связующим элементом между НИС и региональным уровнем является инновационная среда (innovation milieu). </w:t>
      </w:r>
      <w:r>
        <w:rPr>
          <w:sz w:val="28"/>
          <w:szCs w:val="28"/>
          <w:highlight w:val="yellow"/>
          <w:lang w:val="ru-RU"/>
        </w:rPr>
        <w:t>Так, Р. Каманьи (1991)</w:t>
      </w:r>
      <w:r>
        <w:rPr>
          <w:sz w:val="28"/>
          <w:szCs w:val="28"/>
          <w:lang w:val="ru-RU"/>
        </w:rPr>
        <w:t xml:space="preserve"> определяет инновационную среду как совокупность сложных неформальных социальных отношений на ограниченном географическом пространстве, формирующих особую «принадлежность» и стимулирующих инновационность территории через синергию и процессы коллективного обучения. Такой подход задает региональное измерение инноваций В регионе ключевым становится не только набор институтов, но и качество локальных взаимодействий, доверия, кооперации и «социальной ткани», обеспечивающих интенсивность обмена знаниями.</w:t>
      </w:r>
    </w:p>
    <w:p>
      <w:pPr>
        <w:pStyle w:val="P13"/>
        <w:spacing w:lineRule="auto" w:line="360" w:beforeAutospacing="0" w:afterAutospacing="0"/>
        <w:ind w:firstLine="707" w:right="167"/>
        <w:jc w:val="both"/>
        <w:rPr>
          <w:sz w:val="28"/>
          <w:szCs w:val="28"/>
          <w:lang w:val="ru-RU"/>
        </w:rPr>
      </w:pPr>
      <w:r>
        <w:rPr>
          <w:sz w:val="28"/>
          <w:szCs w:val="28"/>
          <w:lang w:val="ru-RU"/>
        </w:rPr>
        <w:t>Сопоставление рассмотренных определений позволяет выделить принципиальные различия НИС и РИС, которые важны для настоящего исследования:</w:t>
      </w:r>
    </w:p>
    <w:p>
      <w:pPr>
        <w:pStyle w:val="P13"/>
        <w:spacing w:lineRule="auto" w:line="360" w:beforeAutospacing="0" w:afterAutospacing="0"/>
        <w:ind w:firstLine="707" w:right="167"/>
        <w:jc w:val="both"/>
        <w:rPr>
          <w:sz w:val="28"/>
          <w:szCs w:val="28"/>
          <w:lang w:val="ru-RU"/>
        </w:rPr>
      </w:pPr>
      <w:r>
        <w:rPr>
          <w:sz w:val="28"/>
          <w:szCs w:val="28"/>
          <w:lang w:val="ru-RU"/>
        </w:rPr>
        <w:t>1) уровень формирования и масштабы регулирования:</w:t>
      </w:r>
    </w:p>
    <w:p>
      <w:pPr>
        <w:pStyle w:val="P13"/>
        <w:spacing w:lineRule="auto" w:line="360" w:beforeAutospacing="0" w:afterAutospacing="0"/>
        <w:ind w:firstLine="1134" w:right="167"/>
        <w:jc w:val="both"/>
        <w:rPr>
          <w:sz w:val="28"/>
          <w:szCs w:val="28"/>
          <w:lang w:val="ru-RU"/>
        </w:rPr>
      </w:pPr>
      <w:r>
        <w:rPr>
          <w:sz w:val="28"/>
          <w:szCs w:val="28"/>
          <w:lang w:val="ru-RU"/>
        </w:rPr>
        <w:t>- НИС задает границы национальной политики, федеральных институтов и макроинструментов;</w:t>
      </w:r>
    </w:p>
    <w:p>
      <w:pPr>
        <w:pStyle w:val="P13"/>
        <w:spacing w:lineRule="auto" w:line="360" w:beforeAutospacing="0" w:afterAutospacing="0"/>
        <w:ind w:firstLine="1134" w:right="167"/>
        <w:jc w:val="both"/>
        <w:rPr>
          <w:sz w:val="28"/>
          <w:szCs w:val="28"/>
          <w:lang w:val="ru-RU"/>
        </w:rPr>
      </w:pPr>
      <w:r>
        <w:rPr>
          <w:sz w:val="28"/>
          <w:szCs w:val="28"/>
          <w:lang w:val="ru-RU"/>
        </w:rPr>
        <w:t xml:space="preserve">- РИС отражает инновационные процессы на  мезоуровне, где решающими становятся территориальные особенности и локальные сети, а также региональные инструменты поддержки инноваций;</w:t>
      </w:r>
    </w:p>
    <w:p>
      <w:pPr>
        <w:pStyle w:val="P13"/>
        <w:spacing w:lineRule="auto" w:line="360" w:beforeAutospacing="0" w:afterAutospacing="0"/>
        <w:ind w:firstLine="707" w:right="167"/>
        <w:jc w:val="both"/>
        <w:rPr>
          <w:sz w:val="28"/>
          <w:szCs w:val="28"/>
          <w:lang w:val="ru-RU"/>
        </w:rPr>
      </w:pPr>
      <w:r>
        <w:rPr>
          <w:sz w:val="28"/>
          <w:szCs w:val="28"/>
          <w:lang w:val="ru-RU"/>
        </w:rPr>
        <w:t>2) преобладающий механизм координации:</w:t>
      </w:r>
    </w:p>
    <w:p>
      <w:pPr>
        <w:pStyle w:val="P13"/>
        <w:spacing w:lineRule="auto" w:line="360" w:beforeAutospacing="0" w:afterAutospacing="0"/>
        <w:ind w:firstLine="1134" w:right="167"/>
        <w:jc w:val="both"/>
        <w:rPr>
          <w:sz w:val="28"/>
          <w:szCs w:val="28"/>
          <w:lang w:val="ru-RU"/>
        </w:rPr>
      </w:pPr>
      <w:r>
        <w:rPr>
          <w:sz w:val="28"/>
          <w:szCs w:val="28"/>
          <w:lang w:val="ru-RU"/>
        </w:rPr>
        <w:t>- в НИС значимы формальные институты: стратегии, законы, система образования и науки, национальные финансовые институты;</w:t>
      </w:r>
    </w:p>
    <w:p>
      <w:pPr>
        <w:pStyle w:val="P13"/>
        <w:spacing w:lineRule="auto" w:line="360" w:beforeAutospacing="0" w:afterAutospacing="0"/>
        <w:ind w:firstLine="1134" w:right="167"/>
        <w:jc w:val="both"/>
        <w:rPr>
          <w:sz w:val="28"/>
          <w:szCs w:val="28"/>
          <w:lang w:val="ru-RU"/>
        </w:rPr>
      </w:pPr>
      <w:r>
        <w:rPr>
          <w:sz w:val="28"/>
          <w:szCs w:val="28"/>
          <w:lang w:val="ru-RU"/>
        </w:rPr>
        <w:t>- в РИС важно сочетание формальных и неформальных механизмов: локальная инновационная среда, коллективное обучение, доверие, сеть контактов;</w:t>
      </w:r>
    </w:p>
    <w:p>
      <w:pPr>
        <w:pStyle w:val="P13"/>
        <w:spacing w:lineRule="auto" w:line="360" w:beforeAutospacing="0" w:afterAutospacing="0"/>
        <w:ind w:firstLine="707" w:right="167"/>
        <w:jc w:val="both"/>
        <w:rPr>
          <w:sz w:val="28"/>
          <w:szCs w:val="28"/>
          <w:lang w:val="ru-RU"/>
        </w:rPr>
      </w:pPr>
      <w:r>
        <w:rPr>
          <w:sz w:val="28"/>
          <w:szCs w:val="28"/>
          <w:lang w:val="ru-RU"/>
        </w:rPr>
        <w:t>3) логика инновационных эффектов:</w:t>
      </w:r>
    </w:p>
    <w:p>
      <w:pPr>
        <w:pStyle w:val="P13"/>
        <w:spacing w:lineRule="auto" w:line="360" w:beforeAutospacing="0" w:afterAutospacing="0"/>
        <w:ind w:firstLine="1134" w:right="167"/>
        <w:jc w:val="both"/>
        <w:rPr>
          <w:sz w:val="28"/>
          <w:szCs w:val="28"/>
          <w:lang w:val="ru-RU"/>
        </w:rPr>
      </w:pPr>
      <w:r>
        <w:rPr>
          <w:sz w:val="28"/>
          <w:szCs w:val="28"/>
          <w:lang w:val="ru-RU"/>
        </w:rPr>
        <w:t>- НИС объясняет национальную конкурентоспособность и технологическую динамику;</w:t>
      </w:r>
    </w:p>
    <w:p>
      <w:pPr>
        <w:pStyle w:val="P13"/>
        <w:spacing w:lineRule="auto" w:line="360" w:beforeAutospacing="0" w:afterAutospacing="0"/>
        <w:ind w:firstLine="1134" w:right="167"/>
        <w:jc w:val="both"/>
        <w:rPr>
          <w:sz w:val="28"/>
          <w:szCs w:val="28"/>
          <w:lang w:val="ru-RU"/>
        </w:rPr>
      </w:pPr>
      <w:r>
        <w:rPr>
          <w:sz w:val="28"/>
          <w:szCs w:val="28"/>
          <w:lang w:val="ru-RU"/>
        </w:rPr>
        <w:t>- РИС объясняет территориальную дифференциацию инновационной активности и «полюсность» инноваций (центры – периферия), что напрямую важно для развивающихся стран с выраженными региональными разрывами.</w:t>
      </w:r>
    </w:p>
    <w:p>
      <w:pPr>
        <w:pStyle w:val="P13"/>
        <w:spacing w:lineRule="auto" w:line="360" w:beforeAutospacing="0" w:afterAutospacing="0"/>
        <w:ind w:firstLine="707" w:right="167"/>
        <w:jc w:val="both"/>
        <w:rPr>
          <w:sz w:val="28"/>
          <w:szCs w:val="28"/>
          <w:lang w:val="ru-RU"/>
        </w:rPr>
      </w:pPr>
      <w:r>
        <w:rPr>
          <w:sz w:val="28"/>
          <w:szCs w:val="28"/>
          <w:lang w:val="ru-RU"/>
        </w:rPr>
        <w:t>Современная литература расширяет понятие инновационной системы через экосистемный подход, который акцентирует устойчивые связи и самоорганизацию. Экосистема инноваций понимается как сложная взаимосвязанная система организаций, институтов, стимулов, социальных отношений, сервисов и практик, в рамках которой обеспечивается преобразование новаторских идей в жизнеспособные компании и решения. При этом инновационные экосистемы описываются как сети устойчивых связей между организациями, людьми и их решениями, формирующиеся на основе совместного видения желательных преобразований (</w:t>
      </w:r>
      <w:r>
        <w:rPr>
          <w:sz w:val="28"/>
          <w:szCs w:val="28"/>
          <w:highlight w:val="yellow"/>
          <w:lang w:val="ru-RU"/>
        </w:rPr>
        <w:t>Деньщик</w:t>
      </w:r>
      <w:r>
        <w:rPr>
          <w:sz w:val="28"/>
          <w:szCs w:val="28"/>
          <w:lang w:val="ru-RU"/>
        </w:rPr>
        <w:t xml:space="preserve">, </w:t>
      </w:r>
      <w:r>
        <w:rPr>
          <w:sz w:val="28"/>
          <w:szCs w:val="28"/>
          <w:highlight w:val="yellow"/>
          <w:lang w:val="ru-RU"/>
        </w:rPr>
        <w:t>Рассел, Дэвлин, 2011</w:t>
      </w:r>
      <w:r>
        <w:rPr>
          <w:sz w:val="28"/>
          <w:szCs w:val="28"/>
          <w:lang w:val="ru-RU"/>
        </w:rPr>
        <w:t xml:space="preserve">). Наряду с этим </w:t>
      </w:r>
      <w:r>
        <w:rPr>
          <w:sz w:val="28"/>
          <w:szCs w:val="28"/>
          <w:highlight w:val="yellow"/>
          <w:lang w:val="ru-RU"/>
        </w:rPr>
        <w:t>фиксируются определения</w:t>
      </w:r>
      <w:r>
        <w:rPr>
          <w:sz w:val="28"/>
          <w:szCs w:val="28"/>
          <w:lang w:val="ru-RU"/>
        </w:rPr>
        <w:t>, трактующие инновационную экосистему как сложную взаимосвязанную систему организаций, институтов, стимулов, социальных отношений, сервисов и практик, обеспечивающую превращение идей в успешные высокотехнологичные компании.</w:t>
      </w:r>
    </w:p>
    <w:p>
      <w:pPr>
        <w:pStyle w:val="P13"/>
        <w:spacing w:lineRule="auto" w:line="360" w:beforeAutospacing="0" w:afterAutospacing="0"/>
        <w:ind w:firstLine="707" w:right="167"/>
        <w:jc w:val="both"/>
        <w:rPr>
          <w:sz w:val="28"/>
          <w:szCs w:val="28"/>
          <w:lang w:val="ru-RU"/>
        </w:rPr>
      </w:pPr>
      <w:r>
        <w:rPr>
          <w:sz w:val="28"/>
          <w:szCs w:val="28"/>
          <w:lang w:val="ru-RU"/>
        </w:rPr>
        <w:t>В рамках настоящего исследования экосистемный подход важен не как замена НИС/РИС, а как уточнение того, что инновационная система в современной трактовке все чаще понимается как динамичное сетевое образование, где значимы свойства открытости, самоорганизации, адаптивности, многомерности связей и кросс-взаимодействий, т.е. приоритетное значение имеет кооперация вместо линейной модели «наука → производство». Во-вторых, данный подход дает возможность рассматривать инклюзивность не только как социальный результат, но и как характеристику организации инновационного процесса (через вовлечение акторов и территорий в инновационные цепочки)</w:t>
      </w:r>
      <w:r>
        <w:rPr>
          <w:rStyle w:val="C42"/>
          <w:sz w:val="28"/>
          <w:szCs w:val="28"/>
          <w:lang w:val="ru-RU"/>
        </w:rPr>
        <w:footnoteReference w:id="49"/>
      </w:r>
      <w:r>
        <w:rPr>
          <w:sz w:val="28"/>
          <w:szCs w:val="28"/>
          <w:lang w:val="ru-RU"/>
        </w:rPr>
        <w:t>.</w:t>
      </w:r>
    </w:p>
    <w:p>
      <w:pPr>
        <w:pStyle w:val="P13"/>
        <w:spacing w:lineRule="auto" w:line="360" w:beforeAutospacing="0" w:afterAutospacing="0"/>
        <w:ind w:firstLine="707" w:right="167"/>
        <w:jc w:val="both"/>
        <w:rPr>
          <w:sz w:val="28"/>
          <w:szCs w:val="28"/>
          <w:lang w:val="ru-RU"/>
        </w:rPr>
      </w:pPr>
      <w:r>
        <w:rPr>
          <w:sz w:val="28"/>
          <w:szCs w:val="28"/>
          <w:lang w:val="ru-RU"/>
        </w:rPr>
        <w:t>Таким образом, НИС и РИС являются родственными категориями системного подхода к инновациям, но различаются по уровню анализа, преобладающим механизмам координации и характеру пространственной обусловленности инновационной динамики. При этом современная теория дополняет системный подход экосистемной трактовкой, уточняющей сетевую, самоорганизующуюся природу инновационных процессов.</w:t>
      </w:r>
    </w:p>
    <w:p>
      <w:pPr>
        <w:pStyle w:val="P13"/>
        <w:spacing w:lineRule="auto" w:line="360" w:beforeAutospacing="0" w:afterAutospacing="0"/>
        <w:ind w:firstLine="707" w:right="167"/>
        <w:jc w:val="both"/>
        <w:rPr>
          <w:sz w:val="28"/>
          <w:szCs w:val="28"/>
          <w:lang w:val="ru-RU"/>
        </w:rPr>
      </w:pPr>
      <w:r>
        <w:rPr>
          <w:sz w:val="28"/>
          <w:szCs w:val="28"/>
          <w:lang w:val="ru-RU"/>
        </w:rPr>
        <w:t xml:space="preserve">В рамках системного и эволюционного подходов национальные и региональные инновационные системы характеризуются рядом устойчивых свойств, которые позволяют отличать их от совокупности разрозненных институтов и организаций </w:t>
      </w:r>
      <w:r>
        <w:rPr>
          <w:sz w:val="28"/>
          <w:szCs w:val="28"/>
          <w:highlight w:val="yellow"/>
          <w:lang w:val="ru-RU"/>
        </w:rPr>
        <w:t>(Авдеев, Деньщик, Аяд, и др.).</w:t>
      </w:r>
    </w:p>
    <w:p>
      <w:pPr>
        <w:pStyle w:val="P13"/>
        <w:spacing w:lineRule="auto" w:line="360" w:beforeAutospacing="0" w:afterAutospacing="0"/>
        <w:ind w:firstLine="707" w:right="167"/>
        <w:jc w:val="both"/>
        <w:rPr>
          <w:sz w:val="28"/>
          <w:szCs w:val="28"/>
          <w:lang w:val="ru-RU"/>
        </w:rPr>
      </w:pPr>
      <w:r>
        <w:rPr>
          <w:sz w:val="28"/>
          <w:szCs w:val="28"/>
          <w:lang w:val="ru-RU"/>
        </w:rPr>
        <w:t>Во-первых, целостность и взаимосвязанность элементов. НИС и РИС функционируют как целостные образования, в которых результативность инновационной деятельности определяется не столько наличием отдельных институтов (университетов, исследовательских центров, фирм), сколько качеством связей между ними. В этом смысле инновационная система не редуцируется к сумме элементов, а обладает эмерджентными свойствами.</w:t>
      </w:r>
    </w:p>
    <w:p>
      <w:pPr>
        <w:pStyle w:val="P13"/>
        <w:spacing w:lineRule="auto" w:line="360" w:beforeAutospacing="0" w:afterAutospacing="0"/>
        <w:ind w:firstLine="707" w:right="167"/>
        <w:jc w:val="both"/>
        <w:rPr>
          <w:sz w:val="28"/>
          <w:szCs w:val="28"/>
          <w:lang w:val="ru-RU"/>
        </w:rPr>
      </w:pPr>
      <w:r>
        <w:rPr>
          <w:sz w:val="28"/>
          <w:szCs w:val="28"/>
          <w:lang w:val="ru-RU"/>
        </w:rPr>
        <w:t>Во-вторых, многоуровневость. Инновационные системы включают взаимосвязанные уровни:</w:t>
      </w:r>
    </w:p>
    <w:p>
      <w:pPr>
        <w:pStyle w:val="P13"/>
        <w:spacing w:lineRule="auto" w:line="360" w:beforeAutospacing="0" w:afterAutospacing="0"/>
        <w:ind w:firstLine="707" w:right="167"/>
        <w:jc w:val="both"/>
        <w:rPr>
          <w:sz w:val="28"/>
          <w:szCs w:val="28"/>
          <w:lang w:val="ru-RU"/>
        </w:rPr>
      </w:pPr>
      <w:r>
        <w:rPr>
          <w:sz w:val="28"/>
          <w:szCs w:val="28"/>
          <w:lang w:val="ru-RU"/>
        </w:rPr>
        <w:t>- микроуровень (фирмы, стартапы, индивидуальные инноваторы);</w:t>
      </w:r>
    </w:p>
    <w:p>
      <w:pPr>
        <w:pStyle w:val="P13"/>
        <w:spacing w:lineRule="auto" w:line="360" w:beforeAutospacing="0" w:afterAutospacing="0"/>
        <w:ind w:firstLine="707" w:right="167"/>
        <w:jc w:val="both"/>
        <w:rPr>
          <w:sz w:val="28"/>
          <w:szCs w:val="28"/>
          <w:lang w:val="ru-RU"/>
        </w:rPr>
      </w:pPr>
      <w:r>
        <w:rPr>
          <w:sz w:val="28"/>
          <w:szCs w:val="28"/>
          <w:lang w:val="ru-RU"/>
        </w:rPr>
        <w:t>- мезоуровень (кластеры, региональные сети, отраслевые платформы);</w:t>
      </w:r>
    </w:p>
    <w:p>
      <w:pPr>
        <w:pStyle w:val="P13"/>
        <w:spacing w:lineRule="auto" w:line="360" w:beforeAutospacing="0" w:afterAutospacing="0"/>
        <w:ind w:firstLine="707" w:right="167"/>
        <w:jc w:val="both"/>
        <w:rPr>
          <w:sz w:val="28"/>
          <w:szCs w:val="28"/>
          <w:lang w:val="ru-RU"/>
        </w:rPr>
      </w:pPr>
      <w:r>
        <w:rPr>
          <w:sz w:val="28"/>
          <w:szCs w:val="28"/>
          <w:lang w:val="ru-RU"/>
        </w:rPr>
        <w:t>- макроуровень (национальные стратегии, институты развития, правовое регулирование).</w:t>
      </w:r>
    </w:p>
    <w:p>
      <w:pPr>
        <w:pStyle w:val="P13"/>
        <w:spacing w:lineRule="auto" w:line="360" w:beforeAutospacing="0" w:afterAutospacing="0"/>
        <w:ind w:firstLine="707" w:right="167"/>
        <w:jc w:val="both"/>
        <w:rPr>
          <w:sz w:val="28"/>
          <w:szCs w:val="28"/>
          <w:lang w:val="ru-RU"/>
        </w:rPr>
      </w:pPr>
      <w:r>
        <w:rPr>
          <w:sz w:val="28"/>
          <w:szCs w:val="28"/>
          <w:lang w:val="ru-RU"/>
        </w:rPr>
        <w:t>Для РИС принципиально важным является мезоуровень, обеспечивающий взаимосвязь национальных приоритетов с локальной спецификой.</w:t>
      </w:r>
    </w:p>
    <w:p>
      <w:pPr>
        <w:pStyle w:val="P13"/>
        <w:spacing w:lineRule="auto" w:line="360" w:beforeAutospacing="0" w:afterAutospacing="0"/>
        <w:ind w:firstLine="707" w:right="167"/>
        <w:jc w:val="both"/>
        <w:rPr>
          <w:sz w:val="28"/>
          <w:szCs w:val="28"/>
          <w:lang w:val="ru-RU"/>
        </w:rPr>
      </w:pPr>
      <w:r>
        <w:rPr>
          <w:sz w:val="28"/>
          <w:szCs w:val="28"/>
          <w:lang w:val="ru-RU"/>
        </w:rPr>
        <w:t>В-третьих, открытость и встраиваемость во внешнюю среду. Современные НИС и РИС являются открытыми системами, активно взаимодействующими с международными рынками, глобальными цепочками создания стоимости и транснациональными потоками знаний. Это особенно значимо для развивающихся стран, где внешние источники знаний и технологий играют существенную роль в инновационной динамике.</w:t>
      </w:r>
    </w:p>
    <w:p>
      <w:pPr>
        <w:pStyle w:val="P13"/>
        <w:spacing w:lineRule="auto" w:line="360" w:beforeAutospacing="0" w:afterAutospacing="0"/>
        <w:ind w:firstLine="707" w:right="167"/>
        <w:jc w:val="both"/>
        <w:rPr>
          <w:sz w:val="28"/>
          <w:szCs w:val="28"/>
          <w:lang w:val="ru-RU"/>
        </w:rPr>
      </w:pPr>
      <w:r>
        <w:rPr>
          <w:sz w:val="28"/>
          <w:szCs w:val="28"/>
          <w:lang w:val="ru-RU"/>
        </w:rPr>
        <w:t>В-четвертых, институциональная обусловленность. Инновационные системы формируются и развиваются в рамках конкретных формальных и неформальных институтов: норм, правил, стандартов, практик взаимодействия. Качество институтов определяет стимулы к инновационной активности, уровень доверия между акторами и способность системы к координации.</w:t>
      </w:r>
    </w:p>
    <w:p>
      <w:pPr>
        <w:pStyle w:val="P13"/>
        <w:spacing w:lineRule="auto" w:line="360" w:beforeAutospacing="0" w:afterAutospacing="0"/>
        <w:ind w:firstLine="707" w:right="167"/>
        <w:jc w:val="both"/>
        <w:rPr>
          <w:sz w:val="28"/>
          <w:szCs w:val="28"/>
          <w:lang w:val="ru-RU"/>
        </w:rPr>
      </w:pPr>
      <w:r>
        <w:rPr>
          <w:sz w:val="28"/>
          <w:szCs w:val="28"/>
          <w:lang w:val="ru-RU"/>
        </w:rPr>
        <w:t>В-пятых, динамичность и эволюционность. НИС и РИС не являются статичными структурами. Они эволюционируют под воздействием технологических изменений, институциональных реформ, внешних шоков и накопленного опыта. Инновационное развитие в этом контексте трактуется как процесс адаптации и трансформации, а не как достижение фиксированного состояния.</w:t>
      </w:r>
    </w:p>
    <w:p>
      <w:pPr>
        <w:pStyle w:val="P13"/>
        <w:spacing w:lineRule="auto" w:line="360" w:beforeAutospacing="0" w:afterAutospacing="0"/>
        <w:ind w:firstLine="707" w:right="167"/>
        <w:jc w:val="both"/>
        <w:rPr>
          <w:sz w:val="28"/>
          <w:szCs w:val="28"/>
          <w:lang w:val="ru-RU"/>
        </w:rPr>
      </w:pPr>
      <w:r>
        <w:rPr>
          <w:sz w:val="28"/>
          <w:szCs w:val="28"/>
          <w:lang w:val="ru-RU"/>
        </w:rPr>
        <w:t xml:space="preserve">В </w:t>
      </w:r>
      <w:r>
        <w:rPr>
          <w:sz w:val="28"/>
          <w:szCs w:val="28"/>
          <w:highlight w:val="yellow"/>
          <w:lang w:val="ru-RU"/>
        </w:rPr>
        <w:t>научной литературе</w:t>
      </w:r>
      <w:r>
        <w:rPr>
          <w:sz w:val="28"/>
          <w:szCs w:val="28"/>
          <w:lang w:val="ru-RU"/>
        </w:rPr>
        <w:t xml:space="preserve"> предложен ряд типологий НИС и РИС, отражающих различия в структуре, механизмах координации и уровне развития инновационной активности. Рассмотрим основные из них. </w:t>
      </w:r>
    </w:p>
    <w:p>
      <w:pPr>
        <w:pStyle w:val="P13"/>
        <w:spacing w:lineRule="auto" w:line="360" w:beforeAutospacing="0" w:afterAutospacing="0"/>
        <w:ind w:firstLine="707" w:right="167"/>
        <w:jc w:val="both"/>
        <w:rPr>
          <w:sz w:val="28"/>
          <w:szCs w:val="28"/>
          <w:lang w:val="ru-RU"/>
        </w:rPr>
      </w:pPr>
      <w:r>
        <w:rPr>
          <w:sz w:val="28"/>
          <w:szCs w:val="28"/>
          <w:lang w:val="ru-RU"/>
        </w:rPr>
        <w:t>1. По уровню зрелости инновационной системы:</w:t>
      </w:r>
    </w:p>
    <w:p>
      <w:pPr>
        <w:pStyle w:val="P13"/>
        <w:spacing w:lineRule="auto" w:line="360" w:beforeAutospacing="0" w:afterAutospacing="0"/>
        <w:ind w:firstLine="1134" w:right="167"/>
        <w:jc w:val="both"/>
        <w:rPr>
          <w:sz w:val="28"/>
          <w:szCs w:val="28"/>
          <w:lang w:val="ru-RU"/>
        </w:rPr>
      </w:pPr>
      <w:r>
        <w:rPr>
          <w:sz w:val="28"/>
          <w:szCs w:val="28"/>
          <w:lang w:val="ru-RU"/>
        </w:rPr>
        <w:t>- зрелые инновационные системы (страны с развитой научной базой и устойчивыми инновационными экосистемами);</w:t>
      </w:r>
    </w:p>
    <w:p>
      <w:pPr>
        <w:pStyle w:val="P13"/>
        <w:spacing w:lineRule="auto" w:line="360" w:beforeAutospacing="0" w:afterAutospacing="0"/>
        <w:ind w:firstLine="1134" w:right="167"/>
        <w:jc w:val="both"/>
        <w:rPr>
          <w:sz w:val="28"/>
          <w:szCs w:val="28"/>
          <w:lang w:val="ru-RU"/>
        </w:rPr>
      </w:pPr>
      <w:r>
        <w:rPr>
          <w:sz w:val="28"/>
          <w:szCs w:val="28"/>
          <w:lang w:val="ru-RU"/>
        </w:rPr>
        <w:t>- формирующиеся инновационные системы;</w:t>
      </w:r>
    </w:p>
    <w:p>
      <w:pPr>
        <w:pStyle w:val="P13"/>
        <w:spacing w:lineRule="auto" w:line="360" w:beforeAutospacing="0" w:afterAutospacing="0"/>
        <w:ind w:firstLine="1134" w:right="167"/>
        <w:jc w:val="both"/>
        <w:rPr>
          <w:sz w:val="28"/>
          <w:szCs w:val="28"/>
          <w:lang w:val="ru-RU"/>
        </w:rPr>
      </w:pPr>
      <w:r>
        <w:rPr>
          <w:sz w:val="28"/>
          <w:szCs w:val="28"/>
          <w:lang w:val="ru-RU"/>
        </w:rPr>
        <w:t>- фрагментированные или догоняющие инновационные системы, характерные для большинства развивающихся стран. Для развивающихся стран типична ситуация, когда элементы НИС/РИС присутствуют, но связи между ними слабы, а инновационная активность носит очаговый характер.</w:t>
      </w:r>
    </w:p>
    <w:p>
      <w:pPr>
        <w:pStyle w:val="P13"/>
        <w:spacing w:lineRule="auto" w:line="360" w:beforeAutospacing="0" w:afterAutospacing="0"/>
        <w:ind w:firstLine="707" w:right="167"/>
        <w:jc w:val="both"/>
        <w:rPr>
          <w:sz w:val="28"/>
          <w:szCs w:val="28"/>
          <w:lang w:val="ru-RU"/>
        </w:rPr>
      </w:pPr>
      <w:r>
        <w:rPr>
          <w:sz w:val="28"/>
          <w:szCs w:val="28"/>
          <w:lang w:val="ru-RU"/>
        </w:rPr>
        <w:t>2. По доминирующему механизму координации:</w:t>
      </w:r>
    </w:p>
    <w:p>
      <w:pPr>
        <w:pStyle w:val="P13"/>
        <w:spacing w:lineRule="auto" w:line="360" w:beforeAutospacing="0" w:afterAutospacing="0"/>
        <w:ind w:firstLine="1134" w:right="167"/>
        <w:jc w:val="both"/>
        <w:rPr>
          <w:sz w:val="28"/>
          <w:szCs w:val="28"/>
          <w:lang w:val="ru-RU"/>
        </w:rPr>
      </w:pPr>
      <w:r>
        <w:rPr>
          <w:sz w:val="28"/>
          <w:szCs w:val="28"/>
          <w:lang w:val="ru-RU"/>
        </w:rPr>
        <w:t>- иерархические (с ведущей ролью государства);</w:t>
      </w:r>
    </w:p>
    <w:p>
      <w:pPr>
        <w:pStyle w:val="P13"/>
        <w:spacing w:lineRule="auto" w:line="360" w:beforeAutospacing="0" w:afterAutospacing="0"/>
        <w:ind w:firstLine="1134" w:right="167"/>
        <w:jc w:val="both"/>
        <w:rPr>
          <w:sz w:val="28"/>
          <w:szCs w:val="28"/>
          <w:lang w:val="ru-RU"/>
        </w:rPr>
      </w:pPr>
      <w:r>
        <w:rPr>
          <w:sz w:val="28"/>
          <w:szCs w:val="28"/>
          <w:lang w:val="ru-RU"/>
        </w:rPr>
        <w:t>- рыночные (с преобладанием частных инициатив и конкуренции);</w:t>
      </w:r>
    </w:p>
    <w:p>
      <w:pPr>
        <w:pStyle w:val="P13"/>
        <w:spacing w:lineRule="auto" w:line="360" w:beforeAutospacing="0" w:afterAutospacing="0"/>
        <w:ind w:firstLine="1134" w:right="167"/>
        <w:jc w:val="both"/>
        <w:rPr>
          <w:sz w:val="28"/>
          <w:szCs w:val="28"/>
          <w:lang w:val="ru-RU"/>
        </w:rPr>
      </w:pPr>
      <w:r>
        <w:rPr>
          <w:sz w:val="28"/>
          <w:szCs w:val="28"/>
          <w:lang w:val="ru-RU"/>
        </w:rPr>
        <w:t>- сетевые (основанные на кооперации, партнерствах и горизонтальных связях). РИС, как правило, тяготеют к сетевым моделям, где значимы локальные взаимодействия и неформальные связи.</w:t>
      </w:r>
    </w:p>
    <w:p>
      <w:pPr>
        <w:pStyle w:val="P13"/>
        <w:spacing w:lineRule="auto" w:line="360" w:beforeAutospacing="0" w:afterAutospacing="0"/>
        <w:ind w:firstLine="707" w:right="167"/>
        <w:jc w:val="both"/>
        <w:rPr>
          <w:sz w:val="28"/>
          <w:szCs w:val="28"/>
          <w:lang w:val="ru-RU"/>
        </w:rPr>
      </w:pPr>
      <w:r>
        <w:rPr>
          <w:sz w:val="28"/>
          <w:szCs w:val="28"/>
          <w:lang w:val="ru-RU"/>
        </w:rPr>
        <w:t>3. По отраслевой специализации:</w:t>
      </w:r>
    </w:p>
    <w:p>
      <w:pPr>
        <w:pStyle w:val="P13"/>
        <w:spacing w:lineRule="auto" w:line="360" w:beforeAutospacing="0" w:afterAutospacing="0"/>
        <w:ind w:firstLine="1134" w:right="167"/>
        <w:jc w:val="both"/>
        <w:rPr>
          <w:sz w:val="28"/>
          <w:szCs w:val="28"/>
          <w:lang w:val="ru-RU"/>
        </w:rPr>
      </w:pPr>
      <w:r>
        <w:rPr>
          <w:sz w:val="28"/>
          <w:szCs w:val="28"/>
          <w:lang w:val="ru-RU"/>
        </w:rPr>
        <w:t>- диверсифицированные инновационные системы;</w:t>
      </w:r>
    </w:p>
    <w:p>
      <w:pPr>
        <w:pStyle w:val="P13"/>
        <w:spacing w:lineRule="auto" w:line="360" w:beforeAutospacing="0" w:afterAutospacing="0"/>
        <w:ind w:firstLine="1134" w:right="167"/>
        <w:jc w:val="both"/>
        <w:rPr>
          <w:sz w:val="28"/>
          <w:szCs w:val="28"/>
          <w:lang w:val="ru-RU"/>
        </w:rPr>
      </w:pPr>
      <w:r>
        <w:rPr>
          <w:sz w:val="28"/>
          <w:szCs w:val="28"/>
          <w:lang w:val="ru-RU"/>
        </w:rPr>
        <w:t>- специализированные (ориентированные на отдельные отрасли или технологические ниши). Для регионов развивающихся стран характерна специализация, связанная с ресурсными, аграрными или инфраструктурными секторами, что накладывает ограничения на тип инноваций и формы их распространения.</w:t>
      </w:r>
    </w:p>
    <w:p>
      <w:pPr>
        <w:pStyle w:val="P13"/>
        <w:spacing w:lineRule="auto" w:line="360" w:beforeAutospacing="0" w:afterAutospacing="0"/>
        <w:ind w:firstLine="707" w:right="167"/>
        <w:jc w:val="both"/>
        <w:rPr>
          <w:sz w:val="28"/>
          <w:szCs w:val="28"/>
          <w:lang w:val="ru-RU"/>
        </w:rPr>
      </w:pPr>
      <w:r>
        <w:rPr>
          <w:sz w:val="28"/>
          <w:szCs w:val="28"/>
          <w:lang w:val="ru-RU"/>
        </w:rPr>
        <w:t>4. По степени территориальной концентрации:</w:t>
      </w:r>
    </w:p>
    <w:p>
      <w:pPr>
        <w:pStyle w:val="P13"/>
        <w:spacing w:lineRule="auto" w:line="360" w:beforeAutospacing="0" w:afterAutospacing="0"/>
        <w:ind w:firstLine="1134" w:right="167"/>
        <w:jc w:val="both"/>
        <w:rPr>
          <w:sz w:val="28"/>
          <w:szCs w:val="28"/>
          <w:lang w:val="ru-RU"/>
        </w:rPr>
      </w:pPr>
      <w:r>
        <w:rPr>
          <w:sz w:val="28"/>
          <w:szCs w:val="28"/>
          <w:lang w:val="ru-RU"/>
        </w:rPr>
        <w:t>- полицентрические системы;</w:t>
      </w:r>
    </w:p>
    <w:p>
      <w:pPr>
        <w:pStyle w:val="P13"/>
        <w:spacing w:lineRule="auto" w:line="360" w:beforeAutospacing="0" w:afterAutospacing="0"/>
        <w:ind w:firstLine="1134" w:right="167"/>
        <w:jc w:val="both"/>
        <w:rPr>
          <w:sz w:val="28"/>
          <w:szCs w:val="28"/>
          <w:lang w:val="ru-RU"/>
        </w:rPr>
      </w:pPr>
      <w:r>
        <w:rPr>
          <w:sz w:val="28"/>
          <w:szCs w:val="28"/>
          <w:lang w:val="ru-RU"/>
        </w:rPr>
        <w:t>- моноцентрические системы;</w:t>
      </w:r>
    </w:p>
    <w:p>
      <w:pPr>
        <w:pStyle w:val="P13"/>
        <w:spacing w:lineRule="auto" w:line="360" w:beforeAutospacing="0" w:afterAutospacing="0"/>
        <w:ind w:firstLine="1134" w:right="167"/>
        <w:jc w:val="both"/>
        <w:rPr>
          <w:sz w:val="28"/>
          <w:szCs w:val="28"/>
          <w:lang w:val="ru-RU"/>
        </w:rPr>
      </w:pPr>
      <w:r>
        <w:rPr>
          <w:sz w:val="28"/>
          <w:szCs w:val="28"/>
          <w:lang w:val="ru-RU"/>
        </w:rPr>
        <w:t>- системы с выраженным разрывом «центр – периферия». Последний тип особенно актуален для анализа РИС в развивающихся странах и напрямую связан с проблематикой инклюзивности.</w:t>
      </w:r>
    </w:p>
    <w:p>
      <w:pPr>
        <w:pStyle w:val="P13"/>
        <w:spacing w:lineRule="auto" w:line="360" w:beforeAutospacing="0" w:afterAutospacing="0"/>
        <w:ind w:firstLine="707" w:right="167"/>
        <w:jc w:val="both"/>
        <w:rPr>
          <w:sz w:val="28"/>
          <w:szCs w:val="28"/>
          <w:lang w:val="ru-RU"/>
        </w:rPr>
      </w:pPr>
      <w:r>
        <w:rPr>
          <w:sz w:val="28"/>
          <w:szCs w:val="28"/>
          <w:lang w:val="ru-RU"/>
        </w:rPr>
        <w:t>Обобщая типологические подходы, можно выделить ключевые классификационные признаки инновационных систем:</w:t>
      </w:r>
    </w:p>
    <w:p>
      <w:pPr>
        <w:pStyle w:val="P13"/>
        <w:numPr>
          <w:ilvl w:val="0"/>
          <w:numId w:val="7"/>
        </w:numPr>
        <w:tabs>
          <w:tab w:val="left" w:pos="993" w:leader="none"/>
        </w:tabs>
        <w:spacing w:lineRule="auto" w:line="360" w:beforeAutospacing="0" w:afterAutospacing="0"/>
        <w:ind w:firstLine="709" w:left="0" w:right="167"/>
        <w:jc w:val="both"/>
        <w:rPr>
          <w:sz w:val="28"/>
          <w:szCs w:val="28"/>
          <w:lang w:val="ru-RU"/>
        </w:rPr>
      </w:pPr>
      <w:r>
        <w:rPr>
          <w:sz w:val="28"/>
          <w:szCs w:val="28"/>
          <w:lang w:val="ru-RU"/>
        </w:rPr>
        <w:t>уровень пространственной концентрации инновационной активности;</w:t>
      </w:r>
    </w:p>
    <w:p>
      <w:pPr>
        <w:pStyle w:val="P13"/>
        <w:numPr>
          <w:ilvl w:val="0"/>
          <w:numId w:val="7"/>
        </w:numPr>
        <w:tabs>
          <w:tab w:val="left" w:pos="993" w:leader="none"/>
        </w:tabs>
        <w:spacing w:lineRule="auto" w:line="360" w:beforeAutospacing="0" w:afterAutospacing="0"/>
        <w:ind w:firstLine="709" w:left="0" w:right="167"/>
        <w:jc w:val="both"/>
        <w:rPr>
          <w:sz w:val="28"/>
          <w:szCs w:val="28"/>
          <w:lang w:val="ru-RU"/>
        </w:rPr>
      </w:pPr>
      <w:r>
        <w:rPr>
          <w:sz w:val="28"/>
          <w:szCs w:val="28"/>
          <w:lang w:val="ru-RU"/>
        </w:rPr>
        <w:t>степень вовлеченности акторов в сетевые взаимодействия;</w:t>
      </w:r>
    </w:p>
    <w:p>
      <w:pPr>
        <w:pStyle w:val="P13"/>
        <w:numPr>
          <w:ilvl w:val="0"/>
          <w:numId w:val="7"/>
        </w:numPr>
        <w:tabs>
          <w:tab w:val="left" w:pos="993" w:leader="none"/>
        </w:tabs>
        <w:spacing w:lineRule="auto" w:line="360" w:beforeAutospacing="0" w:afterAutospacing="0"/>
        <w:ind w:firstLine="709" w:left="0" w:right="167"/>
        <w:jc w:val="both"/>
        <w:rPr>
          <w:sz w:val="28"/>
          <w:szCs w:val="28"/>
          <w:lang w:val="ru-RU"/>
        </w:rPr>
      </w:pPr>
      <w:r>
        <w:rPr>
          <w:sz w:val="28"/>
          <w:szCs w:val="28"/>
          <w:lang w:val="ru-RU"/>
        </w:rPr>
        <w:t>роль государства в координации и финансировании инноваций;</w:t>
      </w:r>
    </w:p>
    <w:p>
      <w:pPr>
        <w:pStyle w:val="P13"/>
        <w:numPr>
          <w:ilvl w:val="0"/>
          <w:numId w:val="7"/>
        </w:numPr>
        <w:tabs>
          <w:tab w:val="left" w:pos="993" w:leader="none"/>
        </w:tabs>
        <w:spacing w:lineRule="auto" w:line="360" w:beforeAutospacing="0" w:afterAutospacing="0"/>
        <w:ind w:firstLine="709" w:left="0" w:right="167"/>
        <w:jc w:val="both"/>
        <w:rPr>
          <w:sz w:val="28"/>
          <w:szCs w:val="28"/>
          <w:lang w:val="ru-RU"/>
        </w:rPr>
      </w:pPr>
      <w:r>
        <w:rPr>
          <w:sz w:val="28"/>
          <w:szCs w:val="28"/>
          <w:lang w:val="ru-RU"/>
        </w:rPr>
        <w:t>доступ к финансовым ресурсам и институтам развития;</w:t>
      </w:r>
    </w:p>
    <w:p>
      <w:pPr>
        <w:pStyle w:val="P13"/>
        <w:numPr>
          <w:ilvl w:val="0"/>
          <w:numId w:val="7"/>
        </w:numPr>
        <w:tabs>
          <w:tab w:val="left" w:pos="993" w:leader="none"/>
        </w:tabs>
        <w:spacing w:lineRule="auto" w:line="360" w:beforeAutospacing="0" w:afterAutospacing="0"/>
        <w:ind w:firstLine="709" w:left="0" w:right="167"/>
        <w:jc w:val="both"/>
        <w:rPr>
          <w:sz w:val="28"/>
          <w:szCs w:val="28"/>
          <w:lang w:val="ru-RU"/>
        </w:rPr>
      </w:pPr>
      <w:r>
        <w:rPr>
          <w:sz w:val="28"/>
          <w:szCs w:val="28"/>
          <w:lang w:val="ru-RU"/>
        </w:rPr>
        <w:t>интеграция в международные инновационные и производственные сети;</w:t>
      </w:r>
    </w:p>
    <w:p>
      <w:pPr>
        <w:pStyle w:val="P13"/>
        <w:numPr>
          <w:ilvl w:val="0"/>
          <w:numId w:val="7"/>
        </w:numPr>
        <w:tabs>
          <w:tab w:val="left" w:pos="993" w:leader="none"/>
        </w:tabs>
        <w:spacing w:lineRule="auto" w:line="360" w:beforeAutospacing="0" w:afterAutospacing="0"/>
        <w:ind w:firstLine="709" w:left="0" w:right="167"/>
        <w:jc w:val="both"/>
        <w:rPr>
          <w:sz w:val="28"/>
          <w:szCs w:val="28"/>
          <w:lang w:val="ru-RU"/>
        </w:rPr>
      </w:pPr>
      <w:r>
        <w:rPr>
          <w:sz w:val="28"/>
          <w:szCs w:val="28"/>
          <w:lang w:val="ru-RU"/>
        </w:rPr>
        <w:t>способность к воспроизводству инновационного потенциала.</w:t>
      </w:r>
    </w:p>
    <w:p>
      <w:pPr>
        <w:pStyle w:val="P13"/>
        <w:spacing w:lineRule="auto" w:line="360" w:beforeAutospacing="0" w:afterAutospacing="0"/>
        <w:ind w:firstLine="707" w:right="167"/>
        <w:jc w:val="both"/>
        <w:rPr>
          <w:sz w:val="28"/>
          <w:szCs w:val="28"/>
          <w:lang w:val="ru-RU"/>
        </w:rPr>
      </w:pPr>
      <w:r>
        <w:rPr>
          <w:sz w:val="28"/>
          <w:szCs w:val="28"/>
          <w:lang w:val="ru-RU"/>
        </w:rPr>
        <w:t>Для целей настоящего исследования принципиальное значение имеют признаки, связанные с включенностью регионов и экономических агентов в инновационный процесс, поскольку именно они определяют потенциал перехода от формально существующей инновационной системы к инновационно-инклюзивной модели развития.</w:t>
      </w:r>
    </w:p>
    <w:p>
      <w:pPr>
        <w:pStyle w:val="P13"/>
        <w:spacing w:lineRule="auto" w:line="360" w:beforeAutospacing="0" w:afterAutospacing="0"/>
        <w:ind w:firstLine="707" w:right="167"/>
        <w:jc w:val="both"/>
        <w:rPr>
          <w:sz w:val="28"/>
          <w:szCs w:val="28"/>
          <w:lang w:val="ru-RU"/>
        </w:rPr>
      </w:pPr>
      <w:r>
        <w:rPr>
          <w:sz w:val="28"/>
          <w:szCs w:val="28"/>
          <w:lang w:val="ru-RU"/>
        </w:rPr>
        <w:t>Таким образом, свойства и типологии НИС и РИС показывают, что инновационная система представляет собой сложное, многоуровневое и эволюционирующее образование, результативность которого определяется не только наличием институтов и инфраструктуры, но и характером взаимодействий, уровнем институционального доверия, доступом к ресурсам и степенью включенности акторов и территорий в инновационный процесс. Это обстоятельство особенно значимо для развивающихся стран, где инновационные системы часто носят фрагментированный и неравномерный характер, что подтверждается эмпирическими исследованиями</w:t>
      </w:r>
      <w:r>
        <w:rPr>
          <w:rStyle w:val="C42"/>
          <w:sz w:val="28"/>
          <w:szCs w:val="28"/>
          <w:lang w:val="ru-RU"/>
        </w:rPr>
        <w:footnoteReference w:id="50"/>
      </w:r>
      <w:r>
        <w:rPr>
          <w:sz w:val="28"/>
          <w:szCs w:val="28"/>
          <w:lang w:val="ru-RU"/>
        </w:rPr>
        <w:t>.</w:t>
      </w:r>
    </w:p>
    <w:p>
      <w:pPr>
        <w:pStyle w:val="P13"/>
        <w:spacing w:lineRule="auto" w:line="360" w:beforeAutospacing="0" w:afterAutospacing="0"/>
        <w:ind w:firstLine="707" w:right="167"/>
        <w:jc w:val="both"/>
        <w:rPr>
          <w:sz w:val="28"/>
          <w:szCs w:val="28"/>
          <w:lang w:val="ru-RU"/>
        </w:rPr>
      </w:pPr>
      <w:r>
        <w:rPr>
          <w:sz w:val="28"/>
          <w:szCs w:val="28"/>
          <w:lang w:val="ru-RU"/>
        </w:rPr>
        <w:t xml:space="preserve">Важно отметить, что в мировой практике национальные и региональные инновационные системы проявляются не только как абстрактные институциональные конструкции, но и как конкретные пространственно локализованные инновационные образования, поддающиеся эмпирическому наблюдению и сопоставлению. Наиболее наглядной формой такой операционализации НИС и РИС в современных исследованиях выступают инновационные экосистемы, а в более прикладной плоскости – инновационно-предпринимательские экосистемы, формирующиеся вокруг крупных городских агломераций и региональных центров экономической </w:t>
      </w:r>
      <w:r>
        <w:rPr>
          <w:sz w:val="28"/>
          <w:szCs w:val="28"/>
          <w:highlight w:val="yellow"/>
          <w:lang w:val="ru-RU"/>
        </w:rPr>
        <w:t>активности</w:t>
      </w:r>
      <w:r>
        <w:rPr>
          <w:rStyle w:val="C42"/>
          <w:sz w:val="28"/>
          <w:szCs w:val="28"/>
          <w:highlight w:val="yellow"/>
          <w:lang w:val="ru-RU"/>
        </w:rPr>
        <w:footnoteReference w:id="51"/>
      </w:r>
      <w:r>
        <w:rPr>
          <w:sz w:val="28"/>
          <w:szCs w:val="28"/>
          <w:lang w:val="ru-RU"/>
        </w:rPr>
        <w:t>.</w:t>
      </w:r>
    </w:p>
    <w:p>
      <w:pPr>
        <w:pStyle w:val="P13"/>
        <w:spacing w:lineRule="auto" w:line="360" w:beforeAutospacing="0" w:afterAutospacing="0"/>
        <w:ind w:firstLine="707" w:right="167"/>
        <w:jc w:val="both"/>
        <w:rPr>
          <w:sz w:val="28"/>
          <w:szCs w:val="28"/>
          <w:lang w:val="ru-RU"/>
        </w:rPr>
      </w:pPr>
      <w:r>
        <w:rPr>
          <w:sz w:val="28"/>
          <w:szCs w:val="28"/>
          <w:lang w:val="ru-RU"/>
        </w:rPr>
        <w:t>В отличие от классических трактовок НИС и РИС, ориентированных преимущественно на институциональную структуру и государственную инновационную политику, подход к анализу инновационных экосистем позволяет эмпирически зафиксировать результаты и механизмы взаимодействия ключевых акторов инновационного процесса – бизнеса, научно-образовательного сектора, инвесторов, инфраструктурных организаций и государства. В этом контексте инновационно-предпринимательские экосистемы выступают как измеряемое проявление функционирования региональных инновационных систем, отражающее их реальную способность к генерации, коммерциализации и воспроизводству инноваций.</w:t>
      </w:r>
    </w:p>
    <w:p>
      <w:pPr>
        <w:pStyle w:val="P13"/>
        <w:spacing w:lineRule="auto" w:line="360" w:beforeAutospacing="0" w:afterAutospacing="0"/>
        <w:ind w:firstLine="707" w:right="167"/>
        <w:jc w:val="both"/>
        <w:rPr>
          <w:sz w:val="28"/>
          <w:szCs w:val="28"/>
          <w:lang w:val="ru-RU"/>
        </w:rPr>
      </w:pPr>
      <w:r>
        <w:rPr>
          <w:sz w:val="28"/>
          <w:szCs w:val="28"/>
          <w:lang w:val="ru-RU"/>
        </w:rPr>
        <w:t>Современные международные исследования инновационных экосистем, проводимые ежегодно консалтинговой компанией Startup Genome (Global Startup Ecosystem Report 2025)</w:t>
      </w:r>
      <w:r>
        <w:rPr>
          <w:rStyle w:val="C42"/>
          <w:sz w:val="28"/>
          <w:szCs w:val="28"/>
          <w:lang w:val="ru-RU"/>
        </w:rPr>
        <w:footnoteReference w:id="52"/>
      </w:r>
      <w:r>
        <w:rPr>
          <w:sz w:val="28"/>
          <w:szCs w:val="28"/>
          <w:lang w:val="ru-RU"/>
        </w:rPr>
        <w:t>, используют сопоставимые наборы показателей, характеризующие такие параметры, как:</w:t>
      </w:r>
    </w:p>
    <w:p>
      <w:pPr>
        <w:pStyle w:val="P13"/>
        <w:spacing w:lineRule="auto" w:line="360" w:beforeAutospacing="0" w:afterAutospacing="0"/>
        <w:ind w:firstLine="707" w:right="167"/>
        <w:jc w:val="both"/>
        <w:rPr>
          <w:sz w:val="28"/>
          <w:szCs w:val="28"/>
          <w:lang w:val="ru-RU"/>
        </w:rPr>
      </w:pPr>
      <w:r>
        <w:rPr>
          <w:sz w:val="28"/>
          <w:szCs w:val="28"/>
          <w:lang w:val="ru-RU"/>
        </w:rPr>
        <w:t>- результативность инновационно-предпринимательской деятельности;</w:t>
      </w:r>
    </w:p>
    <w:p>
      <w:pPr>
        <w:pStyle w:val="P13"/>
        <w:spacing w:lineRule="auto" w:line="360" w:beforeAutospacing="0" w:afterAutospacing="0"/>
        <w:ind w:firstLine="707" w:right="167"/>
        <w:jc w:val="both"/>
        <w:rPr>
          <w:sz w:val="28"/>
          <w:szCs w:val="28"/>
          <w:lang w:val="ru-RU"/>
        </w:rPr>
      </w:pPr>
      <w:r>
        <w:rPr>
          <w:sz w:val="28"/>
          <w:szCs w:val="28"/>
          <w:lang w:val="ru-RU"/>
        </w:rPr>
        <w:t>- доступ к финансированию и масштабы венчурных инвестиций;</w:t>
      </w:r>
    </w:p>
    <w:p>
      <w:pPr>
        <w:pStyle w:val="P13"/>
        <w:spacing w:lineRule="auto" w:line="360" w:beforeAutospacing="0" w:afterAutospacing="0"/>
        <w:ind w:firstLine="707" w:right="167"/>
        <w:jc w:val="both"/>
        <w:rPr>
          <w:sz w:val="28"/>
          <w:szCs w:val="28"/>
          <w:lang w:val="ru-RU"/>
        </w:rPr>
      </w:pPr>
      <w:r>
        <w:rPr>
          <w:sz w:val="28"/>
          <w:szCs w:val="28"/>
          <w:lang w:val="ru-RU"/>
        </w:rPr>
        <w:t>- концентрация и мобильность человеческого капитала;</w:t>
      </w:r>
    </w:p>
    <w:p>
      <w:pPr>
        <w:pStyle w:val="P13"/>
        <w:spacing w:lineRule="auto" w:line="360" w:beforeAutospacing="0" w:afterAutospacing="0"/>
        <w:ind w:firstLine="707" w:right="167"/>
        <w:jc w:val="both"/>
        <w:rPr>
          <w:sz w:val="28"/>
          <w:szCs w:val="28"/>
          <w:lang w:val="ru-RU"/>
        </w:rPr>
      </w:pPr>
      <w:r>
        <w:rPr>
          <w:sz w:val="28"/>
          <w:szCs w:val="28"/>
          <w:lang w:val="ru-RU"/>
        </w:rPr>
        <w:t>- уровень интеграции в глобальные рынки;</w:t>
      </w:r>
    </w:p>
    <w:p>
      <w:pPr>
        <w:pStyle w:val="P13"/>
        <w:spacing w:lineRule="auto" w:line="360" w:beforeAutospacing="0" w:afterAutospacing="0"/>
        <w:ind w:firstLine="707" w:right="167"/>
        <w:jc w:val="both"/>
        <w:rPr>
          <w:sz w:val="28"/>
          <w:szCs w:val="28"/>
          <w:lang w:val="ru-RU"/>
        </w:rPr>
      </w:pPr>
      <w:r>
        <w:rPr>
          <w:sz w:val="28"/>
          <w:szCs w:val="28"/>
          <w:lang w:val="ru-RU"/>
        </w:rPr>
        <w:t>- способность экосистемы к воспроизводству инновационного потенциала через механизмы экзитов, реинвестирования капитала и трансфера знаний.</w:t>
      </w:r>
    </w:p>
    <w:p>
      <w:pPr>
        <w:pStyle w:val="P13"/>
        <w:spacing w:lineRule="auto" w:line="360" w:beforeAutospacing="0" w:afterAutospacing="0"/>
        <w:ind w:firstLine="707" w:right="167"/>
        <w:jc w:val="both"/>
        <w:rPr>
          <w:sz w:val="28"/>
          <w:szCs w:val="28"/>
          <w:lang w:val="ru-RU"/>
        </w:rPr>
      </w:pPr>
      <w:r>
        <w:rPr>
          <w:sz w:val="28"/>
          <w:szCs w:val="28"/>
          <w:lang w:val="ru-RU"/>
        </w:rPr>
        <w:t>Анализ указанных параметров позволяет рассматривать инновационно-предпринимательские экосистемы как эмпирическое измерение региональных инновационных систем, а их сравнительное исследование – как инструмент выявления различий в типах и траекториях инновационного развития стран и регионов.</w:t>
      </w:r>
    </w:p>
    <w:p>
      <w:pPr>
        <w:pStyle w:val="P13"/>
        <w:spacing w:lineRule="auto" w:line="360" w:beforeAutospacing="0" w:afterAutospacing="0"/>
        <w:ind w:firstLine="707" w:right="167"/>
        <w:jc w:val="both"/>
        <w:rPr>
          <w:sz w:val="28"/>
          <w:szCs w:val="28"/>
          <w:lang w:val="ru-RU"/>
        </w:rPr>
      </w:pPr>
      <w:r>
        <w:rPr>
          <w:sz w:val="28"/>
          <w:szCs w:val="28"/>
          <w:lang w:val="ru-RU"/>
        </w:rPr>
        <w:t>На основе сопоставления инновационных экосистем в мировой практике выделяются различные типы функционирования НИС и РИС, различающиеся по степени зрелости, институциональной архитектуре и доминирующим механизмам координации инновационной деятельности:</w:t>
      </w:r>
    </w:p>
    <w:p>
      <w:pPr>
        <w:pStyle w:val="P13"/>
        <w:spacing w:lineRule="auto" w:line="360" w:beforeAutospacing="0" w:afterAutospacing="0"/>
        <w:ind w:firstLine="707" w:right="167"/>
        <w:jc w:val="both"/>
        <w:rPr>
          <w:sz w:val="28"/>
          <w:szCs w:val="28"/>
          <w:lang w:val="ru-RU"/>
        </w:rPr>
      </w:pPr>
      <w:r>
        <w:rPr>
          <w:sz w:val="28"/>
          <w:szCs w:val="28"/>
          <w:lang w:val="ru-RU"/>
        </w:rPr>
        <w:t xml:space="preserve">-  зрелые рыночно-ориентированные инновационные системы, характерные для экономически развитых стран (Кремниевая долина, Нью Йорк, Лондон). Они доминируют по совокупности факторов и по механизму «ресурсного рециклинга» (экзиты → капитал/таланты → новые стартапы);</w:t>
      </w:r>
    </w:p>
    <w:p>
      <w:pPr>
        <w:pStyle w:val="P13"/>
        <w:spacing w:lineRule="auto" w:line="360" w:beforeAutospacing="0" w:afterAutospacing="0"/>
        <w:ind w:firstLine="707" w:right="167"/>
        <w:jc w:val="both"/>
        <w:rPr>
          <w:sz w:val="28"/>
          <w:szCs w:val="28"/>
          <w:lang w:val="ru-RU"/>
        </w:rPr>
      </w:pPr>
      <w:r>
        <w:rPr>
          <w:sz w:val="28"/>
          <w:szCs w:val="28"/>
          <w:lang w:val="ru-RU"/>
        </w:rPr>
        <w:t>- государственно-управляемые (policy-led) модели, формирующиеся при активной роли государства (Сеул, Сингапур, Токио.) Они демонстрируют возможность ускоренного формирования РИС за счет целевых инвестиций и долгосрочной политики;</w:t>
      </w:r>
    </w:p>
    <w:p>
      <w:pPr>
        <w:pStyle w:val="P13"/>
        <w:spacing w:lineRule="auto" w:line="360" w:beforeAutospacing="0" w:afterAutospacing="0"/>
        <w:ind w:firstLine="707" w:right="167"/>
        <w:jc w:val="both"/>
        <w:rPr>
          <w:sz w:val="28"/>
          <w:szCs w:val="28"/>
          <w:lang w:val="ru-RU"/>
        </w:rPr>
      </w:pPr>
      <w:r>
        <w:rPr>
          <w:sz w:val="28"/>
          <w:szCs w:val="28"/>
          <w:lang w:val="ru-RU"/>
        </w:rPr>
        <w:t>- формирующиеся (emerging) инновационные системы, находящиеся на ранних стадиях развития и сталкивающиеся с проблемами масштабирования инновационной активности (Уси, Джакарта, Стамбул, Копенгаген, Дели). Они развиваются через раннее финансирование и рост «потенциала»;</w:t>
      </w:r>
    </w:p>
    <w:p>
      <w:pPr>
        <w:pStyle w:val="P13"/>
        <w:spacing w:lineRule="auto" w:line="360" w:beforeAutospacing="0" w:afterAutospacing="0"/>
        <w:ind w:firstLine="707" w:right="167"/>
        <w:jc w:val="both"/>
        <w:rPr>
          <w:sz w:val="28"/>
          <w:szCs w:val="28"/>
          <w:lang w:val="ru-RU"/>
        </w:rPr>
      </w:pPr>
      <w:r>
        <w:rPr>
          <w:sz w:val="28"/>
          <w:szCs w:val="28"/>
          <w:lang w:val="ru-RU"/>
        </w:rPr>
        <w:t>- технологически сфокусированные инновационные системы, ориентированные на ускоренное развитие ключевых сквозных технологий, включая цифровые и платформенные решения, что позволяет отдельным регионам и странам осуществлять ускоренный инновационный рывок и частично компенсировать институциональные и ресурсные ограничения (Пекин, Шэньчжэнь, Париж);</w:t>
      </w:r>
    </w:p>
    <w:p>
      <w:pPr>
        <w:pStyle w:val="P13"/>
        <w:spacing w:lineRule="auto" w:line="360" w:beforeAutospacing="0" w:afterAutospacing="0"/>
        <w:ind w:firstLine="707" w:right="167"/>
        <w:jc w:val="both"/>
        <w:rPr>
          <w:sz w:val="28"/>
          <w:szCs w:val="28"/>
          <w:lang w:val="ru-RU"/>
        </w:rPr>
      </w:pPr>
      <w:r>
        <w:rPr>
          <w:sz w:val="28"/>
          <w:szCs w:val="28"/>
          <w:lang w:val="ru-RU"/>
        </w:rPr>
        <w:t>- регионально-стратифицированные системы с высокой неоднородностью РИС внутри НИС представляют собой сильные отдельные региональные узлы при «провалах» между ними, для них критична связность территорий, инфраструктура знаний и рынок (30 экосистем для Азии/Европы/Северной Америки; меньше – для Латинской Америки, Ближнего Востока и Северной Африки, Океании, Африки к югу от Сахары и др.)</w:t>
      </w:r>
    </w:p>
    <w:p>
      <w:pPr>
        <w:pStyle w:val="P13"/>
        <w:spacing w:lineRule="auto" w:line="360" w:beforeAutospacing="0" w:afterAutospacing="0"/>
        <w:ind w:firstLine="707" w:right="167"/>
        <w:jc w:val="both"/>
        <w:rPr>
          <w:sz w:val="28"/>
          <w:szCs w:val="28"/>
          <w:lang w:val="ru-RU"/>
        </w:rPr>
      </w:pPr>
      <w:r>
        <w:rPr>
          <w:sz w:val="28"/>
          <w:szCs w:val="28"/>
          <w:lang w:val="ru-RU"/>
        </w:rPr>
        <w:t>Сравнительный анализ выделенных типов НИС/РИС представлен в таблице 5.</w:t>
      </w:r>
    </w:p>
    <w:p>
      <w:pPr>
        <w:pStyle w:val="P13"/>
        <w:spacing w:lineRule="auto" w:line="360" w:beforeAutospacing="0" w:afterAutospacing="0"/>
        <w:ind w:firstLine="707" w:right="167"/>
        <w:jc w:val="both"/>
        <w:rPr>
          <w:sz w:val="28"/>
          <w:szCs w:val="28"/>
          <w:lang w:val="ru-RU"/>
        </w:rPr>
      </w:pPr>
    </w:p>
    <w:p>
      <w:pPr>
        <w:pStyle w:val="P13"/>
        <w:spacing w:lineRule="auto" w:line="360" w:beforeAutospacing="0" w:afterAutospacing="0"/>
        <w:ind w:right="167"/>
        <w:jc w:val="both"/>
        <w:rPr>
          <w:sz w:val="28"/>
          <w:szCs w:val="28"/>
          <w:lang w:val="ru-RU"/>
        </w:rPr>
      </w:pPr>
      <w:r>
        <w:rPr>
          <w:sz w:val="28"/>
          <w:szCs w:val="28"/>
          <w:lang w:val="ru-RU"/>
        </w:rPr>
        <w:t>Таблица 5 – Сравнительная характеристика национальных и региональных инновационных систем в мировой практике</w:t>
      </w:r>
      <w:r>
        <w:rPr>
          <w:rStyle w:val="C42"/>
          <w:sz w:val="28"/>
          <w:szCs w:val="28"/>
          <w:lang w:val="ru-RU"/>
        </w:rPr>
        <w:footnoteReference w:id="53"/>
      </w:r>
      <w:r>
        <w:rPr>
          <w:sz w:val="28"/>
          <w:szCs w:val="28"/>
          <w:lang w:val="ru-RU"/>
        </w:rPr>
        <w:t xml:space="preserve"> </w:t>
      </w:r>
    </w:p>
    <w:tbl>
      <w:tblPr>
        <w:tblStyle w:val="T3"/>
        <w:tblW w:w="0" w:type="auto"/>
        <w:tblLayout w:type="fixed"/>
        <w:tblLook w:val="04A0"/>
      </w:tblPr>
      <w:tblGrid>
        <w:gridCol w:w="1555"/>
        <w:gridCol w:w="2268"/>
        <w:gridCol w:w="2551"/>
        <w:gridCol w:w="1699"/>
        <w:gridCol w:w="1839"/>
      </w:tblGrid>
      <w:tr>
        <w:tc>
          <w:tcPr>
            <w:tcW w:w="1555" w:type="dxa"/>
            <w:hideMark/>
          </w:tcPr>
          <w:p>
            <w:pPr>
              <w:jc w:val="center"/>
              <w:rPr>
                <w:rFonts w:ascii="Times New Roman" w:hAnsi="Times New Roman" w:cs="Times New Roman" w:eastAsia="Times New Roman"/>
                <w:bCs w:val="1"/>
                <w:sz w:val="24"/>
                <w:szCs w:val="24"/>
                <w:lang w:eastAsia="ru-RU"/>
              </w:rPr>
            </w:pPr>
            <w:r>
              <w:rPr>
                <w:rFonts w:ascii="Times New Roman" w:hAnsi="Times New Roman" w:cs="Times New Roman" w:eastAsia="Times New Roman"/>
                <w:bCs w:val="1"/>
                <w:sz w:val="24"/>
                <w:szCs w:val="24"/>
                <w:lang w:eastAsia="ru-RU"/>
              </w:rPr>
              <w:t>Тип НИС / РИС</w:t>
            </w:r>
          </w:p>
        </w:tc>
        <w:tc>
          <w:tcPr>
            <w:tcW w:w="2268" w:type="dxa"/>
            <w:hideMark/>
          </w:tcPr>
          <w:p>
            <w:pPr>
              <w:jc w:val="center"/>
              <w:rPr>
                <w:rFonts w:ascii="Times New Roman" w:hAnsi="Times New Roman" w:cs="Times New Roman" w:eastAsia="Times New Roman"/>
                <w:bCs w:val="1"/>
                <w:sz w:val="24"/>
                <w:szCs w:val="24"/>
                <w:lang w:eastAsia="ru-RU"/>
              </w:rPr>
            </w:pPr>
            <w:r>
              <w:rPr>
                <w:rFonts w:ascii="Times New Roman" w:hAnsi="Times New Roman" w:cs="Times New Roman" w:eastAsia="Times New Roman"/>
                <w:bCs w:val="1"/>
                <w:sz w:val="24"/>
                <w:szCs w:val="24"/>
                <w:lang w:eastAsia="ru-RU"/>
              </w:rPr>
              <w:t>Ключевые системные признаки</w:t>
            </w:r>
          </w:p>
        </w:tc>
        <w:tc>
          <w:tcPr>
            <w:tcW w:w="2551" w:type="dxa"/>
            <w:hideMark/>
          </w:tcPr>
          <w:p>
            <w:pPr>
              <w:jc w:val="center"/>
              <w:rPr>
                <w:rFonts w:ascii="Times New Roman" w:hAnsi="Times New Roman" w:cs="Times New Roman" w:eastAsia="Times New Roman"/>
                <w:bCs w:val="1"/>
                <w:sz w:val="24"/>
                <w:szCs w:val="24"/>
                <w:lang w:eastAsia="ru-RU"/>
              </w:rPr>
            </w:pPr>
            <w:r>
              <w:rPr>
                <w:rFonts w:ascii="Times New Roman" w:hAnsi="Times New Roman" w:cs="Times New Roman" w:eastAsia="Times New Roman"/>
                <w:bCs w:val="1"/>
                <w:sz w:val="24"/>
                <w:szCs w:val="24"/>
                <w:lang w:eastAsia="ru-RU"/>
              </w:rPr>
              <w:t>Доминирующие механизмы функционирования</w:t>
            </w:r>
          </w:p>
        </w:tc>
        <w:tc>
          <w:tcPr>
            <w:tcW w:w="1699" w:type="dxa"/>
            <w:hideMark/>
          </w:tcPr>
          <w:p>
            <w:pPr>
              <w:jc w:val="center"/>
              <w:rPr>
                <w:rFonts w:ascii="Times New Roman" w:hAnsi="Times New Roman" w:cs="Times New Roman" w:eastAsia="Times New Roman"/>
                <w:bCs w:val="1"/>
                <w:sz w:val="24"/>
                <w:szCs w:val="24"/>
                <w:lang w:eastAsia="ru-RU"/>
              </w:rPr>
            </w:pPr>
            <w:r>
              <w:rPr>
                <w:rFonts w:ascii="Times New Roman" w:hAnsi="Times New Roman" w:cs="Times New Roman" w:eastAsia="Times New Roman"/>
                <w:bCs w:val="1"/>
                <w:sz w:val="24"/>
                <w:szCs w:val="24"/>
                <w:lang w:eastAsia="ru-RU"/>
              </w:rPr>
              <w:t>Примеры стран / регионов</w:t>
            </w:r>
          </w:p>
        </w:tc>
        <w:tc>
          <w:tcPr>
            <w:tcW w:w="1839" w:type="dxa"/>
            <w:hideMark/>
          </w:tcPr>
          <w:p>
            <w:pPr>
              <w:jc w:val="center"/>
              <w:rPr>
                <w:rFonts w:ascii="Times New Roman" w:hAnsi="Times New Roman" w:cs="Times New Roman" w:eastAsia="Times New Roman"/>
                <w:bCs w:val="1"/>
                <w:sz w:val="24"/>
                <w:szCs w:val="24"/>
                <w:lang w:eastAsia="ru-RU"/>
              </w:rPr>
            </w:pPr>
            <w:r>
              <w:rPr>
                <w:rFonts w:ascii="Times New Roman" w:hAnsi="Times New Roman" w:cs="Times New Roman" w:eastAsia="Times New Roman"/>
                <w:bCs w:val="1"/>
                <w:sz w:val="24"/>
                <w:szCs w:val="24"/>
                <w:lang w:eastAsia="ru-RU"/>
              </w:rPr>
              <w:t>Выводы для развивающихся стран</w:t>
            </w:r>
          </w:p>
        </w:tc>
      </w:tr>
      <w:tr>
        <w:tc>
          <w:tcPr>
            <w:tcW w:w="1555" w:type="dxa"/>
            <w:hideMark/>
          </w:tcPr>
          <w:p>
            <w:pPr>
              <w:ind w:right="-108"/>
              <w:rPr>
                <w:rFonts w:ascii="Times New Roman" w:hAnsi="Times New Roman" w:cs="Times New Roman" w:eastAsia="Times New Roman"/>
                <w:sz w:val="24"/>
                <w:szCs w:val="24"/>
                <w:lang w:eastAsia="ru-RU"/>
              </w:rPr>
            </w:pPr>
            <w:r>
              <w:rPr>
                <w:rFonts w:ascii="Times New Roman" w:hAnsi="Times New Roman" w:cs="Times New Roman" w:eastAsia="Times New Roman"/>
                <w:bCs w:val="1"/>
                <w:sz w:val="24"/>
                <w:szCs w:val="24"/>
                <w:lang w:eastAsia="ru-RU"/>
              </w:rPr>
              <w:t>Зрелые рыночно-ориентирова-нные (глобальные лидеры)</w:t>
            </w:r>
          </w:p>
        </w:tc>
        <w:tc>
          <w:tcPr>
            <w:tcW w:w="2268"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Высокая концентрация знаний, капитала и талантов; развитая система экзитов; устойчивое воспроизводство инноваций</w:t>
            </w:r>
          </w:p>
        </w:tc>
        <w:tc>
          <w:tcPr>
            <w:tcW w:w="2551"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Рыночная самоорганизация, венчурное финансирование, интенсивный трансфер знаний</w:t>
            </w:r>
          </w:p>
        </w:tc>
        <w:tc>
          <w:tcPr>
            <w:tcW w:w="1699"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США (Silicon Valley, Boston), Великобритания (Лондон), Израиль (Тель-Авив)</w:t>
            </w:r>
          </w:p>
        </w:tc>
        <w:tc>
          <w:tcPr>
            <w:tcW w:w="1839"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Малореалисти-чны для прямого копирования; важны как эталон долгосрочной траектории</w:t>
            </w:r>
          </w:p>
        </w:tc>
      </w:tr>
      <w:tr>
        <w:tc>
          <w:tcPr>
            <w:tcW w:w="1555" w:type="dxa"/>
            <w:hideMark/>
          </w:tcPr>
          <w:p>
            <w:pPr>
              <w:ind w:right="-108"/>
              <w:rPr>
                <w:rFonts w:ascii="Times New Roman" w:hAnsi="Times New Roman" w:cs="Times New Roman" w:eastAsia="Times New Roman"/>
                <w:sz w:val="24"/>
                <w:szCs w:val="24"/>
                <w:lang w:eastAsia="ru-RU"/>
              </w:rPr>
            </w:pPr>
            <w:r>
              <w:rPr>
                <w:rFonts w:ascii="Times New Roman" w:hAnsi="Times New Roman" w:cs="Times New Roman" w:eastAsia="Times New Roman"/>
                <w:bCs w:val="1"/>
                <w:sz w:val="24"/>
                <w:szCs w:val="24"/>
                <w:lang w:eastAsia="ru-RU"/>
              </w:rPr>
              <w:t xml:space="preserve">Государст-венно-управляемые </w:t>
            </w:r>
          </w:p>
        </w:tc>
        <w:tc>
          <w:tcPr>
            <w:tcW w:w="2268"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Активная роль государства; стратегическое финансирование инноваций; целенаправленное формирование экосистем</w:t>
            </w:r>
          </w:p>
        </w:tc>
        <w:tc>
          <w:tcPr>
            <w:tcW w:w="2551"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Государственные программы, агентства развития, инфраструктурная поддержка</w:t>
            </w:r>
          </w:p>
        </w:tc>
        <w:tc>
          <w:tcPr>
            <w:tcW w:w="1699"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Сингапур, Южная Корея (Сеул), Япония (Токио)</w:t>
            </w:r>
          </w:p>
        </w:tc>
        <w:tc>
          <w:tcPr>
            <w:tcW w:w="1839"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Наиболее применимы для развивающихся стран при наличии институциона-льной воли</w:t>
            </w:r>
          </w:p>
        </w:tc>
      </w:tr>
      <w:tr>
        <w:tc>
          <w:tcPr>
            <w:tcW w:w="1555"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bCs w:val="1"/>
                <w:sz w:val="24"/>
                <w:szCs w:val="24"/>
                <w:lang w:eastAsia="ru-RU"/>
              </w:rPr>
              <w:t xml:space="preserve">Технологи-чески сфокусиро-ванные </w:t>
            </w:r>
          </w:p>
        </w:tc>
        <w:tc>
          <w:tcPr>
            <w:tcW w:w="2268"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Концентрация на ключевых технологиях (ИИ, цифровые платформы); быстрый рост стартапов</w:t>
            </w:r>
          </w:p>
        </w:tc>
        <w:tc>
          <w:tcPr>
            <w:tcW w:w="2551"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Технологические кластеры, фокус на GPT-технологиях, акселерация</w:t>
            </w:r>
          </w:p>
        </w:tc>
        <w:tc>
          <w:tcPr>
            <w:tcW w:w="1699"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Китай (Пекин, Шэньчжэнь), Франция (Париж)</w:t>
            </w:r>
          </w:p>
        </w:tc>
        <w:tc>
          <w:tcPr>
            <w:tcW w:w="1839"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Позволяют «перепрыги-вать» стадии развития при ограниченных ресурсах</w:t>
            </w:r>
          </w:p>
        </w:tc>
      </w:tr>
      <w:tr>
        <w:tc>
          <w:tcPr>
            <w:tcW w:w="1555"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bCs w:val="1"/>
                <w:sz w:val="24"/>
                <w:szCs w:val="24"/>
                <w:lang w:eastAsia="ru-RU"/>
              </w:rPr>
              <w:t xml:space="preserve">Формирую-щиеся </w:t>
            </w:r>
          </w:p>
        </w:tc>
        <w:tc>
          <w:tcPr>
            <w:tcW w:w="2268"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Ограниченные экзиты; преобладание ранних стадий стартапов; институциональная незрелость</w:t>
            </w:r>
          </w:p>
        </w:tc>
        <w:tc>
          <w:tcPr>
            <w:tcW w:w="2551"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Гранты, международная поддержка, раннее венчурное финансирование</w:t>
            </w:r>
          </w:p>
        </w:tc>
        <w:tc>
          <w:tcPr>
            <w:tcW w:w="1699"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Индия (Дели), Индонезия (Джакарта), Турция (Стамбул)</w:t>
            </w:r>
          </w:p>
        </w:tc>
        <w:tc>
          <w:tcPr>
            <w:tcW w:w="1839"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Типовая модель для развивающихся стран; ключевая проблема – масштабирование</w:t>
            </w:r>
          </w:p>
        </w:tc>
      </w:tr>
      <w:tr>
        <w:tc>
          <w:tcPr>
            <w:tcW w:w="1555" w:type="dxa"/>
            <w:hideMark/>
          </w:tcPr>
          <w:p>
            <w:pPr>
              <w:ind w:right="-108"/>
              <w:rPr>
                <w:rFonts w:ascii="Times New Roman" w:hAnsi="Times New Roman" w:cs="Times New Roman" w:eastAsia="Times New Roman"/>
                <w:sz w:val="24"/>
                <w:szCs w:val="24"/>
                <w:lang w:eastAsia="ru-RU"/>
              </w:rPr>
            </w:pPr>
            <w:r>
              <w:rPr>
                <w:rFonts w:ascii="Times New Roman" w:hAnsi="Times New Roman" w:cs="Times New Roman" w:eastAsia="Times New Roman"/>
                <w:bCs w:val="1"/>
                <w:sz w:val="24"/>
                <w:szCs w:val="24"/>
                <w:lang w:eastAsia="ru-RU"/>
              </w:rPr>
              <w:t>Фрагментированные НИС с высокой региональной асимметрией</w:t>
            </w:r>
          </w:p>
        </w:tc>
        <w:tc>
          <w:tcPr>
            <w:tcW w:w="2268"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Сильные отдельные регионы при слабой связности; территориальные разрывы</w:t>
            </w:r>
          </w:p>
        </w:tc>
        <w:tc>
          <w:tcPr>
            <w:tcW w:w="2551"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Локальные кластеры без системной интеграции</w:t>
            </w:r>
          </w:p>
        </w:tc>
        <w:tc>
          <w:tcPr>
            <w:tcW w:w="1699"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Бразилия (Сан-Паулу), Мексика (Мехико), ЮАР</w:t>
            </w:r>
          </w:p>
        </w:tc>
        <w:tc>
          <w:tcPr>
            <w:tcW w:w="1839"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Требуют плат-форменных и институциона-льных механизмов связности</w:t>
            </w:r>
          </w:p>
        </w:tc>
      </w:tr>
      <w:tr>
        <w:tc>
          <w:tcPr>
            <w:tcW w:w="1555"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bCs w:val="1"/>
                <w:sz w:val="24"/>
                <w:szCs w:val="24"/>
                <w:lang w:eastAsia="ru-RU"/>
              </w:rPr>
              <w:t>Ресурсно-ориентированные НИС с инновационными «островами»</w:t>
            </w:r>
          </w:p>
        </w:tc>
        <w:tc>
          <w:tcPr>
            <w:tcW w:w="2268"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Зависимость от сырьевых отраслей; инновации сосредоточены в отдельных секторах</w:t>
            </w:r>
          </w:p>
        </w:tc>
        <w:tc>
          <w:tcPr>
            <w:tcW w:w="2551"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Экспорт сырья, точечные инновационные проекты</w:t>
            </w:r>
          </w:p>
        </w:tc>
        <w:tc>
          <w:tcPr>
            <w:tcW w:w="1699"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ОАЭ, Саудовская Аравия</w:t>
            </w:r>
          </w:p>
        </w:tc>
        <w:tc>
          <w:tcPr>
            <w:tcW w:w="1839" w:type="dxa"/>
            <w:hideMark/>
          </w:tcPr>
          <w:p>
            <w:pPr>
              <w:ind w:right="-256"/>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Возможен переход к инновационно-инклюзивной модели через ди-версификацию</w:t>
            </w:r>
          </w:p>
        </w:tc>
      </w:tr>
      <w:tr>
        <w:tc>
          <w:tcPr>
            <w:tcW w:w="1555"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bCs w:val="1"/>
                <w:sz w:val="24"/>
                <w:szCs w:val="24"/>
                <w:lang w:eastAsia="ru-RU"/>
              </w:rPr>
              <w:t>Слабоинсти-туционали-зированные НИС разви-вающихся стран</w:t>
            </w:r>
          </w:p>
        </w:tc>
        <w:tc>
          <w:tcPr>
            <w:tcW w:w="2268"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Дефицит доверия, финансирования и инфраструктуры; слабая вовлеченность МСП</w:t>
            </w:r>
          </w:p>
        </w:tc>
        <w:tc>
          <w:tcPr>
            <w:tcW w:w="2551"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Международные доноры, НПО, отдельные инициативы</w:t>
            </w:r>
          </w:p>
        </w:tc>
        <w:tc>
          <w:tcPr>
            <w:tcW w:w="1699"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Ряд стран Африки к югу от Сахары</w:t>
            </w:r>
          </w:p>
        </w:tc>
        <w:tc>
          <w:tcPr>
            <w:tcW w:w="1839"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Необходимы институциона-льные и пла-тформенные «якоря» развития</w:t>
            </w:r>
          </w:p>
        </w:tc>
      </w:tr>
    </w:tbl>
    <w:p>
      <w:pPr>
        <w:pStyle w:val="P13"/>
        <w:spacing w:lineRule="auto" w:line="360" w:beforeAutospacing="0" w:afterAutospacing="0"/>
        <w:ind w:firstLine="707" w:right="167"/>
        <w:jc w:val="both"/>
        <w:rPr>
          <w:sz w:val="28"/>
          <w:szCs w:val="28"/>
          <w:lang w:val="ru-RU"/>
        </w:rPr>
      </w:pPr>
    </w:p>
    <w:p>
      <w:pPr>
        <w:pStyle w:val="P13"/>
        <w:spacing w:lineRule="auto" w:line="360" w:beforeAutospacing="0" w:afterAutospacing="0"/>
        <w:ind w:firstLine="707" w:right="167"/>
        <w:jc w:val="both"/>
        <w:rPr>
          <w:sz w:val="28"/>
          <w:szCs w:val="28"/>
          <w:lang w:val="ru-RU"/>
        </w:rPr>
      </w:pPr>
      <w:r>
        <w:rPr>
          <w:sz w:val="28"/>
          <w:szCs w:val="28"/>
          <w:lang w:val="ru-RU"/>
        </w:rPr>
        <w:t>Выделение указанных типов НИС и РИС позволяет перейти от универсальных нормативных моделей инновационного развития к реалистичной оценке альтернативных траекторий, доступных для развивающихся стран. В этом контексте ключевым становится не вопрос воспроизведения эталонных инновационных систем развитых экономик, а выбор и адаптация таких моделей НИС и РИС, которые обеспечивают формирование устойчивых механизмов вовлечения экономических агентов и территорий в инновационный процесс.</w:t>
      </w:r>
    </w:p>
    <w:p>
      <w:pPr>
        <w:pStyle w:val="P13"/>
        <w:spacing w:lineRule="auto" w:line="360" w:beforeAutospacing="0" w:afterAutospacing="0"/>
        <w:ind w:firstLine="707" w:right="167"/>
        <w:jc w:val="both"/>
        <w:rPr>
          <w:sz w:val="28"/>
          <w:szCs w:val="28"/>
          <w:lang w:val="ru-RU"/>
        </w:rPr>
      </w:pPr>
      <w:r>
        <w:rPr>
          <w:sz w:val="28"/>
          <w:szCs w:val="28"/>
          <w:lang w:val="ru-RU"/>
        </w:rPr>
        <w:t>Таким образом, эмпирический анализ инновационно-предпринимательских экосистем подтверждает, что для развивающихся стран приоритетное значение приобретают государственно-управляемые, формирующиеся и технологически сфокусированные модели инновационных систем, в рамках которых особую роль играют механизмы институциональной координации, доступ к финансированию, развитие человеческого капитала и создание условий для воспроизводства инновационной активности. Данные выводы формируют аналитическую основу для последующего рассмотрения механизмов развития национальных и региональных инновационных систем в контексте инновационно-инклюзивной модели развития.</w:t>
      </w:r>
    </w:p>
    <w:p>
      <w:pPr>
        <w:pStyle w:val="P13"/>
        <w:spacing w:lineRule="auto" w:line="360" w:beforeAutospacing="0" w:afterAutospacing="0"/>
        <w:ind w:firstLine="707" w:right="167"/>
        <w:jc w:val="both"/>
        <w:rPr>
          <w:sz w:val="28"/>
          <w:szCs w:val="28"/>
          <w:lang w:val="ru-RU"/>
        </w:rPr>
      </w:pPr>
      <w:r>
        <w:rPr>
          <w:sz w:val="28"/>
          <w:szCs w:val="28"/>
          <w:lang w:val="ru-RU"/>
        </w:rPr>
        <w:t xml:space="preserve">В системной и эволюционной теории инноваций НИС и РИС рассматриваются как совокупность взаимосвязанных компонентов, каждый из которых выполняет самостоятельные функции, но инновационный результат формируется исключительно в результате их согласованного взаимодействия </w:t>
      </w:r>
      <w:r>
        <w:rPr>
          <w:sz w:val="28"/>
          <w:szCs w:val="28"/>
          <w:highlight w:val="yellow"/>
          <w:lang w:val="ru-RU"/>
        </w:rPr>
        <w:t>(Авдеев+)</w:t>
      </w:r>
      <w:r>
        <w:rPr>
          <w:sz w:val="28"/>
          <w:szCs w:val="28"/>
          <w:lang w:val="ru-RU"/>
        </w:rPr>
        <w:t>. Отсутствие или слабость хотя бы одного из компонентов снижает результативность всей системы, что особенно характерно для развивающихся стран. Выделим основные компоненты НИС/РИС.</w:t>
      </w:r>
    </w:p>
    <w:p>
      <w:pPr>
        <w:pStyle w:val="P13"/>
        <w:spacing w:lineRule="auto" w:line="360" w:beforeAutospacing="0" w:afterAutospacing="0"/>
        <w:ind w:firstLine="707" w:right="167"/>
        <w:jc w:val="both"/>
        <w:rPr>
          <w:sz w:val="28"/>
          <w:szCs w:val="28"/>
          <w:lang w:val="ru-RU"/>
        </w:rPr>
      </w:pPr>
      <w:r>
        <w:rPr>
          <w:sz w:val="28"/>
          <w:szCs w:val="28"/>
          <w:lang w:val="ru-RU"/>
        </w:rPr>
        <w:t>1.Акторы инновационной системы являются ключевым компонентом НИС и РИС, осуществляющим создание, трансформацию и использование знаний. К ним относятся:</w:t>
      </w:r>
    </w:p>
    <w:p>
      <w:pPr>
        <w:pStyle w:val="P13"/>
        <w:numPr>
          <w:ilvl w:val="0"/>
          <w:numId w:val="8"/>
        </w:numPr>
        <w:spacing w:lineRule="auto" w:line="360" w:beforeAutospacing="0" w:afterAutospacing="0"/>
        <w:ind w:firstLine="1134" w:left="0" w:right="167"/>
        <w:jc w:val="both"/>
        <w:rPr>
          <w:sz w:val="28"/>
          <w:szCs w:val="28"/>
          <w:lang w:val="ru-RU"/>
        </w:rPr>
      </w:pPr>
      <w:r>
        <w:rPr>
          <w:sz w:val="28"/>
          <w:szCs w:val="28"/>
          <w:lang w:val="ru-RU"/>
        </w:rPr>
        <w:t>фирмы и предпринимательские структуры, выступающие основными носителями спроса на инновации и осуществляющие их коммерциализацию;</w:t>
      </w:r>
    </w:p>
    <w:p>
      <w:pPr>
        <w:pStyle w:val="P13"/>
        <w:numPr>
          <w:ilvl w:val="0"/>
          <w:numId w:val="8"/>
        </w:numPr>
        <w:spacing w:lineRule="auto" w:line="360" w:beforeAutospacing="0" w:afterAutospacing="0"/>
        <w:ind w:firstLine="1134" w:left="0" w:right="167"/>
        <w:jc w:val="both"/>
        <w:rPr>
          <w:sz w:val="28"/>
          <w:szCs w:val="28"/>
          <w:lang w:val="ru-RU"/>
        </w:rPr>
      </w:pPr>
      <w:r>
        <w:rPr>
          <w:sz w:val="28"/>
          <w:szCs w:val="28"/>
          <w:lang w:val="ru-RU"/>
        </w:rPr>
        <w:t>научно-образовательные организации, формирующие человеческий капитал и научные знания;</w:t>
      </w:r>
    </w:p>
    <w:p>
      <w:pPr>
        <w:pStyle w:val="P13"/>
        <w:numPr>
          <w:ilvl w:val="0"/>
          <w:numId w:val="8"/>
        </w:numPr>
        <w:spacing w:lineRule="auto" w:line="360" w:beforeAutospacing="0" w:afterAutospacing="0"/>
        <w:ind w:firstLine="1134" w:left="0" w:right="167"/>
        <w:jc w:val="both"/>
        <w:rPr>
          <w:sz w:val="28"/>
          <w:szCs w:val="28"/>
          <w:lang w:val="ru-RU"/>
        </w:rPr>
      </w:pPr>
      <w:r>
        <w:rPr>
          <w:sz w:val="28"/>
          <w:szCs w:val="28"/>
          <w:lang w:val="ru-RU"/>
        </w:rPr>
        <w:t>государственные органы, определяющие стратегические приоритеты, регуляторные рамки и инструменты поддержки;</w:t>
      </w:r>
    </w:p>
    <w:p>
      <w:pPr>
        <w:pStyle w:val="P13"/>
        <w:numPr>
          <w:ilvl w:val="0"/>
          <w:numId w:val="8"/>
        </w:numPr>
        <w:spacing w:lineRule="auto" w:line="360" w:beforeAutospacing="0" w:afterAutospacing="0"/>
        <w:ind w:firstLine="1134" w:left="0" w:right="167"/>
        <w:jc w:val="both"/>
        <w:rPr>
          <w:sz w:val="28"/>
          <w:szCs w:val="28"/>
          <w:lang w:val="ru-RU"/>
        </w:rPr>
      </w:pPr>
      <w:r>
        <w:rPr>
          <w:sz w:val="28"/>
          <w:szCs w:val="28"/>
          <w:lang w:val="ru-RU"/>
        </w:rPr>
        <w:t>финансовые институты, обеспечивающие перераспределение ресурсов и управление рисками;</w:t>
      </w:r>
    </w:p>
    <w:p>
      <w:pPr>
        <w:pStyle w:val="P13"/>
        <w:numPr>
          <w:ilvl w:val="0"/>
          <w:numId w:val="8"/>
        </w:numPr>
        <w:spacing w:lineRule="auto" w:line="360" w:beforeAutospacing="0" w:afterAutospacing="0"/>
        <w:ind w:firstLine="1134" w:left="0" w:right="167"/>
        <w:jc w:val="both"/>
        <w:rPr>
          <w:sz w:val="28"/>
          <w:szCs w:val="28"/>
          <w:lang w:val="ru-RU"/>
        </w:rPr>
      </w:pPr>
      <w:r>
        <w:rPr>
          <w:sz w:val="28"/>
          <w:szCs w:val="28"/>
          <w:lang w:val="ru-RU"/>
        </w:rPr>
        <w:t>посредники и институты поддержки (инкубаторы, кластеры, консалтинговые структуры, центры трансфера технологий).</w:t>
      </w:r>
    </w:p>
    <w:p>
      <w:pPr>
        <w:pStyle w:val="P13"/>
        <w:spacing w:lineRule="auto" w:line="360" w:beforeAutospacing="0" w:afterAutospacing="0"/>
        <w:ind w:firstLine="707" w:right="167"/>
        <w:jc w:val="both"/>
        <w:rPr>
          <w:sz w:val="28"/>
          <w:szCs w:val="28"/>
          <w:lang w:val="ru-RU"/>
        </w:rPr>
      </w:pPr>
      <w:r>
        <w:rPr>
          <w:sz w:val="28"/>
          <w:szCs w:val="28"/>
          <w:lang w:val="ru-RU"/>
        </w:rPr>
        <w:t>Подчеркнем, что в рамках РИС особую роль играют локальные акторы, чья деятельность определяется территориальной близостью, плотностью контактов и возможностью неформальных взаимодействий.</w:t>
      </w:r>
    </w:p>
    <w:p>
      <w:pPr>
        <w:pStyle w:val="P13"/>
        <w:spacing w:lineRule="auto" w:line="360" w:beforeAutospacing="0" w:afterAutospacing="0"/>
        <w:ind w:firstLine="707" w:right="167"/>
        <w:jc w:val="both"/>
        <w:rPr>
          <w:sz w:val="28"/>
          <w:szCs w:val="28"/>
          <w:lang w:val="ru-RU"/>
        </w:rPr>
      </w:pPr>
      <w:r>
        <w:rPr>
          <w:sz w:val="28"/>
          <w:szCs w:val="28"/>
          <w:lang w:val="ru-RU"/>
        </w:rPr>
        <w:t>2. Институциональная среда включает формальные и неформальные правила, регулирующие инновационную деятельность: нормы защиты прав собственности, условия конкуренции, процедуры финансирования, стандарты взаимодействия, а также неформальные нормы доверия и деловой культуры. Качество институтов определяет:</w:t>
      </w:r>
    </w:p>
    <w:p>
      <w:pPr>
        <w:pStyle w:val="P13"/>
        <w:numPr>
          <w:ilvl w:val="0"/>
          <w:numId w:val="9"/>
        </w:numPr>
        <w:spacing w:lineRule="auto" w:line="360" w:beforeAutospacing="0" w:afterAutospacing="0"/>
        <w:ind w:firstLine="1134" w:left="0" w:right="167"/>
        <w:jc w:val="both"/>
        <w:rPr>
          <w:sz w:val="28"/>
          <w:szCs w:val="28"/>
          <w:lang w:val="ru-RU"/>
        </w:rPr>
      </w:pPr>
      <w:r>
        <w:rPr>
          <w:sz w:val="28"/>
          <w:szCs w:val="28"/>
          <w:lang w:val="ru-RU"/>
        </w:rPr>
        <w:t>стимулы к инновационной активности;</w:t>
      </w:r>
    </w:p>
    <w:p>
      <w:pPr>
        <w:pStyle w:val="P13"/>
        <w:numPr>
          <w:ilvl w:val="0"/>
          <w:numId w:val="9"/>
        </w:numPr>
        <w:spacing w:lineRule="auto" w:line="360" w:beforeAutospacing="0" w:afterAutospacing="0"/>
        <w:ind w:firstLine="1134" w:left="0" w:right="167"/>
        <w:jc w:val="both"/>
        <w:rPr>
          <w:sz w:val="28"/>
          <w:szCs w:val="28"/>
          <w:lang w:val="ru-RU"/>
        </w:rPr>
      </w:pPr>
      <w:r>
        <w:rPr>
          <w:sz w:val="28"/>
          <w:szCs w:val="28"/>
          <w:lang w:val="ru-RU"/>
        </w:rPr>
        <w:t>готовность акторов к кооперации;</w:t>
      </w:r>
    </w:p>
    <w:p>
      <w:pPr>
        <w:pStyle w:val="P13"/>
        <w:numPr>
          <w:ilvl w:val="0"/>
          <w:numId w:val="9"/>
        </w:numPr>
        <w:spacing w:lineRule="auto" w:line="360" w:beforeAutospacing="0" w:afterAutospacing="0"/>
        <w:ind w:firstLine="1134" w:left="0" w:right="167"/>
        <w:jc w:val="both"/>
        <w:rPr>
          <w:sz w:val="28"/>
          <w:szCs w:val="28"/>
          <w:lang w:val="ru-RU"/>
        </w:rPr>
      </w:pPr>
      <w:r>
        <w:rPr>
          <w:sz w:val="28"/>
          <w:szCs w:val="28"/>
          <w:lang w:val="ru-RU"/>
        </w:rPr>
        <w:t>уровень транзакционных издержек;</w:t>
      </w:r>
    </w:p>
    <w:p>
      <w:pPr>
        <w:pStyle w:val="P13"/>
        <w:numPr>
          <w:ilvl w:val="0"/>
          <w:numId w:val="9"/>
        </w:numPr>
        <w:spacing w:lineRule="auto" w:line="360" w:beforeAutospacing="0" w:afterAutospacing="0"/>
        <w:ind w:firstLine="1134" w:left="0" w:right="167"/>
        <w:jc w:val="both"/>
        <w:rPr>
          <w:sz w:val="28"/>
          <w:szCs w:val="28"/>
          <w:lang w:val="ru-RU"/>
        </w:rPr>
      </w:pPr>
      <w:r>
        <w:rPr>
          <w:sz w:val="28"/>
          <w:szCs w:val="28"/>
          <w:lang w:val="ru-RU"/>
        </w:rPr>
        <w:t>устойчивость инновационных взаимодействий.</w:t>
      </w:r>
    </w:p>
    <w:p>
      <w:pPr>
        <w:pStyle w:val="P13"/>
        <w:spacing w:lineRule="auto" w:line="360" w:beforeAutospacing="0" w:afterAutospacing="0"/>
        <w:ind w:firstLine="707" w:right="167"/>
        <w:jc w:val="both"/>
        <w:rPr>
          <w:sz w:val="28"/>
          <w:szCs w:val="28"/>
          <w:lang w:val="ru-RU"/>
        </w:rPr>
      </w:pPr>
      <w:r>
        <w:rPr>
          <w:sz w:val="28"/>
          <w:szCs w:val="28"/>
          <w:lang w:val="ru-RU"/>
        </w:rPr>
        <w:t xml:space="preserve">Для развивающихся стран характерна институциональная асимметрия, при которой формальные институты могут сосуществовать с неустойчивыми или слабо развитыми неформальными механизмами координации, что ограничивает воспроизводство </w:t>
      </w:r>
      <w:r>
        <w:rPr>
          <w:sz w:val="28"/>
          <w:szCs w:val="28"/>
          <w:highlight w:val="yellow"/>
          <w:lang w:val="ru-RU"/>
        </w:rPr>
        <w:t>инновационных связей</w:t>
      </w:r>
      <w:r>
        <w:rPr>
          <w:sz w:val="28"/>
          <w:szCs w:val="28"/>
          <w:lang w:val="ru-RU"/>
        </w:rPr>
        <w:t>.</w:t>
      </w:r>
    </w:p>
    <w:p>
      <w:pPr>
        <w:pStyle w:val="P13"/>
        <w:spacing w:lineRule="auto" w:line="360" w:beforeAutospacing="0" w:afterAutospacing="0"/>
        <w:ind w:firstLine="707" w:right="167"/>
        <w:jc w:val="both"/>
        <w:rPr>
          <w:sz w:val="28"/>
          <w:szCs w:val="28"/>
          <w:lang w:val="ru-RU"/>
        </w:rPr>
      </w:pPr>
      <w:r>
        <w:rPr>
          <w:sz w:val="28"/>
          <w:szCs w:val="28"/>
          <w:lang w:val="ru-RU"/>
        </w:rPr>
        <w:t>3. Инновационная инфраструктура НИС/РИС обеспечивает физические, организационные и сервисные условия для инновационной деятельности. К ней относятся:</w:t>
      </w:r>
    </w:p>
    <w:p>
      <w:pPr>
        <w:pStyle w:val="P13"/>
        <w:numPr>
          <w:ilvl w:val="0"/>
          <w:numId w:val="10"/>
        </w:numPr>
        <w:spacing w:lineRule="auto" w:line="360" w:beforeAutospacing="0" w:afterAutospacing="0"/>
        <w:ind w:firstLine="1067" w:left="0" w:right="167"/>
        <w:jc w:val="both"/>
        <w:rPr>
          <w:sz w:val="28"/>
          <w:szCs w:val="28"/>
          <w:lang w:val="ru-RU"/>
        </w:rPr>
      </w:pPr>
      <w:r>
        <w:rPr>
          <w:sz w:val="28"/>
          <w:szCs w:val="28"/>
          <w:lang w:val="ru-RU"/>
        </w:rPr>
        <w:t>научные и технологические центры;</w:t>
      </w:r>
    </w:p>
    <w:p>
      <w:pPr>
        <w:pStyle w:val="P13"/>
        <w:numPr>
          <w:ilvl w:val="0"/>
          <w:numId w:val="10"/>
        </w:numPr>
        <w:spacing w:lineRule="auto" w:line="360" w:beforeAutospacing="0" w:afterAutospacing="0"/>
        <w:ind w:firstLine="1067" w:left="0" w:right="167"/>
        <w:jc w:val="both"/>
        <w:rPr>
          <w:sz w:val="28"/>
          <w:szCs w:val="28"/>
          <w:lang w:val="ru-RU"/>
        </w:rPr>
      </w:pPr>
      <w:r>
        <w:rPr>
          <w:sz w:val="28"/>
          <w:szCs w:val="28"/>
          <w:lang w:val="ru-RU"/>
        </w:rPr>
        <w:t>технопарки и кластеры;</w:t>
      </w:r>
    </w:p>
    <w:p>
      <w:pPr>
        <w:pStyle w:val="P13"/>
        <w:numPr>
          <w:ilvl w:val="0"/>
          <w:numId w:val="10"/>
        </w:numPr>
        <w:spacing w:lineRule="auto" w:line="360" w:beforeAutospacing="0" w:afterAutospacing="0"/>
        <w:ind w:firstLine="1067" w:left="0" w:right="167"/>
        <w:jc w:val="both"/>
        <w:rPr>
          <w:sz w:val="28"/>
          <w:szCs w:val="28"/>
          <w:lang w:val="ru-RU"/>
        </w:rPr>
      </w:pPr>
      <w:r>
        <w:rPr>
          <w:sz w:val="28"/>
          <w:szCs w:val="28"/>
          <w:lang w:val="ru-RU"/>
        </w:rPr>
        <w:t>бизнес-инкубаторы и акселераторы;</w:t>
      </w:r>
    </w:p>
    <w:p>
      <w:pPr>
        <w:pStyle w:val="P13"/>
        <w:numPr>
          <w:ilvl w:val="0"/>
          <w:numId w:val="10"/>
        </w:numPr>
        <w:spacing w:lineRule="auto" w:line="360" w:beforeAutospacing="0" w:afterAutospacing="0"/>
        <w:ind w:firstLine="1067" w:left="0" w:right="167"/>
        <w:jc w:val="both"/>
        <w:rPr>
          <w:sz w:val="28"/>
          <w:szCs w:val="28"/>
          <w:lang w:val="ru-RU"/>
        </w:rPr>
      </w:pPr>
      <w:r>
        <w:rPr>
          <w:sz w:val="28"/>
          <w:szCs w:val="28"/>
          <w:lang w:val="ru-RU"/>
        </w:rPr>
        <w:t>информационные и консультационные сервисы.</w:t>
      </w:r>
    </w:p>
    <w:p>
      <w:pPr>
        <w:pStyle w:val="P13"/>
        <w:spacing w:lineRule="auto" w:line="360" w:beforeAutospacing="0" w:afterAutospacing="0"/>
        <w:ind w:firstLine="707" w:right="167"/>
        <w:jc w:val="both"/>
        <w:rPr>
          <w:sz w:val="28"/>
          <w:szCs w:val="28"/>
          <w:lang w:val="ru-RU"/>
        </w:rPr>
      </w:pPr>
      <w:r>
        <w:rPr>
          <w:sz w:val="28"/>
          <w:szCs w:val="28"/>
          <w:lang w:val="ru-RU"/>
        </w:rPr>
        <w:t>В экосистемной трактовке инфраструктура понимается шире как совокупность условий, поддерживающих взаимодействие акторов и ускоряющих диффузию знаний. Для РИС инфраструктура выполняет функцию «узлов» инновационной сети, обеспечивая сопряжение локальных и внешних источников знаний.</w:t>
      </w:r>
    </w:p>
    <w:p>
      <w:pPr>
        <w:pStyle w:val="P13"/>
        <w:spacing w:lineRule="auto" w:line="360" w:beforeAutospacing="0" w:afterAutospacing="0"/>
        <w:ind w:firstLine="707" w:right="167"/>
        <w:jc w:val="both"/>
        <w:rPr>
          <w:sz w:val="28"/>
          <w:szCs w:val="28"/>
          <w:lang w:val="ru-RU"/>
        </w:rPr>
      </w:pPr>
      <w:r>
        <w:rPr>
          <w:sz w:val="28"/>
          <w:szCs w:val="28"/>
          <w:lang w:val="ru-RU"/>
        </w:rPr>
        <w:t xml:space="preserve">4. Финансовый компонент. Финансирование инноваций является одним из наиболее уязвимых элементов НИС и РИС, особенно в развивающихся </w:t>
      </w:r>
      <w:r>
        <w:rPr>
          <w:sz w:val="28"/>
          <w:szCs w:val="28"/>
          <w:highlight w:val="yellow"/>
          <w:lang w:val="ru-RU"/>
        </w:rPr>
        <w:t>экономиках</w:t>
      </w:r>
      <w:r>
        <w:rPr>
          <w:sz w:val="28"/>
          <w:szCs w:val="28"/>
          <w:lang w:val="ru-RU"/>
        </w:rPr>
        <w:t>. Финансовый компонент включает:</w:t>
      </w:r>
    </w:p>
    <w:p>
      <w:pPr>
        <w:pStyle w:val="P13"/>
        <w:numPr>
          <w:ilvl w:val="0"/>
          <w:numId w:val="11"/>
        </w:numPr>
        <w:spacing w:lineRule="auto" w:line="360" w:beforeAutospacing="0" w:afterAutospacing="0"/>
        <w:ind w:firstLine="1067" w:left="0" w:right="167"/>
        <w:jc w:val="both"/>
        <w:rPr>
          <w:sz w:val="28"/>
          <w:szCs w:val="28"/>
          <w:lang w:val="ru-RU"/>
        </w:rPr>
      </w:pPr>
      <w:r>
        <w:rPr>
          <w:sz w:val="28"/>
          <w:szCs w:val="28"/>
          <w:lang w:val="ru-RU"/>
        </w:rPr>
        <w:t>банковское и небанковское финансирование;</w:t>
      </w:r>
    </w:p>
    <w:p>
      <w:pPr>
        <w:pStyle w:val="P13"/>
        <w:numPr>
          <w:ilvl w:val="0"/>
          <w:numId w:val="11"/>
        </w:numPr>
        <w:spacing w:lineRule="auto" w:line="360" w:beforeAutospacing="0" w:afterAutospacing="0"/>
        <w:ind w:firstLine="1067" w:left="0" w:right="167"/>
        <w:jc w:val="both"/>
        <w:rPr>
          <w:sz w:val="28"/>
          <w:szCs w:val="28"/>
          <w:lang w:val="ru-RU"/>
        </w:rPr>
      </w:pPr>
      <w:r>
        <w:rPr>
          <w:sz w:val="28"/>
          <w:szCs w:val="28"/>
          <w:lang w:val="ru-RU"/>
        </w:rPr>
        <w:t>государственные фонды и программы поддержки;</w:t>
      </w:r>
    </w:p>
    <w:p>
      <w:pPr>
        <w:pStyle w:val="P13"/>
        <w:numPr>
          <w:ilvl w:val="0"/>
          <w:numId w:val="11"/>
        </w:numPr>
        <w:spacing w:lineRule="auto" w:line="360" w:beforeAutospacing="0" w:afterAutospacing="0"/>
        <w:ind w:firstLine="1067" w:left="0" w:right="167"/>
        <w:jc w:val="both"/>
        <w:rPr>
          <w:sz w:val="28"/>
          <w:szCs w:val="28"/>
          <w:lang w:val="ru-RU"/>
        </w:rPr>
      </w:pPr>
      <w:r>
        <w:rPr>
          <w:sz w:val="28"/>
          <w:szCs w:val="28"/>
          <w:lang w:val="ru-RU"/>
        </w:rPr>
        <w:t>венчурный капитал и альтернативные инструменты;</w:t>
      </w:r>
    </w:p>
    <w:p>
      <w:pPr>
        <w:pStyle w:val="P13"/>
        <w:numPr>
          <w:ilvl w:val="0"/>
          <w:numId w:val="11"/>
        </w:numPr>
        <w:spacing w:lineRule="auto" w:line="360" w:beforeAutospacing="0" w:afterAutospacing="0"/>
        <w:ind w:firstLine="1067" w:left="0" w:right="167"/>
        <w:jc w:val="both"/>
        <w:rPr>
          <w:sz w:val="28"/>
          <w:szCs w:val="28"/>
          <w:lang w:val="ru-RU"/>
        </w:rPr>
      </w:pPr>
      <w:r>
        <w:rPr>
          <w:sz w:val="28"/>
          <w:szCs w:val="28"/>
          <w:lang w:val="ru-RU"/>
        </w:rPr>
        <w:t>международные источники финансирования.</w:t>
      </w:r>
    </w:p>
    <w:p>
      <w:pPr>
        <w:pStyle w:val="P13"/>
        <w:spacing w:lineRule="auto" w:line="360" w:beforeAutospacing="0" w:afterAutospacing="0"/>
        <w:ind w:firstLine="707" w:right="167"/>
        <w:jc w:val="both"/>
        <w:rPr>
          <w:sz w:val="28"/>
          <w:szCs w:val="28"/>
          <w:lang w:val="ru-RU"/>
        </w:rPr>
      </w:pPr>
      <w:r>
        <w:rPr>
          <w:sz w:val="28"/>
          <w:szCs w:val="28"/>
          <w:lang w:val="ru-RU"/>
        </w:rPr>
        <w:t>Ограниченный доступ к долгосрочному финансированию, высокая стоимость капитала и асимметрия информации часто приводят к исключению значительной части фирм и регионов из инновационного процесса, что формирует структурные барьеры для инклюзивного инновационного развития.</w:t>
      </w:r>
    </w:p>
    <w:p>
      <w:pPr>
        <w:pStyle w:val="P13"/>
        <w:spacing w:lineRule="auto" w:line="360" w:beforeAutospacing="0" w:afterAutospacing="0"/>
        <w:ind w:firstLine="707" w:right="167"/>
        <w:jc w:val="both"/>
        <w:rPr>
          <w:sz w:val="28"/>
          <w:szCs w:val="28"/>
          <w:lang w:val="ru-RU"/>
        </w:rPr>
      </w:pPr>
      <w:r>
        <w:rPr>
          <w:sz w:val="28"/>
          <w:szCs w:val="28"/>
          <w:lang w:val="ru-RU"/>
        </w:rPr>
        <w:t xml:space="preserve">5. Знания и механизмы их трансфера. Знания выступают центральным ресурсом инновационной системы, а механизмы их трансфера – ключевым связующим элементом между компонентами НИС/РИС. В отличие от линейных моделей, системный подход подчеркивает многонаправленный характер потоков знаний </w:t>
      </w:r>
      <w:r>
        <w:rPr>
          <w:sz w:val="28"/>
          <w:szCs w:val="28"/>
          <w:highlight w:val="yellow"/>
          <w:lang w:val="ru-RU"/>
        </w:rPr>
        <w:t>(полтерович статья, докторская по абсорбции знаний</w:t>
      </w:r>
      <w:r>
        <w:rPr>
          <w:sz w:val="28"/>
          <w:szCs w:val="28"/>
          <w:lang w:val="ru-RU"/>
        </w:rPr>
        <w:t>):</w:t>
      </w:r>
    </w:p>
    <w:p>
      <w:pPr>
        <w:pStyle w:val="P13"/>
        <w:numPr>
          <w:ilvl w:val="0"/>
          <w:numId w:val="12"/>
        </w:numPr>
        <w:spacing w:lineRule="auto" w:line="360" w:beforeAutospacing="0" w:afterAutospacing="0"/>
        <w:ind w:firstLine="993" w:left="0" w:right="167"/>
        <w:jc w:val="both"/>
        <w:rPr>
          <w:sz w:val="28"/>
          <w:szCs w:val="28"/>
          <w:lang w:val="ru-RU"/>
        </w:rPr>
      </w:pPr>
      <w:r>
        <w:rPr>
          <w:sz w:val="28"/>
          <w:szCs w:val="28"/>
          <w:lang w:val="ru-RU"/>
        </w:rPr>
        <w:t>между наукой и бизнесом;</w:t>
      </w:r>
    </w:p>
    <w:p>
      <w:pPr>
        <w:pStyle w:val="P13"/>
        <w:numPr>
          <w:ilvl w:val="0"/>
          <w:numId w:val="12"/>
        </w:numPr>
        <w:spacing w:lineRule="auto" w:line="360" w:beforeAutospacing="0" w:afterAutospacing="0"/>
        <w:ind w:firstLine="993" w:left="0" w:right="167"/>
        <w:jc w:val="both"/>
        <w:rPr>
          <w:sz w:val="28"/>
          <w:szCs w:val="28"/>
          <w:lang w:val="ru-RU"/>
        </w:rPr>
      </w:pPr>
      <w:r>
        <w:rPr>
          <w:sz w:val="28"/>
          <w:szCs w:val="28"/>
          <w:lang w:val="ru-RU"/>
        </w:rPr>
        <w:t>между фирмами;</w:t>
      </w:r>
    </w:p>
    <w:p>
      <w:pPr>
        <w:pStyle w:val="P13"/>
        <w:numPr>
          <w:ilvl w:val="0"/>
          <w:numId w:val="12"/>
        </w:numPr>
        <w:spacing w:lineRule="auto" w:line="360" w:beforeAutospacing="0" w:afterAutospacing="0"/>
        <w:ind w:firstLine="993" w:left="0" w:right="167"/>
        <w:jc w:val="both"/>
        <w:rPr>
          <w:sz w:val="28"/>
          <w:szCs w:val="28"/>
          <w:lang w:val="ru-RU"/>
        </w:rPr>
      </w:pPr>
      <w:r>
        <w:rPr>
          <w:sz w:val="28"/>
          <w:szCs w:val="28"/>
          <w:lang w:val="ru-RU"/>
        </w:rPr>
        <w:t>между регионами и странами;</w:t>
      </w:r>
    </w:p>
    <w:p>
      <w:pPr>
        <w:pStyle w:val="P13"/>
        <w:numPr>
          <w:ilvl w:val="0"/>
          <w:numId w:val="12"/>
        </w:numPr>
        <w:spacing w:lineRule="auto" w:line="360" w:beforeAutospacing="0" w:afterAutospacing="0"/>
        <w:ind w:firstLine="993" w:left="0" w:right="167"/>
        <w:jc w:val="both"/>
        <w:rPr>
          <w:sz w:val="28"/>
          <w:szCs w:val="28"/>
          <w:lang w:val="ru-RU"/>
        </w:rPr>
      </w:pPr>
      <w:r>
        <w:rPr>
          <w:sz w:val="28"/>
          <w:szCs w:val="28"/>
          <w:lang w:val="ru-RU"/>
        </w:rPr>
        <w:t>между формальным и неформальным секторами.</w:t>
      </w:r>
    </w:p>
    <w:p>
      <w:pPr>
        <w:pStyle w:val="P13"/>
        <w:spacing w:lineRule="auto" w:line="360" w:beforeAutospacing="0" w:afterAutospacing="0"/>
        <w:ind w:firstLine="707" w:right="167"/>
        <w:jc w:val="both"/>
        <w:rPr>
          <w:sz w:val="28"/>
          <w:szCs w:val="28"/>
          <w:lang w:val="ru-RU"/>
        </w:rPr>
      </w:pPr>
      <w:r>
        <w:rPr>
          <w:sz w:val="28"/>
          <w:szCs w:val="28"/>
          <w:lang w:val="ru-RU"/>
        </w:rPr>
        <w:t>Для РИС особое значение имеют локальные каналы передачи знаний, основанные на пространственной близости, мобильности кадров и неформальных коммуникациях.</w:t>
      </w:r>
    </w:p>
    <w:p>
      <w:pPr>
        <w:pStyle w:val="P13"/>
        <w:spacing w:lineRule="auto" w:line="360" w:beforeAutospacing="0" w:afterAutospacing="0"/>
        <w:ind w:firstLine="707" w:right="167"/>
        <w:jc w:val="both"/>
        <w:rPr>
          <w:sz w:val="28"/>
          <w:szCs w:val="28"/>
          <w:lang w:val="ru-RU"/>
        </w:rPr>
      </w:pPr>
      <w:r>
        <w:rPr>
          <w:sz w:val="28"/>
          <w:szCs w:val="28"/>
          <w:lang w:val="ru-RU"/>
        </w:rPr>
        <w:t xml:space="preserve">6. Взаимосвязи между компонентами и системный эффект. Ключевой особенностью НИС и РИС является то, что инновационный результат возникает не на уровне отдельных компонентов, а в результате их взаимодействия </w:t>
      </w:r>
      <w:r>
        <w:rPr>
          <w:sz w:val="28"/>
          <w:szCs w:val="28"/>
          <w:highlight w:val="yellow"/>
          <w:lang w:val="ru-RU"/>
        </w:rPr>
        <w:t>(Деньщик, любушкин??)</w:t>
      </w:r>
      <w:r>
        <w:rPr>
          <w:sz w:val="28"/>
          <w:szCs w:val="28"/>
          <w:lang w:val="ru-RU"/>
        </w:rPr>
        <w:t>. Эти взаимодействия формируют:</w:t>
      </w:r>
    </w:p>
    <w:p>
      <w:pPr>
        <w:pStyle w:val="P13"/>
        <w:numPr>
          <w:ilvl w:val="0"/>
          <w:numId w:val="13"/>
        </w:numPr>
        <w:spacing w:lineRule="auto" w:line="360" w:beforeAutospacing="0" w:afterAutospacing="0"/>
        <w:ind w:firstLine="993" w:left="0" w:right="167"/>
        <w:jc w:val="both"/>
        <w:rPr>
          <w:sz w:val="28"/>
          <w:szCs w:val="28"/>
          <w:lang w:val="ru-RU"/>
        </w:rPr>
      </w:pPr>
      <w:r>
        <w:rPr>
          <w:sz w:val="28"/>
          <w:szCs w:val="28"/>
          <w:lang w:val="ru-RU"/>
        </w:rPr>
        <w:t>сетевые эффекты;</w:t>
      </w:r>
    </w:p>
    <w:p>
      <w:pPr>
        <w:pStyle w:val="P13"/>
        <w:numPr>
          <w:ilvl w:val="0"/>
          <w:numId w:val="13"/>
        </w:numPr>
        <w:spacing w:lineRule="auto" w:line="360" w:beforeAutospacing="0" w:afterAutospacing="0"/>
        <w:ind w:firstLine="993" w:left="0" w:right="167"/>
        <w:jc w:val="both"/>
        <w:rPr>
          <w:sz w:val="28"/>
          <w:szCs w:val="28"/>
          <w:lang w:val="ru-RU"/>
        </w:rPr>
      </w:pPr>
      <w:r>
        <w:rPr>
          <w:sz w:val="28"/>
          <w:szCs w:val="28"/>
          <w:lang w:val="ru-RU"/>
        </w:rPr>
        <w:t>эффекты коллективного обучения;</w:t>
      </w:r>
    </w:p>
    <w:p>
      <w:pPr>
        <w:pStyle w:val="P13"/>
        <w:numPr>
          <w:ilvl w:val="0"/>
          <w:numId w:val="13"/>
        </w:numPr>
        <w:spacing w:lineRule="auto" w:line="360" w:beforeAutospacing="0" w:afterAutospacing="0"/>
        <w:ind w:firstLine="993" w:left="0" w:right="167"/>
        <w:jc w:val="both"/>
        <w:rPr>
          <w:sz w:val="28"/>
          <w:szCs w:val="28"/>
          <w:lang w:val="ru-RU"/>
        </w:rPr>
      </w:pPr>
      <w:r>
        <w:rPr>
          <w:sz w:val="28"/>
          <w:szCs w:val="28"/>
          <w:lang w:val="ru-RU"/>
        </w:rPr>
        <w:t>кумулятивное накопление инновационного потенциала.</w:t>
      </w:r>
    </w:p>
    <w:p>
      <w:pPr>
        <w:pStyle w:val="P13"/>
        <w:spacing w:lineRule="auto" w:line="360" w:beforeAutospacing="0" w:afterAutospacing="0"/>
        <w:ind w:firstLine="707" w:right="167"/>
        <w:jc w:val="both"/>
        <w:rPr>
          <w:sz w:val="28"/>
          <w:szCs w:val="28"/>
          <w:lang w:val="ru-RU"/>
        </w:rPr>
      </w:pPr>
      <w:r>
        <w:rPr>
          <w:sz w:val="28"/>
          <w:szCs w:val="28"/>
          <w:lang w:val="ru-RU"/>
        </w:rPr>
        <w:t xml:space="preserve">Системная несбалансированность (например, наличие научного потенциала при отсутствии финансовых инструментов или посредников) приводит к «разрывам» </w:t>
      </w:r>
      <w:r>
        <w:rPr>
          <w:sz w:val="28"/>
          <w:szCs w:val="28"/>
          <w:highlight w:val="yellow"/>
          <w:lang w:val="ru-RU"/>
        </w:rPr>
        <w:t>инновационного цикла, что типично для многих развивающихся стран и регионов.</w:t>
      </w:r>
    </w:p>
    <w:p>
      <w:pPr>
        <w:pStyle w:val="P13"/>
        <w:spacing w:lineRule="auto" w:line="360" w:beforeAutospacing="0" w:afterAutospacing="0"/>
        <w:ind w:firstLine="707" w:right="167"/>
        <w:jc w:val="both"/>
        <w:rPr>
          <w:sz w:val="28"/>
          <w:szCs w:val="28"/>
          <w:lang w:val="ru-RU"/>
        </w:rPr>
      </w:pPr>
      <w:r>
        <w:rPr>
          <w:sz w:val="28"/>
          <w:szCs w:val="28"/>
          <w:lang w:val="ru-RU"/>
        </w:rPr>
        <w:t xml:space="preserve">По нашему мнению, НИС и РИС представляют собой сложные многоэлементные системы, в которых акторы, институты, инфраструктура, финансы и знания образуют взаимозависимую конфигурацию. При  этом устойчивость и результативность инновационного развития определяются не столько наличием отдельных компонентов, сколько качеством и плотностью связей между ними, что делает проблему координации и включенности ключевой для анализа инновационного развития в развивающихся экономиках.</w:t>
      </w:r>
    </w:p>
    <w:p>
      <w:pPr>
        <w:pStyle w:val="P13"/>
        <w:spacing w:lineRule="auto" w:line="360" w:beforeAutospacing="0" w:afterAutospacing="0"/>
        <w:ind w:firstLine="707" w:right="167"/>
        <w:jc w:val="both"/>
        <w:rPr>
          <w:sz w:val="28"/>
          <w:szCs w:val="28"/>
          <w:lang w:val="ru-RU"/>
        </w:rPr>
      </w:pPr>
      <w:r>
        <w:rPr>
          <w:sz w:val="28"/>
          <w:szCs w:val="28"/>
          <w:lang w:val="ru-RU"/>
        </w:rPr>
        <w:t>В ходе проведенного исследования становиться очевидным, что применение теории национальных и региональных инновационных систем к развивающимся странам требует методологической корректировки, поскольку классические модели НИС/РИС формировались преимущественно на материале индустриально развитых экономик. Для развивающихся стран характерна иная структура инновационного процесса, иные источники знаний и иные механизмы координации, что обусловливает специфику построения и функционирования их инновационных систем.</w:t>
      </w:r>
    </w:p>
    <w:p>
      <w:pPr>
        <w:pStyle w:val="P13"/>
        <w:spacing w:lineRule="auto" w:line="360" w:beforeAutospacing="0" w:afterAutospacing="0"/>
        <w:ind w:firstLine="707" w:right="167"/>
        <w:jc w:val="both"/>
        <w:rPr>
          <w:sz w:val="28"/>
          <w:szCs w:val="28"/>
          <w:lang w:val="ru-RU"/>
        </w:rPr>
      </w:pPr>
      <w:r>
        <w:rPr>
          <w:sz w:val="28"/>
          <w:szCs w:val="28"/>
          <w:lang w:val="ru-RU"/>
        </w:rPr>
        <w:t>Сравнительный анализ национальных и региональных инновационных систем развитых и развивающихся стран представлен в таблице 6.</w:t>
      </w:r>
    </w:p>
    <w:p>
      <w:pPr>
        <w:pStyle w:val="P13"/>
        <w:spacing w:lineRule="auto" w:line="360" w:beforeAutospacing="0" w:afterAutospacing="0"/>
        <w:ind w:right="167"/>
        <w:jc w:val="both"/>
        <w:rPr>
          <w:sz w:val="28"/>
          <w:szCs w:val="28"/>
          <w:lang w:val="ru-RU"/>
        </w:rPr>
      </w:pPr>
    </w:p>
    <w:p>
      <w:pPr>
        <w:pStyle w:val="P13"/>
        <w:spacing w:lineRule="auto" w:line="360" w:beforeAutospacing="0" w:afterAutospacing="0"/>
        <w:ind w:right="167"/>
        <w:jc w:val="both"/>
        <w:rPr>
          <w:sz w:val="28"/>
          <w:szCs w:val="28"/>
          <w:lang w:val="ru-RU"/>
        </w:rPr>
      </w:pPr>
      <w:r>
        <w:rPr>
          <w:sz w:val="28"/>
          <w:szCs w:val="28"/>
          <w:lang w:val="ru-RU"/>
        </w:rPr>
        <w:t>Таблица 6 – Особенности национальных и региональных инновационных систем развитых и развивающихся стран</w:t>
      </w:r>
      <w:r>
        <w:rPr>
          <w:rStyle w:val="C42"/>
          <w:sz w:val="28"/>
          <w:szCs w:val="28"/>
          <w:lang w:val="ru-RU"/>
        </w:rPr>
        <w:footnoteReference w:id="54"/>
      </w:r>
    </w:p>
    <w:tbl>
      <w:tblPr>
        <w:tblStyle w:val="T3"/>
        <w:tblW w:w="0" w:type="auto"/>
        <w:tblLayout w:type="fixed"/>
        <w:tblLook w:val="04A0"/>
      </w:tblPr>
      <w:tblGrid>
        <w:gridCol w:w="1980"/>
        <w:gridCol w:w="3544"/>
        <w:gridCol w:w="4252"/>
      </w:tblGrid>
      <w:tr>
        <w:tc>
          <w:tcPr>
            <w:tcW w:w="1980" w:type="dxa"/>
            <w:hideMark/>
          </w:tcPr>
          <w:p>
            <w:pPr>
              <w:jc w:val="center"/>
              <w:rPr>
                <w:rFonts w:ascii="Times New Roman" w:hAnsi="Times New Roman" w:cs="Times New Roman" w:eastAsia="Times New Roman"/>
                <w:bCs w:val="1"/>
                <w:sz w:val="24"/>
                <w:szCs w:val="24"/>
                <w:lang w:eastAsia="ru-RU"/>
              </w:rPr>
            </w:pPr>
            <w:r>
              <w:rPr>
                <w:rFonts w:ascii="Times New Roman" w:hAnsi="Times New Roman" w:cs="Times New Roman" w:eastAsia="Times New Roman"/>
                <w:bCs w:val="1"/>
                <w:sz w:val="24"/>
                <w:szCs w:val="24"/>
                <w:lang w:eastAsia="ru-RU"/>
              </w:rPr>
              <w:t>Критерий для сравнения</w:t>
            </w:r>
          </w:p>
        </w:tc>
        <w:tc>
          <w:tcPr>
            <w:tcW w:w="3544" w:type="dxa"/>
            <w:hideMark/>
          </w:tcPr>
          <w:p>
            <w:pPr>
              <w:jc w:val="center"/>
              <w:rPr>
                <w:rFonts w:ascii="Times New Roman" w:hAnsi="Times New Roman" w:cs="Times New Roman" w:eastAsia="Times New Roman"/>
                <w:bCs w:val="1"/>
                <w:sz w:val="24"/>
                <w:szCs w:val="24"/>
                <w:lang w:eastAsia="ru-RU"/>
              </w:rPr>
            </w:pPr>
            <w:r>
              <w:rPr>
                <w:rFonts w:ascii="Times New Roman" w:hAnsi="Times New Roman" w:cs="Times New Roman" w:eastAsia="Times New Roman"/>
                <w:bCs w:val="1"/>
                <w:sz w:val="24"/>
                <w:szCs w:val="24"/>
                <w:lang w:eastAsia="ru-RU"/>
              </w:rPr>
              <w:t>Развитые страны (НИС/РИС)</w:t>
            </w:r>
          </w:p>
        </w:tc>
        <w:tc>
          <w:tcPr>
            <w:tcW w:w="4252" w:type="dxa"/>
            <w:hideMark/>
          </w:tcPr>
          <w:p>
            <w:pPr>
              <w:jc w:val="center"/>
              <w:rPr>
                <w:rFonts w:ascii="Times New Roman" w:hAnsi="Times New Roman" w:cs="Times New Roman" w:eastAsia="Times New Roman"/>
                <w:bCs w:val="1"/>
                <w:sz w:val="24"/>
                <w:szCs w:val="24"/>
                <w:lang w:eastAsia="ru-RU"/>
              </w:rPr>
            </w:pPr>
            <w:r>
              <w:rPr>
                <w:rFonts w:ascii="Times New Roman" w:hAnsi="Times New Roman" w:cs="Times New Roman" w:eastAsia="Times New Roman"/>
                <w:bCs w:val="1"/>
                <w:sz w:val="24"/>
                <w:szCs w:val="24"/>
                <w:lang w:eastAsia="ru-RU"/>
              </w:rPr>
              <w:t>Развивающиеся и переходные экономики (НИС/РИС)</w:t>
            </w:r>
          </w:p>
        </w:tc>
      </w:tr>
      <w:tr>
        <w:tc>
          <w:tcPr>
            <w:tcW w:w="1980"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bCs w:val="1"/>
                <w:sz w:val="24"/>
                <w:szCs w:val="24"/>
                <w:lang w:eastAsia="ru-RU"/>
              </w:rPr>
              <w:t>Структурная целостность инновационной системы</w:t>
            </w:r>
          </w:p>
        </w:tc>
        <w:tc>
          <w:tcPr>
            <w:tcW w:w="3544"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Германия: согласованная НИС, устойчивая кооперация науки, промышленности и государства; развитые РИС (Бавария, Баден-Вюртемберг)</w:t>
            </w:r>
          </w:p>
        </w:tc>
        <w:tc>
          <w:tcPr>
            <w:tcW w:w="4252"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Россия, Индия: наличие ключевых элементов НИС при слабой горизонтальной координации и разрывах между наукой, бизнесом и регионами</w:t>
            </w:r>
          </w:p>
        </w:tc>
      </w:tr>
      <w:tr>
        <w:tc>
          <w:tcPr>
            <w:tcW w:w="1980"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bCs w:val="1"/>
                <w:sz w:val="24"/>
                <w:szCs w:val="24"/>
                <w:lang w:eastAsia="ru-RU"/>
              </w:rPr>
              <w:t>Роль государства в инновационной системе</w:t>
            </w:r>
          </w:p>
        </w:tc>
        <w:tc>
          <w:tcPr>
            <w:tcW w:w="3544"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Финляндия: государство как стратегический координатор при высокой автономии частного сектора</w:t>
            </w:r>
          </w:p>
        </w:tc>
        <w:tc>
          <w:tcPr>
            <w:tcW w:w="4252"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Китай, ОАЭ: доминирующая роль государства в формировании инновационных приоритетов, инфраструктуры и финансирования</w:t>
            </w:r>
          </w:p>
        </w:tc>
      </w:tr>
      <w:tr>
        <w:tc>
          <w:tcPr>
            <w:tcW w:w="1980"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bCs w:val="1"/>
                <w:sz w:val="24"/>
                <w:szCs w:val="24"/>
                <w:lang w:eastAsia="ru-RU"/>
              </w:rPr>
              <w:t>Финансирование инноваций</w:t>
            </w:r>
          </w:p>
        </w:tc>
        <w:tc>
          <w:tcPr>
            <w:tcW w:w="3544"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США: развитые венчурные рынки, частное финансирование НИОКР и стартапов</w:t>
            </w:r>
          </w:p>
        </w:tc>
        <w:tc>
          <w:tcPr>
            <w:tcW w:w="4252"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Индия, Бразилия: ограниченный доступ МСП и региональных фирм к долгосрочному капиталу, высокая роль госпрограмм</w:t>
            </w:r>
          </w:p>
        </w:tc>
      </w:tr>
      <w:tr>
        <w:tc>
          <w:tcPr>
            <w:tcW w:w="1980"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bCs w:val="1"/>
                <w:sz w:val="24"/>
                <w:szCs w:val="24"/>
                <w:lang w:eastAsia="ru-RU"/>
              </w:rPr>
              <w:t>Внешние источники знаний и технологий</w:t>
            </w:r>
          </w:p>
        </w:tc>
        <w:tc>
          <w:tcPr>
            <w:tcW w:w="3544"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Япония: доминирование внутренней генерации знаний при выборочной внешней кооперации</w:t>
            </w:r>
          </w:p>
        </w:tc>
        <w:tc>
          <w:tcPr>
            <w:tcW w:w="4252"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Вьетнам, Малайзия: ПИИ и участие в глобальных цепочках стоимости как ключевой канал трансфера технологий</w:t>
            </w:r>
          </w:p>
        </w:tc>
      </w:tr>
      <w:tr>
        <w:tc>
          <w:tcPr>
            <w:tcW w:w="1980"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bCs w:val="1"/>
                <w:sz w:val="24"/>
                <w:szCs w:val="24"/>
                <w:lang w:eastAsia="ru-RU"/>
              </w:rPr>
              <w:t>Тип инноваций</w:t>
            </w:r>
          </w:p>
        </w:tc>
        <w:tc>
          <w:tcPr>
            <w:tcW w:w="3544"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Южная Корея: технологические и экспортно-ориентированные инновации</w:t>
            </w:r>
          </w:p>
        </w:tc>
        <w:tc>
          <w:tcPr>
            <w:tcW w:w="4252"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Россия, Индия: преобладание адаптивных, процессных и организационных инноваций</w:t>
            </w:r>
          </w:p>
        </w:tc>
      </w:tr>
      <w:tr>
        <w:tc>
          <w:tcPr>
            <w:tcW w:w="1980"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bCs w:val="1"/>
                <w:sz w:val="24"/>
                <w:szCs w:val="24"/>
                <w:lang w:eastAsia="ru-RU"/>
              </w:rPr>
              <w:t>Региональная дифференциация (РИС)</w:t>
            </w:r>
          </w:p>
        </w:tc>
        <w:tc>
          <w:tcPr>
            <w:tcW w:w="3544"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Франция: полицентрическая модель РИС (Иль-де-Франс, Овернь–Рона–Альпы и др.)</w:t>
            </w:r>
          </w:p>
        </w:tc>
        <w:tc>
          <w:tcPr>
            <w:tcW w:w="4252"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Китай, Россия: высокая концентрация инноваций в отдельных мегарегионах (Пекин–Шэньчжэнь; Москва–Санкт-Петербург)</w:t>
            </w:r>
          </w:p>
        </w:tc>
      </w:tr>
      <w:tr>
        <w:tc>
          <w:tcPr>
            <w:tcW w:w="1980"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bCs w:val="1"/>
                <w:sz w:val="24"/>
                <w:szCs w:val="24"/>
                <w:lang w:eastAsia="ru-RU"/>
              </w:rPr>
              <w:t>Инклюзивность инновационного процесса</w:t>
            </w:r>
          </w:p>
        </w:tc>
        <w:tc>
          <w:tcPr>
            <w:tcW w:w="3544"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Канада: институциональные механизмы вовлечения МСП и регионов в инновационные цепочки</w:t>
            </w:r>
          </w:p>
        </w:tc>
        <w:tc>
          <w:tcPr>
            <w:tcW w:w="4252"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Индия, Бразилия: ограниченный доступ региональных и малых фирм к инновационной инфраструктуре</w:t>
            </w:r>
          </w:p>
        </w:tc>
      </w:tr>
      <w:tr>
        <w:tc>
          <w:tcPr>
            <w:tcW w:w="1980"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bCs w:val="1"/>
                <w:sz w:val="24"/>
                <w:szCs w:val="24"/>
                <w:lang w:eastAsia="ru-RU"/>
              </w:rPr>
              <w:t>Институциональное доверие и кооперация</w:t>
            </w:r>
          </w:p>
        </w:tc>
        <w:tc>
          <w:tcPr>
            <w:tcW w:w="3544"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Нидерланды: высокая плотность сетей, устойчивое доверие между наукой и бизнесом</w:t>
            </w:r>
          </w:p>
        </w:tc>
        <w:tc>
          <w:tcPr>
            <w:tcW w:w="4252"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Россия, Индия: низкая плотность горизонтальных связей, высокие транзакционные издержки</w:t>
            </w:r>
          </w:p>
        </w:tc>
      </w:tr>
      <w:tr>
        <w:tc>
          <w:tcPr>
            <w:tcW w:w="1980"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bCs w:val="1"/>
                <w:sz w:val="24"/>
                <w:szCs w:val="24"/>
                <w:lang w:eastAsia="ru-RU"/>
              </w:rPr>
              <w:t>Инновационные экосистемы</w:t>
            </w:r>
          </w:p>
        </w:tc>
        <w:tc>
          <w:tcPr>
            <w:tcW w:w="3544"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Израиль: зрелая стартап-экосистема с интеграцией науки, капитала и рынка</w:t>
            </w:r>
          </w:p>
        </w:tc>
        <w:tc>
          <w:tcPr>
            <w:tcW w:w="4252"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Китай, ОАЭ: формирующиеся экосистемы при активной государственной координации</w:t>
            </w:r>
          </w:p>
        </w:tc>
      </w:tr>
    </w:tbl>
    <w:p>
      <w:pPr>
        <w:pStyle w:val="P13"/>
        <w:spacing w:lineRule="auto" w:line="360" w:beforeAutospacing="0" w:afterAutospacing="0"/>
        <w:ind w:right="167"/>
        <w:jc w:val="both"/>
        <w:rPr>
          <w:sz w:val="28"/>
          <w:szCs w:val="28"/>
          <w:lang w:val="ru-RU"/>
        </w:rPr>
      </w:pPr>
    </w:p>
    <w:p>
      <w:pPr>
        <w:pStyle w:val="P13"/>
        <w:spacing w:lineRule="auto" w:line="360" w:beforeAutospacing="0" w:afterAutospacing="0"/>
        <w:ind w:firstLine="707" w:right="167"/>
        <w:jc w:val="both"/>
        <w:rPr>
          <w:sz w:val="28"/>
          <w:szCs w:val="28"/>
          <w:lang w:val="ru-RU"/>
        </w:rPr>
      </w:pPr>
      <w:r>
        <w:rPr>
          <w:sz w:val="28"/>
          <w:szCs w:val="28"/>
          <w:lang w:val="ru-RU"/>
        </w:rPr>
        <w:t>Как видим, одной из ключевых особенностей НИС и РИС в развивающихся странах является фрагментированность. Элементы инновационной системы существуют, но связи между ними носят эпизодический, несистемный характер. Научно-образовательные организации, государственные структуры и бизнес часто функционируют в параллельных контурах, не формируя устойчивых каналов трансфера знаний и технологий. В результате инновационная активность концентрируется в отдельных секторах или регионах, тогда как значительная часть экономики остается вне инновационного процесса. Для РИС это означает наличие «островков инноваций» на фоне широкой инновационной периферии, что усиливает территориальные диспропорции.</w:t>
      </w:r>
    </w:p>
    <w:p>
      <w:pPr>
        <w:pStyle w:val="P13"/>
        <w:spacing w:lineRule="auto" w:line="360" w:beforeAutospacing="0" w:afterAutospacing="0"/>
        <w:ind w:firstLine="707" w:right="167"/>
        <w:jc w:val="both"/>
        <w:rPr>
          <w:sz w:val="28"/>
          <w:szCs w:val="28"/>
          <w:lang w:val="ru-RU"/>
        </w:rPr>
      </w:pPr>
      <w:r>
        <w:rPr>
          <w:sz w:val="28"/>
          <w:szCs w:val="28"/>
          <w:lang w:val="ru-RU"/>
        </w:rPr>
        <w:t>В условиях институциональной незрелости рынка государство в развивающихся странах, как правило, выступает ключевым координатором инновационной системы. Оно определяет стратегические приоритеты, формирует нормативную базу, финансирует НИОКР и создает базовую инновационную инфраструктуру. При этом государственная роль носит двойственный характер. С одной стороны, без активного участия государства формирование НИС/РИС зачастую невозможно, с другой – чрезмерная централизация и административная логика могут снижать гибкость системы, ограничивать предпринимательскую инициативу и воспроизводить неэффективные институциональные практики. Для РИС это особенно чувствительно, поскольку региональные инновационные процессы требуют учета локальной специфики и децентрализации решений.</w:t>
      </w:r>
    </w:p>
    <w:p>
      <w:pPr>
        <w:pStyle w:val="P13"/>
        <w:spacing w:lineRule="auto" w:line="360" w:beforeAutospacing="0" w:afterAutospacing="0"/>
        <w:ind w:firstLine="707" w:right="167"/>
        <w:jc w:val="both"/>
        <w:rPr>
          <w:sz w:val="28"/>
          <w:szCs w:val="28"/>
          <w:lang w:val="ru-RU"/>
        </w:rPr>
      </w:pPr>
      <w:r>
        <w:rPr>
          <w:sz w:val="28"/>
          <w:szCs w:val="28"/>
          <w:lang w:val="ru-RU"/>
        </w:rPr>
        <w:t xml:space="preserve">Финансовый компонент инновационных систем в развивающихся странах, как правило, является </w:t>
      </w:r>
      <w:r>
        <w:rPr>
          <w:sz w:val="28"/>
          <w:szCs w:val="28"/>
          <w:highlight w:val="yellow"/>
          <w:lang w:val="ru-RU"/>
        </w:rPr>
        <w:t>структурно слабым звеном</w:t>
      </w:r>
      <w:r>
        <w:rPr>
          <w:sz w:val="28"/>
          <w:szCs w:val="28"/>
          <w:lang w:val="ru-RU"/>
        </w:rPr>
        <w:t>. Недостаточное развитие долгосрочного кредитования, венчурных инструментов и рынков капитала приводит к тому, что инновационные проекты сталкиваются с высокими барьерами входа и значительными рисками. Это обстоятельство имеет выраженное инклюзивное измерение. Так, малые и средние предприятия, региональные фирмы и новые предприниматели оказываются исключенными из инновационного процесса, что препятствует формированию широкого инновационного слоя экономики.</w:t>
      </w:r>
    </w:p>
    <w:p>
      <w:pPr>
        <w:pStyle w:val="P13"/>
        <w:spacing w:lineRule="auto" w:line="360" w:beforeAutospacing="0" w:afterAutospacing="0"/>
        <w:ind w:firstLine="707" w:right="167"/>
        <w:jc w:val="both"/>
        <w:rPr>
          <w:sz w:val="28"/>
          <w:szCs w:val="28"/>
          <w:lang w:val="ru-RU"/>
        </w:rPr>
      </w:pPr>
      <w:r>
        <w:rPr>
          <w:sz w:val="28"/>
          <w:szCs w:val="28"/>
          <w:lang w:val="ru-RU"/>
        </w:rPr>
        <w:t>В отличие от развитых стран, где инновационная динамика в значительной степени опирается на внутренние научные и технологические ресурсы, развивающиеся страны существенно зависят от внешних источников знаний. К таким источникам относятся:</w:t>
      </w:r>
    </w:p>
    <w:p>
      <w:pPr>
        <w:pStyle w:val="P13"/>
        <w:numPr>
          <w:ilvl w:val="0"/>
          <w:numId w:val="14"/>
        </w:numPr>
        <w:tabs>
          <w:tab w:val="left" w:pos="1134" w:leader="none"/>
        </w:tabs>
        <w:spacing w:lineRule="auto" w:line="360" w:beforeAutospacing="0" w:afterAutospacing="0"/>
        <w:ind w:firstLine="709" w:left="0" w:right="167"/>
        <w:jc w:val="both"/>
        <w:rPr>
          <w:sz w:val="28"/>
          <w:szCs w:val="28"/>
          <w:lang w:val="ru-RU"/>
        </w:rPr>
      </w:pPr>
      <w:r>
        <w:rPr>
          <w:sz w:val="28"/>
          <w:szCs w:val="28"/>
          <w:lang w:val="ru-RU"/>
        </w:rPr>
        <w:t>прямые иностранные инвестиции;</w:t>
      </w:r>
    </w:p>
    <w:p>
      <w:pPr>
        <w:pStyle w:val="P13"/>
        <w:numPr>
          <w:ilvl w:val="0"/>
          <w:numId w:val="14"/>
        </w:numPr>
        <w:tabs>
          <w:tab w:val="left" w:pos="1134" w:leader="none"/>
        </w:tabs>
        <w:spacing w:lineRule="auto" w:line="360" w:beforeAutospacing="0" w:afterAutospacing="0"/>
        <w:ind w:firstLine="709" w:left="0" w:right="167"/>
        <w:jc w:val="both"/>
        <w:rPr>
          <w:sz w:val="28"/>
          <w:szCs w:val="28"/>
          <w:lang w:val="ru-RU"/>
        </w:rPr>
      </w:pPr>
      <w:r>
        <w:rPr>
          <w:sz w:val="28"/>
          <w:szCs w:val="28"/>
          <w:lang w:val="ru-RU"/>
        </w:rPr>
        <w:t>международная торговля;</w:t>
      </w:r>
    </w:p>
    <w:p>
      <w:pPr>
        <w:pStyle w:val="P13"/>
        <w:numPr>
          <w:ilvl w:val="0"/>
          <w:numId w:val="14"/>
        </w:numPr>
        <w:tabs>
          <w:tab w:val="left" w:pos="1134" w:leader="none"/>
        </w:tabs>
        <w:spacing w:lineRule="auto" w:line="360" w:beforeAutospacing="0" w:afterAutospacing="0"/>
        <w:ind w:firstLine="709" w:left="0" w:right="167"/>
        <w:jc w:val="both"/>
        <w:rPr>
          <w:sz w:val="28"/>
          <w:szCs w:val="28"/>
          <w:lang w:val="ru-RU"/>
        </w:rPr>
      </w:pPr>
      <w:r>
        <w:rPr>
          <w:sz w:val="28"/>
          <w:szCs w:val="28"/>
          <w:lang w:val="ru-RU"/>
        </w:rPr>
        <w:t>участие в глобальных цепочках создания стоимости;</w:t>
      </w:r>
    </w:p>
    <w:p>
      <w:pPr>
        <w:pStyle w:val="P13"/>
        <w:numPr>
          <w:ilvl w:val="0"/>
          <w:numId w:val="14"/>
        </w:numPr>
        <w:tabs>
          <w:tab w:val="left" w:pos="1134" w:leader="none"/>
        </w:tabs>
        <w:spacing w:lineRule="auto" w:line="360" w:beforeAutospacing="0" w:afterAutospacing="0"/>
        <w:ind w:firstLine="709" w:left="0" w:right="167"/>
        <w:jc w:val="both"/>
        <w:rPr>
          <w:sz w:val="28"/>
          <w:szCs w:val="28"/>
          <w:lang w:val="ru-RU"/>
        </w:rPr>
      </w:pPr>
      <w:r>
        <w:rPr>
          <w:sz w:val="28"/>
          <w:szCs w:val="28"/>
          <w:lang w:val="ru-RU"/>
        </w:rPr>
        <w:t>международные программы научно-технического сотрудничества.</w:t>
      </w:r>
    </w:p>
    <w:p>
      <w:pPr>
        <w:pStyle w:val="P13"/>
        <w:spacing w:lineRule="auto" w:line="360" w:beforeAutospacing="0" w:afterAutospacing="0"/>
        <w:ind w:firstLine="707" w:right="167"/>
        <w:jc w:val="both"/>
        <w:rPr>
          <w:sz w:val="28"/>
          <w:szCs w:val="28"/>
          <w:lang w:val="ru-RU"/>
        </w:rPr>
      </w:pPr>
      <w:r>
        <w:rPr>
          <w:sz w:val="28"/>
          <w:szCs w:val="28"/>
          <w:lang w:val="ru-RU"/>
        </w:rPr>
        <w:t>В этой связи НИС и РИС развивающихся стран характеризуются высокой степенью открытости, однако без соответствующих институциональных механизмов это не всегда приводит к устойчивому накоплению внутренних инновационных компетенций.</w:t>
      </w:r>
    </w:p>
    <w:p>
      <w:pPr>
        <w:pStyle w:val="P13"/>
        <w:spacing w:lineRule="auto" w:line="360" w:beforeAutospacing="0" w:afterAutospacing="0"/>
        <w:ind w:firstLine="707" w:right="167"/>
        <w:jc w:val="both"/>
        <w:rPr>
          <w:sz w:val="28"/>
          <w:szCs w:val="28"/>
          <w:lang w:val="ru-RU"/>
        </w:rPr>
      </w:pPr>
      <w:r>
        <w:rPr>
          <w:sz w:val="28"/>
          <w:szCs w:val="28"/>
          <w:lang w:val="ru-RU"/>
        </w:rPr>
        <w:t>Для развивающихся экономик характерна высокая доля нетехнологических инноваций – организационных, управленческих, институциональных и бизнес-модельных. Такие инновации часто направлены не на создание принципиально новых технологий, а на адаптацию существующих решений к местным условиям. С точки зрения системного подхода это не является признаком «вторичности» инновационного развития, а отражает специфику траектории догоняющего развития, где ключевым становится не изобретение, а способность к освоению, модификации и распространению инноваций.</w:t>
      </w:r>
    </w:p>
    <w:p>
      <w:pPr>
        <w:pStyle w:val="P13"/>
        <w:spacing w:lineRule="auto" w:line="360" w:beforeAutospacing="0" w:afterAutospacing="0"/>
        <w:ind w:firstLine="707" w:right="167"/>
        <w:jc w:val="both"/>
        <w:rPr>
          <w:sz w:val="28"/>
          <w:szCs w:val="28"/>
          <w:lang w:val="ru-RU"/>
        </w:rPr>
      </w:pPr>
      <w:r>
        <w:rPr>
          <w:sz w:val="28"/>
          <w:szCs w:val="28"/>
          <w:lang w:val="ru-RU"/>
        </w:rPr>
        <w:t>Следует также отметить, что НИС и РИС развивающихся стран функционируют в условиях выраженных пространственных и социальных разрывов. Инновационная активность концентрируется в столичных и экономически развитых регионах, тогда как периферийные территории и уязвимые социальные группы остаются слабо вовлеченными в инновационный процесс. Данный аспект напрямую выводит анализ НИС/РИС на проблематику инклюзивности, поскольку без целенаправленных механизмов вовлечения инновационная система воспроизводит существующие неравенства и снижает потенциал долгосрочного развития.</w:t>
      </w:r>
    </w:p>
    <w:p>
      <w:pPr>
        <w:pStyle w:val="P13"/>
        <w:spacing w:lineRule="auto" w:line="360" w:beforeAutospacing="0" w:afterAutospacing="0"/>
        <w:ind w:firstLine="707" w:right="167"/>
        <w:jc w:val="both"/>
        <w:rPr>
          <w:sz w:val="28"/>
          <w:szCs w:val="28"/>
          <w:lang w:val="ru-RU"/>
        </w:rPr>
      </w:pPr>
      <w:r>
        <w:rPr>
          <w:sz w:val="28"/>
          <w:szCs w:val="28"/>
          <w:lang w:val="ru-RU"/>
        </w:rPr>
        <w:t>Таким образом, НИС и РИС в развивающихся странах характеризуются фрагментированностью, доминирующей ролью государства, ограниченным доступом к финансированию, зависимостью от внешних источников знаний и выраженными пространственными разрывами. Выявленные нами особенности требуют переосмысления классических моделей инновационных систем и создают теоретическую основу для поиска таких механизмов развития, которые позволяли бы сочетать инновационную динамику с расширением включенности экономических агентов и территорий.</w:t>
      </w:r>
    </w:p>
    <w:p>
      <w:pPr>
        <w:pStyle w:val="P13"/>
        <w:spacing w:lineRule="auto" w:line="360" w:beforeAutospacing="0" w:afterAutospacing="0"/>
        <w:ind w:firstLine="707" w:right="167"/>
        <w:jc w:val="both"/>
        <w:rPr>
          <w:sz w:val="28"/>
          <w:szCs w:val="28"/>
          <w:lang w:val="ru-RU"/>
        </w:rPr>
      </w:pPr>
      <w:r>
        <w:rPr>
          <w:sz w:val="28"/>
          <w:szCs w:val="28"/>
          <w:lang w:val="ru-RU"/>
        </w:rPr>
        <w:t>Анализ структуры, свойств и особенностей функционирования национальных и региональных инновационных систем позволяет выявить совокупность устойчивых проблем, ограничивающих их результативность, особенно в развивающихся и переходных экономиках. Эти проблемы носят системный характер и не могут быть устранены за счет изолированных мер инновационной политики, что предопределяет необходимость эволюции теоретических и управленческих подходов к развитию НИС/РИС.</w:t>
      </w:r>
    </w:p>
    <w:p>
      <w:pPr>
        <w:pStyle w:val="P13"/>
        <w:spacing w:lineRule="auto" w:line="360" w:beforeAutospacing="0" w:afterAutospacing="0"/>
        <w:ind w:firstLine="707" w:right="167"/>
        <w:jc w:val="both"/>
        <w:rPr>
          <w:sz w:val="28"/>
          <w:szCs w:val="28"/>
          <w:lang w:val="ru-RU"/>
        </w:rPr>
      </w:pPr>
      <w:r>
        <w:rPr>
          <w:sz w:val="28"/>
          <w:szCs w:val="28"/>
          <w:lang w:val="ru-RU"/>
        </w:rPr>
        <w:t xml:space="preserve">Ключевые системные проблемы развития НИС и РИС нами систематизированы следующим образом. </w:t>
      </w:r>
    </w:p>
    <w:p>
      <w:pPr>
        <w:pStyle w:val="P13"/>
        <w:spacing w:lineRule="auto" w:line="360" w:beforeAutospacing="0" w:afterAutospacing="0"/>
        <w:ind w:firstLine="707" w:right="167"/>
        <w:jc w:val="both"/>
        <w:rPr>
          <w:sz w:val="28"/>
          <w:szCs w:val="28"/>
          <w:lang w:val="ru-RU"/>
        </w:rPr>
      </w:pPr>
      <w:r>
        <w:rPr>
          <w:sz w:val="28"/>
          <w:szCs w:val="28"/>
          <w:lang w:val="ru-RU"/>
        </w:rPr>
        <w:t>Во-первых, фрагментированность инновационных систем. Во многих странах элементы НИС и РИС формально присутствуют, однако между ними отсутствуют устойчивые каналы взаимодействия. Наука, бизнес, государство и финансовые институты функционируют в параллельных контурах, что приводит к разрывам инновационного цикла и снижению эффективности трансфера знаний. Фрагментированность усиливается на региональном уровне, где инновационная активность часто концентрируется в ограниченном числе территорий.</w:t>
      </w:r>
    </w:p>
    <w:p>
      <w:pPr>
        <w:pStyle w:val="P13"/>
        <w:spacing w:lineRule="auto" w:line="360" w:beforeAutospacing="0" w:afterAutospacing="0"/>
        <w:ind w:firstLine="707" w:right="167"/>
        <w:jc w:val="both"/>
        <w:rPr>
          <w:sz w:val="28"/>
          <w:szCs w:val="28"/>
          <w:lang w:val="ru-RU"/>
        </w:rPr>
      </w:pPr>
      <w:r>
        <w:rPr>
          <w:sz w:val="28"/>
          <w:szCs w:val="28"/>
          <w:lang w:val="ru-RU"/>
        </w:rPr>
        <w:t>Во-вторых, институциональные ограничения и дефицит доверия. Недостаточное качество формальных институтов, а также слабое развитие неформальных механизмов кооперации приводят к высоким транзакционным издержкам и ограниченной готовности акторов к совместной инновационной деятельности. В условиях низкого доверия инновационные взаимодействия носят краткосрочный и оппортунистический характер, что препятствует формированию устойчивых инновационных сетей.</w:t>
      </w:r>
    </w:p>
    <w:p>
      <w:pPr>
        <w:pStyle w:val="P13"/>
        <w:spacing w:lineRule="auto" w:line="360" w:beforeAutospacing="0" w:afterAutospacing="0"/>
        <w:ind w:firstLine="707" w:right="167"/>
        <w:jc w:val="both"/>
        <w:rPr>
          <w:sz w:val="28"/>
          <w:szCs w:val="28"/>
          <w:lang w:val="ru-RU"/>
        </w:rPr>
      </w:pPr>
      <w:r>
        <w:rPr>
          <w:sz w:val="28"/>
          <w:szCs w:val="28"/>
          <w:lang w:val="ru-RU"/>
        </w:rPr>
        <w:t>В-третьих, ограниченная инклюзивность инновационных систем. НИС и РИС во многих развивающихся экономиках ориентированы на узкий круг акторов – крупные фирмы, государственные организации, ведущие университеты и отдельные регионы. Малые и средние предприятия, периферийные территории и социально уязвимые группы остаются слабо вовлеченными в инновационный процесс, что снижает потенциал масштабирования инноваций и усиливает социально-территориальные диспропорции.</w:t>
      </w:r>
    </w:p>
    <w:p>
      <w:pPr>
        <w:pStyle w:val="P13"/>
        <w:spacing w:lineRule="auto" w:line="360" w:beforeAutospacing="0" w:afterAutospacing="0"/>
        <w:ind w:firstLine="707" w:right="167"/>
        <w:jc w:val="both"/>
        <w:rPr>
          <w:sz w:val="28"/>
          <w:szCs w:val="28"/>
          <w:lang w:val="ru-RU"/>
        </w:rPr>
      </w:pPr>
      <w:r>
        <w:rPr>
          <w:sz w:val="28"/>
          <w:szCs w:val="28"/>
          <w:lang w:val="ru-RU"/>
        </w:rPr>
        <w:t>В-четвертых, структурная слабость финансового обеспечения инноваций. Недостаток долгосрочных финансовых инструментов и высокая стоимость капитала ограничивают возможности инновационного предпринимательства и препятствуют вовлечению новых участников в инновационную деятельность. Финансовые барьеры особенно остро проявляются на региональном уровне, где доступ к инвестиционным ресурсам ограничен.</w:t>
      </w:r>
    </w:p>
    <w:p>
      <w:pPr>
        <w:pStyle w:val="P13"/>
        <w:spacing w:lineRule="auto" w:line="360" w:beforeAutospacing="0" w:afterAutospacing="0"/>
        <w:ind w:firstLine="707" w:right="167"/>
        <w:jc w:val="both"/>
        <w:rPr>
          <w:sz w:val="28"/>
          <w:szCs w:val="28"/>
          <w:lang w:val="ru-RU"/>
        </w:rPr>
      </w:pPr>
      <w:r>
        <w:rPr>
          <w:sz w:val="28"/>
          <w:szCs w:val="28"/>
          <w:lang w:val="ru-RU"/>
        </w:rPr>
        <w:t>В-пятых, разрыв между национальными стратегиями и региональной реализацией. Даже при наличии национальных инновационных стратегий их реализация на региональном уровне часто сталкивается с институциональными, кадровыми и инфраструктурными ограничениями, что снижает эффективность НИС в целом и усиливает неоднородность РИС.</w:t>
      </w:r>
    </w:p>
    <w:p>
      <w:pPr>
        <w:pStyle w:val="P13"/>
        <w:spacing w:lineRule="auto" w:line="360" w:beforeAutospacing="0" w:afterAutospacing="0"/>
        <w:ind w:firstLine="707" w:right="167"/>
        <w:jc w:val="both"/>
        <w:rPr>
          <w:sz w:val="28"/>
          <w:szCs w:val="28"/>
          <w:lang w:val="ru-RU"/>
        </w:rPr>
      </w:pPr>
      <w:r>
        <w:rPr>
          <w:sz w:val="28"/>
          <w:szCs w:val="28"/>
          <w:lang w:val="ru-RU"/>
        </w:rPr>
        <w:t>Выявленные проблемы свидетельствуют о том, что классическая модель НИС/РИС, ориентированная преимущественно на стимулирование инновационной активности и технологического развития, оказывается недостаточной для решения задач долгосрочного и сбалансированного развития в условиях высокой социальной и территориальной неоднородности.</w:t>
      </w:r>
    </w:p>
    <w:p>
      <w:pPr>
        <w:pStyle w:val="P13"/>
        <w:spacing w:lineRule="auto" w:line="360" w:beforeAutospacing="0" w:afterAutospacing="0"/>
        <w:ind w:firstLine="707" w:right="167"/>
        <w:jc w:val="both"/>
        <w:rPr>
          <w:sz w:val="28"/>
          <w:szCs w:val="28"/>
          <w:lang w:val="ru-RU"/>
        </w:rPr>
      </w:pPr>
      <w:r>
        <w:rPr>
          <w:sz w:val="28"/>
          <w:szCs w:val="28"/>
          <w:lang w:val="ru-RU"/>
        </w:rPr>
        <w:t>В частности, традиционный системный подход:</w:t>
      </w:r>
    </w:p>
    <w:p>
      <w:pPr>
        <w:pStyle w:val="P13"/>
        <w:numPr>
          <w:ilvl w:val="0"/>
          <w:numId w:val="15"/>
        </w:numPr>
        <w:tabs>
          <w:tab w:val="left" w:pos="993" w:leader="none"/>
        </w:tabs>
        <w:spacing w:lineRule="auto" w:line="360" w:beforeAutospacing="0" w:afterAutospacing="0"/>
        <w:ind w:firstLine="709" w:left="0" w:right="167"/>
        <w:jc w:val="both"/>
        <w:rPr>
          <w:sz w:val="28"/>
          <w:szCs w:val="28"/>
          <w:lang w:val="ru-RU"/>
        </w:rPr>
      </w:pPr>
      <w:r>
        <w:rPr>
          <w:sz w:val="28"/>
          <w:szCs w:val="28"/>
          <w:lang w:val="ru-RU"/>
        </w:rPr>
        <w:t>слабо учитывает проблему включенности экономических агентов в инновационный процесс;</w:t>
      </w:r>
    </w:p>
    <w:p>
      <w:pPr>
        <w:pStyle w:val="P13"/>
        <w:numPr>
          <w:ilvl w:val="0"/>
          <w:numId w:val="15"/>
        </w:numPr>
        <w:tabs>
          <w:tab w:val="left" w:pos="993" w:leader="none"/>
        </w:tabs>
        <w:spacing w:lineRule="auto" w:line="360" w:beforeAutospacing="0" w:afterAutospacing="0"/>
        <w:ind w:firstLine="709" w:left="0" w:right="167"/>
        <w:jc w:val="both"/>
        <w:rPr>
          <w:sz w:val="28"/>
          <w:szCs w:val="28"/>
          <w:lang w:val="ru-RU"/>
        </w:rPr>
      </w:pPr>
      <w:r>
        <w:rPr>
          <w:sz w:val="28"/>
          <w:szCs w:val="28"/>
          <w:lang w:val="ru-RU"/>
        </w:rPr>
        <w:t>не дает ответа на вопрос о механизмах преодоления разрывов между центрами и периферией инновационной активности;</w:t>
      </w:r>
    </w:p>
    <w:p>
      <w:pPr>
        <w:pStyle w:val="P13"/>
        <w:numPr>
          <w:ilvl w:val="0"/>
          <w:numId w:val="15"/>
        </w:numPr>
        <w:tabs>
          <w:tab w:val="left" w:pos="993" w:leader="none"/>
        </w:tabs>
        <w:spacing w:lineRule="auto" w:line="360" w:beforeAutospacing="0" w:afterAutospacing="0"/>
        <w:ind w:firstLine="709" w:left="0" w:right="167"/>
        <w:jc w:val="both"/>
        <w:rPr>
          <w:sz w:val="28"/>
          <w:szCs w:val="28"/>
          <w:lang w:val="ru-RU"/>
        </w:rPr>
      </w:pPr>
      <w:r>
        <w:rPr>
          <w:sz w:val="28"/>
          <w:szCs w:val="28"/>
          <w:lang w:val="ru-RU"/>
        </w:rPr>
        <w:t>недостаточно раскрывает роль социальных и институциональных факторов в обеспечении устойчивости инновационных взаимодействий.</w:t>
      </w:r>
    </w:p>
    <w:p>
      <w:pPr>
        <w:pStyle w:val="P13"/>
        <w:spacing w:lineRule="auto" w:line="360" w:beforeAutospacing="0" w:afterAutospacing="0"/>
        <w:ind w:firstLine="707" w:right="167"/>
        <w:jc w:val="both"/>
        <w:rPr>
          <w:sz w:val="28"/>
          <w:szCs w:val="28"/>
          <w:lang w:val="ru-RU"/>
        </w:rPr>
      </w:pPr>
      <w:r>
        <w:rPr>
          <w:sz w:val="28"/>
          <w:szCs w:val="28"/>
          <w:lang w:val="ru-RU"/>
        </w:rPr>
        <w:t>Это предопределяет необходимость переосмысления логики развития НИС/РИС в направлении интеграции инновационных и инклюзивных целей.</w:t>
      </w:r>
    </w:p>
    <w:p>
      <w:pPr>
        <w:pStyle w:val="P13"/>
        <w:spacing w:lineRule="auto" w:line="360" w:beforeAutospacing="0" w:afterAutospacing="0"/>
        <w:ind w:firstLine="707" w:right="167"/>
        <w:jc w:val="both"/>
        <w:rPr>
          <w:sz w:val="28"/>
          <w:szCs w:val="28"/>
          <w:lang w:val="ru-RU"/>
        </w:rPr>
      </w:pPr>
      <w:r>
        <w:rPr>
          <w:sz w:val="28"/>
          <w:szCs w:val="28"/>
          <w:lang w:val="ru-RU"/>
        </w:rPr>
        <w:t>Как нам представляется, в теоретическом плане перспективы развития национальных и региональных инновационных систем связаны с переходом от узкоинновационной к инновационно-инклюзивной логике, в рамках которой:</w:t>
      </w:r>
    </w:p>
    <w:p>
      <w:pPr>
        <w:pStyle w:val="P13"/>
        <w:numPr>
          <w:ilvl w:val="0"/>
          <w:numId w:val="16"/>
        </w:numPr>
        <w:tabs>
          <w:tab w:val="left" w:pos="1134" w:leader="none"/>
        </w:tabs>
        <w:spacing w:lineRule="auto" w:line="360" w:beforeAutospacing="0" w:afterAutospacing="0"/>
        <w:ind w:firstLine="709" w:left="0" w:right="167"/>
        <w:jc w:val="both"/>
        <w:rPr>
          <w:sz w:val="28"/>
          <w:szCs w:val="28"/>
          <w:lang w:val="ru-RU"/>
        </w:rPr>
      </w:pPr>
      <w:r>
        <w:rPr>
          <w:sz w:val="28"/>
          <w:szCs w:val="28"/>
          <w:lang w:val="ru-RU"/>
        </w:rPr>
        <w:t>инновации рассматриваются не только как источник роста и конкурентоспособности, но и как механизм расширения участия экономических агентов и территорий в развитии;</w:t>
      </w:r>
    </w:p>
    <w:p>
      <w:pPr>
        <w:pStyle w:val="P13"/>
        <w:numPr>
          <w:ilvl w:val="0"/>
          <w:numId w:val="16"/>
        </w:numPr>
        <w:tabs>
          <w:tab w:val="left" w:pos="1134" w:leader="none"/>
        </w:tabs>
        <w:spacing w:lineRule="auto" w:line="360" w:beforeAutospacing="0" w:afterAutospacing="0"/>
        <w:ind w:firstLine="709" w:left="0" w:right="167"/>
        <w:jc w:val="both"/>
        <w:rPr>
          <w:sz w:val="28"/>
          <w:szCs w:val="28"/>
          <w:lang w:val="ru-RU"/>
        </w:rPr>
      </w:pPr>
      <w:r>
        <w:rPr>
          <w:sz w:val="28"/>
          <w:szCs w:val="28"/>
          <w:lang w:val="ru-RU"/>
        </w:rPr>
        <w:t>инклюзивность трактуется как внутреннее свойство инновационной системы, а не как внешнее компенсаторное направление социальной политики;</w:t>
      </w:r>
    </w:p>
    <w:p>
      <w:pPr>
        <w:pStyle w:val="P13"/>
        <w:numPr>
          <w:ilvl w:val="0"/>
          <w:numId w:val="16"/>
        </w:numPr>
        <w:tabs>
          <w:tab w:val="left" w:pos="1134" w:leader="none"/>
        </w:tabs>
        <w:spacing w:lineRule="auto" w:line="360" w:beforeAutospacing="0" w:afterAutospacing="0"/>
        <w:ind w:firstLine="709" w:left="0" w:right="167"/>
        <w:jc w:val="both"/>
        <w:rPr>
          <w:sz w:val="28"/>
          <w:szCs w:val="28"/>
          <w:lang w:val="ru-RU"/>
        </w:rPr>
      </w:pPr>
      <w:r>
        <w:rPr>
          <w:sz w:val="28"/>
          <w:szCs w:val="28"/>
          <w:lang w:val="ru-RU"/>
        </w:rPr>
        <w:t>особое значение приобретают механизмы координации, снижения транзакционных издержек и формирования доверия между участниками инновационного процесса;</w:t>
      </w:r>
    </w:p>
    <w:p>
      <w:pPr>
        <w:pStyle w:val="P13"/>
        <w:numPr>
          <w:ilvl w:val="0"/>
          <w:numId w:val="16"/>
        </w:numPr>
        <w:tabs>
          <w:tab w:val="left" w:pos="1134" w:leader="none"/>
        </w:tabs>
        <w:spacing w:lineRule="auto" w:line="360" w:beforeAutospacing="0" w:afterAutospacing="0"/>
        <w:ind w:firstLine="709" w:left="0" w:right="167"/>
        <w:jc w:val="both"/>
        <w:rPr>
          <w:sz w:val="28"/>
          <w:szCs w:val="28"/>
          <w:lang w:val="ru-RU"/>
        </w:rPr>
      </w:pPr>
      <w:r>
        <w:rPr>
          <w:sz w:val="28"/>
          <w:szCs w:val="28"/>
          <w:lang w:val="ru-RU"/>
        </w:rPr>
        <w:t>региональный уровень становится ключевым пространством реализации инновационно-инклюзивных преобразований, поскольку именно здесь проявляются эффекты включенности, сетевого взаимодействия и локальной адаптации инноваций.</w:t>
      </w:r>
    </w:p>
    <w:p>
      <w:pPr>
        <w:pStyle w:val="P13"/>
        <w:spacing w:lineRule="auto" w:line="360" w:beforeAutospacing="0" w:afterAutospacing="0"/>
        <w:ind w:firstLine="707" w:right="167"/>
        <w:jc w:val="both"/>
        <w:rPr>
          <w:sz w:val="28"/>
          <w:szCs w:val="28"/>
          <w:lang w:val="ru-RU"/>
        </w:rPr>
      </w:pPr>
      <w:r>
        <w:rPr>
          <w:sz w:val="28"/>
          <w:szCs w:val="28"/>
          <w:lang w:val="ru-RU"/>
        </w:rPr>
        <w:t>В этой логике НИС и РИС эволюционируют от иерархических и фрагментированных структур к более сетевым и открытым системам, ориентированным на вовлечение широкого круга акторов, включая малые и средние предприятия, региональные сообщества и новые формы предпринимательства.</w:t>
      </w:r>
    </w:p>
    <w:p>
      <w:pPr>
        <w:pStyle w:val="P13"/>
        <w:spacing w:lineRule="auto" w:line="360" w:beforeAutospacing="0" w:afterAutospacing="0"/>
        <w:ind w:firstLine="707" w:right="167"/>
        <w:jc w:val="both"/>
        <w:rPr>
          <w:sz w:val="28"/>
          <w:szCs w:val="28"/>
          <w:lang w:val="ru-RU"/>
        </w:rPr>
      </w:pPr>
      <w:r>
        <w:rPr>
          <w:sz w:val="28"/>
          <w:szCs w:val="28"/>
          <w:lang w:val="ru-RU"/>
        </w:rPr>
        <w:t>Выявленные проблемы и ограничения функционирования национальных и региональных инновационных систем в развивающихся и переходных экономиках обусловливают необходимость рассмотрения механизмов их развития не только с позиции стимулирования инновационной активности, но и с точки зрения расширения включенности экономических агентов и территорий в инновационный процесс. В этой связи механизмы развития НИС и РИС целесообразно рассматривать в логике инновационно-инклюзивной модели как многоуровневую совокупность институциональных, организационных и координационных воздействий, направленных на формирование устойчивых инновационных взаимодействий (таблица 7).</w:t>
      </w:r>
    </w:p>
    <w:p>
      <w:pPr>
        <w:pStyle w:val="P13"/>
        <w:spacing w:lineRule="auto" w:line="360" w:beforeAutospacing="0" w:afterAutospacing="0"/>
        <w:ind w:firstLine="707" w:right="167"/>
        <w:jc w:val="both"/>
        <w:rPr>
          <w:sz w:val="28"/>
          <w:szCs w:val="28"/>
          <w:lang w:val="ru-RU"/>
        </w:rPr>
      </w:pPr>
    </w:p>
    <w:p>
      <w:pPr>
        <w:pStyle w:val="P13"/>
        <w:spacing w:lineRule="auto" w:line="360" w:beforeAutospacing="0" w:afterAutospacing="0"/>
        <w:ind w:right="167"/>
        <w:jc w:val="both"/>
        <w:rPr>
          <w:sz w:val="28"/>
          <w:szCs w:val="28"/>
          <w:lang w:val="ru-RU"/>
        </w:rPr>
      </w:pPr>
      <w:r>
        <w:rPr>
          <w:sz w:val="28"/>
          <w:szCs w:val="28"/>
          <w:lang w:val="ru-RU"/>
        </w:rPr>
        <w:t>Таблица 7 – Механизмы развития национальных и региональных инновационных систем в инновационно-инклюзивной логике (составлено автором)</w:t>
      </w:r>
    </w:p>
    <w:tbl>
      <w:tblPr>
        <w:tblStyle w:val="T3"/>
        <w:tblW w:w="0" w:type="auto"/>
        <w:tblLayout w:type="fixed"/>
        <w:tblLook w:val="04A0"/>
      </w:tblPr>
      <w:tblGrid>
        <w:gridCol w:w="1696"/>
        <w:gridCol w:w="2835"/>
        <w:gridCol w:w="2835"/>
        <w:gridCol w:w="2546"/>
      </w:tblGrid>
      <w:tr>
        <w:tc>
          <w:tcPr>
            <w:tcW w:w="1696" w:type="dxa"/>
            <w:hideMark/>
          </w:tcPr>
          <w:p>
            <w:pPr>
              <w:jc w:val="center"/>
              <w:rPr>
                <w:rFonts w:ascii="Times New Roman" w:hAnsi="Times New Roman" w:cs="Times New Roman" w:eastAsia="Times New Roman"/>
                <w:bCs w:val="1"/>
                <w:sz w:val="24"/>
                <w:szCs w:val="24"/>
                <w:lang w:eastAsia="ru-RU"/>
              </w:rPr>
            </w:pPr>
            <w:r>
              <w:rPr>
                <w:rFonts w:ascii="Times New Roman" w:hAnsi="Times New Roman" w:cs="Times New Roman" w:eastAsia="Times New Roman"/>
                <w:bCs w:val="1"/>
                <w:sz w:val="24"/>
                <w:szCs w:val="24"/>
                <w:lang w:eastAsia="ru-RU"/>
              </w:rPr>
              <w:t>Группа механизмов</w:t>
            </w:r>
          </w:p>
        </w:tc>
        <w:tc>
          <w:tcPr>
            <w:tcW w:w="2835" w:type="dxa"/>
            <w:hideMark/>
          </w:tcPr>
          <w:p>
            <w:pPr>
              <w:jc w:val="center"/>
              <w:rPr>
                <w:rFonts w:ascii="Times New Roman" w:hAnsi="Times New Roman" w:cs="Times New Roman" w:eastAsia="Times New Roman"/>
                <w:bCs w:val="1"/>
                <w:sz w:val="24"/>
                <w:szCs w:val="24"/>
                <w:lang w:eastAsia="ru-RU"/>
              </w:rPr>
            </w:pPr>
            <w:r>
              <w:rPr>
                <w:rFonts w:ascii="Times New Roman" w:hAnsi="Times New Roman" w:cs="Times New Roman" w:eastAsia="Times New Roman"/>
                <w:bCs w:val="1"/>
                <w:sz w:val="24"/>
                <w:szCs w:val="24"/>
                <w:lang w:eastAsia="ru-RU"/>
              </w:rPr>
              <w:t>Содержание механизмов в классической модели НИС/РИС</w:t>
            </w:r>
          </w:p>
        </w:tc>
        <w:tc>
          <w:tcPr>
            <w:tcW w:w="2835" w:type="dxa"/>
            <w:hideMark/>
          </w:tcPr>
          <w:p>
            <w:pPr>
              <w:jc w:val="center"/>
              <w:rPr>
                <w:rFonts w:ascii="Times New Roman" w:hAnsi="Times New Roman" w:cs="Times New Roman" w:eastAsia="Times New Roman"/>
                <w:bCs w:val="1"/>
                <w:sz w:val="24"/>
                <w:szCs w:val="24"/>
                <w:lang w:eastAsia="ru-RU"/>
              </w:rPr>
            </w:pPr>
            <w:r>
              <w:rPr>
                <w:rFonts w:ascii="Times New Roman" w:hAnsi="Times New Roman" w:cs="Times New Roman" w:eastAsia="Times New Roman"/>
                <w:bCs w:val="1"/>
                <w:sz w:val="24"/>
                <w:szCs w:val="24"/>
                <w:lang w:eastAsia="ru-RU"/>
              </w:rPr>
              <w:t>Трансформация механизмов в инновационно-инклюзивной модели</w:t>
            </w:r>
          </w:p>
        </w:tc>
        <w:tc>
          <w:tcPr>
            <w:tcW w:w="2546" w:type="dxa"/>
            <w:hideMark/>
          </w:tcPr>
          <w:p>
            <w:pPr>
              <w:jc w:val="center"/>
              <w:rPr>
                <w:rFonts w:ascii="Times New Roman" w:hAnsi="Times New Roman" w:cs="Times New Roman" w:eastAsia="Times New Roman"/>
                <w:bCs w:val="1"/>
                <w:sz w:val="24"/>
                <w:szCs w:val="24"/>
                <w:lang w:eastAsia="ru-RU"/>
              </w:rPr>
            </w:pPr>
            <w:r>
              <w:rPr>
                <w:rFonts w:ascii="Times New Roman" w:hAnsi="Times New Roman" w:cs="Times New Roman" w:eastAsia="Times New Roman"/>
                <w:bCs w:val="1"/>
                <w:sz w:val="24"/>
                <w:szCs w:val="24"/>
                <w:lang w:eastAsia="ru-RU"/>
              </w:rPr>
              <w:t>Значение для развивающихся стран</w:t>
            </w:r>
          </w:p>
        </w:tc>
      </w:tr>
      <w:tr>
        <w:tc>
          <w:tcPr>
            <w:tcW w:w="1696"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bCs w:val="1"/>
                <w:sz w:val="24"/>
                <w:szCs w:val="24"/>
                <w:lang w:eastAsia="ru-RU"/>
              </w:rPr>
              <w:t>Институцио-нальные</w:t>
            </w:r>
          </w:p>
        </w:tc>
        <w:tc>
          <w:tcPr>
            <w:tcW w:w="2835"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Формирование правовой базы, защита прав собственности, поддержка НИОКР и инновационного предпринимательства</w:t>
            </w:r>
          </w:p>
        </w:tc>
        <w:tc>
          <w:tcPr>
            <w:tcW w:w="2835"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Снижение институциональных барьеров входа в инновационный процесс, ориентация институтов на расширение круга участников</w:t>
            </w:r>
          </w:p>
        </w:tc>
        <w:tc>
          <w:tcPr>
            <w:tcW w:w="2546"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Обеспечивает вовлечение МСП, региональных фирм и новых акторов в инновационную деятельность</w:t>
            </w:r>
          </w:p>
        </w:tc>
      </w:tr>
      <w:tr>
        <w:tc>
          <w:tcPr>
            <w:tcW w:w="1696"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bCs w:val="1"/>
                <w:sz w:val="24"/>
                <w:szCs w:val="24"/>
                <w:lang w:eastAsia="ru-RU"/>
              </w:rPr>
              <w:t>Организацио-нно-коорди-национные</w:t>
            </w:r>
          </w:p>
        </w:tc>
        <w:tc>
          <w:tcPr>
            <w:tcW w:w="2835"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Иерархическая координация через государственные программы и ведомственные структуры</w:t>
            </w:r>
          </w:p>
        </w:tc>
        <w:tc>
          <w:tcPr>
            <w:tcW w:w="2835"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Переход к сетевым формам координации, горизонтальным взаимодействиям и партнерствам</w:t>
            </w:r>
          </w:p>
        </w:tc>
        <w:tc>
          <w:tcPr>
            <w:tcW w:w="2546"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Снижает транзакционные издержки и усиливает связность инновационной системы</w:t>
            </w:r>
          </w:p>
        </w:tc>
      </w:tr>
      <w:tr>
        <w:tc>
          <w:tcPr>
            <w:tcW w:w="1696"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bCs w:val="1"/>
                <w:sz w:val="24"/>
                <w:szCs w:val="24"/>
                <w:lang w:eastAsia="ru-RU"/>
              </w:rPr>
              <w:t>Финансовые</w:t>
            </w:r>
          </w:p>
        </w:tc>
        <w:tc>
          <w:tcPr>
            <w:tcW w:w="2835"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Селективная поддержка отдельных отраслей и «точек роста»</w:t>
            </w:r>
          </w:p>
        </w:tc>
        <w:tc>
          <w:tcPr>
            <w:tcW w:w="2835"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Расширение доступа к финансированию инноваций для широкого круга экономических агентов</w:t>
            </w:r>
          </w:p>
        </w:tc>
        <w:tc>
          <w:tcPr>
            <w:tcW w:w="2546"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Повышает инклюзивность инновационного процесса и потенциал его масштабирования</w:t>
            </w:r>
          </w:p>
        </w:tc>
      </w:tr>
      <w:tr>
        <w:tc>
          <w:tcPr>
            <w:tcW w:w="1696"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bCs w:val="1"/>
                <w:sz w:val="24"/>
                <w:szCs w:val="24"/>
                <w:lang w:eastAsia="ru-RU"/>
              </w:rPr>
              <w:t>Региональные (пространственные)</w:t>
            </w:r>
          </w:p>
        </w:tc>
        <w:tc>
          <w:tcPr>
            <w:tcW w:w="2835"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Реализация национальных приоритетов на региональном уровне</w:t>
            </w:r>
          </w:p>
        </w:tc>
        <w:tc>
          <w:tcPr>
            <w:tcW w:w="2835"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Активация локального инновационного потенциала и снижение пространственной асимметрии</w:t>
            </w:r>
          </w:p>
        </w:tc>
        <w:tc>
          <w:tcPr>
            <w:tcW w:w="2546"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Позволяет вовлекать периферийные регионы в инновационное развитие</w:t>
            </w:r>
          </w:p>
        </w:tc>
      </w:tr>
      <w:tr>
        <w:tc>
          <w:tcPr>
            <w:tcW w:w="1696"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bCs w:val="1"/>
                <w:sz w:val="24"/>
                <w:szCs w:val="24"/>
                <w:lang w:eastAsia="ru-RU"/>
              </w:rPr>
              <w:t>Информацио-нно-комму-никационные</w:t>
            </w:r>
          </w:p>
        </w:tc>
        <w:tc>
          <w:tcPr>
            <w:tcW w:w="2835"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Поддержка отдельных каналов трансфера знаний</w:t>
            </w:r>
          </w:p>
        </w:tc>
        <w:tc>
          <w:tcPr>
            <w:tcW w:w="2835"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Формирование устойчивых сетей обмена знаниями и практиками</w:t>
            </w:r>
          </w:p>
        </w:tc>
        <w:tc>
          <w:tcPr>
            <w:tcW w:w="2546"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Усиливает диффузию инноваций и коллективное обучение</w:t>
            </w:r>
          </w:p>
        </w:tc>
      </w:tr>
      <w:tr>
        <w:tc>
          <w:tcPr>
            <w:tcW w:w="1696"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bCs w:val="1"/>
                <w:sz w:val="24"/>
                <w:szCs w:val="24"/>
                <w:lang w:eastAsia="ru-RU"/>
              </w:rPr>
              <w:t>Инклюзивные (процессные)</w:t>
            </w:r>
          </w:p>
        </w:tc>
        <w:tc>
          <w:tcPr>
            <w:tcW w:w="2835"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Рассматриваются как внешние социальные эффекты инноваций</w:t>
            </w:r>
          </w:p>
        </w:tc>
        <w:tc>
          <w:tcPr>
            <w:tcW w:w="2835"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Инклюзивность встраивается в сам инновационный процесс</w:t>
            </w:r>
          </w:p>
        </w:tc>
        <w:tc>
          <w:tcPr>
            <w:tcW w:w="2546"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Обеспечивает долгос-рочную устойчивость инновационной системы</w:t>
            </w:r>
          </w:p>
        </w:tc>
      </w:tr>
    </w:tbl>
    <w:p>
      <w:pPr>
        <w:pStyle w:val="P13"/>
        <w:spacing w:lineRule="auto" w:line="360" w:beforeAutospacing="0" w:afterAutospacing="0"/>
        <w:ind w:right="167"/>
        <w:jc w:val="both"/>
        <w:rPr>
          <w:sz w:val="28"/>
          <w:szCs w:val="28"/>
          <w:lang w:val="ru-RU"/>
        </w:rPr>
      </w:pPr>
    </w:p>
    <w:p>
      <w:pPr>
        <w:pStyle w:val="P13"/>
        <w:spacing w:lineRule="auto" w:line="360" w:beforeAutospacing="0" w:afterAutospacing="0"/>
        <w:ind w:firstLine="707" w:right="167"/>
        <w:jc w:val="both"/>
        <w:rPr>
          <w:sz w:val="28"/>
          <w:szCs w:val="28"/>
          <w:lang w:val="ru-RU"/>
        </w:rPr>
      </w:pPr>
      <w:r>
        <w:rPr>
          <w:sz w:val="28"/>
          <w:szCs w:val="28"/>
          <w:lang w:val="ru-RU"/>
        </w:rPr>
        <w:t xml:space="preserve">К базовым механизмам развития инновационных систем относятся институциональные механизмы, формирующие «правила игры» инновационной деятельности. В </w:t>
      </w:r>
      <w:r>
        <w:rPr>
          <w:sz w:val="28"/>
          <w:szCs w:val="28"/>
          <w:highlight w:val="yellow"/>
          <w:lang w:val="ru-RU"/>
        </w:rPr>
        <w:t>классической трактовке</w:t>
      </w:r>
      <w:r>
        <w:rPr>
          <w:sz w:val="28"/>
          <w:szCs w:val="28"/>
          <w:lang w:val="ru-RU"/>
        </w:rPr>
        <w:t xml:space="preserve"> они ориентированы на защиту прав собственности, стимулирование НИОКР, поддержку предпринимательства и развитие инфраструктуры. Однако в условиях развивающихся стран данные механизмы нередко оказываются селективными, обслуживая ограниченный круг акторов и не обеспечивая расширенного воспроизводства инновационного потенциала.</w:t>
      </w:r>
    </w:p>
    <w:p>
      <w:pPr>
        <w:pStyle w:val="P13"/>
        <w:spacing w:lineRule="auto" w:line="360" w:beforeAutospacing="0" w:afterAutospacing="0"/>
        <w:ind w:firstLine="707" w:right="167"/>
        <w:jc w:val="both"/>
        <w:rPr>
          <w:sz w:val="28"/>
          <w:szCs w:val="28"/>
          <w:lang w:val="ru-RU"/>
        </w:rPr>
      </w:pPr>
      <w:r>
        <w:rPr>
          <w:sz w:val="28"/>
          <w:szCs w:val="28"/>
          <w:lang w:val="ru-RU"/>
        </w:rPr>
        <w:t>В логике инновационно-инклюзивной модели институциональные механизмы развития НИС/РИС должны быть ориентированы не только на повышение инновационной результативности, но и на снижение институциональных барьеров входа в инновационный процесс для малых и средних предприятий, региональных фирм и новых участников. Тем самым институты развития начинают выполнять не только стимулирующую, но и включающую функцию, что принципиально меняет характер инновационной политики.</w:t>
      </w:r>
    </w:p>
    <w:p>
      <w:pPr>
        <w:pStyle w:val="P13"/>
        <w:spacing w:lineRule="auto" w:line="360" w:beforeAutospacing="0" w:afterAutospacing="0"/>
        <w:ind w:firstLine="707" w:right="167"/>
        <w:jc w:val="both"/>
        <w:rPr>
          <w:sz w:val="28"/>
          <w:szCs w:val="28"/>
          <w:lang w:val="ru-RU"/>
        </w:rPr>
      </w:pPr>
      <w:r>
        <w:rPr>
          <w:sz w:val="28"/>
          <w:szCs w:val="28"/>
          <w:lang w:val="ru-RU"/>
        </w:rPr>
        <w:t xml:space="preserve">Вторую группу составляют организационно-координационные механизмы, обеспечивающие согласование интересов и действий акторов инновационной системы. </w:t>
      </w:r>
      <w:r>
        <w:rPr>
          <w:sz w:val="28"/>
          <w:szCs w:val="28"/>
          <w:highlight w:val="yellow"/>
          <w:lang w:val="ru-RU"/>
        </w:rPr>
        <w:t>В классических моделях НИС/РИС</w:t>
      </w:r>
      <w:r>
        <w:rPr>
          <w:sz w:val="28"/>
          <w:szCs w:val="28"/>
          <w:lang w:val="ru-RU"/>
        </w:rPr>
        <w:t xml:space="preserve"> координация часто осуществляется через иерархические структуры и программно-целевые инструменты, что в развивающихся экономиках приводит к избыточной централизации и снижению гибкости системы. Переход к инновационно-инклюзивной логике предполагает смещение акцента в сторону сетевых форм координации, основанных на горизонтальных взаимодействиях, партнерствах и совместном обучении. В этом контексте развитие НИС/РИС связывается с формированием устойчивых сетей взаимодействия между бизнесом, наукой, государством и финансовыми институтами, обеспечивающих распространение знаний и снижение транзакционных издержек инновационной деятельности.</w:t>
      </w:r>
    </w:p>
    <w:p>
      <w:pPr>
        <w:pStyle w:val="P13"/>
        <w:spacing w:lineRule="auto" w:line="360" w:beforeAutospacing="0" w:afterAutospacing="0"/>
        <w:ind w:firstLine="707" w:right="167"/>
        <w:jc w:val="both"/>
        <w:rPr>
          <w:sz w:val="28"/>
          <w:szCs w:val="28"/>
          <w:lang w:val="ru-RU"/>
        </w:rPr>
      </w:pPr>
      <w:r>
        <w:rPr>
          <w:sz w:val="28"/>
          <w:szCs w:val="28"/>
          <w:lang w:val="ru-RU"/>
        </w:rPr>
        <w:t xml:space="preserve">Финансовые механизмы </w:t>
      </w:r>
      <w:r>
        <w:rPr>
          <w:sz w:val="28"/>
          <w:szCs w:val="28"/>
          <w:highlight w:val="yellow"/>
          <w:lang w:val="ru-RU"/>
        </w:rPr>
        <w:t>традиционно рассматриваются</w:t>
      </w:r>
      <w:r>
        <w:rPr>
          <w:sz w:val="28"/>
          <w:szCs w:val="28"/>
          <w:lang w:val="ru-RU"/>
        </w:rPr>
        <w:t xml:space="preserve"> как ключевой элемент инновационной системы, однако в развивающихся странах они часто носят ограниченный и сегментированный характер. Поддержка инноваций концентрируется в отдельных секторах и регионах, что усиливает неравномерность инновационного развития. В инновационно-инклюзивной модели развитие финансовых механизмов НИС/РИС предполагает переориентацию с поддержки «точек роста» на расширение доступа к финансированию инноваций для более широкого круга экономических агентов. В теоретическом плане это означает признание того, что доступ к финансовым ресурсам является не только экономическим, но и институциональным условием включенности в инновационный процесс.</w:t>
      </w:r>
    </w:p>
    <w:p>
      <w:pPr>
        <w:pStyle w:val="P13"/>
        <w:spacing w:lineRule="auto" w:line="360" w:beforeAutospacing="0" w:afterAutospacing="0"/>
        <w:ind w:firstLine="707" w:right="167"/>
        <w:jc w:val="both"/>
        <w:rPr>
          <w:sz w:val="28"/>
          <w:szCs w:val="28"/>
          <w:lang w:val="ru-RU"/>
        </w:rPr>
      </w:pPr>
      <w:r>
        <w:rPr>
          <w:sz w:val="28"/>
          <w:szCs w:val="28"/>
          <w:lang w:val="ru-RU"/>
        </w:rPr>
        <w:t xml:space="preserve">Региональный уровень реализации механизмов приобретает особое значение в развитии инновационных систем, поскольку именно здесь формируются локальные сети взаимодействия, проявляются эффекты агломерации и возникают возможности для вовлечения периферийных территорий. В </w:t>
      </w:r>
      <w:r>
        <w:rPr>
          <w:sz w:val="28"/>
          <w:szCs w:val="28"/>
          <w:highlight w:val="yellow"/>
          <w:lang w:val="ru-RU"/>
        </w:rPr>
        <w:t>классической модели РИС регион</w:t>
      </w:r>
      <w:r>
        <w:rPr>
          <w:sz w:val="28"/>
          <w:szCs w:val="28"/>
          <w:lang w:val="ru-RU"/>
        </w:rPr>
        <w:t xml:space="preserve"> рассматривается как площадка реализации национальных приоритетов, что в развивающихся странах нередко приводит к воспроизводству пространственных разрывов. В инновационно-инклюзивной логике региональные механизмы развития НИС/РИС ориентированы на активацию локального инновационного потенциала, развитие межрегиональных связей и снижение асимметрии доступа к инновационной инфраструктуре. Регион перестает быть пассивным получателем инновационной политики и рассматривается как активный элемент инновационной системы, способный формировать собственные траектории развития.</w:t>
      </w:r>
    </w:p>
    <w:p>
      <w:pPr>
        <w:pStyle w:val="P13"/>
        <w:spacing w:lineRule="auto" w:line="360" w:beforeAutospacing="0" w:afterAutospacing="0"/>
        <w:ind w:firstLine="707" w:right="167"/>
        <w:jc w:val="both"/>
        <w:rPr>
          <w:sz w:val="28"/>
          <w:szCs w:val="28"/>
          <w:lang w:val="ru-RU"/>
        </w:rPr>
      </w:pPr>
      <w:r>
        <w:rPr>
          <w:sz w:val="28"/>
          <w:szCs w:val="28"/>
          <w:lang w:val="ru-RU"/>
        </w:rPr>
        <w:t>Принципиальное отличие предлагаемой нами инновационно-инклюзивной модели от классических подходов заключается в том, что инклюзивность встраивается в механизмы развития инновационной системы, а не рассматривается как внешний социальный эффект. Это означает, что оценка эффективности НИС/РИС дополняется анализом:</w:t>
      </w:r>
    </w:p>
    <w:p>
      <w:pPr>
        <w:pStyle w:val="P13"/>
        <w:numPr>
          <w:ilvl w:val="0"/>
          <w:numId w:val="17"/>
        </w:numPr>
        <w:tabs>
          <w:tab w:val="left" w:pos="993" w:leader="none"/>
        </w:tabs>
        <w:spacing w:lineRule="auto" w:line="360" w:beforeAutospacing="0" w:afterAutospacing="0"/>
        <w:ind w:firstLine="709" w:left="0" w:right="167"/>
        <w:jc w:val="both"/>
        <w:rPr>
          <w:sz w:val="28"/>
          <w:szCs w:val="28"/>
          <w:lang w:val="ru-RU"/>
        </w:rPr>
      </w:pPr>
      <w:r>
        <w:rPr>
          <w:sz w:val="28"/>
          <w:szCs w:val="28"/>
          <w:lang w:val="ru-RU"/>
        </w:rPr>
        <w:t>степени вовлеченности экономических агентов в инновационный процесс;</w:t>
      </w:r>
    </w:p>
    <w:p>
      <w:pPr>
        <w:pStyle w:val="P13"/>
        <w:numPr>
          <w:ilvl w:val="0"/>
          <w:numId w:val="17"/>
        </w:numPr>
        <w:tabs>
          <w:tab w:val="left" w:pos="993" w:leader="none"/>
        </w:tabs>
        <w:spacing w:lineRule="auto" w:line="360" w:beforeAutospacing="0" w:afterAutospacing="0"/>
        <w:ind w:firstLine="709" w:left="0" w:right="167"/>
        <w:jc w:val="both"/>
        <w:rPr>
          <w:sz w:val="28"/>
          <w:szCs w:val="28"/>
          <w:lang w:val="ru-RU"/>
        </w:rPr>
      </w:pPr>
      <w:r>
        <w:rPr>
          <w:sz w:val="28"/>
          <w:szCs w:val="28"/>
          <w:lang w:val="ru-RU"/>
        </w:rPr>
        <w:t>широты распространения инновационных эффектов;</w:t>
      </w:r>
    </w:p>
    <w:p>
      <w:pPr>
        <w:pStyle w:val="P13"/>
        <w:numPr>
          <w:ilvl w:val="0"/>
          <w:numId w:val="17"/>
        </w:numPr>
        <w:tabs>
          <w:tab w:val="left" w:pos="993" w:leader="none"/>
        </w:tabs>
        <w:spacing w:lineRule="auto" w:line="360" w:beforeAutospacing="0" w:afterAutospacing="0"/>
        <w:ind w:firstLine="709" w:left="0" w:right="167"/>
        <w:jc w:val="both"/>
        <w:rPr>
          <w:sz w:val="28"/>
          <w:szCs w:val="28"/>
          <w:lang w:val="ru-RU"/>
        </w:rPr>
      </w:pPr>
      <w:r>
        <w:rPr>
          <w:sz w:val="28"/>
          <w:szCs w:val="28"/>
          <w:lang w:val="ru-RU"/>
        </w:rPr>
        <w:t>способности системы воспроизводить инновационную активность за пределами узких «ядер».</w:t>
      </w:r>
    </w:p>
    <w:p>
      <w:pPr>
        <w:pStyle w:val="P13"/>
        <w:spacing w:lineRule="auto" w:line="360" w:beforeAutospacing="0" w:afterAutospacing="0"/>
        <w:ind w:firstLine="707" w:right="167"/>
        <w:jc w:val="both"/>
        <w:rPr>
          <w:sz w:val="28"/>
          <w:szCs w:val="28"/>
          <w:lang w:val="ru-RU"/>
        </w:rPr>
      </w:pPr>
      <w:r>
        <w:rPr>
          <w:sz w:val="28"/>
          <w:szCs w:val="28"/>
          <w:lang w:val="ru-RU"/>
        </w:rPr>
        <w:t>Систематизация механизмов развития национальных и региональных инновационных систем показывает, что в классической модели НИС/РИС данные механизмы ориентированы преимущественно на стимулирование инновационной активности и технологического развития, тогда как их инклюзивное измерение остается вторичным. В условиях развивающихся и переходных экономик такая логика приводит к воспроизводству фрагментированных инновационных систем, территориальной концентрации инноваций и ограниченному участию экономических агентов в инновационном процессе.</w:t>
      </w:r>
    </w:p>
    <w:p>
      <w:pPr>
        <w:pStyle w:val="P13"/>
        <w:spacing w:lineRule="auto" w:line="360" w:beforeAutospacing="0" w:afterAutospacing="0"/>
        <w:ind w:firstLine="707" w:right="167"/>
        <w:jc w:val="both"/>
        <w:rPr>
          <w:sz w:val="28"/>
          <w:szCs w:val="28"/>
          <w:lang w:val="ru-RU"/>
        </w:rPr>
      </w:pPr>
      <w:r>
        <w:rPr>
          <w:sz w:val="28"/>
          <w:szCs w:val="28"/>
          <w:lang w:val="ru-RU"/>
        </w:rPr>
        <w:t>Инновационно-инклюзивная модель развития НИС и РИС предполагает качественную трансформацию механизмов развития, при которой расширение включенности акторов и территорий становится не побочным эффектом, а целевым ориентиром инновационной политики. В данной модели инновации выступают не только источником роста, но и инструментом формирования устойчивых сетевых взаимодействий и институциональной связности экономики.</w:t>
      </w:r>
    </w:p>
    <w:p>
      <w:pPr>
        <w:pStyle w:val="P13"/>
        <w:spacing w:lineRule="auto" w:line="360" w:beforeAutospacing="0" w:afterAutospacing="0"/>
        <w:ind w:firstLine="707" w:right="167"/>
        <w:jc w:val="both"/>
        <w:rPr>
          <w:sz w:val="28"/>
          <w:szCs w:val="28"/>
          <w:lang w:val="ru-RU"/>
        </w:rPr>
      </w:pPr>
      <w:r>
        <w:rPr>
          <w:sz w:val="28"/>
          <w:szCs w:val="28"/>
          <w:lang w:val="ru-RU"/>
        </w:rPr>
        <w:t>Реализация инновационно-инклюзивной модели развития национальных и региональных инновационных систем требует таких механизмов координации, которые обеспечивают устойчивое сетевое взаимодействие акторов, снижение транзакционных издержек и формирование доверия в условиях высокой институциональной неоднородности. В этой связи далее рассмотрим такие ключевые элементы современной экономики инноваций как цифровая платформизация и институт доверия, обеспечивающие практическую реализуемость инновационно-инклюзивных механизмов развития НИС и РИС в современных условиях.</w:t>
      </w:r>
    </w:p>
    <w:p>
      <w:pPr>
        <w:pStyle w:val="P13"/>
        <w:spacing w:lineRule="auto" w:line="360" w:beforeAutospacing="0" w:afterAutospacing="0"/>
        <w:ind w:firstLine="707" w:right="167"/>
        <w:jc w:val="both"/>
        <w:rPr>
          <w:sz w:val="28"/>
          <w:szCs w:val="28"/>
          <w:lang w:val="ru-RU"/>
        </w:rPr>
      </w:pPr>
    </w:p>
    <w:p>
      <w:pPr>
        <w:pStyle w:val="P13"/>
        <w:spacing w:lineRule="auto" w:line="360" w:beforeAutospacing="0" w:afterAutospacing="0"/>
        <w:ind w:firstLine="707" w:right="167"/>
        <w:jc w:val="both"/>
        <w:rPr>
          <w:sz w:val="28"/>
          <w:szCs w:val="28"/>
          <w:lang w:val="ru-RU"/>
        </w:rPr>
      </w:pPr>
    </w:p>
    <w:p>
      <w:pPr>
        <w:pStyle w:val="P13"/>
        <w:spacing w:lineRule="auto" w:line="360" w:beforeAutospacing="0" w:afterAutospacing="0"/>
        <w:ind w:firstLine="707" w:right="167"/>
        <w:jc w:val="both"/>
        <w:rPr>
          <w:sz w:val="28"/>
          <w:szCs w:val="28"/>
          <w:lang w:val="ru-RU"/>
        </w:rPr>
      </w:pPr>
    </w:p>
    <w:p>
      <w:pPr>
        <w:pStyle w:val="P13"/>
        <w:spacing w:lineRule="auto" w:line="360" w:beforeAutospacing="0" w:afterAutospacing="0"/>
        <w:ind w:firstLine="707" w:right="167"/>
        <w:jc w:val="center"/>
        <w:rPr>
          <w:b w:val="1"/>
          <w:sz w:val="28"/>
          <w:szCs w:val="28"/>
          <w:lang w:val="ru-RU"/>
        </w:rPr>
      </w:pPr>
      <w:r>
        <w:rPr>
          <w:b w:val="1"/>
          <w:sz w:val="28"/>
          <w:szCs w:val="28"/>
          <w:lang w:val="ru-RU"/>
        </w:rPr>
        <w:t xml:space="preserve">1.3. Цифровая платформизация и институт доверия в экономике инноваций </w:t>
      </w:r>
    </w:p>
    <w:p>
      <w:pPr>
        <w:pStyle w:val="P13"/>
        <w:spacing w:lineRule="auto" w:line="360" w:beforeAutospacing="0" w:afterAutospacing="0"/>
        <w:ind w:firstLine="707" w:right="167"/>
        <w:jc w:val="center"/>
        <w:rPr>
          <w:b w:val="1"/>
          <w:sz w:val="28"/>
          <w:szCs w:val="28"/>
          <w:lang w:val="ru-RU"/>
        </w:rPr>
      </w:pPr>
    </w:p>
    <w:p>
      <w:pPr>
        <w:pStyle w:val="P13"/>
        <w:spacing w:lineRule="auto" w:line="360" w:beforeAutospacing="0" w:afterAutospacing="0"/>
        <w:ind w:firstLine="707" w:right="167"/>
        <w:jc w:val="center"/>
        <w:rPr>
          <w:b w:val="1"/>
          <w:sz w:val="28"/>
          <w:szCs w:val="28"/>
          <w:lang w:val="ru-RU"/>
        </w:rPr>
      </w:pPr>
    </w:p>
    <w:p>
      <w:pPr>
        <w:pStyle w:val="P13"/>
        <w:spacing w:lineRule="auto" w:line="360" w:beforeAutospacing="0" w:afterAutospacing="0"/>
        <w:ind w:firstLine="707" w:right="167"/>
        <w:jc w:val="center"/>
        <w:rPr>
          <w:b w:val="1"/>
          <w:sz w:val="28"/>
          <w:szCs w:val="28"/>
          <w:lang w:val="ru-RU"/>
        </w:rPr>
      </w:pPr>
    </w:p>
    <w:p>
      <w:pPr>
        <w:pStyle w:val="P13"/>
        <w:spacing w:lineRule="auto" w:line="360" w:beforeAutospacing="0" w:afterAutospacing="0"/>
        <w:ind w:firstLine="707" w:right="167"/>
        <w:jc w:val="both"/>
        <w:rPr>
          <w:sz w:val="28"/>
          <w:szCs w:val="28"/>
          <w:lang w:val="ru-RU"/>
        </w:rPr>
      </w:pPr>
      <w:r>
        <w:rPr>
          <w:sz w:val="28"/>
          <w:szCs w:val="28"/>
          <w:lang w:val="ru-RU"/>
        </w:rPr>
        <w:t>Логика развития национальных и региональных инновационных систем показывает, что в условиях фрагментированности, институциональной неоднородности и территориальных разрывов ключевой проблемой становится координация взаимодействий между акторами инновационного процесса. В этой связи в современной теории экономики инноваций все большее внимание уделяется институту доверия и цифровой платформизации как взаимосвязанным механизмам, обеспечивающим устойчивость и воспроизводимость инновационных взаимодействий.</w:t>
      </w:r>
    </w:p>
    <w:p>
      <w:pPr>
        <w:pStyle w:val="P13"/>
        <w:spacing w:lineRule="auto" w:line="360" w:beforeAutospacing="0" w:afterAutospacing="0"/>
        <w:ind w:firstLine="707" w:right="167"/>
        <w:jc w:val="both"/>
        <w:rPr>
          <w:sz w:val="28"/>
          <w:szCs w:val="28"/>
          <w:lang w:val="ru-RU"/>
        </w:rPr>
      </w:pPr>
      <w:r>
        <w:rPr>
          <w:sz w:val="28"/>
          <w:szCs w:val="28"/>
          <w:lang w:val="ru-RU"/>
        </w:rPr>
        <w:t>В условиях глобальной цифровизации, рассматриваемой как мегатренд социально-экономического развития XXI века, актуальность доверия как института цифровой экономики является неоспоримой. Доверие трансформировалось из исторически целостного института, этимологически представляющего веру в надежность чего-либо или кого-либо, в экзистенциальную проблему и важнейший новый институт.</w:t>
      </w:r>
    </w:p>
    <w:p>
      <w:pPr>
        <w:pStyle w:val="P13"/>
        <w:spacing w:lineRule="auto" w:line="360" w:beforeAutospacing="0" w:afterAutospacing="0"/>
        <w:ind w:firstLine="707" w:right="167"/>
        <w:jc w:val="both"/>
        <w:rPr>
          <w:sz w:val="28"/>
          <w:szCs w:val="28"/>
          <w:lang w:val="ru-RU"/>
        </w:rPr>
      </w:pPr>
      <w:r>
        <w:rPr>
          <w:sz w:val="28"/>
          <w:szCs w:val="28"/>
          <w:lang w:val="ru-RU"/>
        </w:rPr>
        <w:t xml:space="preserve">В современную эпоху доверие приобретает специфические черты, выступая в форме цифрового доверия, институционального и/или технологического, а также межорганизационного доверия. </w:t>
      </w:r>
    </w:p>
    <w:p>
      <w:pPr>
        <w:pStyle w:val="P13"/>
        <w:spacing w:lineRule="auto" w:line="360" w:beforeAutospacing="0" w:afterAutospacing="0"/>
        <w:ind w:firstLine="707" w:right="167"/>
        <w:jc w:val="both"/>
        <w:rPr>
          <w:sz w:val="28"/>
          <w:szCs w:val="28"/>
          <w:lang w:val="ru-RU"/>
        </w:rPr>
      </w:pPr>
      <w:r>
        <w:rPr>
          <w:sz w:val="28"/>
          <w:szCs w:val="28"/>
          <w:lang w:val="ru-RU"/>
        </w:rPr>
        <w:t>В среде «технологономики» (экономики нового технологического уклада) доверие позиционируется как трансакционный институт цифровой экономики, который регулирует экономические процессы воспроизводства информационно-цифровых благ. При этом главной ролью доверия как трансакционного института является связывание и «цементирование» различных экономических процессов по новым правилам</w:t>
      </w:r>
      <w:r>
        <w:rPr>
          <w:rStyle w:val="C42"/>
          <w:sz w:val="28"/>
          <w:szCs w:val="28"/>
          <w:lang w:val="ru-RU"/>
        </w:rPr>
        <w:footnoteReference w:id="55"/>
      </w:r>
      <w:r>
        <w:rPr>
          <w:sz w:val="28"/>
          <w:szCs w:val="28"/>
          <w:lang w:val="ru-RU"/>
        </w:rPr>
        <w:t>.</w:t>
      </w:r>
    </w:p>
    <w:p>
      <w:pPr>
        <w:pStyle w:val="P13"/>
        <w:spacing w:lineRule="auto" w:line="360" w:beforeAutospacing="0" w:afterAutospacing="0"/>
        <w:ind w:firstLine="707" w:right="167"/>
        <w:jc w:val="both"/>
        <w:rPr>
          <w:sz w:val="28"/>
          <w:szCs w:val="28"/>
          <w:lang w:val="ru-RU"/>
        </w:rPr>
      </w:pPr>
      <w:r>
        <w:rPr>
          <w:sz w:val="28"/>
          <w:szCs w:val="28"/>
          <w:lang w:val="ru-RU"/>
        </w:rPr>
        <w:t>Концепт цифрового доверия, предложенный, в частности, на Всемирном экономическом форуме (ВЭФ) в Давосе в 2022 году, подразумевает убеждение в том, что общение в сети сетей (Интернете, который выступает в роли метаинститута) происходит с реальным человеком (отличающимся от робота или фиктивной личности), а также уверенность пользователя в том, что виртуальные информационные системы являются надежными, безопасными и соблюдают принцип приватности. В то же время, несмотря на потребность в доверии, на практике наблюдаются риски цифрового недоверия, связанные с киберпреступлениями и ростом трансакционных издержек в форме оппортунистического поведения. ВЭФ обозначил цифровое доверие как механизм, способный стимулировать генерацию новых источников дохода</w:t>
      </w:r>
      <w:r>
        <w:rPr>
          <w:rStyle w:val="C42"/>
          <w:sz w:val="28"/>
          <w:szCs w:val="28"/>
          <w:lang w:val="ru-RU"/>
        </w:rPr>
        <w:footnoteReference w:id="56"/>
      </w:r>
      <w:r>
        <w:rPr>
          <w:sz w:val="28"/>
          <w:szCs w:val="28"/>
          <w:lang w:val="ru-RU"/>
        </w:rPr>
        <w:t>.</w:t>
      </w:r>
    </w:p>
    <w:p>
      <w:pPr>
        <w:pStyle w:val="P13"/>
        <w:spacing w:lineRule="auto" w:line="360" w:beforeAutospacing="0" w:afterAutospacing="0"/>
        <w:ind w:firstLine="707" w:right="167"/>
        <w:jc w:val="both"/>
        <w:rPr>
          <w:sz w:val="28"/>
          <w:szCs w:val="28"/>
          <w:lang w:val="ru-RU"/>
        </w:rPr>
      </w:pPr>
      <w:r>
        <w:rPr>
          <w:sz w:val="28"/>
          <w:szCs w:val="28"/>
          <w:lang w:val="ru-RU"/>
        </w:rPr>
        <w:t xml:space="preserve">Доверие является фундаментальной основой развития экономики любой страны и определяющим фактором успеха или неудачи субъектов хозяйствования. Оно признается одним из ключевых факторов, определяющих успех предпринимательской деятельности субъектов хозяйствования. Доверие также порождает стремление к инновациям на предприятиях. </w:t>
      </w:r>
      <w:r>
        <w:rPr>
          <w:sz w:val="28"/>
          <w:szCs w:val="28"/>
          <w:highlight w:val="yellow"/>
          <w:lang w:val="ru-RU"/>
        </w:rPr>
        <w:t>Учеными доказано</w:t>
      </w:r>
      <w:r>
        <w:rPr>
          <w:sz w:val="28"/>
          <w:szCs w:val="28"/>
          <w:lang w:val="ru-RU"/>
        </w:rPr>
        <w:t xml:space="preserve"> влияние доверия на инновационность экономики и темпы экономического роста. В эпоху ускоренной цифровизации, характеризующейся неопределенностью и хаосом, доверие позволяет представителям бизнеса уменьшить неопределенность и поддерживает устойчивость деятельности.</w:t>
      </w:r>
    </w:p>
    <w:p>
      <w:pPr>
        <w:pStyle w:val="P13"/>
        <w:spacing w:lineRule="auto" w:line="360" w:beforeAutospacing="0" w:afterAutospacing="0"/>
        <w:ind w:firstLine="707" w:right="167"/>
        <w:jc w:val="both"/>
        <w:rPr>
          <w:sz w:val="28"/>
          <w:szCs w:val="28"/>
          <w:lang w:val="ru-RU"/>
        </w:rPr>
      </w:pPr>
      <w:r>
        <w:rPr>
          <w:sz w:val="28"/>
          <w:szCs w:val="28"/>
          <w:lang w:val="ru-RU"/>
        </w:rPr>
        <w:t>С позиции институциональной экономики, доверие как эффективный механизм организации и регулирования трансакций позволяет минимизировать издержки ограниченной рациональности и препятствует проявлению оппортунистического поведения. Более того, рост социального доверия, в целом, приводит к снижению трансакционных издержек.</w:t>
      </w:r>
    </w:p>
    <w:p>
      <w:pPr>
        <w:pStyle w:val="P13"/>
        <w:spacing w:lineRule="auto" w:line="360" w:beforeAutospacing="0" w:afterAutospacing="0"/>
        <w:ind w:firstLine="707" w:right="167"/>
        <w:jc w:val="both"/>
        <w:rPr>
          <w:sz w:val="28"/>
          <w:szCs w:val="28"/>
          <w:lang w:val="ru-RU"/>
        </w:rPr>
      </w:pPr>
      <w:r>
        <w:rPr>
          <w:sz w:val="28"/>
          <w:szCs w:val="28"/>
          <w:lang w:val="ru-RU"/>
        </w:rPr>
        <w:t xml:space="preserve">Вместе с тем, например, низкий уровень доверия контрагентов в России является одним из факторов недостаточной инновационной активности. В инновационном процессе, где уровень риска и неопределенности особенно высок, доверие приобретает особую значимость. Анализ роли доверия на этапах инновационного процесса показал, что наиболее значимую роль оно играет на этапе поиска источников финансирования и патентования новой технологии. </w:t>
      </w:r>
      <w:r>
        <w:rPr>
          <w:sz w:val="28"/>
          <w:szCs w:val="28"/>
          <w:highlight w:val="yellow"/>
          <w:lang w:val="ru-RU"/>
        </w:rPr>
        <w:t>(ссылка???)</w:t>
      </w:r>
    </w:p>
    <w:p>
      <w:pPr>
        <w:pStyle w:val="P13"/>
        <w:spacing w:lineRule="auto" w:line="360" w:beforeAutospacing="0" w:afterAutospacing="0"/>
        <w:ind w:firstLine="707" w:right="167"/>
        <w:jc w:val="both"/>
        <w:rPr>
          <w:sz w:val="28"/>
          <w:szCs w:val="28"/>
          <w:lang w:val="ru-RU"/>
        </w:rPr>
      </w:pPr>
      <w:r>
        <w:rPr>
          <w:sz w:val="28"/>
          <w:szCs w:val="28"/>
          <w:lang w:val="ru-RU"/>
        </w:rPr>
        <w:t>Институт доверия является фундаментальной основой развития экономики и бизнеса. В общепринятом экономическом понимании доверие определяется как ожидание потенциального благонадежного поведения партнера в процессе взаимодействия экономических агентов</w:t>
      </w:r>
      <w:r>
        <w:rPr>
          <w:rStyle w:val="C42"/>
          <w:sz w:val="28"/>
          <w:szCs w:val="28"/>
          <w:lang w:val="ru-RU"/>
        </w:rPr>
        <w:footnoteReference w:id="57"/>
      </w:r>
      <w:r>
        <w:rPr>
          <w:sz w:val="28"/>
          <w:szCs w:val="28"/>
          <w:lang w:val="ru-RU"/>
        </w:rPr>
        <w:t>.</w:t>
      </w:r>
    </w:p>
    <w:p>
      <w:pPr>
        <w:pStyle w:val="P13"/>
        <w:spacing w:lineRule="auto" w:line="360" w:beforeAutospacing="0" w:afterAutospacing="0"/>
        <w:ind w:firstLine="707" w:right="167"/>
        <w:jc w:val="both"/>
        <w:rPr>
          <w:sz w:val="28"/>
          <w:szCs w:val="28"/>
          <w:lang w:val="ru-RU"/>
        </w:rPr>
      </w:pPr>
      <w:r>
        <w:rPr>
          <w:sz w:val="28"/>
          <w:szCs w:val="28"/>
          <w:lang w:val="ru-RU"/>
        </w:rPr>
        <w:t>В рамках институциональной экономической теории К. Эрроу рассматривал доверие как эффективный механизм организации и регулирования трансакций</w:t>
      </w:r>
      <w:r>
        <w:rPr>
          <w:rStyle w:val="C42"/>
          <w:sz w:val="28"/>
          <w:szCs w:val="28"/>
          <w:lang w:val="ru-RU"/>
        </w:rPr>
        <w:footnoteReference w:id="58"/>
      </w:r>
      <w:r>
        <w:rPr>
          <w:sz w:val="28"/>
          <w:szCs w:val="28"/>
          <w:lang w:val="ru-RU"/>
        </w:rPr>
        <w:t>. В свою очередь, О. Уильямсон указывал на взаимосвязь доверия и трансакционных издержек</w:t>
      </w:r>
      <w:r>
        <w:rPr>
          <w:rStyle w:val="C42"/>
          <w:sz w:val="28"/>
          <w:szCs w:val="28"/>
          <w:lang w:val="ru-RU"/>
        </w:rPr>
        <w:footnoteReference w:id="59"/>
      </w:r>
      <w:r>
        <w:rPr>
          <w:sz w:val="28"/>
          <w:szCs w:val="28"/>
          <w:lang w:val="ru-RU"/>
        </w:rPr>
        <w:t>, утверждая, что организация трансакций на основе доверия позволяет минимизировать издержки ограниченной рациональности и препятствует проявлению оппортунистического поведения акторов. Таким образом, рост социального доверия в целом приводит к снижению трансакционных издержек.</w:t>
      </w:r>
    </w:p>
    <w:p>
      <w:pPr>
        <w:pStyle w:val="P13"/>
        <w:spacing w:lineRule="auto" w:line="360" w:beforeAutospacing="0" w:afterAutospacing="0"/>
        <w:ind w:firstLine="707" w:right="167"/>
        <w:jc w:val="both"/>
        <w:rPr>
          <w:sz w:val="28"/>
          <w:szCs w:val="28"/>
          <w:lang w:val="ru-RU"/>
        </w:rPr>
      </w:pPr>
      <w:r>
        <w:rPr>
          <w:sz w:val="28"/>
          <w:szCs w:val="28"/>
          <w:lang w:val="ru-RU"/>
        </w:rPr>
        <w:t>Институциональное доверие (institutional trust), введенное Л. Дж. Цукер, определяется как совокупность ожиданий хозяйствующих субъектов относительно приемлемого поведения партнеров по бизнесу, которые основаны на контроле их благонадежности третьей стороной (законы, нормы, лицензии) или на монетизации гарантийных обязательств</w:t>
      </w:r>
      <w:r>
        <w:rPr>
          <w:rStyle w:val="C42"/>
          <w:sz w:val="28"/>
          <w:szCs w:val="28"/>
          <w:lang w:val="ru-RU"/>
        </w:rPr>
        <w:footnoteReference w:id="60"/>
      </w:r>
      <w:r>
        <w:rPr>
          <w:sz w:val="28"/>
          <w:szCs w:val="28"/>
          <w:lang w:val="ru-RU"/>
        </w:rPr>
        <w:t xml:space="preserve">. Как отмечают Юдина Т.Н. и Купчишина Е.В.,  институциональное доверие к судам, полиции, правительству компенсировало низкое доверие между незнакомыми людьми, обеспечивая возможность экономических обменов</w:t>
      </w:r>
      <w:r>
        <w:rPr>
          <w:rStyle w:val="C42"/>
          <w:sz w:val="28"/>
          <w:szCs w:val="28"/>
          <w:lang w:val="ru-RU"/>
        </w:rPr>
        <w:footnoteReference w:id="61"/>
      </w:r>
      <w:r>
        <w:rPr>
          <w:sz w:val="28"/>
          <w:szCs w:val="28"/>
          <w:lang w:val="ru-RU"/>
        </w:rPr>
        <w:t>.</w:t>
      </w:r>
    </w:p>
    <w:p>
      <w:pPr>
        <w:pStyle w:val="P13"/>
        <w:spacing w:lineRule="auto" w:line="360" w:beforeAutospacing="0" w:afterAutospacing="0"/>
        <w:ind w:firstLine="707" w:right="167"/>
        <w:jc w:val="both"/>
        <w:rPr>
          <w:sz w:val="28"/>
          <w:szCs w:val="28"/>
          <w:lang w:val="ru-RU"/>
        </w:rPr>
      </w:pPr>
      <w:r>
        <w:rPr>
          <w:sz w:val="28"/>
          <w:szCs w:val="28"/>
          <w:lang w:val="ru-RU"/>
        </w:rPr>
        <w:t>По нашему мнению, для национальных и региональных инновационных систем особое значение имеет институциональное доверие, поскольку именно оно обеспечивает воспроизводимость инновационных взаимодействий за пределами локальных сетей и индивидуальных контактов. В условиях развивающихся и переходных экономик дефицит институционального доверия становится одним из ключевых факторов фрагментации НИС и РИС, ограничивая формирование устойчивых инновационных сетей и усиливая разрывы между акторами.</w:t>
      </w:r>
    </w:p>
    <w:p>
      <w:pPr>
        <w:pStyle w:val="P13"/>
        <w:spacing w:lineRule="auto" w:line="360" w:beforeAutospacing="0" w:afterAutospacing="0"/>
        <w:ind w:firstLine="707" w:right="167"/>
        <w:jc w:val="both"/>
        <w:rPr>
          <w:sz w:val="28"/>
          <w:szCs w:val="28"/>
          <w:lang w:val="ru-RU"/>
        </w:rPr>
      </w:pPr>
      <w:r>
        <w:rPr>
          <w:sz w:val="28"/>
          <w:szCs w:val="28"/>
          <w:lang w:val="ru-RU"/>
        </w:rPr>
        <w:t>Считаем, что в контексте НИС и РИС доверие выполняет системную функцию, обеспечивая связность инновационной системы. Его роль проявляется в следующих аспектах:</w:t>
      </w:r>
    </w:p>
    <w:p>
      <w:pPr>
        <w:pStyle w:val="P13"/>
        <w:numPr>
          <w:ilvl w:val="0"/>
          <w:numId w:val="18"/>
        </w:numPr>
        <w:tabs>
          <w:tab w:val="left" w:pos="993" w:leader="none"/>
        </w:tabs>
        <w:spacing w:lineRule="auto" w:line="360" w:beforeAutospacing="0" w:afterAutospacing="0"/>
        <w:ind w:firstLine="709" w:left="0" w:right="167"/>
        <w:jc w:val="both"/>
        <w:rPr>
          <w:sz w:val="28"/>
          <w:szCs w:val="28"/>
          <w:lang w:val="ru-RU"/>
        </w:rPr>
      </w:pPr>
      <w:r>
        <w:rPr>
          <w:sz w:val="28"/>
          <w:szCs w:val="28"/>
          <w:lang w:val="ru-RU"/>
        </w:rPr>
        <w:t>снижение транзакционных издержек инновационной деятельности;</w:t>
      </w:r>
    </w:p>
    <w:p>
      <w:pPr>
        <w:pStyle w:val="P13"/>
        <w:numPr>
          <w:ilvl w:val="0"/>
          <w:numId w:val="18"/>
        </w:numPr>
        <w:tabs>
          <w:tab w:val="left" w:pos="993" w:leader="none"/>
        </w:tabs>
        <w:spacing w:lineRule="auto" w:line="360" w:beforeAutospacing="0" w:afterAutospacing="0"/>
        <w:ind w:firstLine="709" w:left="0" w:right="167"/>
        <w:jc w:val="both"/>
        <w:rPr>
          <w:sz w:val="28"/>
          <w:szCs w:val="28"/>
          <w:lang w:val="ru-RU"/>
        </w:rPr>
      </w:pPr>
      <w:r>
        <w:rPr>
          <w:sz w:val="28"/>
          <w:szCs w:val="28"/>
          <w:lang w:val="ru-RU"/>
        </w:rPr>
        <w:t>повышение готовности акторов к совместным инвестициям и долгосрочным проектам;</w:t>
      </w:r>
    </w:p>
    <w:p>
      <w:pPr>
        <w:pStyle w:val="P13"/>
        <w:numPr>
          <w:ilvl w:val="0"/>
          <w:numId w:val="18"/>
        </w:numPr>
        <w:tabs>
          <w:tab w:val="left" w:pos="993" w:leader="none"/>
        </w:tabs>
        <w:spacing w:lineRule="auto" w:line="360" w:beforeAutospacing="0" w:afterAutospacing="0"/>
        <w:ind w:firstLine="709" w:left="0" w:right="167"/>
        <w:jc w:val="both"/>
        <w:rPr>
          <w:sz w:val="28"/>
          <w:szCs w:val="28"/>
          <w:lang w:val="ru-RU"/>
        </w:rPr>
      </w:pPr>
      <w:r>
        <w:rPr>
          <w:sz w:val="28"/>
          <w:szCs w:val="28"/>
          <w:lang w:val="ru-RU"/>
        </w:rPr>
        <w:t>ускорение трансфера знаний и технологий;</w:t>
      </w:r>
    </w:p>
    <w:p>
      <w:pPr>
        <w:pStyle w:val="P13"/>
        <w:numPr>
          <w:ilvl w:val="0"/>
          <w:numId w:val="18"/>
        </w:numPr>
        <w:tabs>
          <w:tab w:val="left" w:pos="993" w:leader="none"/>
        </w:tabs>
        <w:spacing w:lineRule="auto" w:line="360" w:beforeAutospacing="0" w:afterAutospacing="0"/>
        <w:ind w:firstLine="709" w:left="0" w:right="167"/>
        <w:jc w:val="both"/>
        <w:rPr>
          <w:sz w:val="28"/>
          <w:szCs w:val="28"/>
          <w:lang w:val="ru-RU"/>
        </w:rPr>
      </w:pPr>
      <w:r>
        <w:rPr>
          <w:sz w:val="28"/>
          <w:szCs w:val="28"/>
          <w:lang w:val="ru-RU"/>
        </w:rPr>
        <w:t>формирование устойчивых сетей инновационного взаимодействия.</w:t>
      </w:r>
    </w:p>
    <w:p>
      <w:pPr>
        <w:pStyle w:val="P13"/>
        <w:spacing w:lineRule="auto" w:line="360" w:beforeAutospacing="0" w:afterAutospacing="0"/>
        <w:ind w:firstLine="707" w:right="167"/>
        <w:jc w:val="both"/>
        <w:rPr>
          <w:sz w:val="28"/>
          <w:szCs w:val="28"/>
          <w:lang w:val="ru-RU"/>
        </w:rPr>
      </w:pPr>
      <w:r>
        <w:rPr>
          <w:sz w:val="28"/>
          <w:szCs w:val="28"/>
          <w:lang w:val="ru-RU"/>
        </w:rPr>
        <w:t>Отсутствие доверия приводит к замыканию акторов в узких контурах, ограничению обмена знаниями и концентрации инновационной активности в отдельных сегментах системы. В региональных инновационных системах это усиливает эффект «центр – периферия», а в национальном масштабе – снижает общую инновационную результативность.</w:t>
      </w:r>
    </w:p>
    <w:p>
      <w:pPr>
        <w:pStyle w:val="P13"/>
        <w:spacing w:lineRule="auto" w:line="360" w:beforeAutospacing="0" w:afterAutospacing="0"/>
        <w:ind w:firstLine="707" w:right="167"/>
        <w:jc w:val="both"/>
        <w:rPr>
          <w:sz w:val="28"/>
          <w:szCs w:val="28"/>
          <w:lang w:val="ru-RU"/>
        </w:rPr>
      </w:pPr>
      <w:r>
        <w:rPr>
          <w:sz w:val="28"/>
          <w:szCs w:val="28"/>
          <w:lang w:val="ru-RU"/>
        </w:rPr>
        <w:t>Таким образом, доверие является не вспомогательным, а структурообразующим элементом инновационной системы, без которого невозможно формирование инновационно-инклюзивной модели развития.</w:t>
      </w:r>
    </w:p>
    <w:p>
      <w:pPr>
        <w:pStyle w:val="P13"/>
        <w:spacing w:lineRule="auto" w:line="360" w:beforeAutospacing="0" w:afterAutospacing="0"/>
        <w:ind w:firstLine="707" w:right="167"/>
        <w:jc w:val="both"/>
        <w:rPr>
          <w:sz w:val="28"/>
          <w:szCs w:val="28"/>
          <w:lang w:val="ru-RU"/>
        </w:rPr>
      </w:pPr>
      <w:r>
        <w:rPr>
          <w:sz w:val="28"/>
          <w:szCs w:val="28"/>
          <w:lang w:val="ru-RU"/>
        </w:rPr>
        <w:t>Развитие экономики совместного потребления на основе цифровых сервисов и платформ обусловливает значительные трансформации в системе экономических отношений. Этот процесс называется платформизацией и подразумевает доминантность платформ в ходе оказания услуг, заключения соглашений, сделок и других транзакций</w:t>
      </w:r>
      <w:r>
        <w:rPr>
          <w:rStyle w:val="C42"/>
          <w:sz w:val="28"/>
          <w:szCs w:val="28"/>
          <w:lang w:val="ru-RU"/>
        </w:rPr>
        <w:footnoteReference w:id="62"/>
      </w:r>
      <w:r>
        <w:rPr>
          <w:sz w:val="28"/>
          <w:szCs w:val="28"/>
          <w:lang w:val="ru-RU"/>
        </w:rPr>
        <w:t xml:space="preserve">. Цифровые платформы (ЦП) выступают в качестве структурообразующих элементов региональной экономической трансформации и драйвера экономического роста. </w:t>
      </w:r>
    </w:p>
    <w:p>
      <w:pPr>
        <w:pStyle w:val="P13"/>
        <w:spacing w:lineRule="auto" w:line="360" w:beforeAutospacing="0" w:afterAutospacing="0"/>
        <w:ind w:firstLine="707" w:right="167"/>
        <w:jc w:val="both"/>
        <w:rPr>
          <w:sz w:val="28"/>
          <w:szCs w:val="28"/>
          <w:lang w:val="ru-RU"/>
        </w:rPr>
      </w:pPr>
      <w:r>
        <w:rPr>
          <w:sz w:val="28"/>
          <w:szCs w:val="28"/>
          <w:lang w:val="ru-RU"/>
        </w:rPr>
        <w:t>ЦП представляют собой обеспеченную высокими технологиями бизнес-модель, которая создает стоимость, облегчая обмены между двумя или большим числом взаимозависимых групп участников. Платформы создают цифровую инфраструктуру рынков, устраняя посредников иерархические связи. В результате этого цифровые платформы существенным образом реформируют традиционные рынки и даже целые отрасли экономики.</w:t>
      </w:r>
    </w:p>
    <w:p>
      <w:pPr>
        <w:pStyle w:val="P13"/>
        <w:spacing w:lineRule="auto" w:line="360" w:beforeAutospacing="0" w:afterAutospacing="0"/>
        <w:ind w:firstLine="707" w:right="167"/>
        <w:jc w:val="both"/>
        <w:rPr>
          <w:sz w:val="28"/>
          <w:szCs w:val="28"/>
          <w:lang w:val="ru-RU"/>
        </w:rPr>
      </w:pPr>
      <w:r>
        <w:rPr>
          <w:sz w:val="28"/>
          <w:szCs w:val="28"/>
          <w:lang w:val="ru-RU"/>
        </w:rPr>
        <w:t xml:space="preserve">Платформизация экономических отношений характеризуется снижением трансакционных издержек проведения сделок. При этом сам характер координации изменяется. ЦП в территориальном контексте перестает быть только инструментом автоматизации, ее архитектура начинает задавать форму воспроизводства связей между участниками. В </w:t>
      </w:r>
      <w:r>
        <w:rPr>
          <w:sz w:val="28"/>
          <w:szCs w:val="28"/>
          <w:highlight w:val="yellow"/>
          <w:lang w:val="ru-RU"/>
        </w:rPr>
        <w:t>научных кругах</w:t>
      </w:r>
      <w:r>
        <w:rPr>
          <w:sz w:val="28"/>
          <w:szCs w:val="28"/>
          <w:lang w:val="ru-RU"/>
        </w:rPr>
        <w:t xml:space="preserve"> даже набирает популярность полемика относительно становления платформенного капитализма.</w:t>
      </w:r>
    </w:p>
    <w:p>
      <w:pPr>
        <w:pStyle w:val="P13"/>
        <w:spacing w:lineRule="auto" w:line="360" w:beforeAutospacing="0" w:afterAutospacing="0"/>
        <w:ind w:firstLine="707" w:right="167"/>
        <w:jc w:val="both"/>
        <w:rPr>
          <w:sz w:val="28"/>
          <w:szCs w:val="28"/>
          <w:lang w:val="ru-RU"/>
        </w:rPr>
      </w:pPr>
      <w:r>
        <w:rPr>
          <w:sz w:val="28"/>
          <w:szCs w:val="28"/>
          <w:lang w:val="ru-RU"/>
        </w:rPr>
        <w:t>Развитие ЦП и шеринговых платформ создает новые механизмы обеспечения достоверности обязательств. Прозрачность, наряду с системой взаимного рейтингования покупателя и поставщика товаров и услуг, снижает склонность сторон к оппортунистическому поведению, стимулируя доверие. Более того, шеринговые платформы могут выступать в качестве субститута институциональному доверию</w:t>
      </w:r>
      <w:r>
        <w:rPr>
          <w:rStyle w:val="C42"/>
          <w:sz w:val="28"/>
          <w:szCs w:val="28"/>
          <w:lang w:val="ru-RU"/>
        </w:rPr>
        <w:footnoteReference w:id="63"/>
      </w:r>
      <w:r>
        <w:rPr>
          <w:sz w:val="28"/>
          <w:szCs w:val="28"/>
          <w:lang w:val="ru-RU"/>
        </w:rPr>
        <w:t>.</w:t>
      </w:r>
    </w:p>
    <w:p>
      <w:pPr>
        <w:pStyle w:val="P13"/>
        <w:spacing w:lineRule="auto" w:line="360" w:beforeAutospacing="0" w:afterAutospacing="0"/>
        <w:ind w:firstLine="707" w:right="167"/>
        <w:jc w:val="both"/>
        <w:rPr>
          <w:sz w:val="28"/>
          <w:szCs w:val="28"/>
          <w:lang w:val="ru-RU"/>
        </w:rPr>
      </w:pPr>
      <w:r>
        <w:rPr>
          <w:sz w:val="28"/>
          <w:szCs w:val="28"/>
          <w:lang w:val="ru-RU"/>
        </w:rPr>
        <w:t>Отметим, что в контексте инновационного развития цифровая платформизация выполняет несколько ключевых функций:</w:t>
      </w:r>
    </w:p>
    <w:p>
      <w:pPr>
        <w:pStyle w:val="P13"/>
        <w:numPr>
          <w:ilvl w:val="0"/>
          <w:numId w:val="19"/>
        </w:numPr>
        <w:tabs>
          <w:tab w:val="left" w:pos="1134" w:leader="none"/>
        </w:tabs>
        <w:spacing w:lineRule="auto" w:line="360" w:beforeAutospacing="0" w:afterAutospacing="0"/>
        <w:ind w:firstLine="709" w:left="0" w:right="167"/>
        <w:jc w:val="both"/>
        <w:rPr>
          <w:sz w:val="28"/>
          <w:szCs w:val="28"/>
          <w:lang w:val="ru-RU"/>
        </w:rPr>
      </w:pPr>
      <w:r>
        <w:rPr>
          <w:sz w:val="28"/>
          <w:szCs w:val="28"/>
          <w:lang w:val="ru-RU"/>
        </w:rPr>
        <w:t>координацию взаимодействий между акторами НИС и РИС;</w:t>
      </w:r>
    </w:p>
    <w:p>
      <w:pPr>
        <w:pStyle w:val="P13"/>
        <w:numPr>
          <w:ilvl w:val="0"/>
          <w:numId w:val="19"/>
        </w:numPr>
        <w:tabs>
          <w:tab w:val="left" w:pos="1134" w:leader="none"/>
        </w:tabs>
        <w:spacing w:lineRule="auto" w:line="360" w:beforeAutospacing="0" w:afterAutospacing="0"/>
        <w:ind w:firstLine="709" w:left="0" w:right="167"/>
        <w:jc w:val="both"/>
        <w:rPr>
          <w:sz w:val="28"/>
          <w:szCs w:val="28"/>
          <w:lang w:val="ru-RU"/>
        </w:rPr>
      </w:pPr>
      <w:r>
        <w:rPr>
          <w:sz w:val="28"/>
          <w:szCs w:val="28"/>
          <w:lang w:val="ru-RU"/>
        </w:rPr>
        <w:t>снижение информационной асимметрии;</w:t>
      </w:r>
    </w:p>
    <w:p>
      <w:pPr>
        <w:pStyle w:val="P13"/>
        <w:numPr>
          <w:ilvl w:val="0"/>
          <w:numId w:val="19"/>
        </w:numPr>
        <w:tabs>
          <w:tab w:val="left" w:pos="1134" w:leader="none"/>
        </w:tabs>
        <w:spacing w:lineRule="auto" w:line="360" w:beforeAutospacing="0" w:afterAutospacing="0"/>
        <w:ind w:firstLine="709" w:left="0" w:right="167"/>
        <w:jc w:val="both"/>
        <w:rPr>
          <w:sz w:val="28"/>
          <w:szCs w:val="28"/>
          <w:lang w:val="ru-RU"/>
        </w:rPr>
      </w:pPr>
      <w:r>
        <w:rPr>
          <w:sz w:val="28"/>
          <w:szCs w:val="28"/>
          <w:lang w:val="ru-RU"/>
        </w:rPr>
        <w:t>формализацию репутационных и доверительных механизмов;</w:t>
      </w:r>
    </w:p>
    <w:p>
      <w:pPr>
        <w:pStyle w:val="P13"/>
        <w:numPr>
          <w:ilvl w:val="0"/>
          <w:numId w:val="19"/>
        </w:numPr>
        <w:tabs>
          <w:tab w:val="left" w:pos="1134" w:leader="none"/>
        </w:tabs>
        <w:spacing w:lineRule="auto" w:line="360" w:beforeAutospacing="0" w:afterAutospacing="0"/>
        <w:ind w:firstLine="709" w:left="0" w:right="167"/>
        <w:jc w:val="both"/>
        <w:rPr>
          <w:sz w:val="28"/>
          <w:szCs w:val="28"/>
          <w:lang w:val="ru-RU"/>
        </w:rPr>
      </w:pPr>
      <w:r>
        <w:rPr>
          <w:sz w:val="28"/>
          <w:szCs w:val="28"/>
          <w:lang w:val="ru-RU"/>
        </w:rPr>
        <w:t>ускорение диффузии инноваций.</w:t>
      </w:r>
    </w:p>
    <w:p>
      <w:pPr>
        <w:pStyle w:val="P13"/>
        <w:spacing w:lineRule="auto" w:line="360" w:beforeAutospacing="0" w:afterAutospacing="0"/>
        <w:ind w:firstLine="707" w:right="167"/>
        <w:jc w:val="both"/>
        <w:rPr>
          <w:sz w:val="28"/>
          <w:szCs w:val="28"/>
          <w:lang w:val="ru-RU"/>
        </w:rPr>
      </w:pPr>
      <w:r>
        <w:rPr>
          <w:sz w:val="28"/>
          <w:szCs w:val="28"/>
          <w:lang w:val="ru-RU"/>
        </w:rPr>
        <w:t>Принципиально важно, что цифровые платформы позволяют переводить доверие из неформальной в институционализированную форму, закрепляя его в виде рейтингов, репутационных индикаторов, цифровых следов и стандартов взаимодействия. Это особенно значимо для развивающихся стран, где традиционные институты доверия развиты слабо или функционируют фрагментарно.</w:t>
      </w:r>
    </w:p>
    <w:p>
      <w:pPr>
        <w:pStyle w:val="P13"/>
        <w:spacing w:lineRule="auto" w:line="360" w:beforeAutospacing="0" w:afterAutospacing="0"/>
        <w:ind w:firstLine="707" w:right="167"/>
        <w:jc w:val="both"/>
        <w:rPr>
          <w:sz w:val="28"/>
          <w:szCs w:val="28"/>
          <w:lang w:val="ru-RU"/>
        </w:rPr>
      </w:pPr>
      <w:r>
        <w:rPr>
          <w:sz w:val="28"/>
          <w:szCs w:val="28"/>
          <w:lang w:val="ru-RU"/>
        </w:rPr>
        <w:t>В отличие от классических иерархических механизмов координации, цифровые платформы создают условия для горизонтальных сетевых взаимодействий, что соответствует логике развития инновационных экосистем и снижает барьеры входа в инновационный процесс.</w:t>
      </w:r>
    </w:p>
    <w:p>
      <w:pPr>
        <w:pStyle w:val="P13"/>
        <w:spacing w:lineRule="auto" w:line="360" w:beforeAutospacing="0" w:afterAutospacing="0"/>
        <w:ind w:firstLine="707" w:right="167"/>
        <w:jc w:val="both"/>
        <w:rPr>
          <w:sz w:val="28"/>
          <w:szCs w:val="28"/>
          <w:lang w:val="ru-RU"/>
        </w:rPr>
      </w:pPr>
      <w:r>
        <w:rPr>
          <w:sz w:val="28"/>
          <w:szCs w:val="28"/>
          <w:lang w:val="ru-RU"/>
        </w:rPr>
        <w:t>В рамках инновационно-инклюзивной модели цифровая платформизация и институт доверия нами рассматриваются как взаимодополняющие элементы, обеспечивающие практическую реализуемость инклюзивных механизмов развития НИС и РИС (таблица 8).</w:t>
      </w:r>
    </w:p>
    <w:p>
      <w:pPr>
        <w:pStyle w:val="P13"/>
        <w:spacing w:lineRule="auto" w:line="360" w:beforeAutospacing="0" w:afterAutospacing="0"/>
        <w:ind w:firstLine="707" w:right="167"/>
        <w:jc w:val="both"/>
        <w:rPr>
          <w:sz w:val="28"/>
          <w:szCs w:val="28"/>
          <w:lang w:val="ru-RU"/>
        </w:rPr>
      </w:pPr>
    </w:p>
    <w:p>
      <w:pPr>
        <w:pStyle w:val="P13"/>
        <w:spacing w:lineRule="auto" w:line="360" w:beforeAutospacing="0" w:afterAutospacing="0"/>
        <w:ind w:right="167"/>
        <w:jc w:val="both"/>
        <w:rPr>
          <w:sz w:val="28"/>
          <w:szCs w:val="28"/>
          <w:lang w:val="ru-RU"/>
        </w:rPr>
      </w:pPr>
      <w:r>
        <w:rPr>
          <w:sz w:val="28"/>
          <w:szCs w:val="28"/>
          <w:lang w:val="ru-RU"/>
        </w:rPr>
        <w:t>Таблица 8 – Взаимосвязь института доверия, цифровой платформизации и инклюзивности в инновационном развитии (составлено автором)</w:t>
      </w:r>
    </w:p>
    <w:tbl>
      <w:tblPr>
        <w:tblStyle w:val="T3"/>
        <w:tblW w:w="0" w:type="auto"/>
        <w:tblLayout w:type="fixed"/>
        <w:tblLook w:val="04A0"/>
      </w:tblPr>
      <w:tblGrid>
        <w:gridCol w:w="1413"/>
        <w:gridCol w:w="2693"/>
        <w:gridCol w:w="1985"/>
        <w:gridCol w:w="1944"/>
        <w:gridCol w:w="1877"/>
      </w:tblGrid>
      <w:tr>
        <w:tc>
          <w:tcPr>
            <w:tcW w:w="1413" w:type="dxa"/>
            <w:hideMark/>
          </w:tcPr>
          <w:p>
            <w:pPr>
              <w:jc w:val="center"/>
              <w:rPr>
                <w:rFonts w:ascii="Times New Roman" w:hAnsi="Times New Roman" w:cs="Times New Roman" w:eastAsia="Times New Roman"/>
                <w:bCs w:val="1"/>
                <w:sz w:val="24"/>
                <w:szCs w:val="24"/>
                <w:lang w:eastAsia="ru-RU"/>
              </w:rPr>
            </w:pPr>
            <w:r>
              <w:rPr>
                <w:rFonts w:ascii="Times New Roman" w:hAnsi="Times New Roman" w:cs="Times New Roman" w:eastAsia="Times New Roman"/>
                <w:bCs w:val="1"/>
                <w:sz w:val="24"/>
                <w:szCs w:val="24"/>
                <w:lang w:eastAsia="ru-RU"/>
              </w:rPr>
              <w:t>Элемент системы</w:t>
            </w:r>
          </w:p>
        </w:tc>
        <w:tc>
          <w:tcPr>
            <w:tcW w:w="2693" w:type="dxa"/>
            <w:hideMark/>
          </w:tcPr>
          <w:p>
            <w:pPr>
              <w:jc w:val="center"/>
              <w:rPr>
                <w:rFonts w:ascii="Times New Roman" w:hAnsi="Times New Roman" w:cs="Times New Roman" w:eastAsia="Times New Roman"/>
                <w:bCs w:val="1"/>
                <w:sz w:val="24"/>
                <w:szCs w:val="24"/>
                <w:lang w:eastAsia="ru-RU"/>
              </w:rPr>
            </w:pPr>
            <w:r>
              <w:rPr>
                <w:rFonts w:ascii="Times New Roman" w:hAnsi="Times New Roman" w:cs="Times New Roman" w:eastAsia="Times New Roman"/>
                <w:bCs w:val="1"/>
                <w:sz w:val="24"/>
                <w:szCs w:val="24"/>
                <w:lang w:eastAsia="ru-RU"/>
              </w:rPr>
              <w:t>Экономическое содержание</w:t>
            </w:r>
          </w:p>
        </w:tc>
        <w:tc>
          <w:tcPr>
            <w:tcW w:w="1985" w:type="dxa"/>
            <w:hideMark/>
          </w:tcPr>
          <w:p>
            <w:pPr>
              <w:jc w:val="center"/>
              <w:rPr>
                <w:rFonts w:ascii="Times New Roman" w:hAnsi="Times New Roman" w:cs="Times New Roman" w:eastAsia="Times New Roman"/>
                <w:bCs w:val="1"/>
                <w:sz w:val="24"/>
                <w:szCs w:val="24"/>
                <w:lang w:eastAsia="ru-RU"/>
              </w:rPr>
            </w:pPr>
            <w:r>
              <w:rPr>
                <w:rFonts w:ascii="Times New Roman" w:hAnsi="Times New Roman" w:cs="Times New Roman" w:eastAsia="Times New Roman"/>
                <w:bCs w:val="1"/>
                <w:sz w:val="24"/>
                <w:szCs w:val="24"/>
                <w:lang w:eastAsia="ru-RU"/>
              </w:rPr>
              <w:t>Функция в инновационной системе</w:t>
            </w:r>
          </w:p>
        </w:tc>
        <w:tc>
          <w:tcPr>
            <w:tcW w:w="1944" w:type="dxa"/>
            <w:hideMark/>
          </w:tcPr>
          <w:p>
            <w:pPr>
              <w:jc w:val="center"/>
              <w:rPr>
                <w:rFonts w:ascii="Times New Roman" w:hAnsi="Times New Roman" w:cs="Times New Roman" w:eastAsia="Times New Roman"/>
                <w:bCs w:val="1"/>
                <w:sz w:val="24"/>
                <w:szCs w:val="24"/>
                <w:lang w:eastAsia="ru-RU"/>
              </w:rPr>
            </w:pPr>
            <w:r>
              <w:rPr>
                <w:rFonts w:ascii="Times New Roman" w:hAnsi="Times New Roman" w:cs="Times New Roman" w:eastAsia="Times New Roman"/>
                <w:bCs w:val="1"/>
                <w:sz w:val="24"/>
                <w:szCs w:val="24"/>
                <w:lang w:eastAsia="ru-RU"/>
              </w:rPr>
              <w:t>Влияние на инклюзивность</w:t>
            </w:r>
          </w:p>
        </w:tc>
        <w:tc>
          <w:tcPr>
            <w:tcW w:w="1877" w:type="dxa"/>
            <w:hideMark/>
          </w:tcPr>
          <w:p>
            <w:pPr>
              <w:jc w:val="center"/>
              <w:rPr>
                <w:rFonts w:ascii="Times New Roman" w:hAnsi="Times New Roman" w:cs="Times New Roman" w:eastAsia="Times New Roman"/>
                <w:bCs w:val="1"/>
                <w:sz w:val="24"/>
                <w:szCs w:val="24"/>
                <w:lang w:eastAsia="ru-RU"/>
              </w:rPr>
            </w:pPr>
            <w:r>
              <w:rPr>
                <w:rFonts w:ascii="Times New Roman" w:hAnsi="Times New Roman" w:cs="Times New Roman" w:eastAsia="Times New Roman"/>
                <w:bCs w:val="1"/>
                <w:sz w:val="24"/>
                <w:szCs w:val="24"/>
                <w:lang w:eastAsia="ru-RU"/>
              </w:rPr>
              <w:t>Системный эффект</w:t>
            </w:r>
          </w:p>
        </w:tc>
      </w:tr>
      <w:tr>
        <w:tc>
          <w:tcPr>
            <w:tcW w:w="1413"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bCs w:val="1"/>
                <w:sz w:val="24"/>
                <w:szCs w:val="24"/>
                <w:lang w:eastAsia="ru-RU"/>
              </w:rPr>
              <w:t>Институт доверия</w:t>
            </w:r>
          </w:p>
        </w:tc>
        <w:tc>
          <w:tcPr>
            <w:tcW w:w="2693"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Совокупность формал-ьных и неформальных норм, ожиданий и репу-тационных механизмов, обеспечивающих пред-сказуемость поведения экономических агентов</w:t>
            </w:r>
          </w:p>
        </w:tc>
        <w:tc>
          <w:tcPr>
            <w:tcW w:w="1985"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Снижение неопределенно-сти и транзакци-онных издержек инновационной кооперации</w:t>
            </w:r>
          </w:p>
        </w:tc>
        <w:tc>
          <w:tcPr>
            <w:tcW w:w="1944"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Повышает готовность новых и слабых акторов к участию в инновационном процессе</w:t>
            </w:r>
          </w:p>
        </w:tc>
        <w:tc>
          <w:tcPr>
            <w:tcW w:w="1877"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Формирует связность и устойчивость НИС/РИС</w:t>
            </w:r>
          </w:p>
        </w:tc>
      </w:tr>
      <w:tr>
        <w:tc>
          <w:tcPr>
            <w:tcW w:w="1413"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bCs w:val="1"/>
                <w:sz w:val="24"/>
                <w:szCs w:val="24"/>
                <w:lang w:eastAsia="ru-RU"/>
              </w:rPr>
              <w:t>Дефицит доверия (исходное состояние)</w:t>
            </w:r>
          </w:p>
        </w:tc>
        <w:tc>
          <w:tcPr>
            <w:tcW w:w="2693"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Асимметрия информации, оппортунизм, краткосрочные стратегии</w:t>
            </w:r>
          </w:p>
        </w:tc>
        <w:tc>
          <w:tcPr>
            <w:tcW w:w="1985"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Разрыв инновационных цепочек, фрагментация взаимодействий</w:t>
            </w:r>
          </w:p>
        </w:tc>
        <w:tc>
          <w:tcPr>
            <w:tcW w:w="1944"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Исключение МСП, региональных и периферийных акторов</w:t>
            </w:r>
          </w:p>
        </w:tc>
        <w:tc>
          <w:tcPr>
            <w:tcW w:w="1877"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Воспроизвод-ство неравно-мерности инновационно-го развития</w:t>
            </w:r>
          </w:p>
        </w:tc>
      </w:tr>
      <w:tr>
        <w:tc>
          <w:tcPr>
            <w:tcW w:w="1413"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bCs w:val="1"/>
                <w:sz w:val="24"/>
                <w:szCs w:val="24"/>
                <w:lang w:eastAsia="ru-RU"/>
              </w:rPr>
              <w:t>Цифровая платформа</w:t>
            </w:r>
          </w:p>
        </w:tc>
        <w:tc>
          <w:tcPr>
            <w:tcW w:w="2693"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Институционализиро-ванная цифровая среда взаимодействия с формализованными правилами, стандар-тами и протоколами</w:t>
            </w:r>
          </w:p>
        </w:tc>
        <w:tc>
          <w:tcPr>
            <w:tcW w:w="1985" w:type="dxa"/>
            <w:hideMark/>
          </w:tcPr>
          <w:p>
            <w:pPr>
              <w:ind w:right="-108"/>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Координация и масштабирование сетевых инновационных взаимодействий</w:t>
            </w:r>
          </w:p>
        </w:tc>
        <w:tc>
          <w:tcPr>
            <w:tcW w:w="1944"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Снижает барьеры входа за счет прозрачных процедур и равного доступа</w:t>
            </w:r>
          </w:p>
        </w:tc>
        <w:tc>
          <w:tcPr>
            <w:tcW w:w="1877"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Повышает плотность и воспроизводи-мость инно-вационных связей</w:t>
            </w:r>
          </w:p>
        </w:tc>
      </w:tr>
      <w:tr>
        <w:tc>
          <w:tcPr>
            <w:tcW w:w="1413"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bCs w:val="1"/>
                <w:sz w:val="24"/>
                <w:szCs w:val="24"/>
                <w:lang w:eastAsia="ru-RU"/>
              </w:rPr>
              <w:t>Платфор-менная институци-онализация доверия</w:t>
            </w:r>
          </w:p>
        </w:tc>
        <w:tc>
          <w:tcPr>
            <w:tcW w:w="2693"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Репутационные рейтинги, цифровые следы, алгоритмы верификации и обратной связи</w:t>
            </w:r>
          </w:p>
        </w:tc>
        <w:tc>
          <w:tcPr>
            <w:tcW w:w="1985"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Перевод доверия из неформаль-ной в формали-зованную форму</w:t>
            </w:r>
          </w:p>
        </w:tc>
        <w:tc>
          <w:tcPr>
            <w:tcW w:w="1944"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Уравнивает стартовые условия участия в инновацион-ных сетях</w:t>
            </w:r>
          </w:p>
        </w:tc>
        <w:tc>
          <w:tcPr>
            <w:tcW w:w="1877"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Снижает зависимость от личных и закрытых связей</w:t>
            </w:r>
          </w:p>
        </w:tc>
      </w:tr>
      <w:tr>
        <w:tc>
          <w:tcPr>
            <w:tcW w:w="1413"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bCs w:val="1"/>
                <w:sz w:val="24"/>
                <w:szCs w:val="24"/>
                <w:lang w:eastAsia="ru-RU"/>
              </w:rPr>
              <w:t>Инклюзив-ность инноваци-онного процесса</w:t>
            </w:r>
          </w:p>
        </w:tc>
        <w:tc>
          <w:tcPr>
            <w:tcW w:w="2693"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Расширенное участие экономических агентов и территорий в создании и распространении инноваций</w:t>
            </w:r>
          </w:p>
        </w:tc>
        <w:tc>
          <w:tcPr>
            <w:tcW w:w="1985"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Масштабирова-ние инновационной активности за пределами «ядер»</w:t>
            </w:r>
          </w:p>
        </w:tc>
        <w:tc>
          <w:tcPr>
            <w:tcW w:w="1944"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Вовлечение МСП, регионов и новых участников</w:t>
            </w:r>
          </w:p>
        </w:tc>
        <w:tc>
          <w:tcPr>
            <w:tcW w:w="1877"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Повышение устойчивости инновационно-го развития</w:t>
            </w:r>
          </w:p>
        </w:tc>
      </w:tr>
      <w:tr>
        <w:tc>
          <w:tcPr>
            <w:tcW w:w="1413"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bCs w:val="1"/>
                <w:sz w:val="24"/>
                <w:szCs w:val="24"/>
                <w:lang w:eastAsia="ru-RU"/>
              </w:rPr>
              <w:t>Инноваци-онно-инк-люзивная модель</w:t>
            </w:r>
          </w:p>
        </w:tc>
        <w:tc>
          <w:tcPr>
            <w:tcW w:w="2693"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Интеграция инновационных и инклюзивных целей в рамках единой системы</w:t>
            </w:r>
          </w:p>
        </w:tc>
        <w:tc>
          <w:tcPr>
            <w:tcW w:w="1985"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Системная трансформация НИС/РИС</w:t>
            </w:r>
          </w:p>
        </w:tc>
        <w:tc>
          <w:tcPr>
            <w:tcW w:w="1944"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Инклюзивность как внутреннее свойство инновационной системы</w:t>
            </w:r>
          </w:p>
        </w:tc>
        <w:tc>
          <w:tcPr>
            <w:tcW w:w="1877"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Переход к сетевой и устойчивой модели развития</w:t>
            </w:r>
          </w:p>
        </w:tc>
      </w:tr>
    </w:tbl>
    <w:p>
      <w:pPr>
        <w:pStyle w:val="P13"/>
        <w:spacing w:lineRule="auto" w:line="360" w:beforeAutospacing="0" w:afterAutospacing="0"/>
        <w:ind w:right="167"/>
        <w:jc w:val="both"/>
        <w:rPr>
          <w:sz w:val="28"/>
          <w:szCs w:val="28"/>
          <w:lang w:val="ru-RU"/>
        </w:rPr>
      </w:pPr>
    </w:p>
    <w:p>
      <w:pPr>
        <w:pStyle w:val="P13"/>
        <w:spacing w:lineRule="auto" w:line="360" w:beforeAutospacing="0" w:afterAutospacing="0"/>
        <w:ind w:firstLine="707" w:right="167"/>
        <w:jc w:val="both"/>
        <w:rPr>
          <w:sz w:val="28"/>
          <w:szCs w:val="28"/>
          <w:lang w:val="ru-RU"/>
        </w:rPr>
      </w:pPr>
      <w:r>
        <w:rPr>
          <w:sz w:val="28"/>
          <w:szCs w:val="28"/>
          <w:lang w:val="ru-RU"/>
        </w:rPr>
        <w:t>Во-первых, цифровые платформы расширяют доступ экономических агентов к инновационной инфраструктуре, информации и финансовым ресурсам, тем самым повышая инклюзивность инновационного процесса.</w:t>
      </w:r>
    </w:p>
    <w:p>
      <w:pPr>
        <w:pStyle w:val="P13"/>
        <w:spacing w:lineRule="auto" w:line="360" w:beforeAutospacing="0" w:afterAutospacing="0"/>
        <w:ind w:firstLine="707" w:right="167"/>
        <w:jc w:val="both"/>
        <w:rPr>
          <w:sz w:val="28"/>
          <w:szCs w:val="28"/>
          <w:lang w:val="ru-RU"/>
        </w:rPr>
      </w:pPr>
      <w:r>
        <w:rPr>
          <w:sz w:val="28"/>
          <w:szCs w:val="28"/>
          <w:lang w:val="ru-RU"/>
        </w:rPr>
        <w:t>Во-вторых, институционализация доверия через цифровые механизмы снижает трансакционные издержки и повышает готовность к участию в инновационных взаимодействиях со стороны малых и средних предприятий, региональных фирм и новых участников.</w:t>
      </w:r>
    </w:p>
    <w:p>
      <w:pPr>
        <w:pStyle w:val="P13"/>
        <w:spacing w:lineRule="auto" w:line="360" w:beforeAutospacing="0" w:afterAutospacing="0"/>
        <w:ind w:firstLine="707" w:right="167"/>
        <w:jc w:val="both"/>
        <w:rPr>
          <w:sz w:val="28"/>
          <w:szCs w:val="28"/>
          <w:lang w:val="ru-RU"/>
        </w:rPr>
      </w:pPr>
      <w:r>
        <w:rPr>
          <w:sz w:val="28"/>
          <w:szCs w:val="28"/>
          <w:lang w:val="ru-RU"/>
        </w:rPr>
        <w:t>В-третьих, сочетание доверия и цифровых платформ способствует формированию устойчивых инновационных сетей, способных к самовоспроизводству и масштабированию инновационной активности за пределами узких «ядер» инновационной системы.</w:t>
      </w:r>
    </w:p>
    <w:p>
      <w:pPr>
        <w:pStyle w:val="P13"/>
        <w:spacing w:lineRule="auto" w:line="360" w:beforeAutospacing="0" w:afterAutospacing="0"/>
        <w:ind w:firstLine="707" w:right="167"/>
        <w:jc w:val="both"/>
        <w:rPr>
          <w:sz w:val="28"/>
          <w:szCs w:val="28"/>
          <w:lang w:val="ru-RU"/>
        </w:rPr>
      </w:pPr>
      <w:r>
        <w:rPr>
          <w:sz w:val="28"/>
          <w:szCs w:val="28"/>
          <w:lang w:val="ru-RU"/>
        </w:rPr>
        <w:t xml:space="preserve">Вместе с тем важно подчеркнуть, что в условиях глобальной цифровизации актуализируется проблема доверия, и </w:t>
      </w:r>
      <w:r>
        <w:rPr>
          <w:sz w:val="28"/>
          <w:szCs w:val="28"/>
          <w:highlight w:val="yellow"/>
          <w:lang w:val="ru-RU"/>
        </w:rPr>
        <w:t>исследователями</w:t>
      </w:r>
      <w:r>
        <w:rPr>
          <w:sz w:val="28"/>
          <w:szCs w:val="28"/>
          <w:lang w:val="ru-RU"/>
        </w:rPr>
        <w:t xml:space="preserve"> был впервые выделен и позиционирован концепт доверия как трансакционного института цифровой экономики </w:t>
      </w:r>
      <w:r>
        <w:rPr>
          <w:sz w:val="28"/>
          <w:szCs w:val="28"/>
          <w:highlight w:val="yellow"/>
          <w:lang w:val="ru-RU"/>
        </w:rPr>
        <w:t>(ссылка??).</w:t>
      </w:r>
      <w:r>
        <w:rPr>
          <w:sz w:val="28"/>
          <w:szCs w:val="28"/>
          <w:lang w:val="ru-RU"/>
        </w:rPr>
        <w:t xml:space="preserve"> Цифровое доверие, являющееся одной из форм доверия в эту эпоху, подразумевает убеждение пользователя в том, что общение в сети происходит с реальным человеком, а виртуальные информационные системы являются надежными, безопасными и соблюдают принцип приватности. Концептуальное осмысление доверия как трансакционного института необходимо, поскольку на практике цифровая экономика сопровождается масштабными киберпреступлениями и ростом трансакционных издержек из-за оппортунистического поведения.</w:t>
      </w:r>
    </w:p>
    <w:p>
      <w:pPr>
        <w:pStyle w:val="P13"/>
        <w:spacing w:lineRule="auto" w:line="360" w:beforeAutospacing="0" w:afterAutospacing="0"/>
        <w:ind w:firstLine="707" w:right="167"/>
        <w:jc w:val="both"/>
        <w:rPr>
          <w:sz w:val="28"/>
          <w:szCs w:val="28"/>
          <w:lang w:val="ru-RU"/>
        </w:rPr>
      </w:pPr>
      <w:r>
        <w:rPr>
          <w:sz w:val="28"/>
          <w:szCs w:val="28"/>
          <w:lang w:val="ru-RU"/>
        </w:rPr>
        <w:t>В этой связи решающее значение для устойчивости экономики инноваций имеют механизмы, которые цифровая платформизация использует для генерации, поддержания и укрепления института доверия. Развитие цифровой экономики и распространение платформенных моделей взаимодействия обусловили формирование следующих встроенных механизмов обеспечения доверия, которые частично замещают традиционные институциональные формы контроля и принуждения:</w:t>
      </w:r>
    </w:p>
    <w:p>
      <w:pPr>
        <w:pStyle w:val="P13"/>
        <w:spacing w:lineRule="auto" w:line="360" w:beforeAutospacing="0" w:afterAutospacing="0"/>
        <w:ind w:firstLine="707" w:right="167"/>
        <w:jc w:val="both"/>
        <w:rPr>
          <w:sz w:val="28"/>
          <w:szCs w:val="28"/>
          <w:lang w:val="ru-RU"/>
        </w:rPr>
      </w:pPr>
      <w:r>
        <w:rPr>
          <w:sz w:val="28"/>
          <w:szCs w:val="28"/>
          <w:lang w:val="ru-RU"/>
        </w:rPr>
        <w:t>- прозрачность взаимодействий;</w:t>
      </w:r>
    </w:p>
    <w:p>
      <w:pPr>
        <w:pStyle w:val="P13"/>
        <w:spacing w:lineRule="auto" w:line="360" w:beforeAutospacing="0" w:afterAutospacing="0"/>
        <w:ind w:firstLine="707" w:right="167"/>
        <w:jc w:val="both"/>
        <w:rPr>
          <w:sz w:val="28"/>
          <w:szCs w:val="28"/>
          <w:lang w:val="ru-RU"/>
        </w:rPr>
      </w:pPr>
      <w:r>
        <w:rPr>
          <w:sz w:val="28"/>
          <w:szCs w:val="28"/>
          <w:lang w:val="ru-RU"/>
        </w:rPr>
        <w:t>- системы взаимного рейтингования и репутационные санкции;</w:t>
      </w:r>
    </w:p>
    <w:p>
      <w:pPr>
        <w:pStyle w:val="P13"/>
        <w:spacing w:lineRule="auto" w:line="360" w:beforeAutospacing="0" w:afterAutospacing="0"/>
        <w:ind w:firstLine="707" w:right="167"/>
        <w:jc w:val="both"/>
        <w:rPr>
          <w:sz w:val="28"/>
          <w:szCs w:val="28"/>
          <w:lang w:val="ru-RU"/>
        </w:rPr>
      </w:pPr>
      <w:r>
        <w:rPr>
          <w:sz w:val="28"/>
          <w:szCs w:val="28"/>
          <w:lang w:val="ru-RU"/>
        </w:rPr>
        <w:t>- технологии распределенных реестров.</w:t>
      </w:r>
    </w:p>
    <w:p>
      <w:pPr>
        <w:pStyle w:val="P13"/>
        <w:spacing w:lineRule="auto" w:line="360" w:beforeAutospacing="0" w:afterAutospacing="0"/>
        <w:ind w:firstLine="707" w:right="167"/>
        <w:jc w:val="both"/>
        <w:rPr>
          <w:sz w:val="28"/>
          <w:szCs w:val="28"/>
          <w:lang w:val="ru-RU"/>
        </w:rPr>
      </w:pPr>
      <w:r>
        <w:rPr>
          <w:sz w:val="28"/>
          <w:szCs w:val="28"/>
          <w:lang w:val="ru-RU"/>
        </w:rPr>
        <w:t>Системы прозрачности и взаимного рейтингования участников платформ (поставщиков и потребителей товаров и услуг) существенно снижают склонность сторон к оппортунистическому поведению</w:t>
      </w:r>
      <w:r>
        <w:rPr>
          <w:rStyle w:val="C42"/>
          <w:sz w:val="28"/>
          <w:szCs w:val="28"/>
          <w:lang w:val="ru-RU"/>
        </w:rPr>
        <w:footnoteReference w:id="64"/>
      </w:r>
      <w:r>
        <w:rPr>
          <w:sz w:val="28"/>
          <w:szCs w:val="28"/>
          <w:lang w:val="ru-RU"/>
        </w:rPr>
        <w:t>. Публичная фиксация результатов предыдущих взаимодействий и возможность оценки контрагентов формируют устойчивые репутационные сигналы, которые используются при принятии решений о дальнейшем сотрудничестве. В этих условиях недобросовестное поведение по отношению даже к одному контрагенту может привести к немедленной потере репутации и снижению рейтинга, что ограничивает доступ к будущим взаимовыгодным транзакциям и делает оппортунизм экономически нецелесообразным.</w:t>
      </w:r>
    </w:p>
    <w:p>
      <w:pPr>
        <w:pStyle w:val="P13"/>
        <w:spacing w:lineRule="auto" w:line="360" w:beforeAutospacing="0" w:afterAutospacing="0"/>
        <w:ind w:firstLine="707" w:right="167"/>
        <w:jc w:val="both"/>
        <w:rPr>
          <w:sz w:val="28"/>
          <w:szCs w:val="28"/>
          <w:lang w:val="ru-RU"/>
        </w:rPr>
      </w:pPr>
      <w:r>
        <w:rPr>
          <w:sz w:val="28"/>
          <w:szCs w:val="28"/>
          <w:lang w:val="ru-RU"/>
        </w:rPr>
        <w:t>Тем самым достоверность выполнения обязательств в цифровой среде обеспечивается не только через формальные санкции со стороны третьих институтов, но и за счет репутационного механизма, основанного на ожидании санкций со стороны широкого круга незнакомых участников платформы</w:t>
      </w:r>
      <w:r>
        <w:rPr>
          <w:rStyle w:val="C42"/>
          <w:sz w:val="28"/>
          <w:szCs w:val="28"/>
          <w:lang w:val="ru-RU"/>
        </w:rPr>
        <w:footnoteReference w:id="65"/>
      </w:r>
      <w:r>
        <w:rPr>
          <w:sz w:val="28"/>
          <w:szCs w:val="28"/>
          <w:lang w:val="ru-RU"/>
        </w:rPr>
        <w:t>. Данный механизм особенно значим в условиях высокой анонимности и пространственной разобщенности экономических агентов.</w:t>
      </w:r>
    </w:p>
    <w:p>
      <w:pPr>
        <w:pStyle w:val="P13"/>
        <w:spacing w:lineRule="auto" w:line="360" w:beforeAutospacing="0" w:afterAutospacing="0"/>
        <w:ind w:firstLine="707" w:right="167"/>
        <w:jc w:val="both"/>
        <w:rPr>
          <w:sz w:val="28"/>
          <w:szCs w:val="28"/>
          <w:lang w:val="ru-RU"/>
        </w:rPr>
      </w:pPr>
      <w:r>
        <w:rPr>
          <w:sz w:val="28"/>
          <w:szCs w:val="28"/>
          <w:lang w:val="ru-RU"/>
        </w:rPr>
        <w:t>Особую роль в укреплении доверия в цифровой среде играют технологии распределенных реестров, прежде всего, блокчейн</w:t>
      </w:r>
      <w:r>
        <w:rPr>
          <w:rStyle w:val="C42"/>
          <w:sz w:val="28"/>
          <w:szCs w:val="28"/>
          <w:lang w:val="ru-RU"/>
        </w:rPr>
        <w:footnoteReference w:id="66"/>
      </w:r>
      <w:r>
        <w:rPr>
          <w:sz w:val="28"/>
          <w:szCs w:val="28"/>
          <w:lang w:val="ru-RU"/>
        </w:rPr>
        <w:t>. Их применение наиболее востребовано в условиях низкого уровня доверия к организациям, контрагентам или государственным институтам. За счет децентрализованного хранения данных, неизменяемости записей и высокой степени прозрачности блокчейн позволяет обеспечить подлинность и целостность информации без опоры на централизованного доверенного посредника.</w:t>
      </w:r>
    </w:p>
    <w:p>
      <w:pPr>
        <w:pStyle w:val="P13"/>
        <w:spacing w:lineRule="auto" w:line="360" w:beforeAutospacing="0" w:afterAutospacing="0"/>
        <w:ind w:firstLine="707" w:right="167"/>
        <w:jc w:val="both"/>
        <w:rPr>
          <w:sz w:val="28"/>
          <w:szCs w:val="28"/>
          <w:lang w:val="ru-RU"/>
        </w:rPr>
      </w:pPr>
      <w:r>
        <w:rPr>
          <w:sz w:val="28"/>
          <w:szCs w:val="28"/>
          <w:lang w:val="ru-RU"/>
        </w:rPr>
        <w:t>Использование технологий распределенных реестров повышает доверие участников экономических взаимодействий, в том числе в институционально чувствительных сферах, таких как налогообложение и трансграничные операции. Прозрачность и защищенность данных способствуют снижению транзакционных издержек, ускорению процедур контроля и формированию более предсказуемой среды взаимодействия.</w:t>
      </w:r>
    </w:p>
    <w:p>
      <w:pPr>
        <w:pStyle w:val="P13"/>
        <w:spacing w:lineRule="auto" w:line="360" w:beforeAutospacing="0" w:afterAutospacing="0"/>
        <w:ind w:firstLine="707" w:right="167"/>
        <w:jc w:val="both"/>
        <w:rPr>
          <w:sz w:val="28"/>
          <w:szCs w:val="28"/>
          <w:lang w:val="ru-RU"/>
        </w:rPr>
      </w:pPr>
      <w:r>
        <w:rPr>
          <w:sz w:val="28"/>
          <w:szCs w:val="28"/>
          <w:lang w:val="ru-RU"/>
        </w:rPr>
        <w:t>В совокупности встроенные механизмы доверия цифровых платформ –системы прозрачности, репутационные рейтинги и технологии распределенных реестров – формируют институциональную основу для расширения участия экономических агентов в цифровых и инновационных процессах, что имеет принципиальное значение для реализации инновационно-инклюзивной модели развития, особенно в экономиках с дефицитом формальных институтов доверия.</w:t>
      </w:r>
    </w:p>
    <w:p>
      <w:pPr>
        <w:pStyle w:val="P13"/>
        <w:spacing w:lineRule="auto" w:line="360" w:beforeAutospacing="0" w:afterAutospacing="0"/>
        <w:ind w:firstLine="707" w:right="167"/>
        <w:jc w:val="both"/>
        <w:rPr>
          <w:sz w:val="28"/>
          <w:szCs w:val="28"/>
          <w:lang w:val="ru-RU"/>
        </w:rPr>
      </w:pPr>
      <w:r>
        <w:rPr>
          <w:sz w:val="28"/>
          <w:szCs w:val="28"/>
          <w:lang w:val="ru-RU"/>
        </w:rPr>
        <w:t>Следует отметить, что в условиях платформенной экономики доверие формируется не только на основе формальных правил и регламентов, но и через архитектуру цифрового взаимодействия, в рамках которой действуют экономические агенты. Пользовательский опыт (User Experience, UX) в данном контексте выступает ключевым фактором институционализации доверия, выполняя функцию когнитивного фильтра, через который пользователи интерпретируют надежность, предсказуемость и легитимность платформы</w:t>
      </w:r>
      <w:r>
        <w:rPr>
          <w:rStyle w:val="C42"/>
          <w:sz w:val="28"/>
          <w:szCs w:val="28"/>
          <w:lang w:val="ru-RU"/>
        </w:rPr>
        <w:footnoteReference w:id="67"/>
      </w:r>
      <w:r>
        <w:rPr>
          <w:sz w:val="28"/>
          <w:szCs w:val="28"/>
          <w:lang w:val="ru-RU"/>
        </w:rPr>
        <w:t>.</w:t>
      </w:r>
    </w:p>
    <w:p>
      <w:pPr>
        <w:pStyle w:val="P13"/>
        <w:spacing w:lineRule="auto" w:line="360" w:beforeAutospacing="0" w:afterAutospacing="0"/>
        <w:ind w:firstLine="707" w:right="167"/>
        <w:jc w:val="both"/>
        <w:rPr>
          <w:sz w:val="28"/>
          <w:szCs w:val="28"/>
          <w:lang w:val="ru-RU"/>
        </w:rPr>
      </w:pPr>
      <w:r>
        <w:rPr>
          <w:sz w:val="28"/>
          <w:szCs w:val="28"/>
          <w:lang w:val="ru-RU"/>
        </w:rPr>
        <w:t>Цифровую платформу нельзя рассматривать как нейтральную технологическую оболочку, поскольку ее интерфейсная логика задает маршрут действий пользователя, определяет последовательность шагов и степень вовлеченности участников. В платформенной модели доверие формируется одновременно за счет формальных правил и интерфейсной логики, которая структурирует повседневный опыт взаимодействия</w:t>
      </w:r>
      <w:r>
        <w:rPr>
          <w:rStyle w:val="C42"/>
          <w:sz w:val="28"/>
          <w:szCs w:val="28"/>
          <w:lang w:val="ru-RU"/>
        </w:rPr>
        <w:footnoteReference w:id="68"/>
      </w:r>
      <w:r>
        <w:rPr>
          <w:sz w:val="28"/>
          <w:szCs w:val="28"/>
          <w:lang w:val="ru-RU"/>
        </w:rPr>
        <w:t>. Таким образом, UX становится частью институционального дизайна платформы, а не вспомогательным элементом ее функционирования.</w:t>
      </w:r>
    </w:p>
    <w:p>
      <w:pPr>
        <w:pStyle w:val="P13"/>
        <w:spacing w:lineRule="auto" w:line="360" w:beforeAutospacing="0" w:afterAutospacing="0"/>
        <w:ind w:firstLine="707" w:right="167"/>
        <w:jc w:val="both"/>
        <w:rPr>
          <w:sz w:val="28"/>
          <w:szCs w:val="28"/>
          <w:lang w:val="ru-RU"/>
        </w:rPr>
      </w:pPr>
      <w:r>
        <w:rPr>
          <w:sz w:val="28"/>
          <w:szCs w:val="28"/>
          <w:lang w:val="ru-RU"/>
        </w:rPr>
        <w:t>UX не только отражает восприятие пользователя, но и формирует структуру участия в платформенной экономике. Если интерфейс обеспечивает когнитивную совместимость действий, снижает неопределенность и поддерживает согласование ожиданий и результатов, внутренняя координация участников усиливается. В противном случае утрата предсказуемости пользовательских действий ведет к разрушению доверия и снижению готовности к дальнейшему взаимодействию.</w:t>
      </w:r>
    </w:p>
    <w:p>
      <w:pPr>
        <w:pStyle w:val="P13"/>
        <w:spacing w:lineRule="auto" w:line="360" w:beforeAutospacing="0" w:afterAutospacing="0"/>
        <w:ind w:firstLine="707" w:right="167"/>
        <w:jc w:val="both"/>
        <w:rPr>
          <w:sz w:val="28"/>
          <w:szCs w:val="28"/>
          <w:lang w:val="ru-RU"/>
        </w:rPr>
      </w:pPr>
      <w:r>
        <w:rPr>
          <w:sz w:val="28"/>
          <w:szCs w:val="28"/>
          <w:lang w:val="ru-RU"/>
        </w:rPr>
        <w:t>Институциональное доверие в цифровой среде формируется на основе повторяющегося опыта</w:t>
      </w:r>
      <w:r>
        <w:rPr>
          <w:rStyle w:val="C42"/>
          <w:sz w:val="28"/>
          <w:szCs w:val="28"/>
          <w:lang w:val="ru-RU"/>
        </w:rPr>
        <w:footnoteReference w:id="69"/>
      </w:r>
      <w:r>
        <w:rPr>
          <w:sz w:val="28"/>
          <w:szCs w:val="28"/>
          <w:lang w:val="ru-RU"/>
        </w:rPr>
        <w:t>, в котором стабильность процедур сочетается с предсказуемостью реакции системы. UX в этом смысле выступает механизмом институционализации доверия, поскольку правила взаимодействия не декларируются, а «проживаются» через интерфейс. Когда каждый шаг оказывается интуитивно уместным и логика взаимодействия не нарушает цели пользователя, доверие закрепляется как побочный продукт интерфейсного поведения, а не как результат внешнего принуждения.</w:t>
      </w:r>
    </w:p>
    <w:p>
      <w:pPr>
        <w:pStyle w:val="P13"/>
        <w:spacing w:lineRule="auto" w:line="360" w:beforeAutospacing="0" w:afterAutospacing="0"/>
        <w:ind w:firstLine="707" w:right="167"/>
        <w:jc w:val="both"/>
        <w:rPr>
          <w:sz w:val="28"/>
          <w:szCs w:val="28"/>
          <w:lang w:val="ru-RU"/>
        </w:rPr>
      </w:pPr>
      <w:r>
        <w:rPr>
          <w:sz w:val="28"/>
          <w:szCs w:val="28"/>
          <w:lang w:val="ru-RU"/>
        </w:rPr>
        <w:t>Через параметры когнитивной предсказуемости, архитектурной целостности и интерфейсной логичности UX формирует геоэкономические эффекты институционального характера, включая устойчивость цифровых сценариев взаимодействия и регулярность экономической активности в неоднородной цифровой среде. Устойчивость цифровых сценариев означает воспроизводимость действий и стабильность траекторий поведения участников, что снижает транзакционные издержки и повышает эффективность платформенной координации.</w:t>
      </w:r>
    </w:p>
    <w:p>
      <w:pPr>
        <w:pStyle w:val="P13"/>
        <w:spacing w:lineRule="auto" w:line="360" w:beforeAutospacing="0" w:afterAutospacing="0"/>
        <w:ind w:firstLine="707" w:right="167"/>
        <w:jc w:val="both"/>
        <w:rPr>
          <w:sz w:val="28"/>
          <w:szCs w:val="28"/>
          <w:lang w:val="ru-RU"/>
        </w:rPr>
      </w:pPr>
      <w:r>
        <w:rPr>
          <w:sz w:val="28"/>
          <w:szCs w:val="28"/>
          <w:lang w:val="ru-RU"/>
        </w:rPr>
        <w:t>В рамках концептуального подхода к укреплению института доверия в платформенной экономике выделяется ряд системообразующих компонентов, среди которых ключевыми являются социально ответственное взаимодействие акторов, безопасность цифровой среды, удобство платформенного взаимодействия и культурно-ментальные установки пользователей</w:t>
      </w:r>
      <w:r>
        <w:rPr>
          <w:rStyle w:val="C42"/>
          <w:sz w:val="28"/>
          <w:szCs w:val="28"/>
          <w:lang w:val="ru-RU"/>
        </w:rPr>
        <w:footnoteReference w:id="70"/>
      </w:r>
      <w:r>
        <w:rPr>
          <w:sz w:val="28"/>
          <w:szCs w:val="28"/>
          <w:lang w:val="ru-RU"/>
        </w:rPr>
        <w:t>. Повышение мотивации пользователей, поставщиков и платформ к социально ответственному взаимодействию снижает оппортунистическое поведение и способствует росту экономической активности.</w:t>
      </w:r>
    </w:p>
    <w:p>
      <w:pPr>
        <w:pStyle w:val="P13"/>
        <w:spacing w:lineRule="auto" w:line="360" w:beforeAutospacing="0" w:afterAutospacing="0"/>
        <w:ind w:firstLine="707" w:right="167"/>
        <w:jc w:val="both"/>
        <w:rPr>
          <w:sz w:val="28"/>
          <w:szCs w:val="28"/>
          <w:lang w:val="ru-RU"/>
        </w:rPr>
      </w:pPr>
      <w:r>
        <w:rPr>
          <w:sz w:val="28"/>
          <w:szCs w:val="28"/>
          <w:lang w:val="ru-RU"/>
        </w:rPr>
        <w:t>Безопасность данных и цифровых систем, основанная на обеспечении доступности, целостности и конфиденциальности информации, выступает фундаментальной предпосылкой доверия. При этом экономические агенты нередко сталкиваются с компромиссами между удобством использования платформы и уровнем защиты персональных данных, что усиливает значение UX как инструмента балансирования между эффективностью и безопасностью.</w:t>
      </w:r>
    </w:p>
    <w:p>
      <w:pPr>
        <w:pStyle w:val="P13"/>
        <w:spacing w:lineRule="auto" w:line="360" w:beforeAutospacing="0" w:afterAutospacing="0"/>
        <w:ind w:firstLine="707" w:right="167"/>
        <w:jc w:val="both"/>
        <w:rPr>
          <w:sz w:val="28"/>
          <w:szCs w:val="28"/>
          <w:lang w:val="ru-RU"/>
        </w:rPr>
      </w:pPr>
      <w:r>
        <w:rPr>
          <w:sz w:val="28"/>
          <w:szCs w:val="28"/>
          <w:lang w:val="ru-RU"/>
        </w:rPr>
        <w:t>Наконец, культурно-ментальные стереотипы и уровень цифровой грамотности пользователей оказывают существенное влияние на формирование доверия в платформенной среде. В этой связи цифровые платформы способны выполнять просветительскую функцию, формируя устойчивую цифровую культуру и повышая готовность экономических агентов к освоению новых технологий и форм взаимодействия.</w:t>
      </w:r>
    </w:p>
    <w:p>
      <w:pPr>
        <w:pStyle w:val="P13"/>
        <w:spacing w:lineRule="auto" w:line="360" w:beforeAutospacing="0" w:afterAutospacing="0"/>
        <w:ind w:firstLine="707" w:right="167"/>
        <w:jc w:val="both"/>
        <w:rPr>
          <w:sz w:val="28"/>
          <w:szCs w:val="28"/>
          <w:lang w:val="ru-RU"/>
        </w:rPr>
      </w:pPr>
      <w:r>
        <w:rPr>
          <w:sz w:val="28"/>
          <w:szCs w:val="28"/>
          <w:lang w:val="ru-RU"/>
        </w:rPr>
        <w:t>В совокупности пользовательский опыт выступает институциональным механизмом укрепления доверия, обеспечивающим надежную координацию, устойчивость цифровых сценариев и расширение участия экономических агентов в инновационно-инклюзивных процессах.</w:t>
      </w:r>
    </w:p>
    <w:p>
      <w:pPr>
        <w:pStyle w:val="P13"/>
        <w:spacing w:lineRule="auto" w:line="360" w:beforeAutospacing="0" w:afterAutospacing="0"/>
        <w:ind w:firstLine="707" w:right="167"/>
        <w:jc w:val="both"/>
        <w:rPr>
          <w:sz w:val="28"/>
          <w:szCs w:val="28"/>
          <w:lang w:val="ru-RU"/>
        </w:rPr>
      </w:pPr>
      <w:r>
        <w:rPr>
          <w:sz w:val="28"/>
          <w:szCs w:val="28"/>
          <w:lang w:val="ru-RU"/>
        </w:rPr>
        <w:t>Формирование доверия и развитие инноваций в условиях цифровой платформизации во многом определяются качеством и сбалансированностью институционального регулирования</w:t>
      </w:r>
      <w:r>
        <w:rPr>
          <w:rStyle w:val="C42"/>
          <w:sz w:val="28"/>
          <w:szCs w:val="28"/>
          <w:lang w:val="ru-RU"/>
        </w:rPr>
        <w:footnoteReference w:id="71"/>
      </w:r>
      <w:r>
        <w:rPr>
          <w:sz w:val="28"/>
          <w:szCs w:val="28"/>
          <w:lang w:val="ru-RU"/>
        </w:rPr>
        <w:t>. Регуляторные подходы в платформенной экономике должны быть ориентированы на создание благоприятной среды для технологического развития при одновременной защите экономических агентов и снижении цифровых рисков. В этой связи ключевой задачей становится поиск баланса между стимулированием инновационной активности и обеспечением доверия пользователей к цифровым сервисам.</w:t>
      </w:r>
    </w:p>
    <w:p>
      <w:pPr>
        <w:pStyle w:val="P13"/>
        <w:spacing w:lineRule="auto" w:line="360" w:beforeAutospacing="0" w:afterAutospacing="0"/>
        <w:ind w:firstLine="707" w:right="167"/>
        <w:jc w:val="both"/>
        <w:rPr>
          <w:sz w:val="28"/>
          <w:szCs w:val="28"/>
          <w:lang w:val="ru-RU"/>
        </w:rPr>
      </w:pPr>
      <w:r>
        <w:rPr>
          <w:sz w:val="28"/>
          <w:szCs w:val="28"/>
          <w:lang w:val="ru-RU"/>
        </w:rPr>
        <w:t>Эффективное институциональное регулирование платформенной экономики опирается на взаимодополняемость формальных и неформальных институтов. Формальные институты, прежде всего, государственное регулирование и законодательство, направлены на обеспечение национальной и кибербезопасности, защиту персональных данных и предотвращение злоупотреблений. Одновременно неформальные институты – доверие, социальные нормы и репутационные механизмы – играют ключевую роль в саморегулировании платформ и координации экономических взаимодействий в сфере производства, распределения и потребления.</w:t>
      </w:r>
    </w:p>
    <w:p>
      <w:pPr>
        <w:pStyle w:val="P13"/>
        <w:spacing w:lineRule="auto" w:line="360" w:beforeAutospacing="0" w:afterAutospacing="0"/>
        <w:ind w:firstLine="707" w:right="167"/>
        <w:jc w:val="both"/>
        <w:rPr>
          <w:sz w:val="28"/>
          <w:szCs w:val="28"/>
          <w:lang w:val="ru-RU"/>
        </w:rPr>
      </w:pPr>
      <w:r>
        <w:rPr>
          <w:sz w:val="28"/>
          <w:szCs w:val="28"/>
          <w:lang w:val="ru-RU"/>
        </w:rPr>
        <w:t>В этой связи институциональное регулирование цифровых платформ реализуется через сочетание вертикальной координации, осуществляемой государством, и горизонтально-сетевой координации, основанной на механизмах саморегулирования платформ и участников цифровых рынков</w:t>
      </w:r>
      <w:r>
        <w:rPr>
          <w:rStyle w:val="C42"/>
          <w:sz w:val="28"/>
          <w:szCs w:val="28"/>
          <w:lang w:val="ru-RU"/>
        </w:rPr>
        <w:footnoteReference w:id="72"/>
      </w:r>
      <w:r>
        <w:rPr>
          <w:sz w:val="28"/>
          <w:szCs w:val="28"/>
          <w:lang w:val="ru-RU"/>
        </w:rPr>
        <w:t>. Избыточное государственное вмешательство способно сдерживать инновации и рост цифровых услуг, тогда как недостаточное регулирование повышает риски утраты доверия и ограничивает участие пользователей в цифровых взаимодействиях.</w:t>
      </w:r>
    </w:p>
    <w:p>
      <w:pPr>
        <w:pStyle w:val="P13"/>
        <w:spacing w:lineRule="auto" w:line="360" w:beforeAutospacing="0" w:afterAutospacing="0"/>
        <w:ind w:firstLine="707" w:right="167"/>
        <w:jc w:val="both"/>
        <w:rPr>
          <w:sz w:val="28"/>
          <w:szCs w:val="28"/>
          <w:lang w:val="ru-RU"/>
        </w:rPr>
      </w:pPr>
      <w:r>
        <w:rPr>
          <w:sz w:val="28"/>
          <w:szCs w:val="28"/>
          <w:lang w:val="ru-RU"/>
        </w:rPr>
        <w:t>Особое значение сбалансированное регулирование приобретает в условиях низкого институционального доверия, где цифровые платформы могут выступать альтернативным механизмом обеспечения достоверности обязательств. Однако реализация этого потенциала возможна лишь при наличии адекватного государственного регулирования, снижающего трансакционные издержки, обеспечивающего защиту персональных данных и формирующего доверие населения к платформенным решениям. Таким образом, качество институционального регулирования выступает одним из важных факторов устойчивости платформенной экономики и расширения участия экономических агентов в инновационных процессах.</w:t>
      </w:r>
    </w:p>
    <w:p>
      <w:pPr>
        <w:pStyle w:val="P13"/>
        <w:spacing w:lineRule="auto" w:line="360" w:beforeAutospacing="0" w:afterAutospacing="0"/>
        <w:ind w:firstLine="707" w:right="167"/>
        <w:jc w:val="both"/>
        <w:rPr>
          <w:sz w:val="28"/>
          <w:szCs w:val="28"/>
          <w:lang w:val="ru-RU"/>
        </w:rPr>
      </w:pPr>
      <w:r>
        <w:rPr>
          <w:sz w:val="28"/>
          <w:szCs w:val="28"/>
          <w:lang w:val="ru-RU"/>
        </w:rPr>
        <w:t>Таким образом, цифровая платформизация и институт доверия выступают не вспомогательными, а системообразующими механизмами инновационно-инклюзивной модели развития, обеспечивающими переход национальных и региональных инновационных систем от фрагментированных структур к сетевым, открытым и включающим формам организации. При этом институционализация доверия через цифровые платформенные механизмы формирует основу для расширения включенности экономических агентов и территорий в инновационный процесс, что позволяет рассматривать цифровую платформизацию и институт доверия как взаимосвязанные элементы инновационно-инклюзивной модели развития национальных и региональных инновационных систем.</w:t>
      </w:r>
    </w:p>
    <w:p>
      <w:pPr>
        <w:pStyle w:val="P13"/>
        <w:spacing w:lineRule="auto" w:line="360" w:beforeAutospacing="0" w:afterAutospacing="0"/>
        <w:ind w:firstLine="707" w:right="167"/>
        <w:jc w:val="both"/>
        <w:rPr>
          <w:sz w:val="28"/>
          <w:szCs w:val="28"/>
          <w:lang w:val="ru-RU"/>
        </w:rPr>
      </w:pPr>
    </w:p>
    <w:p>
      <w:pPr>
        <w:pStyle w:val="P13"/>
        <w:spacing w:lineRule="auto" w:line="360" w:beforeAutospacing="0" w:afterAutospacing="0"/>
        <w:ind w:firstLine="707" w:right="167"/>
        <w:jc w:val="both"/>
        <w:rPr>
          <w:sz w:val="28"/>
          <w:szCs w:val="28"/>
          <w:lang w:val="ru-RU"/>
        </w:rPr>
      </w:pPr>
    </w:p>
    <w:p>
      <w:pPr>
        <w:pStyle w:val="P13"/>
        <w:spacing w:lineRule="auto" w:line="360" w:beforeAutospacing="0" w:afterAutospacing="0"/>
        <w:ind w:firstLine="707" w:right="167"/>
        <w:jc w:val="both"/>
        <w:rPr>
          <w:sz w:val="28"/>
          <w:szCs w:val="28"/>
          <w:lang w:val="ru-RU"/>
        </w:rPr>
      </w:pPr>
    </w:p>
    <w:p>
      <w:pPr>
        <w:pStyle w:val="P13"/>
        <w:spacing w:lineRule="auto" w:line="360" w:beforeAutospacing="0" w:afterAutospacing="0"/>
        <w:ind w:firstLine="707" w:right="167"/>
        <w:jc w:val="center"/>
        <w:rPr>
          <w:b w:val="1"/>
          <w:sz w:val="28"/>
          <w:szCs w:val="28"/>
          <w:lang w:val="ru-RU"/>
        </w:rPr>
      </w:pPr>
      <w:r>
        <w:rPr>
          <w:b w:val="1"/>
          <w:sz w:val="28"/>
          <w:szCs w:val="28"/>
          <w:lang w:val="ru-RU"/>
        </w:rPr>
        <w:t>1.4. Методические подходы к оценке инновационно-инклюзивного развития регионов</w:t>
      </w:r>
    </w:p>
    <w:p>
      <w:pPr>
        <w:pStyle w:val="P13"/>
        <w:spacing w:lineRule="auto" w:line="360" w:beforeAutospacing="0" w:afterAutospacing="0"/>
        <w:ind w:firstLine="707" w:right="167"/>
        <w:jc w:val="both"/>
        <w:rPr>
          <w:sz w:val="28"/>
          <w:szCs w:val="28"/>
          <w:lang w:val="ru-RU"/>
        </w:rPr>
      </w:pPr>
    </w:p>
    <w:p>
      <w:pPr>
        <w:pStyle w:val="P13"/>
        <w:spacing w:lineRule="auto" w:line="360" w:beforeAutospacing="0" w:afterAutospacing="0"/>
        <w:ind w:firstLine="707" w:right="167"/>
        <w:jc w:val="both"/>
        <w:rPr>
          <w:sz w:val="28"/>
          <w:szCs w:val="28"/>
          <w:lang w:val="ru-RU"/>
        </w:rPr>
      </w:pPr>
    </w:p>
    <w:p>
      <w:pPr>
        <w:pStyle w:val="P13"/>
        <w:spacing w:lineRule="auto" w:line="360" w:beforeAutospacing="0" w:afterAutospacing="0"/>
        <w:ind w:firstLine="707" w:right="167"/>
        <w:jc w:val="both"/>
        <w:rPr>
          <w:sz w:val="28"/>
          <w:szCs w:val="28"/>
          <w:lang w:val="ru-RU"/>
        </w:rPr>
      </w:pPr>
    </w:p>
    <w:p>
      <w:pPr>
        <w:pStyle w:val="P13"/>
        <w:spacing w:lineRule="auto" w:line="360" w:beforeAutospacing="0" w:afterAutospacing="0"/>
        <w:ind w:firstLine="707" w:right="167"/>
        <w:jc w:val="both"/>
        <w:rPr>
          <w:sz w:val="28"/>
          <w:szCs w:val="28"/>
          <w:lang w:val="ru-RU"/>
        </w:rPr>
      </w:pPr>
      <w:r>
        <w:rPr>
          <w:sz w:val="28"/>
          <w:szCs w:val="28"/>
          <w:lang w:val="ru-RU"/>
        </w:rPr>
        <w:t xml:space="preserve">Формирование и развитие  инновационно-инклюзивной модели экономики предполагает разработку и применение адекватных методических подходов к ее оценке, позволяющих выявлять уровень и динамику инновационно-инклюзивного развития регионов, сопоставлять их между собой, а также анализировать факторы и ограничения формирования инновационно-инклюзивных траекторий. В этой связи раскроем методические подходы к оценке инновационно-инклюзивного развития регионов, их возможности и ограничения.</w:t>
      </w:r>
    </w:p>
    <w:p>
      <w:pPr>
        <w:pStyle w:val="P13"/>
        <w:spacing w:lineRule="auto" w:line="360" w:beforeAutospacing="0" w:afterAutospacing="0"/>
        <w:ind w:firstLine="707" w:right="167"/>
        <w:jc w:val="both"/>
        <w:rPr>
          <w:sz w:val="28"/>
          <w:szCs w:val="28"/>
          <w:lang w:val="ru-RU"/>
        </w:rPr>
      </w:pPr>
      <w:r>
        <w:rPr>
          <w:sz w:val="28"/>
          <w:szCs w:val="28"/>
          <w:lang w:val="ru-RU"/>
        </w:rPr>
        <w:t>Оценка инновационного развития регионов является одним из ключевых направлений исследований в экономике инноваций, поскольку позволяет выявлять пространственные различия инновационной активности, анализировать факторы формирования инновационного потенциала и обосновывать приоритеты региональной политики. В теоретико-методологическом плане данные подходы формировались в логике концепции национальных и региональных инновационных систем и ориентированы преимущественно на измерение инновационного потенциала, инновационной активности и инновационных результатов (таблица 9).</w:t>
      </w:r>
    </w:p>
    <w:p>
      <w:pPr>
        <w:pStyle w:val="P13"/>
        <w:spacing w:lineRule="auto" w:line="360" w:beforeAutospacing="0" w:afterAutospacing="0"/>
        <w:ind w:right="167"/>
        <w:jc w:val="both"/>
        <w:rPr>
          <w:sz w:val="28"/>
          <w:szCs w:val="28"/>
          <w:lang w:val="ru-RU"/>
        </w:rPr>
      </w:pPr>
    </w:p>
    <w:p>
      <w:pPr>
        <w:pStyle w:val="P13"/>
        <w:spacing w:lineRule="auto" w:line="360" w:beforeAutospacing="0" w:afterAutospacing="0"/>
        <w:ind w:right="167"/>
        <w:jc w:val="both"/>
        <w:rPr>
          <w:sz w:val="28"/>
          <w:szCs w:val="28"/>
          <w:lang w:val="ru-RU"/>
        </w:rPr>
      </w:pPr>
      <w:r>
        <w:rPr>
          <w:sz w:val="28"/>
          <w:szCs w:val="28"/>
          <w:lang w:val="ru-RU"/>
        </w:rPr>
        <w:t>Таблица 9 – Обзор подходов к оценке инновационного развития (составлено автором)</w:t>
      </w:r>
    </w:p>
    <w:tbl>
      <w:tblPr>
        <w:tblStyle w:val="T3"/>
        <w:tblW w:w="0" w:type="auto"/>
        <w:tblLayout w:type="fixed"/>
        <w:tblLook w:val="04A0"/>
      </w:tblPr>
      <w:tblGrid>
        <w:gridCol w:w="1413"/>
        <w:gridCol w:w="1843"/>
        <w:gridCol w:w="1842"/>
        <w:gridCol w:w="2552"/>
        <w:gridCol w:w="2262"/>
      </w:tblGrid>
      <w:tr>
        <w:tc>
          <w:tcPr>
            <w:tcW w:w="1413" w:type="dxa"/>
            <w:hideMark/>
          </w:tcPr>
          <w:p>
            <w:pPr>
              <w:jc w:val="center"/>
              <w:rPr>
                <w:rFonts w:ascii="Times New Roman" w:hAnsi="Times New Roman" w:cs="Times New Roman" w:eastAsia="Times New Roman"/>
                <w:bCs w:val="1"/>
                <w:sz w:val="24"/>
                <w:szCs w:val="24"/>
                <w:lang w:eastAsia="ru-RU"/>
              </w:rPr>
            </w:pPr>
            <w:r>
              <w:rPr>
                <w:rFonts w:ascii="Times New Roman" w:hAnsi="Times New Roman" w:cs="Times New Roman" w:eastAsia="Times New Roman"/>
                <w:bCs w:val="1"/>
                <w:sz w:val="24"/>
                <w:szCs w:val="24"/>
                <w:lang w:eastAsia="ru-RU"/>
              </w:rPr>
              <w:t>Автор / институт</w:t>
            </w:r>
          </w:p>
        </w:tc>
        <w:tc>
          <w:tcPr>
            <w:tcW w:w="1843" w:type="dxa"/>
            <w:hideMark/>
          </w:tcPr>
          <w:p>
            <w:pPr>
              <w:jc w:val="center"/>
              <w:rPr>
                <w:rFonts w:ascii="Times New Roman" w:hAnsi="Times New Roman" w:cs="Times New Roman" w:eastAsia="Times New Roman"/>
                <w:bCs w:val="1"/>
                <w:sz w:val="24"/>
                <w:szCs w:val="24"/>
                <w:lang w:eastAsia="ru-RU"/>
              </w:rPr>
            </w:pPr>
            <w:r>
              <w:rPr>
                <w:rFonts w:ascii="Times New Roman" w:hAnsi="Times New Roman" w:cs="Times New Roman" w:eastAsia="Times New Roman"/>
                <w:bCs w:val="1"/>
                <w:sz w:val="24"/>
                <w:szCs w:val="24"/>
                <w:lang w:eastAsia="ru-RU"/>
              </w:rPr>
              <w:t>Название подхода / методики</w:t>
            </w:r>
          </w:p>
        </w:tc>
        <w:tc>
          <w:tcPr>
            <w:tcW w:w="1842" w:type="dxa"/>
            <w:hideMark/>
          </w:tcPr>
          <w:p>
            <w:pPr>
              <w:jc w:val="center"/>
              <w:rPr>
                <w:rFonts w:ascii="Times New Roman" w:hAnsi="Times New Roman" w:cs="Times New Roman" w:eastAsia="Times New Roman"/>
                <w:bCs w:val="1"/>
                <w:sz w:val="24"/>
                <w:szCs w:val="24"/>
                <w:lang w:eastAsia="ru-RU"/>
              </w:rPr>
            </w:pPr>
            <w:r>
              <w:rPr>
                <w:rFonts w:ascii="Times New Roman" w:hAnsi="Times New Roman" w:cs="Times New Roman" w:eastAsia="Times New Roman"/>
                <w:bCs w:val="1"/>
                <w:sz w:val="24"/>
                <w:szCs w:val="24"/>
                <w:lang w:eastAsia="ru-RU"/>
              </w:rPr>
              <w:t>Уровень анализа</w:t>
            </w:r>
          </w:p>
        </w:tc>
        <w:tc>
          <w:tcPr>
            <w:tcW w:w="2552" w:type="dxa"/>
            <w:hideMark/>
          </w:tcPr>
          <w:p>
            <w:pPr>
              <w:jc w:val="center"/>
              <w:rPr>
                <w:rFonts w:ascii="Times New Roman" w:hAnsi="Times New Roman" w:cs="Times New Roman" w:eastAsia="Times New Roman"/>
                <w:bCs w:val="1"/>
                <w:sz w:val="24"/>
                <w:szCs w:val="24"/>
                <w:lang w:eastAsia="ru-RU"/>
              </w:rPr>
            </w:pPr>
            <w:r>
              <w:rPr>
                <w:rFonts w:ascii="Times New Roman" w:hAnsi="Times New Roman" w:cs="Times New Roman" w:eastAsia="Times New Roman"/>
                <w:bCs w:val="1"/>
                <w:sz w:val="24"/>
                <w:szCs w:val="24"/>
                <w:lang w:eastAsia="ru-RU"/>
              </w:rPr>
              <w:t>Ключевые показатели и акценты</w:t>
            </w:r>
          </w:p>
        </w:tc>
        <w:tc>
          <w:tcPr>
            <w:tcW w:w="2262" w:type="dxa"/>
            <w:hideMark/>
          </w:tcPr>
          <w:p>
            <w:pPr>
              <w:jc w:val="center"/>
              <w:rPr>
                <w:rFonts w:ascii="Times New Roman" w:hAnsi="Times New Roman" w:cs="Times New Roman" w:eastAsia="Times New Roman"/>
                <w:bCs w:val="1"/>
                <w:sz w:val="24"/>
                <w:szCs w:val="24"/>
                <w:lang w:eastAsia="ru-RU"/>
              </w:rPr>
            </w:pPr>
            <w:r>
              <w:rPr>
                <w:rFonts w:ascii="Times New Roman" w:hAnsi="Times New Roman" w:cs="Times New Roman" w:eastAsia="Times New Roman"/>
                <w:bCs w:val="1"/>
                <w:sz w:val="24"/>
                <w:szCs w:val="24"/>
                <w:lang w:eastAsia="ru-RU"/>
              </w:rPr>
              <w:t xml:space="preserve">Методические ограничения </w:t>
            </w:r>
          </w:p>
        </w:tc>
      </w:tr>
      <w:tr>
        <w:tc>
          <w:tcPr>
            <w:tcW w:w="1413" w:type="dxa"/>
            <w:hideMark/>
          </w:tcPr>
          <w:p>
            <w:pPr>
              <w:rPr>
                <w:rFonts w:ascii="Times New Roman" w:hAnsi="Times New Roman" w:cs="Times New Roman" w:eastAsia="Times New Roman"/>
                <w:sz w:val="24"/>
                <w:szCs w:val="24"/>
                <w:highlight w:val="yellow"/>
                <w:lang w:eastAsia="ru-RU"/>
              </w:rPr>
            </w:pPr>
            <w:r>
              <w:rPr>
                <w:rFonts w:ascii="Times New Roman" w:hAnsi="Times New Roman" w:cs="Times New Roman" w:eastAsia="Times New Roman"/>
                <w:bCs w:val="1"/>
                <w:sz w:val="24"/>
                <w:szCs w:val="24"/>
                <w:highlight w:val="yellow"/>
                <w:lang w:eastAsia="ru-RU"/>
              </w:rPr>
              <w:t>К. Фримен</w:t>
            </w:r>
          </w:p>
        </w:tc>
        <w:tc>
          <w:tcPr>
            <w:tcW w:w="1843"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Концепция НИС (базис для оценок)</w:t>
            </w:r>
          </w:p>
        </w:tc>
        <w:tc>
          <w:tcPr>
            <w:tcW w:w="1842" w:type="dxa"/>
            <w:hideMark/>
          </w:tcPr>
          <w:p>
            <w:pPr>
              <w:ind w:right="-108"/>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Национальный</w:t>
            </w:r>
          </w:p>
        </w:tc>
        <w:tc>
          <w:tcPr>
            <w:tcW w:w="2552"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Институты, НИОКР, взаимодействие акторов</w:t>
            </w:r>
          </w:p>
        </w:tc>
        <w:tc>
          <w:tcPr>
            <w:tcW w:w="2262"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Отсутствие формализованной системы индикаторов</w:t>
            </w:r>
          </w:p>
        </w:tc>
      </w:tr>
      <w:tr>
        <w:tc>
          <w:tcPr>
            <w:tcW w:w="1413" w:type="dxa"/>
            <w:hideMark/>
          </w:tcPr>
          <w:p>
            <w:pPr>
              <w:rPr>
                <w:rFonts w:ascii="Times New Roman" w:hAnsi="Times New Roman" w:cs="Times New Roman" w:eastAsia="Times New Roman"/>
                <w:sz w:val="24"/>
                <w:szCs w:val="24"/>
                <w:highlight w:val="yellow"/>
                <w:lang w:eastAsia="ru-RU"/>
              </w:rPr>
            </w:pPr>
            <w:r>
              <w:rPr>
                <w:rFonts w:ascii="Times New Roman" w:hAnsi="Times New Roman" w:cs="Times New Roman" w:eastAsia="Times New Roman"/>
                <w:bCs w:val="1"/>
                <w:sz w:val="24"/>
                <w:szCs w:val="24"/>
                <w:highlight w:val="yellow"/>
                <w:lang w:eastAsia="ru-RU"/>
              </w:rPr>
              <w:t>Б.-О. Лундвалль</w:t>
            </w:r>
          </w:p>
        </w:tc>
        <w:tc>
          <w:tcPr>
            <w:tcW w:w="1843"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Интерактивная модель инноваций</w:t>
            </w:r>
          </w:p>
        </w:tc>
        <w:tc>
          <w:tcPr>
            <w:tcW w:w="1842" w:type="dxa"/>
            <w:hideMark/>
          </w:tcPr>
          <w:p>
            <w:pPr>
              <w:ind w:right="-108"/>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Национальный/ региональный</w:t>
            </w:r>
          </w:p>
        </w:tc>
        <w:tc>
          <w:tcPr>
            <w:tcW w:w="2552"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Обучение, связи, знания</w:t>
            </w:r>
          </w:p>
        </w:tc>
        <w:tc>
          <w:tcPr>
            <w:tcW w:w="2262"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Трудности количественной оценки</w:t>
            </w:r>
          </w:p>
        </w:tc>
      </w:tr>
      <w:tr>
        <w:tc>
          <w:tcPr>
            <w:tcW w:w="1413" w:type="dxa"/>
            <w:hideMark/>
          </w:tcPr>
          <w:p>
            <w:pPr>
              <w:rPr>
                <w:rFonts w:ascii="Times New Roman" w:hAnsi="Times New Roman" w:cs="Times New Roman" w:eastAsia="Times New Roman"/>
                <w:sz w:val="24"/>
                <w:szCs w:val="24"/>
                <w:highlight w:val="yellow"/>
                <w:lang w:eastAsia="ru-RU"/>
              </w:rPr>
            </w:pPr>
            <w:r>
              <w:rPr>
                <w:rFonts w:ascii="Times New Roman" w:hAnsi="Times New Roman" w:cs="Times New Roman" w:eastAsia="Times New Roman"/>
                <w:bCs w:val="1"/>
                <w:sz w:val="24"/>
                <w:szCs w:val="24"/>
                <w:highlight w:val="yellow"/>
                <w:lang w:eastAsia="ru-RU"/>
              </w:rPr>
              <w:t>Р. Нельсон</w:t>
            </w:r>
          </w:p>
        </w:tc>
        <w:tc>
          <w:tcPr>
            <w:tcW w:w="1843"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Сравнительный анализ НИС</w:t>
            </w:r>
          </w:p>
        </w:tc>
        <w:tc>
          <w:tcPr>
            <w:tcW w:w="1842"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Национальный</w:t>
            </w:r>
          </w:p>
        </w:tc>
        <w:tc>
          <w:tcPr>
            <w:tcW w:w="2552"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Структура институтов и политики</w:t>
            </w:r>
          </w:p>
        </w:tc>
        <w:tc>
          <w:tcPr>
            <w:tcW w:w="2262"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Описательный характер</w:t>
            </w:r>
          </w:p>
        </w:tc>
      </w:tr>
      <w:tr>
        <w:tc>
          <w:tcPr>
            <w:tcW w:w="1413" w:type="dxa"/>
            <w:hideMark/>
          </w:tcPr>
          <w:p>
            <w:pPr>
              <w:rPr>
                <w:rFonts w:ascii="Times New Roman" w:hAnsi="Times New Roman" w:cs="Times New Roman" w:eastAsia="Times New Roman"/>
                <w:sz w:val="24"/>
                <w:szCs w:val="24"/>
                <w:highlight w:val="yellow"/>
                <w:lang w:eastAsia="ru-RU"/>
              </w:rPr>
            </w:pPr>
            <w:r>
              <w:rPr>
                <w:rFonts w:ascii="Times New Roman" w:hAnsi="Times New Roman" w:cs="Times New Roman" w:eastAsia="Times New Roman"/>
                <w:bCs w:val="1"/>
                <w:sz w:val="24"/>
                <w:szCs w:val="24"/>
                <w:highlight w:val="yellow"/>
                <w:lang w:eastAsia="ru-RU"/>
              </w:rPr>
              <w:t>OECD</w:t>
            </w:r>
          </w:p>
        </w:tc>
        <w:tc>
          <w:tcPr>
            <w:tcW w:w="1843" w:type="dxa"/>
            <w:hideMark/>
          </w:tcPr>
          <w:p>
            <w:pPr>
              <w:rPr>
                <w:rFonts w:ascii="Times New Roman" w:hAnsi="Times New Roman" w:cs="Times New Roman" w:eastAsia="Times New Roman"/>
                <w:sz w:val="24"/>
                <w:szCs w:val="24"/>
                <w:lang w:val="en-US" w:eastAsia="ru-RU"/>
              </w:rPr>
            </w:pPr>
            <w:r>
              <w:rPr>
                <w:rFonts w:ascii="Times New Roman" w:hAnsi="Times New Roman" w:cs="Times New Roman" w:eastAsia="Times New Roman"/>
                <w:sz w:val="24"/>
                <w:szCs w:val="24"/>
                <w:lang w:val="en-US" w:eastAsia="ru-RU"/>
              </w:rPr>
              <w:t>Regional Innovation Scoreboard / Innovation Indicators</w:t>
            </w:r>
          </w:p>
        </w:tc>
        <w:tc>
          <w:tcPr>
            <w:tcW w:w="1842"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Национальный/ региональный</w:t>
            </w:r>
          </w:p>
        </w:tc>
        <w:tc>
          <w:tcPr>
            <w:tcW w:w="2552"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НИОКР, бизнес-инновации, кадры</w:t>
            </w:r>
          </w:p>
        </w:tc>
        <w:tc>
          <w:tcPr>
            <w:tcW w:w="2262"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Слабое отражение инклюзивности</w:t>
            </w:r>
          </w:p>
        </w:tc>
      </w:tr>
      <w:tr>
        <w:tc>
          <w:tcPr>
            <w:tcW w:w="1413" w:type="dxa"/>
            <w:hideMark/>
          </w:tcPr>
          <w:p>
            <w:pPr>
              <w:rPr>
                <w:rFonts w:ascii="Times New Roman" w:hAnsi="Times New Roman" w:cs="Times New Roman" w:eastAsia="Times New Roman"/>
                <w:sz w:val="24"/>
                <w:szCs w:val="24"/>
                <w:highlight w:val="yellow"/>
                <w:lang w:eastAsia="ru-RU"/>
              </w:rPr>
            </w:pPr>
            <w:r>
              <w:rPr>
                <w:rFonts w:ascii="Times New Roman" w:hAnsi="Times New Roman" w:cs="Times New Roman" w:eastAsia="Times New Roman"/>
                <w:bCs w:val="1"/>
                <w:sz w:val="24"/>
                <w:szCs w:val="24"/>
                <w:highlight w:val="yellow"/>
                <w:lang w:eastAsia="ru-RU"/>
              </w:rPr>
              <w:t>European Commis-sion</w:t>
            </w:r>
          </w:p>
        </w:tc>
        <w:tc>
          <w:tcPr>
            <w:tcW w:w="1843"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Regional Innovation Scoreboard (RIS)</w:t>
            </w:r>
          </w:p>
        </w:tc>
        <w:tc>
          <w:tcPr>
            <w:tcW w:w="1842"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Региональный</w:t>
            </w:r>
          </w:p>
        </w:tc>
        <w:tc>
          <w:tcPr>
            <w:tcW w:w="2552"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Инновационная активность, инфраструктура</w:t>
            </w:r>
          </w:p>
        </w:tc>
        <w:tc>
          <w:tcPr>
            <w:tcW w:w="2262"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Не учитывает доступность инноваций</w:t>
            </w:r>
          </w:p>
        </w:tc>
      </w:tr>
      <w:tr>
        <w:tc>
          <w:tcPr>
            <w:tcW w:w="1413" w:type="dxa"/>
            <w:hideMark/>
          </w:tcPr>
          <w:p>
            <w:pPr>
              <w:rPr>
                <w:rFonts w:ascii="Times New Roman" w:hAnsi="Times New Roman" w:cs="Times New Roman" w:eastAsia="Times New Roman"/>
                <w:sz w:val="24"/>
                <w:szCs w:val="24"/>
                <w:highlight w:val="yellow"/>
                <w:lang w:eastAsia="ru-RU"/>
              </w:rPr>
            </w:pPr>
            <w:r>
              <w:rPr>
                <w:rFonts w:ascii="Times New Roman" w:hAnsi="Times New Roman" w:cs="Times New Roman" w:eastAsia="Times New Roman"/>
                <w:bCs w:val="1"/>
                <w:sz w:val="24"/>
                <w:szCs w:val="24"/>
                <w:highlight w:val="yellow"/>
                <w:lang w:eastAsia="ru-RU"/>
              </w:rPr>
              <w:t>World Economic Forum</w:t>
            </w:r>
          </w:p>
        </w:tc>
        <w:tc>
          <w:tcPr>
            <w:tcW w:w="1843" w:type="dxa"/>
            <w:hideMark/>
          </w:tcPr>
          <w:p>
            <w:pPr>
              <w:rPr>
                <w:rFonts w:ascii="Times New Roman" w:hAnsi="Times New Roman" w:cs="Times New Roman" w:eastAsia="Times New Roman"/>
                <w:sz w:val="24"/>
                <w:szCs w:val="24"/>
                <w:lang w:val="en-US" w:eastAsia="ru-RU"/>
              </w:rPr>
            </w:pPr>
            <w:r>
              <w:rPr>
                <w:rFonts w:ascii="Times New Roman" w:hAnsi="Times New Roman" w:cs="Times New Roman" w:eastAsia="Times New Roman"/>
                <w:sz w:val="24"/>
                <w:szCs w:val="24"/>
                <w:lang w:val="en-US" w:eastAsia="ru-RU"/>
              </w:rPr>
              <w:t>Global Compe-titiveness Index (</w:t>
            </w:r>
            <w:r>
              <w:rPr>
                <w:rFonts w:ascii="Times New Roman" w:hAnsi="Times New Roman" w:cs="Times New Roman" w:eastAsia="Times New Roman"/>
                <w:sz w:val="24"/>
                <w:szCs w:val="24"/>
                <w:lang w:eastAsia="ru-RU"/>
              </w:rPr>
              <w:t>инновацион</w:t>
            </w:r>
            <w:r>
              <w:rPr>
                <w:rFonts w:ascii="Times New Roman" w:hAnsi="Times New Roman" w:cs="Times New Roman" w:eastAsia="Times New Roman"/>
                <w:sz w:val="24"/>
                <w:szCs w:val="24"/>
                <w:lang w:val="en-US" w:eastAsia="ru-RU"/>
              </w:rPr>
              <w:t>-</w:t>
            </w:r>
            <w:r>
              <w:rPr>
                <w:rFonts w:ascii="Times New Roman" w:hAnsi="Times New Roman" w:cs="Times New Roman" w:eastAsia="Times New Roman"/>
                <w:sz w:val="24"/>
                <w:szCs w:val="24"/>
                <w:lang w:eastAsia="ru-RU"/>
              </w:rPr>
              <w:t>ный</w:t>
            </w:r>
            <w:r>
              <w:rPr>
                <w:rFonts w:ascii="Times New Roman" w:hAnsi="Times New Roman" w:cs="Times New Roman" w:eastAsia="Times New Roman"/>
                <w:sz w:val="24"/>
                <w:szCs w:val="24"/>
                <w:lang w:val="en-US" w:eastAsia="ru-RU"/>
              </w:rPr>
              <w:t xml:space="preserve"> </w:t>
            </w:r>
            <w:r>
              <w:rPr>
                <w:rFonts w:ascii="Times New Roman" w:hAnsi="Times New Roman" w:cs="Times New Roman" w:eastAsia="Times New Roman"/>
                <w:sz w:val="24"/>
                <w:szCs w:val="24"/>
                <w:lang w:eastAsia="ru-RU"/>
              </w:rPr>
              <w:t>блок</w:t>
            </w:r>
            <w:r>
              <w:rPr>
                <w:rFonts w:ascii="Times New Roman" w:hAnsi="Times New Roman" w:cs="Times New Roman" w:eastAsia="Times New Roman"/>
                <w:sz w:val="24"/>
                <w:szCs w:val="24"/>
                <w:lang w:val="en-US" w:eastAsia="ru-RU"/>
              </w:rPr>
              <w:t>)</w:t>
            </w:r>
          </w:p>
        </w:tc>
        <w:tc>
          <w:tcPr>
            <w:tcW w:w="1842"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Национальный</w:t>
            </w:r>
          </w:p>
        </w:tc>
        <w:tc>
          <w:tcPr>
            <w:tcW w:w="2552"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Технологии, инновационная способность</w:t>
            </w:r>
          </w:p>
        </w:tc>
        <w:tc>
          <w:tcPr>
            <w:tcW w:w="2262"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Инклюзивность вне фокуса</w:t>
            </w:r>
          </w:p>
        </w:tc>
      </w:tr>
      <w:tr>
        <w:tc>
          <w:tcPr>
            <w:tcW w:w="1413" w:type="dxa"/>
            <w:hideMark/>
          </w:tcPr>
          <w:p>
            <w:pPr>
              <w:rPr>
                <w:rFonts w:ascii="Times New Roman" w:hAnsi="Times New Roman" w:cs="Times New Roman" w:eastAsia="Times New Roman"/>
                <w:sz w:val="24"/>
                <w:szCs w:val="24"/>
                <w:highlight w:val="yellow"/>
                <w:lang w:eastAsia="ru-RU"/>
              </w:rPr>
            </w:pPr>
            <w:r>
              <w:rPr>
                <w:rFonts w:ascii="Times New Roman" w:hAnsi="Times New Roman" w:cs="Times New Roman" w:eastAsia="Times New Roman"/>
                <w:bCs w:val="1"/>
                <w:sz w:val="24"/>
                <w:szCs w:val="24"/>
                <w:highlight w:val="yellow"/>
                <w:lang w:eastAsia="ru-RU"/>
              </w:rPr>
              <w:t>World Bank</w:t>
            </w:r>
          </w:p>
        </w:tc>
        <w:tc>
          <w:tcPr>
            <w:tcW w:w="1843" w:type="dxa"/>
            <w:hideMark/>
          </w:tcPr>
          <w:p>
            <w:pPr>
              <w:rPr>
                <w:rFonts w:ascii="Times New Roman" w:hAnsi="Times New Roman" w:cs="Times New Roman" w:eastAsia="Times New Roman"/>
                <w:sz w:val="24"/>
                <w:szCs w:val="24"/>
                <w:lang w:val="en-US" w:eastAsia="ru-RU"/>
              </w:rPr>
            </w:pPr>
            <w:r>
              <w:rPr>
                <w:rFonts w:ascii="Times New Roman" w:hAnsi="Times New Roman" w:cs="Times New Roman" w:eastAsia="Times New Roman"/>
                <w:sz w:val="24"/>
                <w:szCs w:val="24"/>
                <w:lang w:val="en-US" w:eastAsia="ru-RU"/>
              </w:rPr>
              <w:t>Knowledge Economy Index / Innovation Pillars</w:t>
            </w:r>
          </w:p>
        </w:tc>
        <w:tc>
          <w:tcPr>
            <w:tcW w:w="1842"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Национальный</w:t>
            </w:r>
          </w:p>
        </w:tc>
        <w:tc>
          <w:tcPr>
            <w:tcW w:w="2552"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Знания, институты, ИКТ</w:t>
            </w:r>
          </w:p>
        </w:tc>
        <w:tc>
          <w:tcPr>
            <w:tcW w:w="2262"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Ограниченная региональная детализация</w:t>
            </w:r>
          </w:p>
        </w:tc>
      </w:tr>
      <w:tr>
        <w:tc>
          <w:tcPr>
            <w:tcW w:w="1413" w:type="dxa"/>
            <w:hideMark/>
          </w:tcPr>
          <w:p>
            <w:pPr>
              <w:rPr>
                <w:rFonts w:ascii="Times New Roman" w:hAnsi="Times New Roman" w:cs="Times New Roman" w:eastAsia="Times New Roman"/>
                <w:sz w:val="24"/>
                <w:szCs w:val="24"/>
                <w:highlight w:val="yellow"/>
                <w:lang w:eastAsia="ru-RU"/>
              </w:rPr>
            </w:pPr>
            <w:r>
              <w:rPr>
                <w:rFonts w:ascii="Times New Roman" w:hAnsi="Times New Roman" w:cs="Times New Roman" w:eastAsia="Times New Roman"/>
                <w:bCs w:val="1"/>
                <w:sz w:val="24"/>
                <w:szCs w:val="24"/>
                <w:highlight w:val="yellow"/>
                <w:lang w:eastAsia="ru-RU"/>
              </w:rPr>
              <w:t>INSEAD, WIPO, Cornell University</w:t>
            </w:r>
          </w:p>
        </w:tc>
        <w:tc>
          <w:tcPr>
            <w:tcW w:w="1843"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Global Innovation Index (GII)</w:t>
            </w:r>
          </w:p>
        </w:tc>
        <w:tc>
          <w:tcPr>
            <w:tcW w:w="1842"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Национальный</w:t>
            </w:r>
          </w:p>
        </w:tc>
        <w:tc>
          <w:tcPr>
            <w:tcW w:w="2552"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Инновационные входы и выходы</w:t>
            </w:r>
          </w:p>
        </w:tc>
        <w:tc>
          <w:tcPr>
            <w:tcW w:w="2262"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Недостаточная чувствительность к региональным разрывам</w:t>
            </w:r>
          </w:p>
        </w:tc>
      </w:tr>
      <w:tr>
        <w:tc>
          <w:tcPr>
            <w:tcW w:w="1413" w:type="dxa"/>
            <w:hideMark/>
          </w:tcPr>
          <w:p>
            <w:pPr>
              <w:ind w:right="-108"/>
              <w:rPr>
                <w:rFonts w:ascii="Times New Roman" w:hAnsi="Times New Roman" w:cs="Times New Roman" w:eastAsia="Times New Roman"/>
                <w:sz w:val="24"/>
                <w:szCs w:val="24"/>
                <w:highlight w:val="yellow"/>
                <w:lang w:eastAsia="ru-RU"/>
              </w:rPr>
            </w:pPr>
            <w:r>
              <w:rPr>
                <w:rFonts w:ascii="Times New Roman" w:hAnsi="Times New Roman" w:cs="Times New Roman" w:eastAsia="Times New Roman"/>
                <w:bCs w:val="1"/>
                <w:sz w:val="24"/>
                <w:szCs w:val="24"/>
                <w:highlight w:val="yellow"/>
                <w:lang w:eastAsia="ru-RU"/>
              </w:rPr>
              <w:t>Минэконом-развития РФ</w:t>
            </w:r>
          </w:p>
        </w:tc>
        <w:tc>
          <w:tcPr>
            <w:tcW w:w="1843"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Рейтинг инновационного развития регионов РФ</w:t>
            </w:r>
          </w:p>
        </w:tc>
        <w:tc>
          <w:tcPr>
            <w:tcW w:w="1842"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Региональный</w:t>
            </w:r>
          </w:p>
        </w:tc>
        <w:tc>
          <w:tcPr>
            <w:tcW w:w="2552"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НИОКР, инновации предприятий</w:t>
            </w:r>
          </w:p>
        </w:tc>
        <w:tc>
          <w:tcPr>
            <w:tcW w:w="2262"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Социальное измерение вторично</w:t>
            </w:r>
          </w:p>
        </w:tc>
      </w:tr>
      <w:tr>
        <w:tc>
          <w:tcPr>
            <w:tcW w:w="1413" w:type="dxa"/>
            <w:hideMark/>
          </w:tcPr>
          <w:p>
            <w:pPr>
              <w:rPr>
                <w:rFonts w:ascii="Times New Roman" w:hAnsi="Times New Roman" w:cs="Times New Roman" w:eastAsia="Times New Roman"/>
                <w:sz w:val="24"/>
                <w:szCs w:val="24"/>
                <w:highlight w:val="yellow"/>
                <w:lang w:eastAsia="ru-RU"/>
              </w:rPr>
            </w:pPr>
            <w:r>
              <w:rPr>
                <w:rFonts w:ascii="Times New Roman" w:hAnsi="Times New Roman" w:cs="Times New Roman" w:eastAsia="Times New Roman"/>
                <w:bCs w:val="1"/>
                <w:sz w:val="24"/>
                <w:szCs w:val="24"/>
                <w:highlight w:val="yellow"/>
                <w:lang w:eastAsia="ru-RU"/>
              </w:rPr>
              <w:t>НИУ ВШЭ</w:t>
            </w:r>
          </w:p>
        </w:tc>
        <w:tc>
          <w:tcPr>
            <w:tcW w:w="1843"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Российский региональный инновацион-ный индекс</w:t>
            </w:r>
          </w:p>
        </w:tc>
        <w:tc>
          <w:tcPr>
            <w:tcW w:w="1842"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Региональный</w:t>
            </w:r>
          </w:p>
        </w:tc>
        <w:tc>
          <w:tcPr>
            <w:tcW w:w="2552"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Наука, бизнес, инфраструктура</w:t>
            </w:r>
          </w:p>
        </w:tc>
        <w:tc>
          <w:tcPr>
            <w:tcW w:w="2262"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Ограниченная интерпретация инклюзивности</w:t>
            </w:r>
          </w:p>
        </w:tc>
      </w:tr>
      <w:tr>
        <w:tc>
          <w:tcPr>
            <w:tcW w:w="1413" w:type="dxa"/>
            <w:hideMark/>
          </w:tcPr>
          <w:p>
            <w:pPr>
              <w:rPr>
                <w:rFonts w:ascii="Times New Roman" w:hAnsi="Times New Roman" w:cs="Times New Roman" w:eastAsia="Times New Roman"/>
                <w:sz w:val="24"/>
                <w:szCs w:val="24"/>
                <w:highlight w:val="yellow"/>
                <w:lang w:eastAsia="ru-RU"/>
              </w:rPr>
            </w:pPr>
            <w:r>
              <w:rPr>
                <w:rFonts w:ascii="Times New Roman" w:hAnsi="Times New Roman" w:cs="Times New Roman" w:eastAsia="Times New Roman"/>
                <w:bCs w:val="1"/>
                <w:sz w:val="24"/>
                <w:szCs w:val="24"/>
                <w:highlight w:val="yellow"/>
                <w:lang w:eastAsia="ru-RU"/>
              </w:rPr>
              <w:t>А. И. Татаркин и школа РАН</w:t>
            </w:r>
          </w:p>
        </w:tc>
        <w:tc>
          <w:tcPr>
            <w:tcW w:w="1843"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Индикативные модели инновационного развития</w:t>
            </w:r>
          </w:p>
        </w:tc>
        <w:tc>
          <w:tcPr>
            <w:tcW w:w="1842"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Региональный</w:t>
            </w:r>
          </w:p>
        </w:tc>
        <w:tc>
          <w:tcPr>
            <w:tcW w:w="2552"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Потенциал, активность, результаты</w:t>
            </w:r>
          </w:p>
        </w:tc>
        <w:tc>
          <w:tcPr>
            <w:tcW w:w="2262"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Инклюзивность не выделена</w:t>
            </w:r>
          </w:p>
        </w:tc>
      </w:tr>
      <w:tr>
        <w:tc>
          <w:tcPr>
            <w:tcW w:w="1413" w:type="dxa"/>
            <w:hideMark/>
          </w:tcPr>
          <w:p>
            <w:pPr>
              <w:rPr>
                <w:rFonts w:ascii="Times New Roman" w:hAnsi="Times New Roman" w:cs="Times New Roman" w:eastAsia="Times New Roman"/>
                <w:sz w:val="24"/>
                <w:szCs w:val="24"/>
                <w:highlight w:val="yellow"/>
                <w:lang w:eastAsia="ru-RU"/>
              </w:rPr>
            </w:pPr>
            <w:r>
              <w:rPr>
                <w:rFonts w:ascii="Times New Roman" w:hAnsi="Times New Roman" w:cs="Times New Roman" w:eastAsia="Times New Roman"/>
                <w:bCs w:val="1"/>
                <w:sz w:val="24"/>
                <w:szCs w:val="24"/>
                <w:highlight w:val="yellow"/>
                <w:lang w:eastAsia="ru-RU"/>
              </w:rPr>
              <w:t>UNESCO</w:t>
            </w:r>
          </w:p>
        </w:tc>
        <w:tc>
          <w:tcPr>
            <w:tcW w:w="1843"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STI Indicators</w:t>
            </w:r>
          </w:p>
        </w:tc>
        <w:tc>
          <w:tcPr>
            <w:tcW w:w="1842"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Национальный</w:t>
            </w:r>
          </w:p>
        </w:tc>
        <w:tc>
          <w:tcPr>
            <w:tcW w:w="2552"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Наука и технологии</w:t>
            </w:r>
          </w:p>
        </w:tc>
        <w:tc>
          <w:tcPr>
            <w:tcW w:w="2262"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Слабая связка с региональной политикой</w:t>
            </w:r>
          </w:p>
        </w:tc>
      </w:tr>
    </w:tbl>
    <w:p>
      <w:pPr>
        <w:pStyle w:val="P13"/>
        <w:spacing w:lineRule="auto" w:line="360" w:beforeAutospacing="0" w:afterAutospacing="0"/>
        <w:ind w:firstLine="707" w:right="167"/>
        <w:jc w:val="both"/>
        <w:rPr>
          <w:sz w:val="28"/>
          <w:szCs w:val="28"/>
          <w:lang w:val="ru-RU"/>
        </w:rPr>
      </w:pPr>
    </w:p>
    <w:p>
      <w:pPr>
        <w:pStyle w:val="P13"/>
        <w:spacing w:lineRule="auto" w:line="360" w:beforeAutospacing="0" w:afterAutospacing="0"/>
        <w:ind w:firstLine="707" w:right="167"/>
        <w:jc w:val="both"/>
        <w:rPr>
          <w:sz w:val="28"/>
          <w:szCs w:val="28"/>
          <w:lang w:val="ru-RU"/>
        </w:rPr>
      </w:pPr>
      <w:r>
        <w:rPr>
          <w:sz w:val="28"/>
          <w:szCs w:val="28"/>
          <w:lang w:val="ru-RU"/>
        </w:rPr>
        <w:t xml:space="preserve">Наиболее распространенной группой методических подходов являются индикаторные подходы, основанные на использовании системы показателей, отражающих различные аспекты инновационного развития регионов </w:t>
      </w:r>
      <w:r>
        <w:rPr>
          <w:sz w:val="28"/>
          <w:szCs w:val="28"/>
          <w:highlight w:val="yellow"/>
          <w:lang w:val="ru-RU"/>
        </w:rPr>
        <w:t>(ссылки??)</w:t>
      </w:r>
      <w:r>
        <w:rPr>
          <w:sz w:val="28"/>
          <w:szCs w:val="28"/>
          <w:lang w:val="ru-RU"/>
        </w:rPr>
        <w:t>. В рамках данных подходов инновационное развитие трактуется как многомерный процесс, включающий научно-технологический, кадровый, институциональный и инфраструктурный компоненты. Как правило, системы индикаторов охватывают следующие группы показателей:</w:t>
      </w:r>
    </w:p>
    <w:p>
      <w:pPr>
        <w:pStyle w:val="P13"/>
        <w:numPr>
          <w:ilvl w:val="0"/>
          <w:numId w:val="20"/>
        </w:numPr>
        <w:tabs>
          <w:tab w:val="left" w:pos="993" w:leader="none"/>
        </w:tabs>
        <w:spacing w:lineRule="auto" w:line="360" w:beforeAutospacing="0" w:afterAutospacing="0"/>
        <w:ind w:firstLine="709" w:left="0" w:right="167"/>
        <w:jc w:val="both"/>
        <w:rPr>
          <w:sz w:val="28"/>
          <w:szCs w:val="28"/>
          <w:lang w:val="ru-RU"/>
        </w:rPr>
      </w:pPr>
      <w:r>
        <w:rPr>
          <w:sz w:val="28"/>
          <w:szCs w:val="28"/>
          <w:lang w:val="ru-RU"/>
        </w:rPr>
        <w:t>показатели научно-исследовательской и опытно-конструкторской деятельности (расходы на НИОКР, численность исследователей, патентная активность);</w:t>
      </w:r>
    </w:p>
    <w:p>
      <w:pPr>
        <w:pStyle w:val="P13"/>
        <w:numPr>
          <w:ilvl w:val="0"/>
          <w:numId w:val="20"/>
        </w:numPr>
        <w:tabs>
          <w:tab w:val="left" w:pos="993" w:leader="none"/>
        </w:tabs>
        <w:spacing w:lineRule="auto" w:line="360" w:beforeAutospacing="0" w:afterAutospacing="0"/>
        <w:ind w:firstLine="709" w:left="0" w:right="167"/>
        <w:jc w:val="both"/>
        <w:rPr>
          <w:sz w:val="28"/>
          <w:szCs w:val="28"/>
          <w:lang w:val="ru-RU"/>
        </w:rPr>
      </w:pPr>
      <w:r>
        <w:rPr>
          <w:sz w:val="28"/>
          <w:szCs w:val="28"/>
          <w:lang w:val="ru-RU"/>
        </w:rPr>
        <w:t>показатели человеческого капитала и образовательного потенциала;</w:t>
      </w:r>
    </w:p>
    <w:p>
      <w:pPr>
        <w:pStyle w:val="P13"/>
        <w:numPr>
          <w:ilvl w:val="0"/>
          <w:numId w:val="20"/>
        </w:numPr>
        <w:tabs>
          <w:tab w:val="left" w:pos="993" w:leader="none"/>
        </w:tabs>
        <w:spacing w:lineRule="auto" w:line="360" w:beforeAutospacing="0" w:afterAutospacing="0"/>
        <w:ind w:firstLine="709" w:left="0" w:right="167"/>
        <w:jc w:val="both"/>
        <w:rPr>
          <w:sz w:val="28"/>
          <w:szCs w:val="28"/>
          <w:lang w:val="ru-RU"/>
        </w:rPr>
      </w:pPr>
      <w:r>
        <w:rPr>
          <w:sz w:val="28"/>
          <w:szCs w:val="28"/>
          <w:lang w:val="ru-RU"/>
        </w:rPr>
        <w:t>показатели инновационной активности предприятий;</w:t>
      </w:r>
    </w:p>
    <w:p>
      <w:pPr>
        <w:pStyle w:val="P13"/>
        <w:numPr>
          <w:ilvl w:val="0"/>
          <w:numId w:val="20"/>
        </w:numPr>
        <w:tabs>
          <w:tab w:val="left" w:pos="993" w:leader="none"/>
        </w:tabs>
        <w:spacing w:lineRule="auto" w:line="360" w:beforeAutospacing="0" w:afterAutospacing="0"/>
        <w:ind w:firstLine="709" w:left="0" w:right="167"/>
        <w:jc w:val="both"/>
        <w:rPr>
          <w:sz w:val="28"/>
          <w:szCs w:val="28"/>
          <w:lang w:val="ru-RU"/>
        </w:rPr>
      </w:pPr>
      <w:r>
        <w:rPr>
          <w:sz w:val="28"/>
          <w:szCs w:val="28"/>
          <w:lang w:val="ru-RU"/>
        </w:rPr>
        <w:t>показатели инновационной инфраструктуры и институциональной среды.</w:t>
      </w:r>
    </w:p>
    <w:p>
      <w:pPr>
        <w:pStyle w:val="P13"/>
        <w:spacing w:lineRule="auto" w:line="360" w:beforeAutospacing="0" w:afterAutospacing="0"/>
        <w:ind w:firstLine="707" w:right="167"/>
        <w:jc w:val="both"/>
        <w:rPr>
          <w:sz w:val="28"/>
          <w:szCs w:val="28"/>
          <w:lang w:val="ru-RU"/>
        </w:rPr>
      </w:pPr>
      <w:r>
        <w:rPr>
          <w:sz w:val="28"/>
          <w:szCs w:val="28"/>
          <w:lang w:val="ru-RU"/>
        </w:rPr>
        <w:t>Преимуществом индикаторных подходов является их относительная простота и возможность адаптации к различным уровням анализа, включая региональный. Вместе с тем их ограничением выступает фрагментарность оценки, поскольку отдельные показатели не всегда отражают системный характер инновационного развития и качество взаимодействий между элементами инновационной системы.</w:t>
      </w:r>
    </w:p>
    <w:p>
      <w:pPr>
        <w:pStyle w:val="P13"/>
        <w:spacing w:lineRule="auto" w:line="360" w:beforeAutospacing="0" w:afterAutospacing="0"/>
        <w:ind w:firstLine="707" w:right="167"/>
        <w:jc w:val="both"/>
        <w:rPr>
          <w:sz w:val="28"/>
          <w:szCs w:val="28"/>
          <w:lang w:val="ru-RU"/>
        </w:rPr>
      </w:pPr>
      <w:r>
        <w:rPr>
          <w:sz w:val="28"/>
          <w:szCs w:val="28"/>
          <w:lang w:val="ru-RU"/>
        </w:rPr>
        <w:t xml:space="preserve">Развитием индикаторных методик являются индексные и рейтинговые подходы </w:t>
      </w:r>
      <w:r>
        <w:rPr>
          <w:sz w:val="28"/>
          <w:szCs w:val="28"/>
          <w:highlight w:val="yellow"/>
          <w:lang w:val="ru-RU"/>
        </w:rPr>
        <w:t>(ссылки??)</w:t>
      </w:r>
      <w:r>
        <w:rPr>
          <w:sz w:val="28"/>
          <w:szCs w:val="28"/>
          <w:lang w:val="ru-RU"/>
        </w:rPr>
        <w:t>, в рамках которых осуществляется агрегирование отдельных показателей в интегральные индексы инновационного развития. Данные подходы получили широкое распространение в международной и национальной практике, поскольку позволяют проводить межрегиональные и межстрановые сопоставления, а также отслеживать динамику инновационного развития во времени.</w:t>
      </w:r>
    </w:p>
    <w:p>
      <w:pPr>
        <w:pStyle w:val="P13"/>
        <w:spacing w:lineRule="auto" w:line="360" w:beforeAutospacing="0" w:afterAutospacing="0"/>
        <w:ind w:firstLine="707" w:right="167"/>
        <w:jc w:val="both"/>
        <w:rPr>
          <w:sz w:val="28"/>
          <w:szCs w:val="28"/>
          <w:lang w:val="ru-RU"/>
        </w:rPr>
      </w:pPr>
      <w:r>
        <w:rPr>
          <w:sz w:val="28"/>
          <w:szCs w:val="28"/>
          <w:lang w:val="ru-RU"/>
        </w:rPr>
        <w:t>Индексные методики, как правило, строятся на основе нормирования показателей, их группировки по блокам и последующего взвешивания. В региональном разрезе такие индексы позволяют выявлять инновационные «лидеры» и «аутсайдеры», а также формировать типологии регионов по уровню инновационного развития. В то же время агрегирование показателей неизбежно связано с методологическими проблемами выбора весов, сопоставимости данных и интерпретации итоговых значений, что особенно актуально для развивающихся и переходных экономик с ограниченной статистической базой.</w:t>
      </w:r>
    </w:p>
    <w:p>
      <w:pPr>
        <w:pStyle w:val="P13"/>
        <w:spacing w:lineRule="auto" w:line="360" w:beforeAutospacing="0" w:afterAutospacing="0"/>
        <w:ind w:firstLine="707" w:right="167"/>
        <w:jc w:val="both"/>
        <w:rPr>
          <w:sz w:val="28"/>
          <w:szCs w:val="28"/>
          <w:lang w:val="ru-RU"/>
        </w:rPr>
      </w:pPr>
      <w:r>
        <w:rPr>
          <w:sz w:val="28"/>
          <w:szCs w:val="28"/>
          <w:lang w:val="ru-RU"/>
        </w:rPr>
        <w:t xml:space="preserve">Отдельное направление составляют системные и институциональные подходы </w:t>
      </w:r>
      <w:r>
        <w:rPr>
          <w:sz w:val="28"/>
          <w:szCs w:val="28"/>
          <w:highlight w:val="yellow"/>
          <w:lang w:val="ru-RU"/>
        </w:rPr>
        <w:t>(ссылки??)</w:t>
      </w:r>
      <w:r>
        <w:rPr>
          <w:sz w:val="28"/>
          <w:szCs w:val="28"/>
          <w:lang w:val="ru-RU"/>
        </w:rPr>
        <w:t>, в рамках которых инновационное развитие регионов оценивается не только по результатам и ресурсам, но и по качеству функционирования региональных инновационных систем. В таких методиках акцент делается на анализ связей между акторами, степени кооперации, институциональной среды и условий трансфера знаний.</w:t>
      </w:r>
    </w:p>
    <w:p>
      <w:pPr>
        <w:pStyle w:val="P13"/>
        <w:spacing w:lineRule="auto" w:line="360" w:beforeAutospacing="0" w:afterAutospacing="0"/>
        <w:ind w:firstLine="707" w:right="167"/>
        <w:jc w:val="both"/>
        <w:rPr>
          <w:sz w:val="28"/>
          <w:szCs w:val="28"/>
          <w:lang w:val="ru-RU"/>
        </w:rPr>
      </w:pPr>
      <w:r>
        <w:rPr>
          <w:sz w:val="28"/>
          <w:szCs w:val="28"/>
          <w:lang w:val="ru-RU"/>
        </w:rPr>
        <w:t>Данный подход позволяет учитывать специфику РИС, выявлять «узкие места» инновационного развития и анализировать институциональные ограничения, однако его применение на практике затруднено из-за сложности формализации сетевых взаимодействий и ограниченной доступности соответствующих данных.</w:t>
      </w:r>
    </w:p>
    <w:p>
      <w:pPr>
        <w:pStyle w:val="P13"/>
        <w:spacing w:lineRule="auto" w:line="360" w:beforeAutospacing="0" w:afterAutospacing="0"/>
        <w:ind w:firstLine="707" w:right="167"/>
        <w:jc w:val="both"/>
        <w:rPr>
          <w:sz w:val="28"/>
          <w:szCs w:val="28"/>
          <w:lang w:val="ru-RU"/>
        </w:rPr>
      </w:pPr>
      <w:r>
        <w:rPr>
          <w:sz w:val="28"/>
          <w:szCs w:val="28"/>
          <w:lang w:val="ru-RU"/>
        </w:rPr>
        <w:t>Как показал сравнительный их анализ (таблица 9), большинство существующих подходов к оценке инновационного развития регионов ориентированы преимущественно на количественные параметры инновационной активности и потенциала, не учитывая в должной мере вопросы включенности экономических агентов и территорий в инновационный процесс. В частности, классические методики:</w:t>
      </w:r>
    </w:p>
    <w:p>
      <w:pPr>
        <w:pStyle w:val="P13"/>
        <w:numPr>
          <w:ilvl w:val="0"/>
          <w:numId w:val="21"/>
        </w:numPr>
        <w:tabs>
          <w:tab w:val="left" w:pos="1134" w:leader="none"/>
        </w:tabs>
        <w:spacing w:lineRule="auto" w:line="360" w:beforeAutospacing="0" w:afterAutospacing="0"/>
        <w:ind w:firstLine="709" w:left="0" w:right="167"/>
        <w:jc w:val="both"/>
        <w:rPr>
          <w:sz w:val="28"/>
          <w:szCs w:val="28"/>
          <w:lang w:val="ru-RU"/>
        </w:rPr>
      </w:pPr>
      <w:r>
        <w:rPr>
          <w:sz w:val="28"/>
          <w:szCs w:val="28"/>
          <w:lang w:val="ru-RU"/>
        </w:rPr>
        <w:t>не отражают доступность инновационной деятельности для малых и средних предприятий;</w:t>
      </w:r>
    </w:p>
    <w:p>
      <w:pPr>
        <w:pStyle w:val="P13"/>
        <w:numPr>
          <w:ilvl w:val="0"/>
          <w:numId w:val="21"/>
        </w:numPr>
        <w:tabs>
          <w:tab w:val="left" w:pos="1134" w:leader="none"/>
        </w:tabs>
        <w:spacing w:lineRule="auto" w:line="360" w:beforeAutospacing="0" w:afterAutospacing="0"/>
        <w:ind w:firstLine="709" w:left="0" w:right="167"/>
        <w:jc w:val="both"/>
        <w:rPr>
          <w:sz w:val="28"/>
          <w:szCs w:val="28"/>
          <w:lang w:val="ru-RU"/>
        </w:rPr>
      </w:pPr>
      <w:r>
        <w:rPr>
          <w:sz w:val="28"/>
          <w:szCs w:val="28"/>
          <w:lang w:val="ru-RU"/>
        </w:rPr>
        <w:t>слабо учитывают территориальные разрывы и асимметрии;</w:t>
      </w:r>
    </w:p>
    <w:p>
      <w:pPr>
        <w:pStyle w:val="P13"/>
        <w:numPr>
          <w:ilvl w:val="0"/>
          <w:numId w:val="21"/>
        </w:numPr>
        <w:tabs>
          <w:tab w:val="left" w:pos="1134" w:leader="none"/>
        </w:tabs>
        <w:spacing w:lineRule="auto" w:line="360" w:beforeAutospacing="0" w:afterAutospacing="0"/>
        <w:ind w:firstLine="709" w:left="0" w:right="167"/>
        <w:jc w:val="both"/>
        <w:rPr>
          <w:sz w:val="28"/>
          <w:szCs w:val="28"/>
          <w:lang w:val="ru-RU"/>
        </w:rPr>
      </w:pPr>
      <w:r>
        <w:rPr>
          <w:sz w:val="28"/>
          <w:szCs w:val="28"/>
          <w:lang w:val="ru-RU"/>
        </w:rPr>
        <w:t>не позволяют оценить институциональные условия вовлечения новых участников в инновационные сети.</w:t>
      </w:r>
    </w:p>
    <w:p>
      <w:pPr>
        <w:pStyle w:val="P13"/>
        <w:spacing w:lineRule="auto" w:line="360" w:beforeAutospacing="0" w:afterAutospacing="0"/>
        <w:ind w:firstLine="707" w:right="167"/>
        <w:jc w:val="both"/>
        <w:rPr>
          <w:sz w:val="28"/>
          <w:szCs w:val="28"/>
          <w:lang w:val="ru-RU"/>
        </w:rPr>
      </w:pPr>
      <w:r>
        <w:rPr>
          <w:sz w:val="28"/>
          <w:szCs w:val="28"/>
          <w:lang w:val="ru-RU"/>
        </w:rPr>
        <w:t>В результате оценка инновационного развития оказывается методологически неполной для анализа регионов развивающихся стран, где ключевое значение имеют не только объемы инновационной активности, но и широта ее распространения и устойчивость воспроизводства.</w:t>
      </w:r>
    </w:p>
    <w:p>
      <w:pPr>
        <w:pStyle w:val="P13"/>
        <w:spacing w:lineRule="auto" w:line="360" w:beforeAutospacing="0" w:afterAutospacing="0"/>
        <w:ind w:firstLine="707" w:right="167"/>
        <w:jc w:val="both"/>
        <w:rPr>
          <w:sz w:val="28"/>
          <w:szCs w:val="28"/>
          <w:lang w:val="ru-RU"/>
        </w:rPr>
      </w:pPr>
      <w:r>
        <w:rPr>
          <w:sz w:val="28"/>
          <w:szCs w:val="28"/>
          <w:lang w:val="ru-RU"/>
        </w:rPr>
        <w:t>Таким образом, существующие подходы к оценке инновационного развития регионов обеспечивают важный аналитический инструментарий для измерения инновационного потенциала и активности, однако их ориентация преимущественно на количественные и ресурсные показатели ограничивает возможности анализа инновационного развития с позиций инклюзивности, что обуславливает необходимость обращения к подходам, учитывающим распределение и доступность инновационных эффектов.</w:t>
      </w:r>
    </w:p>
    <w:p>
      <w:pPr>
        <w:pStyle w:val="P13"/>
        <w:spacing w:lineRule="auto" w:line="360" w:beforeAutospacing="0" w:afterAutospacing="0"/>
        <w:ind w:firstLine="707" w:right="167"/>
        <w:jc w:val="both"/>
        <w:rPr>
          <w:sz w:val="28"/>
          <w:szCs w:val="28"/>
          <w:lang w:val="ru-RU"/>
        </w:rPr>
      </w:pPr>
      <w:r>
        <w:rPr>
          <w:sz w:val="28"/>
          <w:szCs w:val="28"/>
          <w:lang w:val="ru-RU"/>
        </w:rPr>
        <w:t xml:space="preserve">Оценка инклюзивного развития сформировалась на стыке теорий экономического роста, социального развития и устойчивости и первоначально была ориентирована на макроуровень </w:t>
      </w:r>
      <w:r>
        <w:rPr>
          <w:sz w:val="28"/>
          <w:szCs w:val="28"/>
          <w:highlight w:val="yellow"/>
          <w:lang w:val="ru-RU"/>
        </w:rPr>
        <w:t>(ссылки??)</w:t>
      </w:r>
      <w:r>
        <w:rPr>
          <w:sz w:val="28"/>
          <w:szCs w:val="28"/>
          <w:lang w:val="ru-RU"/>
        </w:rPr>
        <w:t>. В центре данных подходов находится не столько темп экономического роста, сколько качество и распределение его результатов, а также доступ различных социальных групп и территорий к экономическим возможностям.</w:t>
      </w:r>
    </w:p>
    <w:p>
      <w:pPr>
        <w:pStyle w:val="P13"/>
        <w:spacing w:lineRule="auto" w:line="360" w:beforeAutospacing="0" w:afterAutospacing="0"/>
        <w:ind w:firstLine="707" w:right="167"/>
        <w:jc w:val="both"/>
        <w:rPr>
          <w:sz w:val="28"/>
          <w:szCs w:val="28"/>
          <w:lang w:val="ru-RU"/>
        </w:rPr>
      </w:pPr>
      <w:r>
        <w:rPr>
          <w:sz w:val="28"/>
          <w:szCs w:val="28"/>
          <w:lang w:val="ru-RU"/>
        </w:rPr>
        <w:t>В методологическом плане подходы к оценке инклюзивного развития можно сгруппировать в несколько направлений, различающихся по целям, уровню анализа и набору индикаторов. Их сравнительный анализ представлен в таблице 10.</w:t>
      </w:r>
    </w:p>
    <w:p>
      <w:pPr>
        <w:pStyle w:val="P13"/>
        <w:spacing w:lineRule="auto" w:line="360" w:beforeAutospacing="0" w:afterAutospacing="0"/>
        <w:ind w:firstLine="707" w:right="167"/>
        <w:jc w:val="both"/>
        <w:rPr>
          <w:sz w:val="28"/>
          <w:szCs w:val="28"/>
          <w:lang w:val="ru-RU"/>
        </w:rPr>
      </w:pPr>
    </w:p>
    <w:p>
      <w:pPr>
        <w:pStyle w:val="P13"/>
        <w:spacing w:lineRule="auto" w:line="360" w:beforeAutospacing="0" w:afterAutospacing="0"/>
        <w:ind w:right="167"/>
        <w:jc w:val="both"/>
        <w:rPr>
          <w:sz w:val="28"/>
          <w:szCs w:val="28"/>
          <w:lang w:val="ru-RU"/>
        </w:rPr>
      </w:pPr>
      <w:r>
        <w:rPr>
          <w:sz w:val="28"/>
          <w:szCs w:val="28"/>
          <w:lang w:val="ru-RU"/>
        </w:rPr>
        <w:t>Таблица 10 – Обзор подходов к оценке инклюзивного развития (составлено автором)</w:t>
      </w:r>
    </w:p>
    <w:tbl>
      <w:tblPr>
        <w:tblStyle w:val="T3"/>
        <w:tblW w:w="0" w:type="auto"/>
        <w:tblLook w:val="04A0"/>
      </w:tblPr>
      <w:tblGrid>
        <w:gridCol w:w="1707"/>
        <w:gridCol w:w="2038"/>
        <w:gridCol w:w="1919"/>
        <w:gridCol w:w="1986"/>
        <w:gridCol w:w="2262"/>
      </w:tblGrid>
      <w:tr>
        <w:tc>
          <w:tcPr>
            <w:tcW w:w="1707" w:type="dxa"/>
            <w:hideMark/>
          </w:tcPr>
          <w:p>
            <w:pPr>
              <w:jc w:val="center"/>
              <w:rPr>
                <w:rFonts w:ascii="Times New Roman" w:hAnsi="Times New Roman" w:cs="Times New Roman" w:eastAsia="Times New Roman"/>
                <w:bCs w:val="1"/>
                <w:sz w:val="24"/>
                <w:szCs w:val="24"/>
                <w:lang w:eastAsia="ru-RU"/>
              </w:rPr>
            </w:pPr>
            <w:r>
              <w:rPr>
                <w:rFonts w:ascii="Times New Roman" w:hAnsi="Times New Roman" w:cs="Times New Roman" w:eastAsia="Times New Roman"/>
                <w:bCs w:val="1"/>
                <w:sz w:val="24"/>
                <w:szCs w:val="24"/>
                <w:lang w:eastAsia="ru-RU"/>
              </w:rPr>
              <w:t>Автор / институт</w:t>
            </w:r>
          </w:p>
        </w:tc>
        <w:tc>
          <w:tcPr>
            <w:tcW w:w="2038" w:type="dxa"/>
            <w:hideMark/>
          </w:tcPr>
          <w:p>
            <w:pPr>
              <w:jc w:val="center"/>
              <w:rPr>
                <w:rFonts w:ascii="Times New Roman" w:hAnsi="Times New Roman" w:cs="Times New Roman" w:eastAsia="Times New Roman"/>
                <w:bCs w:val="1"/>
                <w:sz w:val="24"/>
                <w:szCs w:val="24"/>
                <w:lang w:eastAsia="ru-RU"/>
              </w:rPr>
            </w:pPr>
            <w:r>
              <w:rPr>
                <w:rFonts w:ascii="Times New Roman" w:hAnsi="Times New Roman" w:cs="Times New Roman" w:eastAsia="Times New Roman"/>
                <w:bCs w:val="1"/>
                <w:sz w:val="24"/>
                <w:szCs w:val="24"/>
                <w:lang w:eastAsia="ru-RU"/>
              </w:rPr>
              <w:t>Название подхода / методики</w:t>
            </w:r>
          </w:p>
        </w:tc>
        <w:tc>
          <w:tcPr>
            <w:tcW w:w="1919" w:type="dxa"/>
            <w:hideMark/>
          </w:tcPr>
          <w:p>
            <w:pPr>
              <w:jc w:val="center"/>
              <w:rPr>
                <w:rFonts w:ascii="Times New Roman" w:hAnsi="Times New Roman" w:cs="Times New Roman" w:eastAsia="Times New Roman"/>
                <w:bCs w:val="1"/>
                <w:sz w:val="24"/>
                <w:szCs w:val="24"/>
                <w:lang w:eastAsia="ru-RU"/>
              </w:rPr>
            </w:pPr>
            <w:r>
              <w:rPr>
                <w:rFonts w:ascii="Times New Roman" w:hAnsi="Times New Roman" w:cs="Times New Roman" w:eastAsia="Times New Roman"/>
                <w:bCs w:val="1"/>
                <w:sz w:val="24"/>
                <w:szCs w:val="24"/>
                <w:lang w:eastAsia="ru-RU"/>
              </w:rPr>
              <w:t>Уровень анализа</w:t>
            </w:r>
          </w:p>
        </w:tc>
        <w:tc>
          <w:tcPr>
            <w:tcW w:w="1986" w:type="dxa"/>
            <w:hideMark/>
          </w:tcPr>
          <w:p>
            <w:pPr>
              <w:jc w:val="center"/>
              <w:rPr>
                <w:rFonts w:ascii="Times New Roman" w:hAnsi="Times New Roman" w:cs="Times New Roman" w:eastAsia="Times New Roman"/>
                <w:bCs w:val="1"/>
                <w:sz w:val="24"/>
                <w:szCs w:val="24"/>
                <w:lang w:eastAsia="ru-RU"/>
              </w:rPr>
            </w:pPr>
            <w:r>
              <w:rPr>
                <w:rFonts w:ascii="Times New Roman" w:hAnsi="Times New Roman" w:cs="Times New Roman" w:eastAsia="Times New Roman"/>
                <w:bCs w:val="1"/>
                <w:sz w:val="24"/>
                <w:szCs w:val="24"/>
                <w:lang w:eastAsia="ru-RU"/>
              </w:rPr>
              <w:t>Ключевые показатели и акценты</w:t>
            </w:r>
          </w:p>
        </w:tc>
        <w:tc>
          <w:tcPr>
            <w:tcW w:w="2262" w:type="dxa"/>
            <w:hideMark/>
          </w:tcPr>
          <w:p>
            <w:pPr>
              <w:jc w:val="center"/>
              <w:rPr>
                <w:rFonts w:ascii="Times New Roman" w:hAnsi="Times New Roman" w:cs="Times New Roman" w:eastAsia="Times New Roman"/>
                <w:bCs w:val="1"/>
                <w:sz w:val="24"/>
                <w:szCs w:val="24"/>
                <w:lang w:eastAsia="ru-RU"/>
              </w:rPr>
            </w:pPr>
            <w:r>
              <w:rPr>
                <w:rFonts w:ascii="Times New Roman" w:hAnsi="Times New Roman" w:cs="Times New Roman" w:eastAsia="Times New Roman"/>
                <w:bCs w:val="1"/>
                <w:sz w:val="24"/>
                <w:szCs w:val="24"/>
                <w:lang w:eastAsia="ru-RU"/>
              </w:rPr>
              <w:t xml:space="preserve">Методические ограничения </w:t>
            </w:r>
          </w:p>
        </w:tc>
      </w:tr>
      <w:tr>
        <w:tc>
          <w:tcPr>
            <w:tcW w:w="1707" w:type="dxa"/>
            <w:hideMark/>
          </w:tcPr>
          <w:p>
            <w:pPr>
              <w:rPr>
                <w:rFonts w:ascii="Times New Roman" w:hAnsi="Times New Roman" w:cs="Times New Roman" w:eastAsia="Times New Roman"/>
                <w:sz w:val="24"/>
                <w:szCs w:val="24"/>
                <w:highlight w:val="yellow"/>
                <w:lang w:eastAsia="ru-RU"/>
              </w:rPr>
            </w:pPr>
            <w:r>
              <w:rPr>
                <w:rFonts w:ascii="Times New Roman" w:hAnsi="Times New Roman" w:cs="Times New Roman" w:eastAsia="Times New Roman"/>
                <w:bCs w:val="1"/>
                <w:sz w:val="24"/>
                <w:szCs w:val="24"/>
                <w:highlight w:val="yellow"/>
                <w:lang w:eastAsia="ru-RU"/>
              </w:rPr>
              <w:t>А. Сен</w:t>
            </w:r>
          </w:p>
        </w:tc>
        <w:tc>
          <w:tcPr>
            <w:tcW w:w="2038"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Концепция человеческого развития и возможностей</w:t>
            </w:r>
          </w:p>
        </w:tc>
        <w:tc>
          <w:tcPr>
            <w:tcW w:w="1919"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Национальный</w:t>
            </w:r>
          </w:p>
        </w:tc>
        <w:tc>
          <w:tcPr>
            <w:tcW w:w="1986"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Образование, здоровье, качество жизни</w:t>
            </w:r>
          </w:p>
        </w:tc>
        <w:tc>
          <w:tcPr>
            <w:tcW w:w="2262"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Отсутствие связи с инновациями</w:t>
            </w:r>
          </w:p>
        </w:tc>
      </w:tr>
      <w:tr>
        <w:tc>
          <w:tcPr>
            <w:tcW w:w="1707" w:type="dxa"/>
            <w:hideMark/>
          </w:tcPr>
          <w:p>
            <w:pPr>
              <w:rPr>
                <w:rFonts w:ascii="Times New Roman" w:hAnsi="Times New Roman" w:cs="Times New Roman" w:eastAsia="Times New Roman"/>
                <w:sz w:val="24"/>
                <w:szCs w:val="24"/>
                <w:highlight w:val="yellow"/>
                <w:lang w:eastAsia="ru-RU"/>
              </w:rPr>
            </w:pPr>
            <w:r>
              <w:rPr>
                <w:rFonts w:ascii="Times New Roman" w:hAnsi="Times New Roman" w:cs="Times New Roman" w:eastAsia="Times New Roman"/>
                <w:bCs w:val="1"/>
                <w:sz w:val="24"/>
                <w:szCs w:val="24"/>
                <w:highlight w:val="yellow"/>
                <w:lang w:eastAsia="ru-RU"/>
              </w:rPr>
              <w:t>UNDP</w:t>
            </w:r>
          </w:p>
        </w:tc>
        <w:tc>
          <w:tcPr>
            <w:tcW w:w="2038"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Human Development Index (HDI)</w:t>
            </w:r>
          </w:p>
        </w:tc>
        <w:tc>
          <w:tcPr>
            <w:tcW w:w="1919"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Национальный / региональный</w:t>
            </w:r>
          </w:p>
        </w:tc>
        <w:tc>
          <w:tcPr>
            <w:tcW w:w="1986"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Доход, образование, здоровье</w:t>
            </w:r>
          </w:p>
        </w:tc>
        <w:tc>
          <w:tcPr>
            <w:tcW w:w="2262"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Инновационная динамика не отражена</w:t>
            </w:r>
          </w:p>
        </w:tc>
      </w:tr>
      <w:tr>
        <w:tc>
          <w:tcPr>
            <w:tcW w:w="1707" w:type="dxa"/>
            <w:hideMark/>
          </w:tcPr>
          <w:p>
            <w:pPr>
              <w:rPr>
                <w:rFonts w:ascii="Times New Roman" w:hAnsi="Times New Roman" w:cs="Times New Roman" w:eastAsia="Times New Roman"/>
                <w:sz w:val="24"/>
                <w:szCs w:val="24"/>
                <w:highlight w:val="yellow"/>
                <w:lang w:eastAsia="ru-RU"/>
              </w:rPr>
            </w:pPr>
            <w:r>
              <w:rPr>
                <w:rFonts w:ascii="Times New Roman" w:hAnsi="Times New Roman" w:cs="Times New Roman" w:eastAsia="Times New Roman"/>
                <w:bCs w:val="1"/>
                <w:sz w:val="24"/>
                <w:szCs w:val="24"/>
                <w:highlight w:val="yellow"/>
                <w:lang w:eastAsia="ru-RU"/>
              </w:rPr>
              <w:t>World Bank</w:t>
            </w:r>
          </w:p>
        </w:tc>
        <w:tc>
          <w:tcPr>
            <w:tcW w:w="2038"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Inclusive Growth Framework</w:t>
            </w:r>
          </w:p>
        </w:tc>
        <w:tc>
          <w:tcPr>
            <w:tcW w:w="1919"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Национальный</w:t>
            </w:r>
          </w:p>
        </w:tc>
        <w:tc>
          <w:tcPr>
            <w:tcW w:w="1986"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Доходы, занятость, доступ к рынкам</w:t>
            </w:r>
          </w:p>
        </w:tc>
        <w:tc>
          <w:tcPr>
            <w:tcW w:w="2262"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Ограниченная региональная детализация</w:t>
            </w:r>
          </w:p>
        </w:tc>
      </w:tr>
      <w:tr>
        <w:tc>
          <w:tcPr>
            <w:tcW w:w="1707" w:type="dxa"/>
            <w:hideMark/>
          </w:tcPr>
          <w:p>
            <w:pPr>
              <w:rPr>
                <w:rFonts w:ascii="Times New Roman" w:hAnsi="Times New Roman" w:cs="Times New Roman" w:eastAsia="Times New Roman"/>
                <w:sz w:val="24"/>
                <w:szCs w:val="24"/>
                <w:highlight w:val="yellow"/>
                <w:lang w:eastAsia="ru-RU"/>
              </w:rPr>
            </w:pPr>
            <w:r>
              <w:rPr>
                <w:rFonts w:ascii="Times New Roman" w:hAnsi="Times New Roman" w:cs="Times New Roman" w:eastAsia="Times New Roman"/>
                <w:bCs w:val="1"/>
                <w:sz w:val="24"/>
                <w:szCs w:val="24"/>
                <w:highlight w:val="yellow"/>
                <w:lang w:eastAsia="ru-RU"/>
              </w:rPr>
              <w:t>OECD</w:t>
            </w:r>
          </w:p>
        </w:tc>
        <w:tc>
          <w:tcPr>
            <w:tcW w:w="2038"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Inclusive Growth Framework</w:t>
            </w:r>
          </w:p>
        </w:tc>
        <w:tc>
          <w:tcPr>
            <w:tcW w:w="1919"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Национальный / региональный</w:t>
            </w:r>
          </w:p>
        </w:tc>
        <w:tc>
          <w:tcPr>
            <w:tcW w:w="1986"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Доходы, занятость, благосостояние</w:t>
            </w:r>
          </w:p>
        </w:tc>
        <w:tc>
          <w:tcPr>
            <w:tcW w:w="2262"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Технологический фактор вторичен</w:t>
            </w:r>
          </w:p>
        </w:tc>
      </w:tr>
      <w:tr>
        <w:tc>
          <w:tcPr>
            <w:tcW w:w="1707" w:type="dxa"/>
            <w:hideMark/>
          </w:tcPr>
          <w:p>
            <w:pPr>
              <w:rPr>
                <w:rFonts w:ascii="Times New Roman" w:hAnsi="Times New Roman" w:cs="Times New Roman" w:eastAsia="Times New Roman"/>
                <w:sz w:val="24"/>
                <w:szCs w:val="24"/>
                <w:highlight w:val="yellow"/>
                <w:lang w:eastAsia="ru-RU"/>
              </w:rPr>
            </w:pPr>
            <w:r>
              <w:rPr>
                <w:rFonts w:ascii="Times New Roman" w:hAnsi="Times New Roman" w:cs="Times New Roman" w:eastAsia="Times New Roman"/>
                <w:bCs w:val="1"/>
                <w:sz w:val="24"/>
                <w:szCs w:val="24"/>
                <w:highlight w:val="yellow"/>
                <w:lang w:eastAsia="ru-RU"/>
              </w:rPr>
              <w:t>ILO</w:t>
            </w:r>
          </w:p>
        </w:tc>
        <w:tc>
          <w:tcPr>
            <w:tcW w:w="2038"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Decent Work Indicators</w:t>
            </w:r>
          </w:p>
        </w:tc>
        <w:tc>
          <w:tcPr>
            <w:tcW w:w="1919"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Национальный / региональный</w:t>
            </w:r>
          </w:p>
        </w:tc>
        <w:tc>
          <w:tcPr>
            <w:tcW w:w="1986"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Занятость, условия труда</w:t>
            </w:r>
          </w:p>
        </w:tc>
        <w:tc>
          <w:tcPr>
            <w:tcW w:w="2262"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Не учитывает инновационные источники роста</w:t>
            </w:r>
          </w:p>
        </w:tc>
      </w:tr>
      <w:tr>
        <w:tc>
          <w:tcPr>
            <w:tcW w:w="1707" w:type="dxa"/>
            <w:hideMark/>
          </w:tcPr>
          <w:p>
            <w:pPr>
              <w:rPr>
                <w:rFonts w:ascii="Times New Roman" w:hAnsi="Times New Roman" w:cs="Times New Roman" w:eastAsia="Times New Roman"/>
                <w:sz w:val="24"/>
                <w:szCs w:val="24"/>
                <w:highlight w:val="yellow"/>
                <w:lang w:eastAsia="ru-RU"/>
              </w:rPr>
            </w:pPr>
            <w:r>
              <w:rPr>
                <w:rFonts w:ascii="Times New Roman" w:hAnsi="Times New Roman" w:cs="Times New Roman" w:eastAsia="Times New Roman"/>
                <w:bCs w:val="1"/>
                <w:sz w:val="24"/>
                <w:szCs w:val="24"/>
                <w:highlight w:val="yellow"/>
                <w:lang w:eastAsia="ru-RU"/>
              </w:rPr>
              <w:t>World Economic Forum</w:t>
            </w:r>
          </w:p>
        </w:tc>
        <w:tc>
          <w:tcPr>
            <w:tcW w:w="2038"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Inclusive Development Index</w:t>
            </w:r>
          </w:p>
        </w:tc>
        <w:tc>
          <w:tcPr>
            <w:tcW w:w="1919"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Национальный</w:t>
            </w:r>
          </w:p>
        </w:tc>
        <w:tc>
          <w:tcPr>
            <w:tcW w:w="1986"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Рост, распределение, устойчивость</w:t>
            </w:r>
          </w:p>
        </w:tc>
        <w:tc>
          <w:tcPr>
            <w:tcW w:w="2262"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Недостаточная чувствительность к региональным различиям</w:t>
            </w:r>
          </w:p>
        </w:tc>
      </w:tr>
      <w:tr>
        <w:tc>
          <w:tcPr>
            <w:tcW w:w="1707" w:type="dxa"/>
            <w:hideMark/>
          </w:tcPr>
          <w:p>
            <w:pPr>
              <w:rPr>
                <w:rFonts w:ascii="Times New Roman" w:hAnsi="Times New Roman" w:cs="Times New Roman" w:eastAsia="Times New Roman"/>
                <w:sz w:val="24"/>
                <w:szCs w:val="24"/>
                <w:highlight w:val="yellow"/>
                <w:lang w:eastAsia="ru-RU"/>
              </w:rPr>
            </w:pPr>
            <w:r>
              <w:rPr>
                <w:rFonts w:ascii="Times New Roman" w:hAnsi="Times New Roman" w:cs="Times New Roman" w:eastAsia="Times New Roman"/>
                <w:bCs w:val="1"/>
                <w:sz w:val="24"/>
                <w:szCs w:val="24"/>
                <w:highlight w:val="yellow"/>
                <w:lang w:eastAsia="ru-RU"/>
              </w:rPr>
              <w:t>UNESCO</w:t>
            </w:r>
          </w:p>
        </w:tc>
        <w:tc>
          <w:tcPr>
            <w:tcW w:w="2038"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Inclusive Knowledge Societies</w:t>
            </w:r>
          </w:p>
        </w:tc>
        <w:tc>
          <w:tcPr>
            <w:tcW w:w="1919"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Национальный</w:t>
            </w:r>
          </w:p>
        </w:tc>
        <w:tc>
          <w:tcPr>
            <w:tcW w:w="1986"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Доступ к знаниям, образованию</w:t>
            </w:r>
          </w:p>
        </w:tc>
        <w:tc>
          <w:tcPr>
            <w:tcW w:w="2262"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Слабая экономическая операционализация</w:t>
            </w:r>
          </w:p>
        </w:tc>
      </w:tr>
      <w:tr>
        <w:tc>
          <w:tcPr>
            <w:tcW w:w="1707" w:type="dxa"/>
            <w:hideMark/>
          </w:tcPr>
          <w:p>
            <w:pPr>
              <w:rPr>
                <w:rFonts w:ascii="Times New Roman" w:hAnsi="Times New Roman" w:cs="Times New Roman" w:eastAsia="Times New Roman"/>
                <w:sz w:val="24"/>
                <w:szCs w:val="24"/>
                <w:highlight w:val="yellow"/>
                <w:lang w:eastAsia="ru-RU"/>
              </w:rPr>
            </w:pPr>
            <w:r>
              <w:rPr>
                <w:rFonts w:ascii="Times New Roman" w:hAnsi="Times New Roman" w:cs="Times New Roman" w:eastAsia="Times New Roman"/>
                <w:bCs w:val="1"/>
                <w:sz w:val="24"/>
                <w:szCs w:val="24"/>
                <w:highlight w:val="yellow"/>
                <w:lang w:eastAsia="ru-RU"/>
              </w:rPr>
              <w:t>Российская школа региональной экономики</w:t>
            </w:r>
          </w:p>
        </w:tc>
        <w:tc>
          <w:tcPr>
            <w:tcW w:w="2038"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Социально-ориентированные индексы регионального развития</w:t>
            </w:r>
          </w:p>
        </w:tc>
        <w:tc>
          <w:tcPr>
            <w:tcW w:w="1919"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Региональный</w:t>
            </w:r>
          </w:p>
        </w:tc>
        <w:tc>
          <w:tcPr>
            <w:tcW w:w="1986"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Доходы, занятость, доступ к услугам</w:t>
            </w:r>
          </w:p>
        </w:tc>
        <w:tc>
          <w:tcPr>
            <w:tcW w:w="2262"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Отсутствие инновационного измерения</w:t>
            </w:r>
          </w:p>
        </w:tc>
      </w:tr>
    </w:tbl>
    <w:p>
      <w:pPr>
        <w:pStyle w:val="P13"/>
        <w:spacing w:lineRule="auto" w:line="360" w:beforeAutospacing="0" w:afterAutospacing="0"/>
        <w:ind w:right="167"/>
        <w:jc w:val="both"/>
        <w:rPr>
          <w:sz w:val="28"/>
          <w:szCs w:val="28"/>
          <w:lang w:val="ru-RU"/>
        </w:rPr>
      </w:pPr>
    </w:p>
    <w:p>
      <w:pPr>
        <w:pStyle w:val="P13"/>
        <w:spacing w:lineRule="auto" w:line="360" w:beforeAutospacing="0" w:afterAutospacing="0"/>
        <w:ind w:firstLine="707" w:right="167"/>
        <w:jc w:val="both"/>
        <w:rPr>
          <w:sz w:val="28"/>
          <w:szCs w:val="28"/>
          <w:lang w:val="ru-RU"/>
        </w:rPr>
      </w:pPr>
      <w:r>
        <w:rPr>
          <w:sz w:val="28"/>
          <w:szCs w:val="28"/>
          <w:lang w:val="ru-RU"/>
        </w:rPr>
        <w:t xml:space="preserve">Наиболее ранние методики оценки инклюзивного развития </w:t>
      </w:r>
      <w:r>
        <w:rPr>
          <w:sz w:val="28"/>
          <w:szCs w:val="28"/>
          <w:highlight w:val="yellow"/>
          <w:lang w:val="ru-RU"/>
        </w:rPr>
        <w:t>(ссылки??)</w:t>
      </w:r>
      <w:r>
        <w:rPr>
          <w:sz w:val="28"/>
          <w:szCs w:val="28"/>
          <w:lang w:val="ru-RU"/>
        </w:rPr>
        <w:t xml:space="preserve"> опираются на показатели доходов, бедности, неравенства и занятости. В рамках этих подходов инклюзивность трактуется как способность экономического роста снижать уровень бедности и сокращать социальное расслоение. Преимуществом данных подходов является их эмпирическая доступность и сравнительная универсальность. Однако они не выявляют источники роста и не позволяют оценить роль инноваций и структурных преобразований в обеспечении инклюзивности.</w:t>
      </w:r>
    </w:p>
    <w:p>
      <w:pPr>
        <w:pStyle w:val="P13"/>
        <w:spacing w:lineRule="auto" w:line="360" w:beforeAutospacing="0" w:afterAutospacing="0"/>
        <w:ind w:firstLine="707" w:right="167"/>
        <w:jc w:val="both"/>
        <w:rPr>
          <w:sz w:val="28"/>
          <w:szCs w:val="28"/>
          <w:lang w:val="ru-RU"/>
        </w:rPr>
      </w:pPr>
      <w:r>
        <w:rPr>
          <w:sz w:val="28"/>
          <w:szCs w:val="28"/>
          <w:lang w:val="ru-RU"/>
        </w:rPr>
        <w:t xml:space="preserve">Развитие концепции человеческого развития привело к расширению оценки инклюзивности за счет показателей образования, здравоохранения, качества жизни и доступа к базовым услугам </w:t>
      </w:r>
      <w:r>
        <w:rPr>
          <w:sz w:val="28"/>
          <w:szCs w:val="28"/>
          <w:highlight w:val="yellow"/>
          <w:lang w:val="ru-RU"/>
        </w:rPr>
        <w:t>(ссылки??)</w:t>
      </w:r>
      <w:r>
        <w:rPr>
          <w:sz w:val="28"/>
          <w:szCs w:val="28"/>
          <w:lang w:val="ru-RU"/>
        </w:rPr>
        <w:t>. В этих подходах инклюзивность трактуется как расширение возможностей (capabilities) индивидов и сообществ. Несмотря на концептуальную глубину, данные методики слабо адаптированы к региональному анализу инновационного развития, поскольку фиксируют социальные результаты, но не учитывают механизмы их формирования.</w:t>
      </w:r>
    </w:p>
    <w:p>
      <w:pPr>
        <w:pStyle w:val="P13"/>
        <w:spacing w:lineRule="auto" w:line="360" w:beforeAutospacing="0" w:afterAutospacing="0"/>
        <w:ind w:firstLine="707" w:right="167"/>
        <w:jc w:val="both"/>
        <w:rPr>
          <w:sz w:val="28"/>
          <w:szCs w:val="28"/>
          <w:lang w:val="ru-RU"/>
        </w:rPr>
      </w:pPr>
      <w:r>
        <w:rPr>
          <w:sz w:val="28"/>
          <w:szCs w:val="28"/>
          <w:lang w:val="ru-RU"/>
        </w:rPr>
        <w:t xml:space="preserve">С точки зрения экономической теории в рамках следования концепции инклюзивного и устойчивого роста актуализируется переход от общепринятых в настоящее время к новым критериям оценки экономического прогресса, более полно учитывающим его аспекты, связанные со справедливым распределением созданных экономических благ, устранением социального и гендерного неравенства, сохранением окружающей среды и природных богатств. </w:t>
      </w:r>
      <w:bookmarkEnd w:id="2"/>
      <w:r>
        <w:rPr>
          <w:sz w:val="28"/>
          <w:szCs w:val="28"/>
          <w:lang w:val="ru-RU"/>
        </w:rPr>
        <w:t xml:space="preserve">Свое отражение они нашли в целях развития тысячелетия (ЦРТ) ООН, утвержденных в сентябре 2000 г. </w:t>
      </w:r>
      <w:bookmarkEnd w:id="3"/>
      <w:r>
        <w:rPr>
          <w:sz w:val="28"/>
          <w:szCs w:val="28"/>
          <w:lang w:val="ru-RU"/>
        </w:rPr>
        <w:t>В качестве основы для более подробной структуры ЦРТ были созданы 8 целей, 18 задач и 48 подзадач [</w:t>
      </w:r>
      <w:r>
        <w:rPr>
          <w:sz w:val="28"/>
          <w:szCs w:val="28"/>
          <w:highlight w:val="yellow"/>
          <w:lang w:val="ru-RU"/>
        </w:rPr>
        <w:t>159</w:t>
      </w:r>
      <w:r>
        <w:rPr>
          <w:sz w:val="28"/>
          <w:szCs w:val="28"/>
          <w:lang w:val="ru-RU"/>
        </w:rPr>
        <w:t xml:space="preserve">]. ЦРТ были подписаны лидерами 189 стран, а с 2002 г. внедряются в политику 192 государств-членов ООН. </w:t>
      </w:r>
    </w:p>
    <w:p>
      <w:pPr>
        <w:pStyle w:val="P13"/>
        <w:spacing w:lineRule="auto" w:line="360" w:beforeAutospacing="0" w:afterAutospacing="0"/>
        <w:ind w:firstLine="709" w:right="159"/>
        <w:jc w:val="both"/>
        <w:rPr>
          <w:sz w:val="28"/>
          <w:szCs w:val="28"/>
          <w:lang w:val="ru-RU"/>
        </w:rPr>
      </w:pPr>
      <w:bookmarkStart w:id="4" w:name="_Hlk138355399"/>
      <w:r>
        <w:rPr>
          <w:sz w:val="28"/>
          <w:szCs w:val="28"/>
          <w:lang w:val="ru-RU"/>
        </w:rPr>
        <w:t xml:space="preserve">Хотя ЦРТ получили всеобщее одобрение отдельные их аспекты являются дискуссионными и подвергаются критике. Во-первых, в основе их достижения лежит принцип коллективности, но идея о том, что все страны будут достигать ЦРТ единообразно, сама по себе является ошибочной. </w:t>
      </w:r>
      <w:bookmarkEnd w:id="4"/>
      <w:r>
        <w:rPr>
          <w:sz w:val="28"/>
          <w:szCs w:val="28"/>
          <w:lang w:val="ru-RU"/>
        </w:rPr>
        <w:t>Очевидно, что страны находятся на разных уровнях развития и обладают разным потенциалом для достижения этих целей. Этим обстоятельством также может объяснить, почему при разработке ЦРТ использовались различные количественные характеристики. Например, цель в отношении бедности заключалась в том, чтобы сократить бедность вдвое в течение 15 лет, тогда как в отношении младенческой смертности – на две трети [</w:t>
      </w:r>
      <w:r>
        <w:rPr>
          <w:sz w:val="28"/>
          <w:szCs w:val="28"/>
          <w:highlight w:val="yellow"/>
          <w:lang w:val="ru-RU"/>
        </w:rPr>
        <w:t>159</w:t>
      </w:r>
      <w:r>
        <w:rPr>
          <w:sz w:val="28"/>
          <w:szCs w:val="28"/>
          <w:lang w:val="ru-RU"/>
        </w:rPr>
        <w:t>].</w:t>
      </w:r>
    </w:p>
    <w:p>
      <w:pPr>
        <w:pStyle w:val="P13"/>
        <w:spacing w:lineRule="auto" w:line="360" w:beforeAutospacing="0" w:afterAutospacing="0"/>
        <w:ind w:firstLine="709" w:right="169"/>
        <w:jc w:val="both"/>
        <w:rPr>
          <w:sz w:val="28"/>
          <w:szCs w:val="28"/>
          <w:lang w:val="ru-RU"/>
        </w:rPr>
      </w:pPr>
      <w:bookmarkStart w:id="5" w:name="_Hlk138355431"/>
      <w:r>
        <w:rPr>
          <w:sz w:val="28"/>
          <w:szCs w:val="28"/>
          <w:lang w:val="ru-RU"/>
        </w:rPr>
        <w:t>Второй важный момент заключается в том, что ЦРТ не имеют четкой привязки к устойчивому развитию, особенно в том, как они дополняют друг друга. Со временем в нескольких исследованиях были сформулированы рекомендации по мониторингу и оценке прогресса в достижении ЦРТ [</w:t>
      </w:r>
      <w:r>
        <w:rPr>
          <w:sz w:val="28"/>
          <w:szCs w:val="28"/>
          <w:highlight w:val="yellow"/>
          <w:lang w:val="ru-RU"/>
        </w:rPr>
        <w:t>13</w:t>
      </w:r>
      <w:r>
        <w:rPr>
          <w:sz w:val="28"/>
          <w:szCs w:val="28"/>
          <w:lang w:val="ru-RU"/>
        </w:rPr>
        <w:t>]. Однако исследований о том, как цели ЦРТ дополняют друг друга, немного. Б. Ларсон и др. отметили, что существует ограниченный эмпирический анализ для выявления взаимодополняемости между задачами ЦРТ, но есть исследования, где отмечается недостаточная координация ресурсов и усилий, необходимых для достижения целей [</w:t>
      </w:r>
      <w:r>
        <w:rPr>
          <w:sz w:val="28"/>
          <w:szCs w:val="28"/>
          <w:highlight w:val="yellow"/>
          <w:lang w:val="ru-RU"/>
        </w:rPr>
        <w:t>122</w:t>
      </w:r>
      <w:r>
        <w:rPr>
          <w:sz w:val="28"/>
          <w:szCs w:val="28"/>
          <w:lang w:val="ru-RU"/>
        </w:rPr>
        <w:t>]. Например, для многих африканских стран для которых характерна ограниченность ресурсов, попытка достичь всех целей и задач ЦРТ привела к тому, что они не смогли достичь ни одной из целей [</w:t>
      </w:r>
      <w:r>
        <w:rPr>
          <w:sz w:val="28"/>
          <w:szCs w:val="28"/>
          <w:highlight w:val="yellow"/>
          <w:lang w:val="ru-RU"/>
        </w:rPr>
        <w:t>43</w:t>
      </w:r>
      <w:r>
        <w:rPr>
          <w:sz w:val="28"/>
          <w:szCs w:val="28"/>
          <w:lang w:val="ru-RU"/>
        </w:rPr>
        <w:t>].</w:t>
      </w:r>
    </w:p>
    <w:p>
      <w:pPr>
        <w:pStyle w:val="P13"/>
        <w:spacing w:lineRule="auto" w:line="360" w:beforeAutospacing="0" w:afterAutospacing="0"/>
        <w:ind w:firstLine="709" w:right="167"/>
        <w:jc w:val="both"/>
        <w:rPr>
          <w:sz w:val="28"/>
          <w:szCs w:val="28"/>
          <w:lang w:val="ru-RU"/>
        </w:rPr>
      </w:pPr>
      <w:bookmarkStart w:id="6" w:name="_Hlk138254164"/>
      <w:r>
        <w:rPr>
          <w:sz w:val="28"/>
          <w:szCs w:val="28"/>
          <w:lang w:val="ru-RU"/>
        </w:rPr>
        <w:t>Основываясь на этих двух главных недостатках постановки и достижения ЦРТ, мы считаем, что целесообразно использовать модель инклюзивного роста (МИР), которая фокусирует внимание на более широких показателях человеческого развития в качестве противовеса моделям, основанным только на показателях чисто экономического роста, таких как ВВП на душу населения.</w:t>
      </w:r>
      <w:bookmarkEnd w:id="5"/>
      <w:r>
        <w:rPr>
          <w:sz w:val="28"/>
          <w:szCs w:val="28"/>
          <w:lang w:val="ru-RU"/>
        </w:rPr>
        <w:t xml:space="preserve"> Как и в случае с ЦРТ, успех МИР должен основываться на четких показателях, имеющих однозначное измерение, в идеале количественное. В то время как процесс ЦРТ помог странам повысить потенциал национальных статистических управлений, сосредоточив внимание на конкретных, измеримых целях, нам необходимо изучить оптимальные пути для максимизации возникающего потенциала в рамках МИР, что особенно актуально для африканских стран.</w:t>
      </w:r>
    </w:p>
    <w:p>
      <w:pPr>
        <w:pStyle w:val="P13"/>
        <w:spacing w:lineRule="auto" w:line="360" w:beforeAutospacing="0" w:afterAutospacing="0"/>
        <w:ind w:firstLine="709" w:right="167"/>
        <w:jc w:val="both"/>
        <w:rPr>
          <w:sz w:val="28"/>
          <w:szCs w:val="28"/>
          <w:lang w:val="ru-RU"/>
        </w:rPr>
      </w:pPr>
      <w:bookmarkEnd w:id="6"/>
      <w:r>
        <w:rPr>
          <w:sz w:val="28"/>
          <w:szCs w:val="28"/>
          <w:lang w:val="ru-RU"/>
        </w:rPr>
        <w:t>Большинству развивающихся стран предстоит пройти долгий путь с точки зрения внедрения МИР, так как у них отсутствуют данные, необходимые для измерения эффективности. Например, по данным отчета группы высокого уровня ООН по развитию: «более 40 развивающихся стран страдают от нехватки полезных данных для мониторинга прогресса в области борьбы с крайней нищетой и голодом» [</w:t>
      </w:r>
      <w:r>
        <w:rPr>
          <w:sz w:val="28"/>
          <w:szCs w:val="28"/>
          <w:highlight w:val="yellow"/>
          <w:lang w:val="ru-RU"/>
        </w:rPr>
        <w:t>171</w:t>
      </w:r>
      <w:r>
        <w:rPr>
          <w:sz w:val="28"/>
          <w:szCs w:val="28"/>
          <w:lang w:val="ru-RU"/>
        </w:rPr>
        <w:t>]. Государства, где наблюдается высоким уровень младенческой смертности и болезней, связанных с антисанитарией не имеют средств для ведения статистического учета для целей достижения ЦУР [</w:t>
      </w:r>
      <w:r>
        <w:rPr>
          <w:sz w:val="28"/>
          <w:szCs w:val="28"/>
          <w:highlight w:val="yellow"/>
          <w:lang w:val="ru-RU"/>
        </w:rPr>
        <w:t>67</w:t>
      </w:r>
      <w:r>
        <w:rPr>
          <w:sz w:val="28"/>
          <w:szCs w:val="28"/>
          <w:lang w:val="ru-RU"/>
        </w:rPr>
        <w:t>]. В связи с этим одна из рекомендаций по итогам данного доклада стало предложение провести «революцию данных» для повышения эффективности мониторинга прогресса достижения целей после 2015 года.</w:t>
      </w:r>
    </w:p>
    <w:p>
      <w:pPr>
        <w:pStyle w:val="P13"/>
        <w:spacing w:lineRule="auto" w:line="360" w:beforeAutospacing="0" w:afterAutospacing="0"/>
        <w:ind w:firstLine="709" w:right="167"/>
        <w:jc w:val="both"/>
        <w:rPr>
          <w:sz w:val="28"/>
          <w:szCs w:val="28"/>
          <w:lang w:val="ru-RU"/>
        </w:rPr>
      </w:pPr>
      <w:bookmarkStart w:id="7" w:name="_Hlk138355616"/>
      <w:r>
        <w:rPr>
          <w:sz w:val="28"/>
          <w:szCs w:val="28"/>
          <w:lang w:val="ru-RU"/>
        </w:rPr>
        <w:t xml:space="preserve">Также необходимо учитывать, что успех внедрения МИР будет зависеть от определения точной синергии между поставленными целями, так как эффективность будет зависеть от определения базовых важных целей, направлений их реализации, что, в свою очередь, будет иметь каскадный общий эффект для продвижения других целей. </w:t>
      </w:r>
    </w:p>
    <w:p>
      <w:pPr>
        <w:pStyle w:val="P13"/>
        <w:spacing w:lineRule="auto" w:line="360" w:beforeAutospacing="0" w:afterAutospacing="0"/>
        <w:ind w:firstLine="709"/>
        <w:jc w:val="both"/>
        <w:rPr>
          <w:sz w:val="28"/>
          <w:szCs w:val="28"/>
          <w:lang w:val="ru-RU"/>
        </w:rPr>
      </w:pPr>
      <w:bookmarkEnd w:id="7"/>
      <w:r>
        <w:rPr>
          <w:sz w:val="28"/>
          <w:szCs w:val="28"/>
          <w:lang w:val="ru-RU"/>
        </w:rPr>
        <w:t xml:space="preserve">В условиях слаборазвитых рыночных институтов в африканских странах государство должно минимизировать прямое вмешательство в экономику для формирования траекторий инклюзивного роста. Меры регулирования должны касаться, прежде всего, улучшения инвестиционного климата и стимулирования экономической активности. В силу высокой значимости международной помощи для африканских стран особую важность приобретает повышения эффективности за расходованием выделяемых средств. При этом мы выделяем три базовых принципа, формирующих экономическую составляющую инклюзивного роста: сбалансированность, эффективность и комплексность. Их применение на практике позволит решить ключевые проблемы, связанные с устранением структурных диспропорций в развитии экономических систем и будет способствовать диверсификации ВНП (рисунок 4).    </w:t>
      </w:r>
    </w:p>
    <w:p>
      <w:pPr>
        <w:spacing w:lineRule="auto" w:line="360" w:after="0" w:beforeAutospacing="0" w:afterAutospacing="0"/>
        <w:rPr>
          <w:rFonts w:ascii="Times New Roman" w:hAnsi="Times New Roman" w:cs="Times New Roman"/>
          <w:sz w:val="28"/>
          <w:szCs w:val="28"/>
        </w:rPr>
      </w:pPr>
    </w:p>
    <w:p>
      <w:pPr>
        <w:rPr>
          <w:rFonts w:ascii="Times New Roman" w:hAnsi="Times New Roman" w:cs="Times New Roman"/>
          <w:sz w:val="28"/>
          <w:szCs w:val="28"/>
        </w:rPr>
      </w:pPr>
      <w:r>
        <w:rPr>
          <w:rFonts w:ascii="Times New Roman" w:hAnsi="Times New Roman" w:cs="Times New Roman"/>
          <w:noProof w:val="1"/>
          <w:sz w:val="28"/>
          <w:szCs w:val="28"/>
          <w:lang w:eastAsia="ru-RU"/>
        </w:rPr>
        <mc:AlternateContent>
          <mc:Choice Requires="wpg">
            <w:drawing>
              <wp:anchor xmlns:wp="http://schemas.openxmlformats.org/drawingml/2006/wordprocessingDrawing" distT="0" distB="0" distL="114300" distR="114300" simplePos="0" relativeHeight="1" behindDoc="0" locked="0" layoutInCell="1" allowOverlap="1">
                <wp:simplePos x="0" y="0"/>
                <wp:positionH relativeFrom="column">
                  <wp:posOffset>1270</wp:posOffset>
                </wp:positionH>
                <wp:positionV relativeFrom="paragraph">
                  <wp:posOffset>161925</wp:posOffset>
                </wp:positionV>
                <wp:extent cx="5953760" cy="4276725"/>
                <wp:effectExtent l="0" t="0" r="27940" b="28575"/>
                <wp:wrapNone/>
                <wp:docPr id="2028051584" name="Группа 306"/>
                <wp:cNvGraphicFramePr/>
                <a:graphic xmlns:a="http://schemas.openxmlformats.org/drawingml/2006/main">
                  <a:graphicData uri="http://schemas.microsoft.com/office/word/2010/wordprocessingGroup">
                    <wpg:wgp>
                      <wpg:cNvGrpSpPr/>
                      <wpg:grpSpPr>
                        <a:xfrm>
                          <a:off x="0" y="0"/>
                          <a:ext cx="5953945" cy="4277161"/>
                          <a:chOff x="0" y="0"/>
                          <a:chExt cx="5953945" cy="4277161"/>
                        </a:xfrm>
                      </wpg:grpSpPr>
                      <wps:wsp>
                        <wps:cNvPr id="1014220102" name="Надпись 1014220102"/>
                        <wps:cNvSpPr txBox="1"/>
                        <wps:spPr>
                          <a:xfrm>
                            <a:off x="266700" y="3793067"/>
                            <a:ext cx="5457406" cy="484095"/>
                          </a:xfrm>
                          <a:prstGeom prst="rect"/>
                          <a:solidFill>
                            <a:schemeClr val="lt1"/>
                          </a:solidFill>
                          <a:ln w="19050">
                            <a:solidFill>
                              <a:prstClr val="black"/>
                            </a:solidFill>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spacing w:lineRule="auto" w:line="240" w:after="0" w:beforeAutospacing="0" w:afterAutospacing="0"/>
                                <w:jc w:val="center"/>
                                <w:rPr>
                                  <w:rFonts w:ascii="Times New Roman" w:hAnsi="Times New Roman" w:cs="Times New Roman"/>
                                  <w:sz w:val="24"/>
                                  <w:szCs w:val="24"/>
                                </w:rPr>
                              </w:pPr>
                              <w:r>
                                <w:rPr>
                                  <w:rFonts w:ascii="Times New Roman" w:hAnsi="Times New Roman" w:cs="Times New Roman"/>
                                  <w:sz w:val="24"/>
                                  <w:szCs w:val="24"/>
                                </w:rPr>
                                <w:t>Минимальное прямое вмешательство государства в экономику, ограниченное определением стратегических целей и приоритетов, мониторингом и контролем</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1459482429" name="Надпись 1459482429"/>
                        <wps:cNvSpPr txBox="1"/>
                        <wps:spPr>
                          <a:xfrm>
                            <a:off x="232833" y="2171700"/>
                            <a:ext cx="5457406" cy="310318"/>
                          </a:xfrm>
                          <a:prstGeom prst="rect"/>
                          <a:solidFill>
                            <a:schemeClr val="lt1"/>
                          </a:solidFill>
                          <a:ln w="19050">
                            <a:solidFill>
                              <a:prstClr val="black"/>
                            </a:solidFill>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spacing w:lineRule="auto" w:line="240" w:after="0" w:beforeAutospacing="0" w:afterAutospacing="0"/>
                                <w:jc w:val="center"/>
                                <w:rPr>
                                  <w:rFonts w:ascii="Times New Roman" w:hAnsi="Times New Roman" w:cs="Times New Roman"/>
                                  <w:b w:val="1"/>
                                  <w:sz w:val="24"/>
                                  <w:szCs w:val="24"/>
                                </w:rPr>
                              </w:pPr>
                              <w:r>
                                <w:rPr>
                                  <w:rFonts w:ascii="Times New Roman" w:hAnsi="Times New Roman" w:cs="Times New Roman"/>
                                  <w:b w:val="1"/>
                                  <w:sz w:val="24"/>
                                  <w:szCs w:val="24"/>
                                </w:rPr>
                                <w:t>Инклюзивный рост</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491352704" name="Надпись 491352704"/>
                        <wps:cNvSpPr txBox="1"/>
                        <wps:spPr>
                          <a:xfrm>
                            <a:off x="165100" y="1579034"/>
                            <a:ext cx="1601235" cy="326390"/>
                          </a:xfrm>
                          <a:prstGeom prst="rect"/>
                          <a:solidFill>
                            <a:schemeClr val="lt1"/>
                          </a:solidFill>
                          <a:ln w="19050">
                            <a:solidFill>
                              <a:prstClr val="black"/>
                            </a:solidFill>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spacing w:lineRule="auto" w:line="240" w:after="0" w:beforeAutospacing="0" w:afterAutospacing="0"/>
                                <w:jc w:val="center"/>
                                <w:rPr>
                                  <w:rFonts w:ascii="Times New Roman" w:hAnsi="Times New Roman" w:cs="Times New Roman"/>
                                  <w:sz w:val="24"/>
                                  <w:szCs w:val="24"/>
                                </w:rPr>
                              </w:pPr>
                              <w:r>
                                <w:rPr>
                                  <w:rFonts w:ascii="Times New Roman" w:hAnsi="Times New Roman" w:cs="Times New Roman"/>
                                  <w:sz w:val="24"/>
                                  <w:szCs w:val="24"/>
                                </w:rPr>
                                <w:t>Сбалансированность</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147093552" name="Надпись 147093552"/>
                        <wps:cNvSpPr txBox="1"/>
                        <wps:spPr>
                          <a:xfrm>
                            <a:off x="2366434" y="1579034"/>
                            <a:ext cx="1551585" cy="326867"/>
                          </a:xfrm>
                          <a:prstGeom prst="rect"/>
                          <a:solidFill>
                            <a:schemeClr val="lt1"/>
                          </a:solidFill>
                          <a:ln w="19050">
                            <a:solidFill>
                              <a:prstClr val="black"/>
                            </a:solidFill>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spacing w:lineRule="auto" w:line="240" w:after="0" w:beforeAutospacing="0" w:afterAutospacing="0"/>
                                <w:jc w:val="center"/>
                                <w:rPr>
                                  <w:rFonts w:ascii="Times New Roman" w:hAnsi="Times New Roman" w:cs="Times New Roman"/>
                                  <w:sz w:val="24"/>
                                  <w:szCs w:val="24"/>
                                </w:rPr>
                              </w:pPr>
                              <w:r>
                                <w:rPr>
                                  <w:rFonts w:ascii="Times New Roman" w:hAnsi="Times New Roman" w:cs="Times New Roman"/>
                                  <w:sz w:val="24"/>
                                  <w:szCs w:val="24"/>
                                </w:rPr>
                                <w:t>Эффективность</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1300108695" name="Надпись 1300108695"/>
                        <wps:cNvSpPr txBox="1"/>
                        <wps:spPr>
                          <a:xfrm>
                            <a:off x="4212168" y="1587500"/>
                            <a:ext cx="1551585" cy="326867"/>
                          </a:xfrm>
                          <a:prstGeom prst="rect"/>
                          <a:solidFill>
                            <a:schemeClr val="lt1"/>
                          </a:solidFill>
                          <a:ln w="19050">
                            <a:solidFill>
                              <a:prstClr val="black"/>
                            </a:solidFill>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spacing w:lineRule="auto" w:line="240" w:after="0" w:beforeAutospacing="0" w:afterAutospacing="0"/>
                                <w:jc w:val="center"/>
                                <w:rPr>
                                  <w:rFonts w:ascii="Times New Roman" w:hAnsi="Times New Roman" w:cs="Times New Roman"/>
                                  <w:sz w:val="24"/>
                                  <w:szCs w:val="24"/>
                                </w:rPr>
                              </w:pPr>
                              <w:r>
                                <w:rPr>
                                  <w:rFonts w:ascii="Times New Roman" w:hAnsi="Times New Roman" w:cs="Times New Roman"/>
                                  <w:sz w:val="24"/>
                                  <w:szCs w:val="24"/>
                                </w:rPr>
                                <w:t>Комплексность</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1045014937" name="Надпись 1045014937"/>
                        <wps:cNvSpPr txBox="1"/>
                        <wps:spPr>
                          <a:xfrm>
                            <a:off x="97368" y="584200"/>
                            <a:ext cx="1679575" cy="553720"/>
                          </a:xfrm>
                          <a:prstGeom prst="rect"/>
                          <a:solidFill>
                            <a:schemeClr val="lt1"/>
                          </a:solidFill>
                          <a:ln w="19050">
                            <a:solidFill>
                              <a:prstClr val="black"/>
                            </a:solidFill>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spacing w:lineRule="auto" w:line="240" w:after="0" w:beforeAutospacing="0" w:afterAutospacing="0"/>
                                <w:jc w:val="center"/>
                                <w:rPr>
                                  <w:rFonts w:ascii="Times New Roman" w:hAnsi="Times New Roman" w:cs="Times New Roman"/>
                                  <w:sz w:val="20"/>
                                  <w:szCs w:val="20"/>
                                </w:rPr>
                              </w:pPr>
                              <w:r>
                                <w:rPr>
                                  <w:rFonts w:ascii="Times New Roman" w:hAnsi="Times New Roman" w:cs="Times New Roman"/>
                                  <w:sz w:val="20"/>
                                  <w:szCs w:val="20"/>
                                </w:rPr>
                                <w:t>Устранение структурных диспропорций в развитии экономических систем</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1882825430" name="Надпись 1882825430"/>
                        <wps:cNvSpPr txBox="1"/>
                        <wps:spPr>
                          <a:xfrm>
                            <a:off x="4102100" y="579966"/>
                            <a:ext cx="1679575" cy="554355"/>
                          </a:xfrm>
                          <a:prstGeom prst="rect"/>
                          <a:solidFill>
                            <a:schemeClr val="lt1"/>
                          </a:solidFill>
                          <a:ln w="19050">
                            <a:solidFill>
                              <a:prstClr val="black"/>
                            </a:solidFill>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spacing w:lineRule="auto" w:line="240" w:after="0" w:beforeAutospacing="0" w:afterAutospacing="0"/>
                                <w:jc w:val="center"/>
                                <w:rPr>
                                  <w:rFonts w:ascii="Times New Roman" w:hAnsi="Times New Roman" w:cs="Times New Roman"/>
                                  <w:sz w:val="20"/>
                                  <w:szCs w:val="20"/>
                                </w:rPr>
                              </w:pPr>
                              <w:r>
                                <w:rPr>
                                  <w:rFonts w:ascii="Times New Roman" w:hAnsi="Times New Roman" w:cs="Times New Roman"/>
                                  <w:sz w:val="20"/>
                                  <w:szCs w:val="20"/>
                                </w:rPr>
                                <w:t>Рост стандартов ведения бизнеса и устранение негативных экстерналий</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1754557955" name="Надпись 1754557955"/>
                        <wps:cNvSpPr txBox="1"/>
                        <wps:spPr>
                          <a:xfrm>
                            <a:off x="2078567" y="588433"/>
                            <a:ext cx="1679575" cy="549275"/>
                          </a:xfrm>
                          <a:prstGeom prst="rect"/>
                          <a:solidFill>
                            <a:schemeClr val="lt1"/>
                          </a:solidFill>
                          <a:ln w="19050">
                            <a:solidFill>
                              <a:prstClr val="black"/>
                            </a:solidFill>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spacing w:lineRule="auto" w:line="240" w:after="0" w:beforeAutospacing="0" w:afterAutospacing="0"/>
                                <w:jc w:val="center"/>
                                <w:rPr>
                                  <w:rFonts w:ascii="Times New Roman" w:hAnsi="Times New Roman" w:cs="Times New Roman"/>
                                  <w:sz w:val="20"/>
                                  <w:szCs w:val="20"/>
                                </w:rPr>
                              </w:pPr>
                              <w:r>
                                <w:rPr>
                                  <w:rFonts w:ascii="Times New Roman" w:hAnsi="Times New Roman" w:cs="Times New Roman"/>
                                  <w:sz w:val="20"/>
                                  <w:szCs w:val="20"/>
                                </w:rPr>
                                <w:t>Увеличение производства товаров с высокой добавленной стоимостью</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349761927" name="Надпись 349761927"/>
                        <wps:cNvSpPr txBox="1"/>
                        <wps:spPr>
                          <a:xfrm>
                            <a:off x="0" y="2696633"/>
                            <a:ext cx="5953945" cy="1013405"/>
                          </a:xfrm>
                          <a:prstGeom prst="rect"/>
                          <a:solidFill>
                            <a:schemeClr val="lt1"/>
                          </a:solidFill>
                          <a:ln w="6350">
                            <a:solidFill>
                              <a:prstClr val="black"/>
                            </a:solidFill>
                            <a:prstDash val="dash"/>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spacing w:lineRule="auto" w:line="240" w:after="0" w:beforeAutospacing="0" w:afterAutospacing="0"/>
                                <w:rPr>
                                  <w:rFonts w:ascii="Times New Roman" w:hAnsi="Times New Roman" w:cs="Times New Roman"/>
                                  <w:i w:val="1"/>
                                  <w:sz w:val="24"/>
                                  <w:szCs w:val="24"/>
                                </w:rPr>
                              </w:pPr>
                              <w:r>
                                <w:rPr>
                                  <w:rFonts w:ascii="Times New Roman" w:hAnsi="Times New Roman" w:cs="Times New Roman"/>
                                  <w:i w:val="1"/>
                                  <w:sz w:val="24"/>
                                  <w:szCs w:val="24"/>
                                </w:rPr>
                                <w:t>Меры государственного регулирования</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487330212" name="Надпись 487330212"/>
                        <wps:cNvSpPr txBox="1"/>
                        <wps:spPr>
                          <a:xfrm>
                            <a:off x="1934634" y="2980267"/>
                            <a:ext cx="1679849" cy="550296"/>
                          </a:xfrm>
                          <a:prstGeom prst="rect"/>
                          <a:solidFill>
                            <a:schemeClr val="lt1"/>
                          </a:solidFill>
                          <a:ln w="19050">
                            <a:solidFill>
                              <a:prstClr val="black"/>
                            </a:solidFill>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spacing w:lineRule="auto" w:line="240" w:after="0" w:beforeAutospacing="0" w:afterAutospacing="0"/>
                                <w:jc w:val="center"/>
                                <w:rPr>
                                  <w:rFonts w:ascii="Times New Roman" w:hAnsi="Times New Roman" w:cs="Times New Roman"/>
                                  <w:sz w:val="20"/>
                                  <w:szCs w:val="20"/>
                                </w:rPr>
                              </w:pPr>
                              <w:r>
                                <w:rPr>
                                  <w:rFonts w:ascii="Times New Roman" w:hAnsi="Times New Roman" w:cs="Times New Roman"/>
                                  <w:sz w:val="20"/>
                                  <w:szCs w:val="20"/>
                                </w:rPr>
                                <w:t xml:space="preserve">Создание стимулов для роста экономической активности </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1279701969" name="Надпись 1279701969"/>
                        <wps:cNvSpPr txBox="1"/>
                        <wps:spPr>
                          <a:xfrm>
                            <a:off x="114300" y="3001433"/>
                            <a:ext cx="1679575" cy="554047"/>
                          </a:xfrm>
                          <a:prstGeom prst="rect"/>
                          <a:solidFill>
                            <a:schemeClr val="lt1"/>
                          </a:solidFill>
                          <a:ln w="19050">
                            <a:solidFill>
                              <a:prstClr val="black"/>
                            </a:solidFill>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spacing w:lineRule="auto" w:line="240" w:after="0" w:beforeAutospacing="0" w:afterAutospacing="0"/>
                                <w:jc w:val="center"/>
                                <w:rPr>
                                  <w:rFonts w:ascii="Times New Roman" w:hAnsi="Times New Roman" w:cs="Times New Roman"/>
                                  <w:sz w:val="20"/>
                                  <w:szCs w:val="20"/>
                                </w:rPr>
                              </w:pPr>
                              <w:r>
                                <w:rPr>
                                  <w:rFonts w:ascii="Times New Roman" w:hAnsi="Times New Roman" w:cs="Times New Roman"/>
                                  <w:sz w:val="20"/>
                                  <w:szCs w:val="20"/>
                                </w:rPr>
                                <w:t>Улучшение инвестиционного климата и укрепление потенциала</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121047770" name="Надпись 121047770"/>
                        <wps:cNvSpPr txBox="1"/>
                        <wps:spPr>
                          <a:xfrm>
                            <a:off x="3746500" y="2980267"/>
                            <a:ext cx="2114550" cy="549910"/>
                          </a:xfrm>
                          <a:prstGeom prst="rect"/>
                          <a:solidFill>
                            <a:schemeClr val="lt1"/>
                          </a:solidFill>
                          <a:ln w="19050">
                            <a:solidFill>
                              <a:prstClr val="black"/>
                            </a:solidFill>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spacing w:lineRule="auto" w:line="240" w:after="0" w:beforeAutospacing="0" w:afterAutospacing="0"/>
                                <w:ind w:left="-142" w:right="-121"/>
                                <w:jc w:val="center"/>
                                <w:rPr>
                                  <w:rFonts w:ascii="Times New Roman" w:hAnsi="Times New Roman" w:cs="Times New Roman"/>
                                  <w:sz w:val="20"/>
                                  <w:szCs w:val="20"/>
                                </w:rPr>
                              </w:pPr>
                              <w:r>
                                <w:rPr>
                                  <w:rFonts w:ascii="Times New Roman" w:hAnsi="Times New Roman" w:cs="Times New Roman"/>
                                  <w:sz w:val="20"/>
                                  <w:szCs w:val="20"/>
                                </w:rPr>
                                <w:t xml:space="preserve">Повышение эффективности контроля за бюджетными расходами и международной помощью </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339183611" name="Надпись 339183611"/>
                        <wps:cNvSpPr txBox="1"/>
                        <wps:spPr>
                          <a:xfrm>
                            <a:off x="0" y="1274233"/>
                            <a:ext cx="5953945" cy="769052"/>
                          </a:xfrm>
                          <a:prstGeom prst="rect"/>
                          <a:noFill/>
                          <a:ln w="6350">
                            <a:solidFill>
                              <a:prstClr val="black"/>
                            </a:solidFill>
                            <a:prstDash val="dash"/>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spacing w:lineRule="auto" w:line="240" w:after="0" w:beforeAutospacing="0" w:afterAutospacing="0"/>
                                <w:rPr>
                                  <w:rFonts w:ascii="Times New Roman" w:hAnsi="Times New Roman" w:cs="Times New Roman"/>
                                  <w:i w:val="1"/>
                                  <w:sz w:val="24"/>
                                  <w:szCs w:val="24"/>
                                </w:rPr>
                              </w:pPr>
                              <w:r>
                                <w:rPr>
                                  <w:rFonts w:ascii="Times New Roman" w:hAnsi="Times New Roman" w:cs="Times New Roman"/>
                                  <w:i w:val="1"/>
                                  <w:sz w:val="24"/>
                                  <w:szCs w:val="24"/>
                                </w:rPr>
                                <w:t>Принципы</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912141771" name="Надпись 912141771"/>
                        <wps:cNvSpPr txBox="1"/>
                        <wps:spPr>
                          <a:xfrm>
                            <a:off x="237068" y="0"/>
                            <a:ext cx="5457190" cy="293370"/>
                          </a:xfrm>
                          <a:prstGeom prst="rect"/>
                          <a:solidFill>
                            <a:schemeClr val="lt1"/>
                          </a:solidFill>
                          <a:ln w="19050">
                            <a:solidFill>
                              <a:prstClr val="black"/>
                            </a:solidFill>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spacing w:lineRule="auto" w:line="240" w:after="0" w:beforeAutospacing="0" w:afterAutospacing="0"/>
                                <w:jc w:val="center"/>
                                <w:rPr>
                                  <w:rFonts w:ascii="Times New Roman" w:hAnsi="Times New Roman" w:cs="Times New Roman"/>
                                  <w:b w:val="1"/>
                                  <w:sz w:val="24"/>
                                  <w:szCs w:val="24"/>
                                </w:rPr>
                              </w:pPr>
                              <w:r>
                                <w:rPr>
                                  <w:rFonts w:ascii="Times New Roman" w:hAnsi="Times New Roman" w:cs="Times New Roman"/>
                                  <w:b w:val="1"/>
                                  <w:sz w:val="24"/>
                                  <w:szCs w:val="24"/>
                                </w:rPr>
                                <w:t>Достижение целей устойчивого развития</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1787045925" name="Стрелка вниз 125"/>
                        <wps:cNvSpPr/>
                        <wps:spPr>
                          <a:xfrm rot="10800000">
                            <a:off x="785283" y="294216"/>
                            <a:ext cx="190500" cy="282575"/>
                          </a:xfrm>
                          <a:prstGeom prst="downArrow"/>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188338248" name="Стрелка вниз 126"/>
                        <wps:cNvSpPr/>
                        <wps:spPr>
                          <a:xfrm rot="10800000">
                            <a:off x="2834218" y="302683"/>
                            <a:ext cx="190500" cy="282575"/>
                          </a:xfrm>
                          <a:prstGeom prst="downArrow"/>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50836569" name="Стрелка вниз 127"/>
                        <wps:cNvSpPr/>
                        <wps:spPr>
                          <a:xfrm rot="10800000">
                            <a:off x="4929718" y="298450"/>
                            <a:ext cx="190500" cy="282575"/>
                          </a:xfrm>
                          <a:prstGeom prst="downArrow"/>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578194950" name="Прямая со стрелкой 578194950"/>
                        <wps:cNvCnPr/>
                        <wps:spPr>
                          <a:xfrm flipV="1">
                            <a:off x="876300" y="1134533"/>
                            <a:ext cx="0" cy="412750"/>
                          </a:xfrm>
                          <a:prstGeom prst="straightConnector1"/>
                          <a:ln w="12700">
                            <a:tailEnd type="triangle"/>
                          </a:ln>
                        </wps:spPr>
                        <wps:style>
                          <a:lnRef idx="1">
                            <a:schemeClr val="dk1"/>
                          </a:lnRef>
                          <a:fillRef idx="0">
                            <a:schemeClr val="dk1"/>
                          </a:fillRef>
                          <a:effectRef idx="0">
                            <a:schemeClr val="dk1"/>
                          </a:effectRef>
                          <a:fontRef idx="minor">
                            <a:schemeClr val="tx1"/>
                          </a:fontRef>
                        </wps:style>
                        <wps:bodyPr/>
                      </wps:wsp>
                      <wps:wsp>
                        <wps:cNvPr id="1112836138" name="Прямая со стрелкой 1112836138"/>
                        <wps:cNvCnPr/>
                        <wps:spPr>
                          <a:xfrm flipV="1">
                            <a:off x="2933700" y="1130300"/>
                            <a:ext cx="0" cy="412750"/>
                          </a:xfrm>
                          <a:prstGeom prst="straightConnector1"/>
                          <a:ln w="12700">
                            <a:tailEnd type="triangle"/>
                          </a:ln>
                        </wps:spPr>
                        <wps:style>
                          <a:lnRef idx="1">
                            <a:schemeClr val="dk1"/>
                          </a:lnRef>
                          <a:fillRef idx="0">
                            <a:schemeClr val="dk1"/>
                          </a:fillRef>
                          <a:effectRef idx="0">
                            <a:schemeClr val="dk1"/>
                          </a:effectRef>
                          <a:fontRef idx="minor">
                            <a:schemeClr val="tx1"/>
                          </a:fontRef>
                        </wps:style>
                        <wps:bodyPr/>
                      </wps:wsp>
                      <wps:wsp>
                        <wps:cNvPr id="273736322" name="Прямая со стрелкой 273736322"/>
                        <wps:cNvCnPr/>
                        <wps:spPr>
                          <a:xfrm flipV="1">
                            <a:off x="5020733" y="1147233"/>
                            <a:ext cx="0" cy="412750"/>
                          </a:xfrm>
                          <a:prstGeom prst="straightConnector1"/>
                          <a:ln w="12700">
                            <a:tailEnd type="triangle"/>
                          </a:ln>
                        </wps:spPr>
                        <wps:style>
                          <a:lnRef idx="1">
                            <a:schemeClr val="dk1"/>
                          </a:lnRef>
                          <a:fillRef idx="0">
                            <a:schemeClr val="dk1"/>
                          </a:fillRef>
                          <a:effectRef idx="0">
                            <a:schemeClr val="dk1"/>
                          </a:effectRef>
                          <a:fontRef idx="minor">
                            <a:schemeClr val="tx1"/>
                          </a:fontRef>
                        </wps:style>
                        <wps:bodyPr/>
                      </wps:wsp>
                      <wps:wsp>
                        <wps:cNvPr id="876383893" name="Прямая со стрелкой 876383893"/>
                        <wps:cNvCnPr/>
                        <wps:spPr>
                          <a:xfrm flipV="1">
                            <a:off x="880533" y="1871134"/>
                            <a:ext cx="0" cy="260985"/>
                          </a:xfrm>
                          <a:prstGeom prst="straightConnector1"/>
                          <a:ln w="12700">
                            <a:tailEnd type="triangle"/>
                          </a:ln>
                        </wps:spPr>
                        <wps:style>
                          <a:lnRef idx="1">
                            <a:schemeClr val="dk1"/>
                          </a:lnRef>
                          <a:fillRef idx="0">
                            <a:schemeClr val="dk1"/>
                          </a:fillRef>
                          <a:effectRef idx="0">
                            <a:schemeClr val="dk1"/>
                          </a:effectRef>
                          <a:fontRef idx="minor">
                            <a:schemeClr val="tx1"/>
                          </a:fontRef>
                        </wps:style>
                        <wps:bodyPr/>
                      </wps:wsp>
                      <wps:wsp>
                        <wps:cNvPr id="862320405" name="Прямая со стрелкой 862320405"/>
                        <wps:cNvCnPr/>
                        <wps:spPr>
                          <a:xfrm flipV="1">
                            <a:off x="2933700" y="1879600"/>
                            <a:ext cx="0" cy="260985"/>
                          </a:xfrm>
                          <a:prstGeom prst="straightConnector1"/>
                          <a:ln w="12700">
                            <a:tailEnd type="triangle"/>
                          </a:ln>
                        </wps:spPr>
                        <wps:style>
                          <a:lnRef idx="1">
                            <a:schemeClr val="dk1"/>
                          </a:lnRef>
                          <a:fillRef idx="0">
                            <a:schemeClr val="dk1"/>
                          </a:fillRef>
                          <a:effectRef idx="0">
                            <a:schemeClr val="dk1"/>
                          </a:effectRef>
                          <a:fontRef idx="minor">
                            <a:schemeClr val="tx1"/>
                          </a:fontRef>
                        </wps:style>
                        <wps:bodyPr/>
                      </wps:wsp>
                      <wps:wsp>
                        <wps:cNvPr id="242466873" name="Прямая со стрелкой 242466873"/>
                        <wps:cNvCnPr/>
                        <wps:spPr>
                          <a:xfrm flipV="1">
                            <a:off x="5020733" y="1879600"/>
                            <a:ext cx="0" cy="260985"/>
                          </a:xfrm>
                          <a:prstGeom prst="straightConnector1"/>
                          <a:ln w="12700">
                            <a:tailEnd type="triangle"/>
                          </a:ln>
                        </wps:spPr>
                        <wps:style>
                          <a:lnRef idx="1">
                            <a:schemeClr val="dk1"/>
                          </a:lnRef>
                          <a:fillRef idx="0">
                            <a:schemeClr val="dk1"/>
                          </a:fillRef>
                          <a:effectRef idx="0">
                            <a:schemeClr val="dk1"/>
                          </a:effectRef>
                          <a:fontRef idx="minor">
                            <a:schemeClr val="tx1"/>
                          </a:fontRef>
                        </wps:style>
                        <wps:bodyPr/>
                      </wps:wsp>
                      <wps:wsp>
                        <wps:cNvPr id="1508959615" name="Стрелка вниз 136"/>
                        <wps:cNvSpPr/>
                        <wps:spPr>
                          <a:xfrm rot="10800000">
                            <a:off x="2838450" y="2470150"/>
                            <a:ext cx="174625" cy="190500"/>
                          </a:xfrm>
                          <a:prstGeom prst="downArrow"/>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119138875" name="Прямая со стрелкой 1119138875"/>
                        <wps:cNvCnPr/>
                        <wps:spPr>
                          <a:xfrm flipV="1">
                            <a:off x="884768" y="3534833"/>
                            <a:ext cx="0" cy="260985"/>
                          </a:xfrm>
                          <a:prstGeom prst="straightConnector1"/>
                          <a:ln w="12700">
                            <a:tailEnd type="triangle"/>
                          </a:ln>
                        </wps:spPr>
                        <wps:style>
                          <a:lnRef idx="1">
                            <a:schemeClr val="dk1"/>
                          </a:lnRef>
                          <a:fillRef idx="0">
                            <a:schemeClr val="dk1"/>
                          </a:fillRef>
                          <a:effectRef idx="0">
                            <a:schemeClr val="dk1"/>
                          </a:effectRef>
                          <a:fontRef idx="minor">
                            <a:schemeClr val="tx1"/>
                          </a:fontRef>
                        </wps:style>
                        <wps:bodyPr/>
                      </wps:wsp>
                      <wps:wsp>
                        <wps:cNvPr id="1876174101" name="Прямая со стрелкой 1876174101"/>
                        <wps:cNvCnPr/>
                        <wps:spPr>
                          <a:xfrm flipV="1">
                            <a:off x="2929468" y="3539067"/>
                            <a:ext cx="0" cy="260985"/>
                          </a:xfrm>
                          <a:prstGeom prst="straightConnector1"/>
                          <a:ln w="12700">
                            <a:tailEnd type="triangle"/>
                          </a:ln>
                        </wps:spPr>
                        <wps:style>
                          <a:lnRef idx="1">
                            <a:schemeClr val="dk1"/>
                          </a:lnRef>
                          <a:fillRef idx="0">
                            <a:schemeClr val="dk1"/>
                          </a:fillRef>
                          <a:effectRef idx="0">
                            <a:schemeClr val="dk1"/>
                          </a:effectRef>
                          <a:fontRef idx="minor">
                            <a:schemeClr val="tx1"/>
                          </a:fontRef>
                        </wps:style>
                        <wps:bodyPr/>
                      </wps:wsp>
                      <wps:wsp>
                        <wps:cNvPr id="53607255" name="Прямая со стрелкой 53607255"/>
                        <wps:cNvCnPr/>
                        <wps:spPr>
                          <a:xfrm flipV="1">
                            <a:off x="4876800" y="3539067"/>
                            <a:ext cx="0" cy="260985"/>
                          </a:xfrm>
                          <a:prstGeom prst="straightConnector1"/>
                          <a:ln w="12700">
                            <a:tailEnd type="triangle"/>
                          </a:ln>
                        </wps:spPr>
                        <wps:style>
                          <a:lnRef idx="1">
                            <a:schemeClr val="dk1"/>
                          </a:lnRef>
                          <a:fillRef idx="0">
                            <a:schemeClr val="dk1"/>
                          </a:fillRef>
                          <a:effectRef idx="0">
                            <a:schemeClr val="dk1"/>
                          </a:effectRef>
                          <a:fontRef idx="minor">
                            <a:schemeClr val="tx1"/>
                          </a:fontRef>
                        </wps:style>
                        <wps:bodyPr/>
                      </wps:wsp>
                    </wpg:wgp>
                  </a:graphicData>
                </a:graphic>
              </wp:anchor>
            </w:drawing>
          </mc:Choice>
          <mc:Fallback>
            <w:pict>
              <v:group xmlns:o="urn:schemas-microsoft-com:office:office" id="Группа 306" style="position:absolute;width:468.8pt;height:336.75pt;z-index:1;mso-wrap-distance-left:9pt;mso-wrap-distance-top:0pt;mso-wrap-distance-right:9pt;mso-wrap-distance-bottom:0pt;margin-left:0.1pt;margin-top:12.75pt;mso-position-horizontal:absolute;mso-position-horizontal-relative:text;mso-position-vertical:absolute;mso-position-vertical-relative:text" coordsize="5953944,4277160" o:allowincell="t">
                <v:shape type="#_x0000_t202" id="Надпись 1014220102" o:spid="_x0000_s1060" style="position:absolute;left:266700;top:3793066;width:5457405;height:484094" o:allowincell="t" fillcolor="#FFFFFF" strokecolor="#000000" strokeweight="1.5pt" stroked="t">
                  <v:textbox inset="3mm,1mm,3mm,1mm">
                    <w:txbxContent>
                      <w:p>
                        <w:pPr>
                          <w:spacing w:lineRule="auto" w:line="240" w:after="0" w:beforeAutospacing="0" w:afterAutospacing="0"/>
                          <w:jc w:val="center"/>
                          <w:rPr>
                            <w:rFonts w:ascii="Times New Roman" w:hAnsi="Times New Roman" w:cs="Times New Roman"/>
                            <w:sz w:val="24"/>
                            <w:szCs w:val="24"/>
                          </w:rPr>
                        </w:pPr>
                        <w:r>
                          <w:rPr>
                            <w:rFonts w:ascii="Times New Roman" w:hAnsi="Times New Roman" w:cs="Times New Roman"/>
                            <w:sz w:val="24"/>
                            <w:szCs w:val="24"/>
                          </w:rPr>
                          <w:t>Минимальное прямое вмешательство государства в экономику, ограниченное определением стратегических целей и приоритетов, мониторингом и контролем</w:t>
                        </w:r>
                      </w:p>
                    </w:txbxContent>
                  </v:textbox>
                </v:shape>
                <v:shape type="#_x0000_t202" id="Надпись 1459482429" o:spid="_x0000_s1061" style="position:absolute;left:232832;top:2171700;width:5457405;height:310317" o:allowincell="t" fillcolor="#FFFFFF" strokecolor="#000000" strokeweight="1.5pt" stroked="t">
                  <v:textbox inset="3mm,1mm,3mm,1mm">
                    <w:txbxContent>
                      <w:p>
                        <w:pPr>
                          <w:spacing w:lineRule="auto" w:line="240" w:after="0" w:beforeAutospacing="0" w:afterAutospacing="0"/>
                          <w:jc w:val="center"/>
                          <w:rPr>
                            <w:rFonts w:ascii="Times New Roman" w:hAnsi="Times New Roman" w:cs="Times New Roman"/>
                            <w:b w:val="1"/>
                            <w:sz w:val="24"/>
                            <w:szCs w:val="24"/>
                          </w:rPr>
                        </w:pPr>
                        <w:r>
                          <w:rPr>
                            <w:rFonts w:ascii="Times New Roman" w:hAnsi="Times New Roman" w:cs="Times New Roman"/>
                            <w:b w:val="1"/>
                            <w:sz w:val="24"/>
                            <w:szCs w:val="24"/>
                          </w:rPr>
                          <w:t>Инклюзивный рост</w:t>
                        </w:r>
                      </w:p>
                    </w:txbxContent>
                  </v:textbox>
                </v:shape>
                <v:shape type="#_x0000_t202" id="Надпись 491352704" o:spid="_x0000_s1062" style="position:absolute;left:165100;top:1579033;width:1601234;height:326390" o:allowincell="t" fillcolor="#FFFFFF" strokecolor="#000000" strokeweight="1.5pt" stroked="t">
                  <v:textbox inset="3mm,1mm,3mm,1mm">
                    <w:txbxContent>
                      <w:p>
                        <w:pPr>
                          <w:spacing w:lineRule="auto" w:line="240" w:after="0" w:beforeAutospacing="0" w:afterAutospacing="0"/>
                          <w:jc w:val="center"/>
                          <w:rPr>
                            <w:rFonts w:ascii="Times New Roman" w:hAnsi="Times New Roman" w:cs="Times New Roman"/>
                            <w:sz w:val="24"/>
                            <w:szCs w:val="24"/>
                          </w:rPr>
                        </w:pPr>
                        <w:r>
                          <w:rPr>
                            <w:rFonts w:ascii="Times New Roman" w:hAnsi="Times New Roman" w:cs="Times New Roman"/>
                            <w:sz w:val="24"/>
                            <w:szCs w:val="24"/>
                          </w:rPr>
                          <w:t>Сбалансированность</w:t>
                        </w:r>
                      </w:p>
                    </w:txbxContent>
                  </v:textbox>
                </v:shape>
                <v:shape type="#_x0000_t202" id="Надпись 147093552" o:spid="_x0000_s1063" style="position:absolute;left:2366433;top:1579033;width:1551584;height:326866" o:allowincell="t" fillcolor="#FFFFFF" strokecolor="#000000" strokeweight="1.5pt" stroked="t">
                  <v:textbox inset="3mm,1mm,3mm,1mm">
                    <w:txbxContent>
                      <w:p>
                        <w:pPr>
                          <w:spacing w:lineRule="auto" w:line="240" w:after="0" w:beforeAutospacing="0" w:afterAutospacing="0"/>
                          <w:jc w:val="center"/>
                          <w:rPr>
                            <w:rFonts w:ascii="Times New Roman" w:hAnsi="Times New Roman" w:cs="Times New Roman"/>
                            <w:sz w:val="24"/>
                            <w:szCs w:val="24"/>
                          </w:rPr>
                        </w:pPr>
                        <w:r>
                          <w:rPr>
                            <w:rFonts w:ascii="Times New Roman" w:hAnsi="Times New Roman" w:cs="Times New Roman"/>
                            <w:sz w:val="24"/>
                            <w:szCs w:val="24"/>
                          </w:rPr>
                          <w:t>Эффективность</w:t>
                        </w:r>
                      </w:p>
                    </w:txbxContent>
                  </v:textbox>
                </v:shape>
                <v:shape type="#_x0000_t202" id="Надпись 1300108695" o:spid="_x0000_s1064" style="position:absolute;left:4212167;top:1587500;width:1551584;height:326866" o:allowincell="t" fillcolor="#FFFFFF" strokecolor="#000000" strokeweight="1.5pt" stroked="t">
                  <v:textbox inset="3mm,1mm,3mm,1mm">
                    <w:txbxContent>
                      <w:p>
                        <w:pPr>
                          <w:spacing w:lineRule="auto" w:line="240" w:after="0" w:beforeAutospacing="0" w:afterAutospacing="0"/>
                          <w:jc w:val="center"/>
                          <w:rPr>
                            <w:rFonts w:ascii="Times New Roman" w:hAnsi="Times New Roman" w:cs="Times New Roman"/>
                            <w:sz w:val="24"/>
                            <w:szCs w:val="24"/>
                          </w:rPr>
                        </w:pPr>
                        <w:r>
                          <w:rPr>
                            <w:rFonts w:ascii="Times New Roman" w:hAnsi="Times New Roman" w:cs="Times New Roman"/>
                            <w:sz w:val="24"/>
                            <w:szCs w:val="24"/>
                          </w:rPr>
                          <w:t>Комплексность</w:t>
                        </w:r>
                      </w:p>
                    </w:txbxContent>
                  </v:textbox>
                </v:shape>
                <v:shape type="#_x0000_t202" id="Надпись 1045014937" o:spid="_x0000_s1065" style="position:absolute;left:97367;top:584200;width:1679575;height:553720" o:allowincell="t" fillcolor="#FFFFFF" strokecolor="#000000" strokeweight="1.5pt" stroked="t">
                  <v:textbox inset="3mm,1mm,3mm,1mm">
                    <w:txbxContent>
                      <w:p>
                        <w:pPr>
                          <w:spacing w:lineRule="auto" w:line="240" w:after="0" w:beforeAutospacing="0" w:afterAutospacing="0"/>
                          <w:jc w:val="center"/>
                          <w:rPr>
                            <w:rFonts w:ascii="Times New Roman" w:hAnsi="Times New Roman" w:cs="Times New Roman"/>
                            <w:sz w:val="20"/>
                            <w:szCs w:val="20"/>
                          </w:rPr>
                        </w:pPr>
                        <w:r>
                          <w:rPr>
                            <w:rFonts w:ascii="Times New Roman" w:hAnsi="Times New Roman" w:cs="Times New Roman"/>
                            <w:sz w:val="20"/>
                            <w:szCs w:val="20"/>
                          </w:rPr>
                          <w:t>Устранение структурных диспропорций в развитии экономических систем</w:t>
                        </w:r>
                      </w:p>
                    </w:txbxContent>
                  </v:textbox>
                </v:shape>
                <v:shape type="#_x0000_t202" id="Надпись 1882825430" o:spid="_x0000_s1066" style="position:absolute;left:4102100;top:579965;width:1679575;height:554355" o:allowincell="t" fillcolor="#FFFFFF" strokecolor="#000000" strokeweight="1.5pt" stroked="t">
                  <v:textbox inset="3mm,1mm,3mm,1mm">
                    <w:txbxContent>
                      <w:p>
                        <w:pPr>
                          <w:spacing w:lineRule="auto" w:line="240" w:after="0" w:beforeAutospacing="0" w:afterAutospacing="0"/>
                          <w:jc w:val="center"/>
                          <w:rPr>
                            <w:rFonts w:ascii="Times New Roman" w:hAnsi="Times New Roman" w:cs="Times New Roman"/>
                            <w:sz w:val="20"/>
                            <w:szCs w:val="20"/>
                          </w:rPr>
                        </w:pPr>
                        <w:r>
                          <w:rPr>
                            <w:rFonts w:ascii="Times New Roman" w:hAnsi="Times New Roman" w:cs="Times New Roman"/>
                            <w:sz w:val="20"/>
                            <w:szCs w:val="20"/>
                          </w:rPr>
                          <w:t>Рост стандартов ведения бизнеса и устранение негативных экстерналий</w:t>
                        </w:r>
                      </w:p>
                    </w:txbxContent>
                  </v:textbox>
                </v:shape>
                <v:shape type="#_x0000_t202" id="Надпись 1754557955" o:spid="_x0000_s1067" style="position:absolute;left:2078566;top:588432;width:1679575;height:549275" o:allowincell="t" fillcolor="#FFFFFF" strokecolor="#000000" strokeweight="1.5pt" stroked="t">
                  <v:textbox inset="3mm,1mm,3mm,1mm">
                    <w:txbxContent>
                      <w:p>
                        <w:pPr>
                          <w:spacing w:lineRule="auto" w:line="240" w:after="0" w:beforeAutospacing="0" w:afterAutospacing="0"/>
                          <w:jc w:val="center"/>
                          <w:rPr>
                            <w:rFonts w:ascii="Times New Roman" w:hAnsi="Times New Roman" w:cs="Times New Roman"/>
                            <w:sz w:val="20"/>
                            <w:szCs w:val="20"/>
                          </w:rPr>
                        </w:pPr>
                        <w:r>
                          <w:rPr>
                            <w:rFonts w:ascii="Times New Roman" w:hAnsi="Times New Roman" w:cs="Times New Roman"/>
                            <w:sz w:val="20"/>
                            <w:szCs w:val="20"/>
                          </w:rPr>
                          <w:t>Увеличение производства товаров с высокой добавленной стоимостью</w:t>
                        </w:r>
                      </w:p>
                    </w:txbxContent>
                  </v:textbox>
                </v:shape>
                <v:shape type="#_x0000_t202" id="Надпись 349761927" o:spid="_x0000_s1068" style="position:absolute;top:2696632;width:5953944;height:1013404" o:allowincell="t" fillcolor="#FFFFFF" strokecolor="#000000" strokeweight="0.5pt" stroked="t">
                  <v:textbox inset="3mm,1mm,3mm,1mm">
                    <w:txbxContent>
                      <w:p>
                        <w:pPr>
                          <w:spacing w:lineRule="auto" w:line="240" w:after="0" w:beforeAutospacing="0" w:afterAutospacing="0"/>
                          <w:rPr>
                            <w:rFonts w:ascii="Times New Roman" w:hAnsi="Times New Roman" w:cs="Times New Roman"/>
                            <w:i w:val="1"/>
                            <w:sz w:val="24"/>
                            <w:szCs w:val="24"/>
                          </w:rPr>
                        </w:pPr>
                        <w:r>
                          <w:rPr>
                            <w:rFonts w:ascii="Times New Roman" w:hAnsi="Times New Roman" w:cs="Times New Roman"/>
                            <w:i w:val="1"/>
                            <w:sz w:val="24"/>
                            <w:szCs w:val="24"/>
                          </w:rPr>
                          <w:t>Меры государственного регулирования</w:t>
                        </w:r>
                      </w:p>
                    </w:txbxContent>
                  </v:textbox>
                  <v:stroke dashstyle="dash"/>
                </v:shape>
                <v:shape type="#_x0000_t202" id="Надпись 487330212" o:spid="_x0000_s1069" style="position:absolute;left:1934633;top:2980266;width:1679848;height:550295" o:allowincell="t" fillcolor="#FFFFFF" strokecolor="#000000" strokeweight="1.5pt" stroked="t">
                  <v:textbox inset="3mm,1mm,3mm,1mm">
                    <w:txbxContent>
                      <w:p>
                        <w:pPr>
                          <w:spacing w:lineRule="auto" w:line="240" w:after="0" w:beforeAutospacing="0" w:afterAutospacing="0"/>
                          <w:jc w:val="center"/>
                          <w:rPr>
                            <w:rFonts w:ascii="Times New Roman" w:hAnsi="Times New Roman" w:cs="Times New Roman"/>
                            <w:sz w:val="20"/>
                            <w:szCs w:val="20"/>
                          </w:rPr>
                        </w:pPr>
                        <w:r>
                          <w:rPr>
                            <w:rFonts w:ascii="Times New Roman" w:hAnsi="Times New Roman" w:cs="Times New Roman"/>
                            <w:sz w:val="20"/>
                            <w:szCs w:val="20"/>
                          </w:rPr>
                          <w:t xml:space="preserve">Создание стимулов для роста экономической активности </w:t>
                        </w:r>
                      </w:p>
                    </w:txbxContent>
                  </v:textbox>
                </v:shape>
                <v:shape type="#_x0000_t202" id="Надпись 1279701969" o:spid="_x0000_s1070" style="position:absolute;left:114300;top:3001432;width:1679575;height:554046" o:allowincell="t" fillcolor="#FFFFFF" strokecolor="#000000" strokeweight="1.5pt" stroked="t">
                  <v:textbox inset="3mm,1mm,3mm,1mm">
                    <w:txbxContent>
                      <w:p>
                        <w:pPr>
                          <w:spacing w:lineRule="auto" w:line="240" w:after="0" w:beforeAutospacing="0" w:afterAutospacing="0"/>
                          <w:jc w:val="center"/>
                          <w:rPr>
                            <w:rFonts w:ascii="Times New Roman" w:hAnsi="Times New Roman" w:cs="Times New Roman"/>
                            <w:sz w:val="20"/>
                            <w:szCs w:val="20"/>
                          </w:rPr>
                        </w:pPr>
                        <w:r>
                          <w:rPr>
                            <w:rFonts w:ascii="Times New Roman" w:hAnsi="Times New Roman" w:cs="Times New Roman"/>
                            <w:sz w:val="20"/>
                            <w:szCs w:val="20"/>
                          </w:rPr>
                          <w:t>Улучшение инвестиционного климата и укрепление потенциала</w:t>
                        </w:r>
                      </w:p>
                    </w:txbxContent>
                  </v:textbox>
                </v:shape>
                <v:shape type="#_x0000_t202" id="Надпись 121047770" o:spid="_x0000_s1071" style="position:absolute;left:3746500;top:2980266;width:2114550;height:549910" o:allowincell="t" fillcolor="#FFFFFF" strokecolor="#000000" strokeweight="1.5pt" stroked="t">
                  <v:textbox inset="3mm,1mm,3mm,1mm">
                    <w:txbxContent>
                      <w:p>
                        <w:pPr>
                          <w:spacing w:lineRule="auto" w:line="240" w:after="0" w:beforeAutospacing="0" w:afterAutospacing="0"/>
                          <w:ind w:left="-142" w:right="-121"/>
                          <w:jc w:val="center"/>
                          <w:rPr>
                            <w:rFonts w:ascii="Times New Roman" w:hAnsi="Times New Roman" w:cs="Times New Roman"/>
                            <w:sz w:val="20"/>
                            <w:szCs w:val="20"/>
                          </w:rPr>
                        </w:pPr>
                        <w:r>
                          <w:rPr>
                            <w:rFonts w:ascii="Times New Roman" w:hAnsi="Times New Roman" w:cs="Times New Roman"/>
                            <w:sz w:val="20"/>
                            <w:szCs w:val="20"/>
                          </w:rPr>
                          <w:t xml:space="preserve">Повышение эффективности контроля за бюджетными расходами и международной помощью </w:t>
                        </w:r>
                      </w:p>
                    </w:txbxContent>
                  </v:textbox>
                </v:shape>
                <v:shape type="#_x0000_t202" id="Надпись 339183611" o:spid="_x0000_s1072" style="position:absolute;top:1274232;width:5953944;height:769051" o:allowincell="t" filled="f" strokecolor="#000000" strokeweight="0.5pt" stroked="t">
                  <v:textbox inset="3mm,1mm,3mm,1mm">
                    <w:txbxContent>
                      <w:p>
                        <w:pPr>
                          <w:spacing w:lineRule="auto" w:line="240" w:after="0" w:beforeAutospacing="0" w:afterAutospacing="0"/>
                          <w:rPr>
                            <w:rFonts w:ascii="Times New Roman" w:hAnsi="Times New Roman" w:cs="Times New Roman"/>
                            <w:i w:val="1"/>
                            <w:sz w:val="24"/>
                            <w:szCs w:val="24"/>
                          </w:rPr>
                        </w:pPr>
                        <w:r>
                          <w:rPr>
                            <w:rFonts w:ascii="Times New Roman" w:hAnsi="Times New Roman" w:cs="Times New Roman"/>
                            <w:i w:val="1"/>
                            <w:sz w:val="24"/>
                            <w:szCs w:val="24"/>
                          </w:rPr>
                          <w:t>Принципы</w:t>
                        </w:r>
                      </w:p>
                    </w:txbxContent>
                  </v:textbox>
                  <v:stroke dashstyle="dash"/>
                </v:shape>
                <v:shape type="#_x0000_t202" id="Надпись 912141771" o:spid="_x0000_s1073" style="position:absolute;left:237067;width:5457190;height:293370" o:allowincell="t" fillcolor="#FFFFFF" strokecolor="#000000" strokeweight="1.5pt" stroked="t">
                  <v:textbox inset="3mm,1mm,3mm,1mm">
                    <w:txbxContent>
                      <w:p>
                        <w:pPr>
                          <w:spacing w:lineRule="auto" w:line="240" w:after="0" w:beforeAutospacing="0" w:afterAutospacing="0"/>
                          <w:jc w:val="center"/>
                          <w:rPr>
                            <w:rFonts w:ascii="Times New Roman" w:hAnsi="Times New Roman" w:cs="Times New Roman"/>
                            <w:b w:val="1"/>
                            <w:sz w:val="24"/>
                            <w:szCs w:val="24"/>
                          </w:rPr>
                        </w:pPr>
                        <w:r>
                          <w:rPr>
                            <w:rFonts w:ascii="Times New Roman" w:hAnsi="Times New Roman" w:cs="Times New Roman"/>
                            <w:b w:val="1"/>
                            <w:sz w:val="24"/>
                            <w:szCs w:val="24"/>
                          </w:rPr>
                          <w:t>Достижение целей устойчивого развития</w:t>
                        </w:r>
                      </w:p>
                    </w:txbxContent>
                  </v:textbox>
                </v:shape>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shapetype>
                <v:shape type="#_x0000_t67" id="Стрелка вниз 125" o:spid="_x0000_s1074" style="position:absolute;left:785282;top:294215;width:190500;height:282575;v-text-anchor:middle;rotation:180" o:allowincell="t" filled="f" strokecolor="#000000" strokeweight="1pt" stroked="t"/>
                <v:shape type="#_x0000_t67" id="Стрелка вниз 126" o:spid="_x0000_s1075" style="position:absolute;left:2834217;top:302682;width:190500;height:282575;v-text-anchor:middle;rotation:180" o:allowincell="t" filled="f" strokecolor="#000000" strokeweight="1pt" stroked="t"/>
                <v:shape type="#_x0000_t67" id="Стрелка вниз 127" o:spid="_x0000_s1076" style="position:absolute;left:4929717;top:298450;width:190500;height:282575;v-text-anchor:middle;rotation:180" o:allowincell="t" filled="f" strokecolor="#000000" strokeweight="1pt" stroked="t"/>
                <v:shape type="#_x0000_t32" id="Прямая со стрелкой 578194950" o:spid="_x0000_s1077" style="position:absolute;left:876300;top:1134532;width:0;height:412750;flip:y" strokecolor="#000000" strokeweight="1pt" stroked="t" o:allowincell="t">
                  <v:stroke endarrow="block"/>
                </v:shape>
                <v:shape type="#_x0000_t32" id="Прямая со стрелкой 1112836138" o:spid="_x0000_s1078" style="position:absolute;left:2933700;top:1130300;width:0;height:412750;flip:y" strokecolor="#000000" strokeweight="1pt" stroked="t" o:allowincell="t">
                  <v:stroke endarrow="block"/>
                </v:shape>
                <v:shape type="#_x0000_t32" id="Прямая со стрелкой 273736322" o:spid="_x0000_s1079" style="position:absolute;left:5020732;top:1147232;width:0;height:412750;flip:y" strokecolor="#000000" strokeweight="1pt" stroked="t" o:allowincell="t">
                  <v:stroke endarrow="block"/>
                </v:shape>
                <v:shape type="#_x0000_t32" id="Прямая со стрелкой 876383893" o:spid="_x0000_s1080" style="position:absolute;left:880532;top:1871133;width:0;height:260985;flip:y" strokecolor="#000000" strokeweight="1pt" stroked="t" o:allowincell="t">
                  <v:stroke endarrow="block"/>
                </v:shape>
                <v:shape type="#_x0000_t32" id="Прямая со стрелкой 862320405" o:spid="_x0000_s1081" style="position:absolute;left:2933700;top:1879600;width:0;height:260985;flip:y" strokecolor="#000000" strokeweight="1pt" stroked="t" o:allowincell="t">
                  <v:stroke endarrow="block"/>
                </v:shape>
                <v:shape type="#_x0000_t32" id="Прямая со стрелкой 242466873" o:spid="_x0000_s1082" style="position:absolute;left:5020732;top:1879600;width:0;height:260985;flip:y" strokecolor="#000000" strokeweight="1pt" stroked="t" o:allowincell="t">
                  <v:stroke endarrow="block"/>
                </v:shape>
                <v:shape type="#_x0000_t67" id="Стрелка вниз 136" o:spid="_x0000_s1083" style="position:absolute;left:2838450;top:2470150;width:174625;height:190500;v-text-anchor:middle;rotation:180" o:allowincell="t" filled="f" strokecolor="#000000" strokeweight="1pt" stroked="t"/>
                <v:shape type="#_x0000_t32" id="Прямая со стрелкой 1119138875" o:spid="_x0000_s1084" style="position:absolute;left:884767;top:3534832;width:0;height:260985;flip:y" strokecolor="#000000" strokeweight="1pt" stroked="t" o:allowincell="t">
                  <v:stroke endarrow="block"/>
                </v:shape>
                <v:shape type="#_x0000_t32" id="Прямая со стрелкой 1876174101" o:spid="_x0000_s1085" style="position:absolute;left:2929467;top:3539066;width:0;height:260985;flip:y" strokecolor="#000000" strokeweight="1pt" stroked="t" o:allowincell="t">
                  <v:stroke endarrow="block"/>
                </v:shape>
                <v:shape type="#_x0000_t32" id="Прямая со стрелкой 53607255" o:spid="_x0000_s1086" style="position:absolute;left:4876800;top:3539066;width:0;height:260985;flip:y" strokecolor="#000000" strokeweight="1pt" stroked="t" o:allowincell="t">
                  <v:stroke endarrow="block"/>
                </v:shape>
              </v:group>
            </w:pict>
          </mc:Fallback>
        </mc:AlternateContent>
      </w:r>
    </w:p>
    <w:p>
      <w:pPr>
        <w:rPr>
          <w:rFonts w:ascii="Times New Roman" w:hAnsi="Times New Roman" w:cs="Times New Roman"/>
          <w:sz w:val="28"/>
          <w:szCs w:val="28"/>
        </w:rPr>
      </w:pPr>
    </w:p>
    <w:p>
      <w:pPr>
        <w:rPr>
          <w:rFonts w:ascii="Times New Roman" w:hAnsi="Times New Roman" w:cs="Times New Roman"/>
          <w:sz w:val="28"/>
          <w:szCs w:val="28"/>
        </w:rPr>
      </w:pPr>
    </w:p>
    <w:p>
      <w:pPr>
        <w:rPr>
          <w:rFonts w:ascii="Times New Roman" w:hAnsi="Times New Roman" w:cs="Times New Roman"/>
          <w:sz w:val="28"/>
          <w:szCs w:val="28"/>
        </w:rPr>
      </w:pPr>
    </w:p>
    <w:p>
      <w:pPr>
        <w:rPr>
          <w:rFonts w:ascii="Times New Roman" w:hAnsi="Times New Roman" w:cs="Times New Roman"/>
          <w:sz w:val="28"/>
          <w:szCs w:val="28"/>
        </w:rPr>
      </w:pPr>
    </w:p>
    <w:p>
      <w:pPr>
        <w:rPr>
          <w:rFonts w:ascii="Times New Roman" w:hAnsi="Times New Roman" w:cs="Times New Roman"/>
          <w:sz w:val="28"/>
          <w:szCs w:val="28"/>
        </w:rPr>
      </w:pPr>
    </w:p>
    <w:p>
      <w:pPr>
        <w:rPr>
          <w:rFonts w:ascii="Times New Roman" w:hAnsi="Times New Roman" w:cs="Times New Roman"/>
          <w:sz w:val="28"/>
          <w:szCs w:val="28"/>
        </w:rPr>
      </w:pPr>
    </w:p>
    <w:p>
      <w:pPr>
        <w:rPr>
          <w:rFonts w:ascii="Times New Roman" w:hAnsi="Times New Roman" w:cs="Times New Roman"/>
          <w:sz w:val="28"/>
          <w:szCs w:val="28"/>
        </w:rPr>
      </w:pPr>
    </w:p>
    <w:p>
      <w:pPr>
        <w:rPr>
          <w:rFonts w:ascii="Times New Roman" w:hAnsi="Times New Roman" w:cs="Times New Roman"/>
          <w:sz w:val="28"/>
          <w:szCs w:val="28"/>
        </w:rPr>
      </w:pPr>
    </w:p>
    <w:p>
      <w:pPr>
        <w:rPr>
          <w:rFonts w:ascii="Times New Roman" w:hAnsi="Times New Roman" w:cs="Times New Roman"/>
          <w:sz w:val="28"/>
          <w:szCs w:val="28"/>
        </w:rPr>
      </w:pPr>
    </w:p>
    <w:p>
      <w:pPr>
        <w:rPr>
          <w:rFonts w:ascii="Times New Roman" w:hAnsi="Times New Roman" w:cs="Times New Roman"/>
          <w:sz w:val="28"/>
          <w:szCs w:val="28"/>
        </w:rPr>
      </w:pPr>
    </w:p>
    <w:p>
      <w:pPr>
        <w:rPr>
          <w:rFonts w:ascii="Times New Roman" w:hAnsi="Times New Roman" w:cs="Times New Roman"/>
          <w:sz w:val="28"/>
          <w:szCs w:val="28"/>
        </w:rPr>
      </w:pPr>
    </w:p>
    <w:p>
      <w:pPr>
        <w:rPr>
          <w:rFonts w:ascii="Times New Roman" w:hAnsi="Times New Roman" w:cs="Times New Roman"/>
          <w:sz w:val="28"/>
          <w:szCs w:val="28"/>
        </w:rPr>
      </w:pPr>
    </w:p>
    <w:p>
      <w:pPr>
        <w:rPr>
          <w:rFonts w:ascii="Times New Roman" w:hAnsi="Times New Roman" w:cs="Times New Roman"/>
          <w:sz w:val="28"/>
          <w:szCs w:val="28"/>
        </w:rPr>
      </w:pPr>
    </w:p>
    <w:p>
      <w:pPr>
        <w:spacing w:lineRule="auto" w:line="360" w:after="0" w:beforeAutospacing="0" w:afterAutospacing="0"/>
        <w:jc w:val="center"/>
      </w:pPr>
      <w:r>
        <w:rPr>
          <w:rFonts w:ascii="Times New Roman" w:hAnsi="Times New Roman" w:cs="Times New Roman"/>
          <w:sz w:val="28"/>
          <w:szCs w:val="28"/>
        </w:rPr>
        <w:t>Рисунок 4 – Экономическая составляющая инклюзивного роста в системе достижения целей устойчивого развития (составлено автором)</w:t>
      </w:r>
    </w:p>
    <w:p>
      <w:pPr>
        <w:pStyle w:val="P13"/>
        <w:spacing w:lineRule="auto" w:line="360" w:beforeAutospacing="0" w:afterAutospacing="0"/>
        <w:ind w:firstLine="709" w:right="159"/>
        <w:jc w:val="both"/>
        <w:rPr>
          <w:sz w:val="28"/>
          <w:szCs w:val="28"/>
          <w:lang w:val="ru-RU"/>
        </w:rPr>
      </w:pPr>
    </w:p>
    <w:p>
      <w:pPr>
        <w:pStyle w:val="P13"/>
        <w:spacing w:lineRule="auto" w:line="360" w:beforeAutospacing="0" w:afterAutospacing="0"/>
        <w:ind w:firstLine="709" w:right="-1"/>
        <w:jc w:val="both"/>
        <w:rPr>
          <w:sz w:val="28"/>
          <w:szCs w:val="28"/>
          <w:lang w:val="ru-RU"/>
        </w:rPr>
      </w:pPr>
      <w:r>
        <w:rPr>
          <w:sz w:val="28"/>
          <w:szCs w:val="28"/>
          <w:lang w:val="ru-RU"/>
        </w:rPr>
        <w:t xml:space="preserve">Учитывая взаимосвязь между целями, вполне вероятно, что конкурентное преимущество одной экономики/региона в достижении одной или нескольких целей может не быть прерогативой другой.  Методики  оценки должны исследовать синергию между ЦРТ, чтобы способствовать достижению эффективного и действительно оптимального результата в Африке. Методики оценки должны учитывать все восемь ЦРТ и 18 показателей для африканских стран, которые представлены в </w:t>
      </w:r>
      <w:r>
        <w:rPr>
          <w:sz w:val="28"/>
          <w:szCs w:val="28"/>
          <w:highlight w:val="yellow"/>
          <w:lang w:val="ru-RU"/>
        </w:rPr>
        <w:t>приложении</w:t>
      </w:r>
      <w:r>
        <w:rPr>
          <w:sz w:val="28"/>
          <w:szCs w:val="28"/>
          <w:lang w:val="ru-RU"/>
        </w:rPr>
        <w:t xml:space="preserve"> </w:t>
      </w:r>
      <w:r>
        <w:rPr>
          <w:sz w:val="28"/>
          <w:szCs w:val="28"/>
          <w:highlight w:val="yellow"/>
          <w:lang w:val="ru-RU"/>
        </w:rPr>
        <w:t>А</w:t>
      </w:r>
      <w:r>
        <w:rPr>
          <w:sz w:val="28"/>
          <w:szCs w:val="28"/>
          <w:lang w:val="ru-RU"/>
        </w:rPr>
        <w:t xml:space="preserve">. После специальной сессии на высшем уровне, проведенной Генеральной Ассамблеей ООН в сентябре 2010 г. для обзора прогресса в достижении ЦРТ, а также по результатам других глобальных конференций, в частности Рио+20, выбор индикаторов и целевых показателей должен быть основан на наличии всеобъемлющих данных. </w:t>
      </w:r>
    </w:p>
    <w:p>
      <w:pPr>
        <w:spacing w:lineRule="auto" w:line="360" w:after="0" w:beforeAutospacing="0" w:afterAutospacing="0"/>
        <w:ind w:firstLine="709"/>
        <w:jc w:val="both"/>
        <w:rPr>
          <w:rFonts w:ascii="Times New Roman" w:hAnsi="Times New Roman" w:cs="Times New Roman"/>
          <w:sz w:val="28"/>
          <w:szCs w:val="28"/>
        </w:rPr>
      </w:pPr>
      <w:r>
        <w:rPr>
          <w:rFonts w:ascii="Times New Roman" w:hAnsi="Times New Roman" w:cs="Times New Roman"/>
          <w:sz w:val="28"/>
          <w:szCs w:val="28"/>
        </w:rPr>
        <w:t>Существует множество методов оценки качественных аспектов общественного прогресса, качества жизни населения, разработанных международными организациями [</w:t>
      </w:r>
      <w:r>
        <w:rPr>
          <w:rFonts w:ascii="Times New Roman" w:hAnsi="Times New Roman" w:cs="Times New Roman"/>
          <w:sz w:val="28"/>
          <w:szCs w:val="28"/>
          <w:highlight w:val="yellow"/>
        </w:rPr>
        <w:t>172</w:t>
      </w:r>
      <w:r>
        <w:rPr>
          <w:rFonts w:ascii="Times New Roman" w:hAnsi="Times New Roman" w:cs="Times New Roman"/>
          <w:sz w:val="28"/>
          <w:szCs w:val="28"/>
        </w:rPr>
        <w:t>], научными коллективами [</w:t>
      </w:r>
      <w:r>
        <w:rPr>
          <w:rFonts w:ascii="Times New Roman" w:hAnsi="Times New Roman" w:cs="Times New Roman"/>
          <w:sz w:val="28"/>
          <w:szCs w:val="28"/>
          <w:highlight w:val="yellow"/>
        </w:rPr>
        <w:t>105</w:t>
      </w:r>
      <w:r>
        <w:rPr>
          <w:rFonts w:ascii="Times New Roman" w:hAnsi="Times New Roman" w:cs="Times New Roman"/>
          <w:sz w:val="28"/>
          <w:szCs w:val="28"/>
        </w:rPr>
        <w:t>], которые используются для сопоставлений, а также мониторинга внутри интеграционных объединений и отдельных стран. Подробный обзор методов оценки различных качественных аспектов общественного прогресса и экономического роста, представлен в докладе ООН [</w:t>
      </w:r>
      <w:r>
        <w:rPr>
          <w:rFonts w:ascii="Times New Roman" w:hAnsi="Times New Roman" w:cs="Times New Roman"/>
          <w:sz w:val="28"/>
          <w:szCs w:val="28"/>
          <w:highlight w:val="yellow"/>
        </w:rPr>
        <w:t>177</w:t>
      </w:r>
      <w:r>
        <w:rPr>
          <w:rFonts w:ascii="Times New Roman" w:hAnsi="Times New Roman" w:cs="Times New Roman"/>
          <w:sz w:val="28"/>
          <w:szCs w:val="28"/>
        </w:rPr>
        <w:t>].</w:t>
      </w:r>
    </w:p>
    <w:p>
      <w:pPr>
        <w:pStyle w:val="P13"/>
        <w:spacing w:lineRule="auto" w:line="360" w:beforeAutospacing="0" w:afterAutospacing="0"/>
        <w:ind w:firstLine="709"/>
        <w:jc w:val="both"/>
        <w:rPr>
          <w:sz w:val="28"/>
          <w:szCs w:val="28"/>
          <w:lang w:val="ru-RU"/>
        </w:rPr>
      </w:pPr>
      <w:r>
        <w:rPr>
          <w:sz w:val="28"/>
          <w:szCs w:val="28"/>
          <w:lang w:val="ru-RU"/>
        </w:rPr>
        <w:t>Общей чертой всех предлагаемых подходов является учет в определении понятия «инклюзивный устойчивый рост» всех трех базовых компонент: экономической, социальной и экологической. Представленные методы оценки инклюзивности различаются составом показателей, которые используются для характеристики каждой из компонент, предлагаемыми подходами к формированию комплексных показателей инклюзивности и методиками расчетов, а также тем, насколько предложенные показатели нацелены на выработку рекомендаций по мерам экономической политики, стимулирующей переход к инклюзивному росту [</w:t>
      </w:r>
      <w:r>
        <w:rPr>
          <w:sz w:val="28"/>
          <w:szCs w:val="28"/>
          <w:highlight w:val="yellow"/>
          <w:lang w:val="ru-RU"/>
        </w:rPr>
        <w:t>165</w:t>
      </w:r>
      <w:r>
        <w:rPr>
          <w:sz w:val="28"/>
          <w:szCs w:val="28"/>
          <w:lang w:val="ru-RU"/>
        </w:rPr>
        <w:t>].</w:t>
      </w:r>
    </w:p>
    <w:p>
      <w:pPr>
        <w:pStyle w:val="P13"/>
        <w:spacing w:lineRule="auto" w:line="360" w:beforeAutospacing="0" w:afterAutospacing="0"/>
        <w:ind w:firstLine="709"/>
        <w:jc w:val="both"/>
        <w:rPr>
          <w:sz w:val="28"/>
          <w:szCs w:val="28"/>
          <w:lang w:val="ru-RU"/>
        </w:rPr>
      </w:pPr>
      <w:r>
        <w:rPr>
          <w:sz w:val="28"/>
          <w:szCs w:val="28"/>
          <w:lang w:val="ru-RU"/>
        </w:rPr>
        <w:t xml:space="preserve">Наиболее согласованной является оценка экономических аспектов развития, для которой показатели ВВП дополняются другими характеристиками уровня развития экономики, такими как среднедушевое производство ВВП, производительность труда, экспорт, потребление электроэнергии и пр. Во всех методиках важное внимание уделяется уровню и качеству жизни, для чего используется широкой круг показателей, характеризующих доходы, здоровье, образование, жилищные условия, доступ к социальным благам, экологию. Важнейшим элементом концепции инклюзивности является устранение неравенства, которое трактуется очень широко, в разных методиках оцениваются его различные аспекты. Наиболее простым и распространенным направлением инклюзивности является сокращение неравенства по доходам, измеряемое коэффициентом Джини. </w:t>
      </w:r>
    </w:p>
    <w:p>
      <w:pPr>
        <w:pStyle w:val="P13"/>
        <w:spacing w:lineRule="auto" w:line="360" w:beforeAutospacing="0" w:afterAutospacing="0"/>
        <w:ind w:firstLine="709"/>
        <w:jc w:val="both"/>
        <w:rPr>
          <w:sz w:val="28"/>
          <w:szCs w:val="28"/>
          <w:lang w:val="ru-RU"/>
        </w:rPr>
      </w:pPr>
      <w:r>
        <w:rPr>
          <w:sz w:val="28"/>
          <w:szCs w:val="28"/>
          <w:lang w:val="ru-RU"/>
        </w:rPr>
        <w:t>В методики включаются самые разные аспекты неравенства, включая гендерное неравенство, неравенство живущих и будущих поколений, неравенство в правах и обязанностях, дискриминация по расовым, религиозным, политическим признакам и т.п. В меньшей мере уделяется внимание экологическим аспектам инклюзивного роста, которое в большинстве случаев ограничивается при оценке условий жизни учетом некоторых показателей загрязнения окружающей среды.</w:t>
      </w:r>
    </w:p>
    <w:p>
      <w:pPr>
        <w:pStyle w:val="P13"/>
        <w:spacing w:lineRule="auto" w:line="360" w:beforeAutospacing="0" w:afterAutospacing="0"/>
        <w:ind w:firstLine="709"/>
        <w:jc w:val="both"/>
        <w:rPr>
          <w:sz w:val="28"/>
          <w:szCs w:val="28"/>
          <w:lang w:val="ru-RU"/>
        </w:rPr>
      </w:pPr>
      <w:bookmarkStart w:id="8" w:name="_Hlk138254216"/>
      <w:r>
        <w:rPr>
          <w:sz w:val="28"/>
          <w:szCs w:val="28"/>
          <w:lang w:val="ru-RU"/>
        </w:rPr>
        <w:t>С учетом этого модель оценки должна задавать общие рамки для определения инклюзивности роста, которая зависит от множества факторов. Количественная мера инклюзивности также может быть выражена через набор статистических показателей, отражающих факторы инклюзивности [</w:t>
      </w:r>
      <w:r>
        <w:rPr>
          <w:sz w:val="28"/>
          <w:szCs w:val="28"/>
          <w:highlight w:val="yellow"/>
          <w:lang w:val="ru-RU"/>
        </w:rPr>
        <w:t>9</w:t>
      </w:r>
      <w:r>
        <w:rPr>
          <w:sz w:val="28"/>
          <w:szCs w:val="28"/>
          <w:lang w:val="ru-RU"/>
        </w:rPr>
        <w:t xml:space="preserve">], каждый из которых может быть представлен различными комбинациями показателей. </w:t>
      </w:r>
    </w:p>
    <w:p>
      <w:pPr>
        <w:pStyle w:val="P13"/>
        <w:spacing w:lineRule="auto" w:line="360" w:beforeAutospacing="0" w:afterAutospacing="0"/>
        <w:ind w:firstLine="709"/>
        <w:jc w:val="both"/>
        <w:rPr>
          <w:sz w:val="28"/>
          <w:szCs w:val="28"/>
          <w:lang w:val="ru-RU"/>
        </w:rPr>
      </w:pPr>
      <w:r>
        <w:rPr>
          <w:sz w:val="28"/>
          <w:szCs w:val="28"/>
          <w:lang w:val="ru-RU"/>
        </w:rPr>
        <w:t xml:space="preserve">Для определения количественной меры возможны два подхода, которые условно можно назвать мониторинговым и конструктивным. </w:t>
      </w:r>
    </w:p>
    <w:p>
      <w:pPr>
        <w:pStyle w:val="P13"/>
        <w:spacing w:lineRule="auto" w:line="360" w:beforeAutospacing="0" w:afterAutospacing="0"/>
        <w:ind w:firstLine="709"/>
        <w:jc w:val="both"/>
        <w:rPr>
          <w:sz w:val="28"/>
          <w:szCs w:val="28"/>
          <w:lang w:val="ru-RU"/>
        </w:rPr>
      </w:pPr>
      <w:r>
        <w:rPr>
          <w:sz w:val="28"/>
          <w:szCs w:val="28"/>
          <w:lang w:val="ru-RU"/>
        </w:rPr>
        <w:t>В первом случае количественный показатель инклюзивности должен представлять собой комбинацию достаточно большого количества показателей, характеризующих различные аспекты инклюзивности, на основе которых можно отслеживать прогресс (или регресс) в инклюзивности одной или нескольких стран в динамике, проводить межстрановые сопоставления [</w:t>
      </w:r>
      <w:r>
        <w:rPr>
          <w:sz w:val="28"/>
          <w:szCs w:val="28"/>
          <w:highlight w:val="yellow"/>
          <w:lang w:val="ru-RU"/>
        </w:rPr>
        <w:t>20</w:t>
      </w:r>
      <w:r>
        <w:rPr>
          <w:sz w:val="28"/>
          <w:szCs w:val="28"/>
          <w:lang w:val="ru-RU"/>
        </w:rPr>
        <w:t>]. Такой подход приемлем для оценки степени достижения целей устойчивого развития (ЦУР). Количественные индикаторы ЦУР включают множество статистических показателей, которые характеризуют прогресс в развитии мирового сообщества [133]. В зависимости от уровня экономического развития страны некоторые из показателей, актуальных для стран с развивающимися экономиками, уже достигнуты в странах с развитыми экономиками, поэтому их включение в состав показателей инклюзивности носит формальный характер.</w:t>
      </w:r>
    </w:p>
    <w:p>
      <w:pPr>
        <w:pStyle w:val="P13"/>
        <w:spacing w:lineRule="auto" w:line="360" w:beforeAutospacing="0" w:afterAutospacing="0"/>
        <w:ind w:firstLine="709"/>
        <w:jc w:val="both"/>
        <w:rPr>
          <w:sz w:val="28"/>
          <w:szCs w:val="28"/>
          <w:lang w:val="ru-RU"/>
        </w:rPr>
      </w:pPr>
      <w:r>
        <w:rPr>
          <w:sz w:val="28"/>
          <w:szCs w:val="28"/>
          <w:lang w:val="ru-RU"/>
        </w:rPr>
        <w:t>Конструктивный подход предполагает включение в состав комплексных индикаторов, непосредственно связанных с параметрами экономической политики [</w:t>
      </w:r>
      <w:r>
        <w:rPr>
          <w:sz w:val="28"/>
          <w:szCs w:val="28"/>
          <w:highlight w:val="yellow"/>
          <w:lang w:val="ru-RU"/>
        </w:rPr>
        <w:t>11</w:t>
      </w:r>
      <w:r>
        <w:rPr>
          <w:sz w:val="28"/>
          <w:szCs w:val="28"/>
          <w:lang w:val="ru-RU"/>
        </w:rPr>
        <w:t>]. В этом случае анализ показателя инклюзивности дает возможность определять направления экономической политики, реализация которых может активно повлиять на достижение ЦУР. Целесообразность использования того или иного подходов зависит от конкретных целей оценки. Из этого следует, что разработка унифицированного индекс инклюзивного развития является невозможной, поэтому более продуктивным на наш взгляд является индивидуальный подход, когда состав показателей, формирующих количественный показатель инклюзивности, зависит от целей его разработки.</w:t>
      </w:r>
    </w:p>
    <w:p>
      <w:pPr>
        <w:spacing w:lineRule="auto" w:line="360" w:after="0" w:beforeAutospacing="0" w:afterAutospacing="0"/>
        <w:ind w:firstLine="709"/>
        <w:jc w:val="both"/>
        <w:rPr>
          <w:rFonts w:ascii="Times New Roman" w:hAnsi="Times New Roman" w:cs="Times New Roman"/>
          <w:sz w:val="28"/>
          <w:szCs w:val="28"/>
        </w:rPr>
      </w:pPr>
      <w:bookmarkEnd w:id="8"/>
      <w:r>
        <w:rPr>
          <w:rFonts w:ascii="Times New Roman" w:hAnsi="Times New Roman" w:cs="Times New Roman"/>
          <w:sz w:val="28"/>
          <w:szCs w:val="28"/>
        </w:rPr>
        <w:t>Методика оценки должна быть предназначена для решения конкретных задач повышения инклюзивности роста стран Африки и конвергенции их экономик. Индекс инклюзивного развития должен включать детальное описание направлений развития африканских стран, связанных с образованием, здравоохранением, развитием инфраструктуры, т.е. учитывать социальную, политическую и экономическую специфику развивающихся стран. При этом необходимо учитывать существующие взаимосвязи между составляющими инклюзивного роста (рисунок 5).</w:t>
      </w:r>
    </w:p>
    <w:p>
      <w:r>
        <w:rPr>
          <w:noProof w:val="1"/>
          <w:lang w:eastAsia="ru-RU"/>
        </w:rPr>
        <mc:AlternateContent>
          <mc:Choice Requires="wpg">
            <w:drawing>
              <wp:anchor xmlns:wp="http://schemas.openxmlformats.org/drawingml/2006/wordprocessingDrawing" distT="0" distB="0" distL="114300" distR="114300" simplePos="0" relativeHeight="62" behindDoc="0" locked="0" layoutInCell="1" allowOverlap="1">
                <wp:simplePos x="0" y="0"/>
                <wp:positionH relativeFrom="column">
                  <wp:posOffset>-635</wp:posOffset>
                </wp:positionH>
                <wp:positionV relativeFrom="paragraph">
                  <wp:posOffset>102235</wp:posOffset>
                </wp:positionV>
                <wp:extent cx="5905500" cy="1949450"/>
                <wp:effectExtent l="0" t="0" r="19050" b="12700"/>
                <wp:wrapNone/>
                <wp:docPr id="451" name="Группа 451"/>
                <wp:cNvGraphicFramePr/>
                <a:graphic xmlns:a="http://schemas.openxmlformats.org/drawingml/2006/main">
                  <a:graphicData uri="http://schemas.microsoft.com/office/word/2010/wordprocessingGroup">
                    <wpg:wgp>
                      <wpg:cNvGrpSpPr/>
                      <wpg:grpSpPr>
                        <a:xfrm>
                          <a:off x="0" y="0"/>
                          <a:ext cx="5905602" cy="1950034"/>
                          <a:chOff x="0" y="0"/>
                          <a:chExt cx="5905602" cy="1950034"/>
                        </a:xfrm>
                      </wpg:grpSpPr>
                      <wps:wsp>
                        <wps:cNvPr id="469" name="Надпись 469"/>
                        <wps:cNvSpPr txBox="1"/>
                        <wps:spPr>
                          <a:xfrm>
                            <a:off x="2048257" y="720548"/>
                            <a:ext cx="1824218" cy="516836"/>
                          </a:xfrm>
                          <a:prstGeom prst="rect"/>
                          <a:solidFill>
                            <a:schemeClr val="lt1"/>
                          </a:solidFill>
                          <a:ln w="19050">
                            <a:solidFill>
                              <a:prstClr val="black"/>
                            </a:solidFill>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spacing w:lineRule="auto" w:line="240" w:after="0" w:beforeAutospacing="0" w:afterAutospacing="0"/>
                                <w:jc w:val="center"/>
                                <w:rPr>
                                  <w:rFonts w:ascii="Times New Roman" w:hAnsi="Times New Roman" w:cs="Times New Roman"/>
                                  <w:sz w:val="24"/>
                                  <w:szCs w:val="24"/>
                                </w:rPr>
                              </w:pPr>
                              <w:r>
                                <w:rPr>
                                  <w:rFonts w:ascii="Times New Roman" w:hAnsi="Times New Roman" w:cs="Times New Roman"/>
                                  <w:sz w:val="24"/>
                                  <w:szCs w:val="24"/>
                                </w:rPr>
                                <w:t>Измерения инклюзивного роста</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493" name="Надпись 493"/>
                        <wps:cNvSpPr txBox="1"/>
                        <wps:spPr>
                          <a:xfrm>
                            <a:off x="18288" y="720548"/>
                            <a:ext cx="1824218" cy="516836"/>
                          </a:xfrm>
                          <a:prstGeom prst="rect"/>
                          <a:solidFill>
                            <a:schemeClr val="lt1"/>
                          </a:solidFill>
                          <a:ln w="19050">
                            <a:solidFill>
                              <a:prstClr val="black"/>
                            </a:solidFill>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spacing w:lineRule="auto" w:line="240" w:after="0" w:beforeAutospacing="0" w:afterAutospacing="0"/>
                                <w:jc w:val="center"/>
                                <w:rPr>
                                  <w:rFonts w:ascii="Times New Roman" w:hAnsi="Times New Roman" w:cs="Times New Roman"/>
                                  <w:sz w:val="24"/>
                                  <w:szCs w:val="24"/>
                                </w:rPr>
                              </w:pPr>
                              <w:r>
                                <w:rPr>
                                  <w:rFonts w:ascii="Times New Roman" w:hAnsi="Times New Roman" w:cs="Times New Roman"/>
                                  <w:sz w:val="24"/>
                                  <w:szCs w:val="24"/>
                                </w:rPr>
                                <w:t xml:space="preserve">Экономический </w:t>
                              </w:r>
                              <w:r>
                                <w:rPr>
                                  <w:rFonts w:ascii="Times New Roman" w:hAnsi="Times New Roman" w:cs="Times New Roman"/>
                                  <w:sz w:val="24"/>
                                  <w:szCs w:val="24"/>
                                </w:rPr>
                                <w:br w:type="textWrapping"/>
                              </w:r>
                              <w:r>
                                <w:rPr>
                                  <w:rFonts w:ascii="Times New Roman" w:hAnsi="Times New Roman" w:cs="Times New Roman"/>
                                  <w:sz w:val="24"/>
                                  <w:szCs w:val="24"/>
                                </w:rPr>
                                <w:t>рост</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495" name="Надпись 495"/>
                        <wps:cNvSpPr txBox="1"/>
                        <wps:spPr>
                          <a:xfrm>
                            <a:off x="4067251" y="724206"/>
                            <a:ext cx="1823720" cy="516255"/>
                          </a:xfrm>
                          <a:prstGeom prst="rect"/>
                          <a:solidFill>
                            <a:schemeClr val="lt1"/>
                          </a:solidFill>
                          <a:ln w="19050">
                            <a:solidFill>
                              <a:prstClr val="black"/>
                            </a:solidFill>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spacing w:lineRule="auto" w:line="240" w:after="0" w:beforeAutospacing="0" w:afterAutospacing="0"/>
                                <w:jc w:val="center"/>
                                <w:rPr>
                                  <w:rFonts w:ascii="Times New Roman" w:hAnsi="Times New Roman" w:cs="Times New Roman"/>
                                  <w:sz w:val="24"/>
                                  <w:szCs w:val="24"/>
                                </w:rPr>
                              </w:pPr>
                              <w:r>
                                <w:rPr>
                                  <w:rFonts w:ascii="Times New Roman" w:hAnsi="Times New Roman" w:cs="Times New Roman"/>
                                  <w:sz w:val="24"/>
                                  <w:szCs w:val="24"/>
                                </w:rPr>
                                <w:t>Развитие человеческого потенциала</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496" name="Надпись 496"/>
                        <wps:cNvSpPr txBox="1"/>
                        <wps:spPr>
                          <a:xfrm>
                            <a:off x="0" y="1415491"/>
                            <a:ext cx="1824218" cy="516836"/>
                          </a:xfrm>
                          <a:prstGeom prst="rect"/>
                          <a:solidFill>
                            <a:schemeClr val="lt1"/>
                          </a:solidFill>
                          <a:ln w="19050">
                            <a:solidFill>
                              <a:prstClr val="black"/>
                            </a:solidFill>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spacing w:lineRule="auto" w:line="240" w:after="0" w:beforeAutospacing="0" w:afterAutospacing="0"/>
                                <w:jc w:val="center"/>
                                <w:rPr>
                                  <w:rFonts w:ascii="Times New Roman" w:hAnsi="Times New Roman" w:cs="Times New Roman"/>
                                  <w:sz w:val="24"/>
                                  <w:szCs w:val="24"/>
                                </w:rPr>
                              </w:pPr>
                              <w:r>
                                <w:rPr>
                                  <w:rFonts w:ascii="Times New Roman" w:hAnsi="Times New Roman" w:cs="Times New Roman"/>
                                  <w:sz w:val="24"/>
                                  <w:szCs w:val="24"/>
                                </w:rPr>
                                <w:t>Социально-экономические услуги</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497" name="Надпись 497"/>
                        <wps:cNvSpPr txBox="1"/>
                        <wps:spPr>
                          <a:xfrm>
                            <a:off x="4074566" y="1433779"/>
                            <a:ext cx="1823720" cy="516255"/>
                          </a:xfrm>
                          <a:prstGeom prst="rect"/>
                          <a:solidFill>
                            <a:schemeClr val="lt1"/>
                          </a:solidFill>
                          <a:ln w="19050">
                            <a:solidFill>
                              <a:prstClr val="black"/>
                            </a:solidFill>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spacing w:lineRule="auto" w:line="240" w:after="0" w:beforeAutospacing="0" w:afterAutospacing="0"/>
                                <w:jc w:val="center"/>
                                <w:rPr>
                                  <w:rFonts w:ascii="Times New Roman" w:hAnsi="Times New Roman" w:cs="Times New Roman"/>
                                  <w:sz w:val="24"/>
                                  <w:szCs w:val="24"/>
                                </w:rPr>
                              </w:pPr>
                              <w:r>
                                <w:rPr>
                                  <w:rFonts w:ascii="Times New Roman" w:hAnsi="Times New Roman" w:cs="Times New Roman"/>
                                  <w:sz w:val="24"/>
                                  <w:szCs w:val="24"/>
                                </w:rPr>
                                <w:t>Гендерное равенство</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498" name="Надпись 498"/>
                        <wps:cNvSpPr txBox="1"/>
                        <wps:spPr>
                          <a:xfrm>
                            <a:off x="2033626" y="1430121"/>
                            <a:ext cx="1823720" cy="516255"/>
                          </a:xfrm>
                          <a:prstGeom prst="rect"/>
                          <a:solidFill>
                            <a:schemeClr val="lt1"/>
                          </a:solidFill>
                          <a:ln w="19050">
                            <a:solidFill>
                              <a:prstClr val="black"/>
                            </a:solidFill>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spacing w:lineRule="auto" w:line="240" w:after="0" w:beforeAutospacing="0" w:afterAutospacing="0"/>
                                <w:jc w:val="center"/>
                                <w:rPr>
                                  <w:rFonts w:ascii="Times New Roman" w:hAnsi="Times New Roman" w:cs="Times New Roman"/>
                                  <w:sz w:val="24"/>
                                  <w:szCs w:val="24"/>
                                </w:rPr>
                              </w:pPr>
                              <w:r>
                                <w:rPr>
                                  <w:rFonts w:ascii="Times New Roman" w:hAnsi="Times New Roman" w:cs="Times New Roman"/>
                                  <w:sz w:val="24"/>
                                  <w:szCs w:val="24"/>
                                </w:rPr>
                                <w:t>Правительства</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499" name="Надпись 499"/>
                        <wps:cNvSpPr txBox="1"/>
                        <wps:spPr>
                          <a:xfrm>
                            <a:off x="2048257" y="0"/>
                            <a:ext cx="1824218" cy="516836"/>
                          </a:xfrm>
                          <a:prstGeom prst="rect"/>
                          <a:solidFill>
                            <a:schemeClr val="lt1"/>
                          </a:solidFill>
                          <a:ln w="19050">
                            <a:solidFill>
                              <a:prstClr val="black"/>
                            </a:solidFill>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spacing w:lineRule="auto" w:line="240" w:after="0" w:beforeAutospacing="0" w:afterAutospacing="0"/>
                                <w:jc w:val="center"/>
                                <w:rPr>
                                  <w:rFonts w:ascii="Times New Roman" w:hAnsi="Times New Roman" w:cs="Times New Roman"/>
                                  <w:sz w:val="24"/>
                                  <w:szCs w:val="24"/>
                                  <w:lang w:val="en-US"/>
                                </w:rPr>
                              </w:pPr>
                              <w:r>
                                <w:rPr>
                                  <w:rFonts w:ascii="Times New Roman" w:hAnsi="Times New Roman" w:cs="Times New Roman"/>
                                  <w:sz w:val="24"/>
                                  <w:szCs w:val="24"/>
                                </w:rPr>
                                <w:t>Сокращение бедности</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500" name="Надпись 500"/>
                        <wps:cNvSpPr txBox="1"/>
                        <wps:spPr>
                          <a:xfrm>
                            <a:off x="18288" y="0"/>
                            <a:ext cx="1824218" cy="516836"/>
                          </a:xfrm>
                          <a:prstGeom prst="rect"/>
                          <a:solidFill>
                            <a:schemeClr val="lt1"/>
                          </a:solidFill>
                          <a:ln w="19050">
                            <a:solidFill>
                              <a:prstClr val="black"/>
                            </a:solidFill>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spacing w:lineRule="auto" w:line="240" w:after="0" w:beforeAutospacing="0" w:afterAutospacing="0"/>
                                <w:jc w:val="center"/>
                                <w:rPr>
                                  <w:rFonts w:ascii="Times New Roman" w:hAnsi="Times New Roman" w:cs="Times New Roman"/>
                                  <w:sz w:val="24"/>
                                  <w:szCs w:val="24"/>
                                </w:rPr>
                              </w:pPr>
                              <w:r>
                                <w:rPr>
                                  <w:rFonts w:ascii="Times New Roman" w:hAnsi="Times New Roman" w:cs="Times New Roman"/>
                                  <w:sz w:val="24"/>
                                  <w:szCs w:val="24"/>
                                </w:rPr>
                                <w:t>Производительная занятость</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501" name="Надпись 501"/>
                        <wps:cNvSpPr txBox="1"/>
                        <wps:spPr>
                          <a:xfrm>
                            <a:off x="4081883" y="0"/>
                            <a:ext cx="1823720" cy="516255"/>
                          </a:xfrm>
                          <a:prstGeom prst="rect"/>
                          <a:solidFill>
                            <a:schemeClr val="lt1"/>
                          </a:solidFill>
                          <a:ln w="19050">
                            <a:solidFill>
                              <a:prstClr val="black"/>
                            </a:solidFill>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spacing w:lineRule="auto" w:line="240" w:after="0" w:beforeAutospacing="0" w:afterAutospacing="0"/>
                                <w:jc w:val="center"/>
                                <w:rPr>
                                  <w:rFonts w:ascii="Times New Roman" w:hAnsi="Times New Roman" w:cs="Times New Roman"/>
                                  <w:sz w:val="24"/>
                                  <w:szCs w:val="24"/>
                                  <w:lang w:val="en-US"/>
                                </w:rPr>
                              </w:pPr>
                              <w:r>
                                <w:rPr>
                                  <w:rFonts w:ascii="Times New Roman" w:hAnsi="Times New Roman" w:cs="Times New Roman"/>
                                  <w:sz w:val="24"/>
                                  <w:szCs w:val="24"/>
                                </w:rPr>
                                <w:t>Снижение неравенства</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502" name="Стрелка вправо 17"/>
                        <wps:cNvSpPr/>
                        <wps:spPr>
                          <a:xfrm>
                            <a:off x="1850746" y="903428"/>
                            <a:ext cx="182880" cy="146304"/>
                          </a:xfrm>
                          <a:prstGeom prst="rightArrow"/>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503" name="Стрелка вправо 18"/>
                        <wps:cNvSpPr/>
                        <wps:spPr>
                          <a:xfrm rot="10800000">
                            <a:off x="3880715" y="903428"/>
                            <a:ext cx="182880" cy="146304"/>
                          </a:xfrm>
                          <a:prstGeom prst="rightArrow"/>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504" name="Стрелка вправо 19"/>
                        <wps:cNvSpPr/>
                        <wps:spPr>
                          <a:xfrm>
                            <a:off x="1854403" y="193853"/>
                            <a:ext cx="182880" cy="146304"/>
                          </a:xfrm>
                          <a:prstGeom prst="rightArrow"/>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505" name="Стрелка вправо 20"/>
                        <wps:cNvSpPr/>
                        <wps:spPr>
                          <a:xfrm>
                            <a:off x="3880715" y="171908"/>
                            <a:ext cx="182880" cy="146304"/>
                          </a:xfrm>
                          <a:prstGeom prst="rightArrow"/>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506" name="Стрелка вправо 21"/>
                        <wps:cNvSpPr/>
                        <wps:spPr>
                          <a:xfrm>
                            <a:off x="1839773" y="1605687"/>
                            <a:ext cx="182880" cy="146304"/>
                          </a:xfrm>
                          <a:prstGeom prst="rightArrow"/>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507" name="Стрелка вправо 22"/>
                        <wps:cNvSpPr/>
                        <wps:spPr>
                          <a:xfrm>
                            <a:off x="3873398" y="1598371"/>
                            <a:ext cx="182880" cy="146304"/>
                          </a:xfrm>
                          <a:prstGeom prst="rightArrow"/>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508" name="Стрелка вправо 23"/>
                        <wps:cNvSpPr/>
                        <wps:spPr>
                          <a:xfrm rot="5400000">
                            <a:off x="799186" y="1252729"/>
                            <a:ext cx="182880" cy="146304"/>
                          </a:xfrm>
                          <a:prstGeom prst="rightArrow"/>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509" name="Стрелка вправо 25"/>
                        <wps:cNvSpPr/>
                        <wps:spPr>
                          <a:xfrm rot="5400000">
                            <a:off x="4943246" y="539496"/>
                            <a:ext cx="182880" cy="146304"/>
                          </a:xfrm>
                          <a:prstGeom prst="rightArrow"/>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510" name="Стрелка вправо 26"/>
                        <wps:cNvSpPr/>
                        <wps:spPr>
                          <a:xfrm rot="16200000">
                            <a:off x="4946904" y="1267358"/>
                            <a:ext cx="182880" cy="146304"/>
                          </a:xfrm>
                          <a:prstGeom prst="rightArrow"/>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xmlns:o="urn:schemas-microsoft-com:office:office" id="Группа 451" style="position:absolute;width:465pt;height:153.5pt;z-index:62;mso-wrap-distance-left:9pt;mso-wrap-distance-top:0pt;mso-wrap-distance-right:9pt;mso-wrap-distance-bottom:0pt;margin-left:-0.05pt;margin-top:8.05pt;mso-position-horizontal:absolute;mso-position-horizontal-relative:text;mso-position-vertical:absolute;mso-position-vertical-relative:text" coordsize="5905601,1950033" o:allowincell="t">
                <v:shape type="#_x0000_t202" id="Надпись 469" o:spid="_x0000_s1088" style="position:absolute;left:2048256;top:720547;width:1824217;height:516835" o:allowincell="t" fillcolor="#FFFFFF" strokecolor="#000000" strokeweight="1.5pt" stroked="t">
                  <v:textbox inset="3mm,1mm,3mm,1mm">
                    <w:txbxContent>
                      <w:p>
                        <w:pPr>
                          <w:spacing w:lineRule="auto" w:line="240" w:after="0" w:beforeAutospacing="0" w:afterAutospacing="0"/>
                          <w:jc w:val="center"/>
                          <w:rPr>
                            <w:rFonts w:ascii="Times New Roman" w:hAnsi="Times New Roman" w:cs="Times New Roman"/>
                            <w:sz w:val="24"/>
                            <w:szCs w:val="24"/>
                          </w:rPr>
                        </w:pPr>
                        <w:r>
                          <w:rPr>
                            <w:rFonts w:ascii="Times New Roman" w:hAnsi="Times New Roman" w:cs="Times New Roman"/>
                            <w:sz w:val="24"/>
                            <w:szCs w:val="24"/>
                          </w:rPr>
                          <w:t>Измерения инклюзивного роста</w:t>
                        </w:r>
                      </w:p>
                    </w:txbxContent>
                  </v:textbox>
                </v:shape>
                <v:shape type="#_x0000_t202" id="Надпись 493" o:spid="_x0000_s1089" style="position:absolute;left:18287;top:720547;width:1824217;height:516835" o:allowincell="t" fillcolor="#FFFFFF" strokecolor="#000000" strokeweight="1.5pt" stroked="t">
                  <v:textbox inset="3mm,1mm,3mm,1mm">
                    <w:txbxContent>
                      <w:p>
                        <w:pPr>
                          <w:spacing w:lineRule="auto" w:line="240" w:after="0" w:beforeAutospacing="0" w:afterAutospacing="0"/>
                          <w:jc w:val="center"/>
                          <w:rPr>
                            <w:rFonts w:ascii="Times New Roman" w:hAnsi="Times New Roman" w:cs="Times New Roman"/>
                            <w:sz w:val="24"/>
                            <w:szCs w:val="24"/>
                          </w:rPr>
                        </w:pPr>
                        <w:r>
                          <w:rPr>
                            <w:rFonts w:ascii="Times New Roman" w:hAnsi="Times New Roman" w:cs="Times New Roman"/>
                            <w:sz w:val="24"/>
                            <w:szCs w:val="24"/>
                          </w:rPr>
                          <w:t xml:space="preserve">Экономический </w:t>
                        </w:r>
                        <w:r>
                          <w:rPr>
                            <w:rFonts w:ascii="Times New Roman" w:hAnsi="Times New Roman" w:cs="Times New Roman"/>
                            <w:sz w:val="24"/>
                            <w:szCs w:val="24"/>
                          </w:rPr>
                          <w:br w:type="textWrapping"/>
                        </w:r>
                        <w:r>
                          <w:rPr>
                            <w:rFonts w:ascii="Times New Roman" w:hAnsi="Times New Roman" w:cs="Times New Roman"/>
                            <w:sz w:val="24"/>
                            <w:szCs w:val="24"/>
                          </w:rPr>
                          <w:t>рост</w:t>
                        </w:r>
                      </w:p>
                    </w:txbxContent>
                  </v:textbox>
                </v:shape>
                <v:shape type="#_x0000_t202" id="Надпись 495" o:spid="_x0000_s1090" style="position:absolute;left:4067250;top:724205;width:1823720;height:516255" o:allowincell="t" fillcolor="#FFFFFF" strokecolor="#000000" strokeweight="1.5pt" stroked="t">
                  <v:textbox inset="3mm,1mm,3mm,1mm">
                    <w:txbxContent>
                      <w:p>
                        <w:pPr>
                          <w:spacing w:lineRule="auto" w:line="240" w:after="0" w:beforeAutospacing="0" w:afterAutospacing="0"/>
                          <w:jc w:val="center"/>
                          <w:rPr>
                            <w:rFonts w:ascii="Times New Roman" w:hAnsi="Times New Roman" w:cs="Times New Roman"/>
                            <w:sz w:val="24"/>
                            <w:szCs w:val="24"/>
                          </w:rPr>
                        </w:pPr>
                        <w:r>
                          <w:rPr>
                            <w:rFonts w:ascii="Times New Roman" w:hAnsi="Times New Roman" w:cs="Times New Roman"/>
                            <w:sz w:val="24"/>
                            <w:szCs w:val="24"/>
                          </w:rPr>
                          <w:t>Развитие человеческого потенциала</w:t>
                        </w:r>
                      </w:p>
                    </w:txbxContent>
                  </v:textbox>
                </v:shape>
                <v:shape type="#_x0000_t202" id="Надпись 496" o:spid="_x0000_s1091" style="position:absolute;top:1415490;width:1824217;height:516835" o:allowincell="t" fillcolor="#FFFFFF" strokecolor="#000000" strokeweight="1.5pt" stroked="t">
                  <v:textbox inset="3mm,1mm,3mm,1mm">
                    <w:txbxContent>
                      <w:p>
                        <w:pPr>
                          <w:spacing w:lineRule="auto" w:line="240" w:after="0" w:beforeAutospacing="0" w:afterAutospacing="0"/>
                          <w:jc w:val="center"/>
                          <w:rPr>
                            <w:rFonts w:ascii="Times New Roman" w:hAnsi="Times New Roman" w:cs="Times New Roman"/>
                            <w:sz w:val="24"/>
                            <w:szCs w:val="24"/>
                          </w:rPr>
                        </w:pPr>
                        <w:r>
                          <w:rPr>
                            <w:rFonts w:ascii="Times New Roman" w:hAnsi="Times New Roman" w:cs="Times New Roman"/>
                            <w:sz w:val="24"/>
                            <w:szCs w:val="24"/>
                          </w:rPr>
                          <w:t>Социально-экономические услуги</w:t>
                        </w:r>
                      </w:p>
                    </w:txbxContent>
                  </v:textbox>
                </v:shape>
                <v:shape type="#_x0000_t202" id="Надпись 497" o:spid="_x0000_s1092" style="position:absolute;left:4074565;top:1433778;width:1823720;height:516255" o:allowincell="t" fillcolor="#FFFFFF" strokecolor="#000000" strokeweight="1.5pt" stroked="t">
                  <v:textbox inset="3mm,1mm,3mm,1mm">
                    <w:txbxContent>
                      <w:p>
                        <w:pPr>
                          <w:spacing w:lineRule="auto" w:line="240" w:after="0" w:beforeAutospacing="0" w:afterAutospacing="0"/>
                          <w:jc w:val="center"/>
                          <w:rPr>
                            <w:rFonts w:ascii="Times New Roman" w:hAnsi="Times New Roman" w:cs="Times New Roman"/>
                            <w:sz w:val="24"/>
                            <w:szCs w:val="24"/>
                          </w:rPr>
                        </w:pPr>
                        <w:r>
                          <w:rPr>
                            <w:rFonts w:ascii="Times New Roman" w:hAnsi="Times New Roman" w:cs="Times New Roman"/>
                            <w:sz w:val="24"/>
                            <w:szCs w:val="24"/>
                          </w:rPr>
                          <w:t>Гендерное равенство</w:t>
                        </w:r>
                      </w:p>
                    </w:txbxContent>
                  </v:textbox>
                </v:shape>
                <v:shape type="#_x0000_t202" id="Надпись 498" o:spid="_x0000_s1093" style="position:absolute;left:2033625;top:1430120;width:1823720;height:516255" o:allowincell="t" fillcolor="#FFFFFF" strokecolor="#000000" strokeweight="1.5pt" stroked="t">
                  <v:textbox inset="3mm,1mm,3mm,1mm">
                    <w:txbxContent>
                      <w:p>
                        <w:pPr>
                          <w:spacing w:lineRule="auto" w:line="240" w:after="0" w:beforeAutospacing="0" w:afterAutospacing="0"/>
                          <w:jc w:val="center"/>
                          <w:rPr>
                            <w:rFonts w:ascii="Times New Roman" w:hAnsi="Times New Roman" w:cs="Times New Roman"/>
                            <w:sz w:val="24"/>
                            <w:szCs w:val="24"/>
                          </w:rPr>
                        </w:pPr>
                        <w:r>
                          <w:rPr>
                            <w:rFonts w:ascii="Times New Roman" w:hAnsi="Times New Roman" w:cs="Times New Roman"/>
                            <w:sz w:val="24"/>
                            <w:szCs w:val="24"/>
                          </w:rPr>
                          <w:t>Правительства</w:t>
                        </w:r>
                      </w:p>
                    </w:txbxContent>
                  </v:textbox>
                </v:shape>
                <v:shape type="#_x0000_t202" id="Надпись 499" o:spid="_x0000_s1094" style="position:absolute;left:2048256;width:1824217;height:516835" o:allowincell="t" fillcolor="#FFFFFF" strokecolor="#000000" strokeweight="1.5pt" stroked="t">
                  <v:textbox inset="3mm,1mm,3mm,1mm">
                    <w:txbxContent>
                      <w:p>
                        <w:pPr>
                          <w:spacing w:lineRule="auto" w:line="240" w:after="0" w:beforeAutospacing="0" w:afterAutospacing="0"/>
                          <w:jc w:val="center"/>
                          <w:rPr>
                            <w:rFonts w:ascii="Times New Roman" w:hAnsi="Times New Roman" w:cs="Times New Roman"/>
                            <w:sz w:val="24"/>
                            <w:szCs w:val="24"/>
                            <w:lang w:val="en-US"/>
                          </w:rPr>
                        </w:pPr>
                        <w:r>
                          <w:rPr>
                            <w:rFonts w:ascii="Times New Roman" w:hAnsi="Times New Roman" w:cs="Times New Roman"/>
                            <w:sz w:val="24"/>
                            <w:szCs w:val="24"/>
                          </w:rPr>
                          <w:t>Сокращение бедности</w:t>
                        </w:r>
                      </w:p>
                    </w:txbxContent>
                  </v:textbox>
                </v:shape>
                <v:shape type="#_x0000_t202" id="Надпись 500" o:spid="_x0000_s1095" style="position:absolute;left:18287;width:1824217;height:516835" o:allowincell="t" fillcolor="#FFFFFF" strokecolor="#000000" strokeweight="1.5pt" stroked="t">
                  <v:textbox inset="3mm,1mm,3mm,1mm">
                    <w:txbxContent>
                      <w:p>
                        <w:pPr>
                          <w:spacing w:lineRule="auto" w:line="240" w:after="0" w:beforeAutospacing="0" w:afterAutospacing="0"/>
                          <w:jc w:val="center"/>
                          <w:rPr>
                            <w:rFonts w:ascii="Times New Roman" w:hAnsi="Times New Roman" w:cs="Times New Roman"/>
                            <w:sz w:val="24"/>
                            <w:szCs w:val="24"/>
                          </w:rPr>
                        </w:pPr>
                        <w:r>
                          <w:rPr>
                            <w:rFonts w:ascii="Times New Roman" w:hAnsi="Times New Roman" w:cs="Times New Roman"/>
                            <w:sz w:val="24"/>
                            <w:szCs w:val="24"/>
                          </w:rPr>
                          <w:t>Производительная занятость</w:t>
                        </w:r>
                      </w:p>
                    </w:txbxContent>
                  </v:textbox>
                </v:shape>
                <v:shape type="#_x0000_t202" id="Надпись 501" o:spid="_x0000_s1096" style="position:absolute;left:4081882;width:1823720;height:516255" o:allowincell="t" fillcolor="#FFFFFF" strokecolor="#000000" strokeweight="1.5pt" stroked="t">
                  <v:textbox inset="3mm,1mm,3mm,1mm">
                    <w:txbxContent>
                      <w:p>
                        <w:pPr>
                          <w:spacing w:lineRule="auto" w:line="240" w:after="0" w:beforeAutospacing="0" w:afterAutospacing="0"/>
                          <w:jc w:val="center"/>
                          <w:rPr>
                            <w:rFonts w:ascii="Times New Roman" w:hAnsi="Times New Roman" w:cs="Times New Roman"/>
                            <w:sz w:val="24"/>
                            <w:szCs w:val="24"/>
                            <w:lang w:val="en-US"/>
                          </w:rPr>
                        </w:pPr>
                        <w:r>
                          <w:rPr>
                            <w:rFonts w:ascii="Times New Roman" w:hAnsi="Times New Roman" w:cs="Times New Roman"/>
                            <w:sz w:val="24"/>
                            <w:szCs w:val="24"/>
                          </w:rPr>
                          <w:t>Снижение неравенства</w:t>
                        </w:r>
                      </w:p>
                    </w:txbxContent>
                  </v:textbox>
                </v:shape>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shapetype>
                <v:shape type="#_x0000_t13" id="Стрелка вправо 17" o:spid="_x0000_s1097" style="position:absolute;left:1850745;top:903427;width:182880;height:146303;v-text-anchor:middle" o:allowincell="t" fillcolor="#FFFFFF" strokecolor="#000000" strokeweight="1pt" stroked="t"/>
                <v:shape type="#_x0000_t13" id="Стрелка вправо 18" o:spid="_x0000_s1098" style="position:absolute;left:3880714;top:903427;width:182880;height:146303;v-text-anchor:middle;rotation:180" o:allowincell="t" fillcolor="#FFFFFF" strokecolor="#000000" strokeweight="1pt" stroked="t"/>
                <v:shape type="#_x0000_t13" id="Стрелка вправо 19" o:spid="_x0000_s1099" style="position:absolute;left:1854402;top:193852;width:182880;height:146303;v-text-anchor:middle" o:allowincell="t" fillcolor="#FFFFFF" strokecolor="#000000" strokeweight="1pt" stroked="t"/>
                <v:shape type="#_x0000_t13" id="Стрелка вправо 20" o:spid="_x0000_s1100" style="position:absolute;left:3880714;top:171907;width:182880;height:146303;v-text-anchor:middle" o:allowincell="t" fillcolor="#FFFFFF" strokecolor="#000000" strokeweight="1pt" stroked="t"/>
                <v:shape type="#_x0000_t13" id="Стрелка вправо 21" o:spid="_x0000_s1101" style="position:absolute;left:1839772;top:1605686;width:182880;height:146303;v-text-anchor:middle" o:allowincell="t" fillcolor="#FFFFFF" strokecolor="#000000" strokeweight="1pt" stroked="t"/>
                <v:shape type="#_x0000_t13" id="Стрелка вправо 22" o:spid="_x0000_s1102" style="position:absolute;left:3873397;top:1598370;width:182880;height:146303;v-text-anchor:middle" o:allowincell="t" fillcolor="#FFFFFF" strokecolor="#000000" strokeweight="1pt" stroked="t"/>
                <v:shape type="#_x0000_t13" id="Стрелка вправо 23" o:spid="_x0000_s1103" style="position:absolute;left:799185;top:1252728;width:182880;height:146303;v-text-anchor:middle;rotation:90" o:allowincell="t" fillcolor="#FFFFFF" strokecolor="#000000" strokeweight="1pt" stroked="t"/>
                <v:shape type="#_x0000_t13" id="Стрелка вправо 25" o:spid="_x0000_s1104" style="position:absolute;left:4943245;top:539495;width:182880;height:146303;v-text-anchor:middle;rotation:90" o:allowincell="t" fillcolor="#FFFFFF" strokecolor="#000000" strokeweight="1pt" stroked="t"/>
                <v:shape type="#_x0000_t13" id="Стрелка вправо 26" o:spid="_x0000_s1105" style="position:absolute;left:4946903;top:1267357;width:182880;height:146303;v-text-anchor:middle;rotation:270" o:allowincell="t" fillcolor="#FFFFFF" strokecolor="#000000" strokeweight="1pt" stroked="t"/>
              </v:group>
            </w:pict>
          </mc:Fallback>
        </mc:AlternateContent>
      </w:r>
      <w:r>
        <w:rPr>
          <w:noProof w:val="1"/>
          <w:lang w:eastAsia="ru-RU"/>
        </w:rPr>
        <mc:AlternateContent>
          <mc:Choice Requires="wps">
            <w:drawing>
              <wp:anchor xmlns:wp="http://schemas.openxmlformats.org/drawingml/2006/wordprocessingDrawing" distT="0" distB="0" distL="114300" distR="114300" simplePos="0" relativeHeight="61" behindDoc="0" locked="0" layoutInCell="1" allowOverlap="1">
                <wp:simplePos x="0" y="0"/>
                <wp:positionH relativeFrom="column">
                  <wp:posOffset>798195</wp:posOffset>
                </wp:positionH>
                <wp:positionV relativeFrom="paragraph">
                  <wp:posOffset>644525</wp:posOffset>
                </wp:positionV>
                <wp:extent cx="182880" cy="146050"/>
                <wp:effectExtent l="18415" t="19685" r="45085" b="26035"/>
                <wp:wrapNone/>
                <wp:docPr id="511" name="Стрелка вправо 24"/>
                <wp:cNvGraphicFramePr/>
                <a:graphic xmlns:a="http://schemas.openxmlformats.org/drawingml/2006/main">
                  <a:graphicData uri="http://schemas.microsoft.com/office/word/2010/wordprocessingShape">
                    <wps:wsp>
                      <wps:cNvSpPr/>
                      <wps:spPr>
                        <a:xfrm rot="16200000">
                          <a:off x="0" y="0"/>
                          <a:ext cx="182880" cy="146304"/>
                        </a:xfrm>
                        <a:prstGeom prst="rightArrow"/>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xmlns:o="urn:schemas-microsoft-com:office:office" type="#_x0000_t13" id="Стрелка вправо 24" o:spid="_x0000_s1106" style="position:absolute;width:14.4pt;height:11.5pt;z-index:61;mso-wrap-distance-left:9pt;mso-wrap-distance-top:0pt;mso-wrap-distance-right:9pt;mso-wrap-distance-bottom:0pt;margin-left:62.85pt;margin-top:50.75pt;mso-position-horizontal:absolute;mso-position-horizontal-relative:text;mso-position-vertical:absolute;mso-position-vertical-relative:text;v-text-anchor:middle;rotation:270" o:allowincell="t" fillcolor="#FFFFFF" strokecolor="#000000" strokeweight="1pt" stroked="t"/>
            </w:pict>
          </mc:Fallback>
        </mc:AlternateContent>
      </w:r>
      <w:r>
        <w:rPr>
          <w:noProof w:val="1"/>
          <w:lang w:eastAsia="ru-RU"/>
        </w:rPr>
        <mc:AlternateContent>
          <mc:Choice Requires="wps">
            <w:drawing>
              <wp:anchor xmlns:wp="http://schemas.openxmlformats.org/drawingml/2006/wordprocessingDrawing" distT="0" distB="0" distL="114300" distR="114300" simplePos="0" relativeHeight="60" behindDoc="0" locked="0" layoutInCell="1" allowOverlap="1">
                <wp:simplePos x="0" y="0"/>
                <wp:positionH relativeFrom="margin">
                  <wp:align>left</wp:align>
                </wp:positionH>
                <wp:positionV relativeFrom="paragraph">
                  <wp:posOffset>1525905</wp:posOffset>
                </wp:positionV>
                <wp:extent cx="1823720" cy="516255"/>
                <wp:effectExtent l="0" t="0" r="24130" b="17145"/>
                <wp:wrapNone/>
                <wp:docPr id="512" name="Надпись 512"/>
                <wp:cNvGraphicFramePr/>
                <a:graphic xmlns:a="http://schemas.openxmlformats.org/drawingml/2006/main">
                  <a:graphicData uri="http://schemas.microsoft.com/office/word/2010/wordprocessingShape">
                    <wps:wsp>
                      <wps:cNvSpPr txBox="1"/>
                      <wps:spPr>
                        <a:xfrm>
                          <a:off x="0" y="0"/>
                          <a:ext cx="1824218" cy="516836"/>
                        </a:xfrm>
                        <a:prstGeom prst="rect"/>
                        <a:solidFill>
                          <a:schemeClr val="lt1"/>
                        </a:solidFill>
                        <a:ln w="6350">
                          <a:solidFill>
                            <a:prstClr val="black"/>
                          </a:solidFill>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spacing w:lineRule="auto" w:line="240" w:after="0" w:beforeAutospacing="0" w:afterAutospacing="0"/>
                              <w:jc w:val="center"/>
                              <w:rPr>
                                <w:rFonts w:ascii="Times New Roman" w:hAnsi="Times New Roman" w:cs="Times New Roman"/>
                                <w:sz w:val="24"/>
                                <w:szCs w:val="24"/>
                              </w:rPr>
                            </w:pPr>
                            <w:r>
                              <w:rPr>
                                <w:rFonts w:ascii="Times New Roman" w:hAnsi="Times New Roman" w:cs="Times New Roman"/>
                                <w:sz w:val="24"/>
                                <w:szCs w:val="24"/>
                              </w:rPr>
                              <w:t>Социально-экономические услуги</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xmlns:o="urn:schemas-microsoft-com:office:office" type="#_x0000_t202" id="Надпись 512" o:spid="_x0000_s1107" style="position:absolute;width:143.6pt;height:40.65pt;z-index:60;mso-wrap-distance-left:9pt;mso-wrap-distance-top:0pt;mso-wrap-distance-right:9pt;mso-wrap-distance-bottom:0pt;margin-left:0pt;margin-top:120.15pt;mso-position-horizontal:left;mso-position-horizontal-relative:margin;mso-position-vertical:absolute;mso-position-vertical-relative:text" o:allowincell="t" fillcolor="#FFFFFF" strokecolor="#000000" strokeweight="0.5pt" stroked="t">
                <v:textbox inset="3mm,1mm,3mm,1mm">
                  <w:txbxContent>
                    <w:p>
                      <w:pPr>
                        <w:spacing w:lineRule="auto" w:line="240" w:after="0" w:beforeAutospacing="0" w:afterAutospacing="0"/>
                        <w:jc w:val="center"/>
                        <w:rPr>
                          <w:rFonts w:ascii="Times New Roman" w:hAnsi="Times New Roman" w:cs="Times New Roman"/>
                          <w:sz w:val="24"/>
                          <w:szCs w:val="24"/>
                        </w:rPr>
                      </w:pPr>
                      <w:r>
                        <w:rPr>
                          <w:rFonts w:ascii="Times New Roman" w:hAnsi="Times New Roman" w:cs="Times New Roman"/>
                          <w:sz w:val="24"/>
                          <w:szCs w:val="24"/>
                        </w:rPr>
                        <w:t>Социально-экономические услуги</w:t>
                      </w:r>
                    </w:p>
                  </w:txbxContent>
                </v:textbox>
              </v:shape>
            </w:pict>
          </mc:Fallback>
        </mc:AlternateContent>
      </w:r>
    </w:p>
    <w:p/>
    <w:p/>
    <w:p/>
    <w:p/>
    <w:p/>
    <w:p/>
    <w:p>
      <w:pPr>
        <w:rPr>
          <w:rFonts w:ascii="Times New Roman" w:hAnsi="Times New Roman" w:cs="Times New Roman"/>
          <w:sz w:val="28"/>
          <w:szCs w:val="28"/>
        </w:rPr>
      </w:pPr>
    </w:p>
    <w:p>
      <w:pPr>
        <w:tabs>
          <w:tab w:val="left" w:pos="3934" w:leader="none"/>
        </w:tabs>
        <w:spacing w:lineRule="auto" w:line="360" w:after="0" w:beforeAutospacing="0" w:afterAutospacing="0"/>
        <w:ind w:firstLine="709"/>
        <w:jc w:val="center"/>
        <w:rPr>
          <w:rFonts w:ascii="Times New Roman" w:hAnsi="Times New Roman" w:cs="Times New Roman"/>
          <w:sz w:val="28"/>
          <w:szCs w:val="28"/>
        </w:rPr>
      </w:pPr>
      <w:r>
        <w:rPr>
          <w:rFonts w:ascii="Times New Roman" w:hAnsi="Times New Roman" w:cs="Times New Roman"/>
          <w:sz w:val="28"/>
          <w:szCs w:val="28"/>
        </w:rPr>
        <w:t>Рисунок 5 – Взаимосвязи составляющих инклюзивного роста</w:t>
      </w:r>
      <w:r>
        <w:rPr>
          <w:rStyle w:val="C42"/>
          <w:rFonts w:ascii="Times New Roman" w:hAnsi="Times New Roman" w:cs="Times New Roman"/>
          <w:sz w:val="28"/>
          <w:szCs w:val="28"/>
        </w:rPr>
        <w:footnoteReference w:id="73"/>
      </w:r>
      <w:r>
        <w:rPr>
          <w:rFonts w:ascii="Times New Roman" w:hAnsi="Times New Roman" w:cs="Times New Roman"/>
          <w:sz w:val="28"/>
          <w:szCs w:val="28"/>
        </w:rPr>
        <w:t xml:space="preserve"> </w:t>
      </w:r>
    </w:p>
    <w:p>
      <w:pPr>
        <w:spacing w:lineRule="auto" w:line="360" w:after="0" w:beforeAutospacing="0" w:afterAutospacing="0"/>
        <w:ind w:firstLine="709"/>
        <w:jc w:val="both"/>
        <w:rPr>
          <w:rFonts w:ascii="Times New Roman" w:hAnsi="Times New Roman" w:cs="Times New Roman"/>
          <w:sz w:val="28"/>
          <w:szCs w:val="28"/>
        </w:rPr>
      </w:pPr>
    </w:p>
    <w:p>
      <w:pPr>
        <w:spacing w:lineRule="auto" w:line="360" w:after="0" w:beforeAutospacing="0" w:afterAutospacing="0"/>
        <w:ind w:firstLine="709"/>
        <w:jc w:val="both"/>
        <w:rPr>
          <w:rFonts w:ascii="Times New Roman" w:hAnsi="Times New Roman" w:cs="Times New Roman"/>
          <w:sz w:val="28"/>
          <w:szCs w:val="28"/>
        </w:rPr>
      </w:pPr>
      <w:r>
        <w:rPr>
          <w:rFonts w:ascii="Times New Roman" w:hAnsi="Times New Roman" w:cs="Times New Roman"/>
          <w:sz w:val="28"/>
          <w:szCs w:val="28"/>
        </w:rPr>
        <w:t>С другой стороны, используемый набор показателей в обязательном порядке должен быть гармонизирован с показателями ЦУР и позволять объективно оценивать прогресс в достижении целей устойчивого развития. В конечном итоге методика должна быть разработана в целях содействия обеспечению устойчивого экономического развития и повышению жизненного уровня населения стран Африки, а также их конвергенции в единое экономическое пространство.</w:t>
        <w:tab/>
      </w:r>
    </w:p>
    <w:p>
      <w:pPr>
        <w:pStyle w:val="P13"/>
        <w:spacing w:lineRule="auto" w:line="360" w:beforeAutospacing="0" w:afterAutospacing="0"/>
        <w:ind w:firstLine="709"/>
        <w:jc w:val="both"/>
        <w:rPr>
          <w:sz w:val="28"/>
          <w:szCs w:val="28"/>
          <w:lang w:val="ru-RU"/>
        </w:rPr>
      </w:pPr>
      <w:r>
        <w:rPr>
          <w:sz w:val="28"/>
          <w:szCs w:val="28"/>
          <w:lang w:val="ru-RU"/>
        </w:rPr>
        <w:t xml:space="preserve">Предлагаемый подход рассматривается нами как вклад в обсуждение концепции инклюзивного роста и инструментов для его измерения и предполагает его дальнейшее развитие. </w:t>
      </w:r>
      <w:bookmarkStart w:id="9" w:name="_Hlk137747102"/>
      <w:r>
        <w:rPr>
          <w:sz w:val="28"/>
          <w:szCs w:val="28"/>
          <w:lang w:val="ru-RU"/>
        </w:rPr>
        <w:t xml:space="preserve">Методика ЮНКТАД активно использовалась для расчетов индекса инклюзивного роста на основе статистических данных за 2016-2018 годы. </w:t>
      </w:r>
      <w:bookmarkEnd w:id="9"/>
      <w:r>
        <w:rPr>
          <w:sz w:val="28"/>
          <w:szCs w:val="28"/>
          <w:lang w:val="ru-RU"/>
        </w:rPr>
        <w:t>Результаты расчетов были представлены для 86 стран по полному кругу показателей и для 84 стран по отдельным блокам индекса [</w:t>
      </w:r>
      <w:r>
        <w:rPr>
          <w:sz w:val="28"/>
          <w:szCs w:val="28"/>
          <w:highlight w:val="yellow"/>
          <w:lang w:val="ru-RU"/>
        </w:rPr>
        <w:t>169</w:t>
      </w:r>
      <w:r>
        <w:rPr>
          <w:sz w:val="28"/>
          <w:szCs w:val="28"/>
          <w:lang w:val="ru-RU"/>
        </w:rPr>
        <w:t>]. Однако, как отмечают отдельные исследователи, в связи с широтой охвата и возможностями обеспечения расчетов статистической информацией, рекомендации по выбору вариантов экономической политики носят преимущественно общий характер [</w:t>
      </w:r>
      <w:r>
        <w:rPr>
          <w:sz w:val="28"/>
          <w:szCs w:val="28"/>
          <w:highlight w:val="yellow"/>
          <w:lang w:val="ru-RU"/>
        </w:rPr>
        <w:t>16</w:t>
      </w:r>
      <w:r>
        <w:rPr>
          <w:sz w:val="28"/>
          <w:szCs w:val="28"/>
          <w:lang w:val="ru-RU"/>
        </w:rPr>
        <w:t>]. В настоящее время стратегии инклюзивного роста основываются на актуализированных результатах расчетов ООН с использованием информации за 2020 год, а интегральный индекс для большинства стран рассчитан на основе данных за 2017-2020 годы. В качестве основных целевых ориентиров выделяют направления, представленные на рисунке 6.</w:t>
      </w:r>
    </w:p>
    <w:p>
      <w:pPr>
        <w:pStyle w:val="P13"/>
        <w:spacing w:lineRule="auto" w:line="360" w:beforeAutospacing="0" w:afterAutospacing="0"/>
        <w:ind w:firstLine="709"/>
        <w:jc w:val="both"/>
        <w:rPr>
          <w:sz w:val="28"/>
          <w:szCs w:val="28"/>
          <w:lang w:val="ru-RU"/>
        </w:rPr>
      </w:pPr>
    </w:p>
    <w:p>
      <w:pPr>
        <w:pStyle w:val="P13"/>
        <w:spacing w:lineRule="auto" w:line="360" w:beforeAutospacing="0" w:afterAutospacing="0"/>
        <w:ind w:firstLine="709"/>
        <w:jc w:val="both"/>
        <w:rPr>
          <w:sz w:val="28"/>
          <w:szCs w:val="28"/>
          <w:lang w:val="ru-RU"/>
        </w:rPr>
      </w:pPr>
      <w:r>
        <w:rPr>
          <w:noProof w:val="1"/>
          <w:sz w:val="28"/>
          <w:szCs w:val="28"/>
          <w:lang w:val="ru-RU" w:eastAsia="ru-RU"/>
        </w:rPr>
        <mc:AlternateContent>
          <mc:Choice Requires="wpg">
            <w:drawing>
              <wp:anchor xmlns:wp="http://schemas.openxmlformats.org/drawingml/2006/wordprocessingDrawing" distT="0" distB="0" distL="114300" distR="114300" simplePos="0" relativeHeight="64" behindDoc="0" locked="0" layoutInCell="1" allowOverlap="1">
                <wp:simplePos x="0" y="0"/>
                <wp:positionH relativeFrom="margin">
                  <wp:align>left</wp:align>
                </wp:positionH>
                <wp:positionV relativeFrom="paragraph">
                  <wp:posOffset>36830</wp:posOffset>
                </wp:positionV>
                <wp:extent cx="5912485" cy="2284730"/>
                <wp:effectExtent l="0" t="0" r="12065" b="20320"/>
                <wp:wrapNone/>
                <wp:docPr id="80" name="Группа 80"/>
                <wp:cNvGraphicFramePr/>
                <a:graphic xmlns:a="http://schemas.openxmlformats.org/drawingml/2006/main">
                  <a:graphicData uri="http://schemas.microsoft.com/office/word/2010/wordprocessingGroup">
                    <wpg:wgp>
                      <wpg:cNvGrpSpPr/>
                      <wpg:grpSpPr>
                        <a:xfrm>
                          <a:off x="0" y="0"/>
                          <a:ext cx="5912639" cy="2285208"/>
                          <a:chOff x="0" y="0"/>
                          <a:chExt cx="5912639" cy="2285208"/>
                        </a:xfrm>
                      </wpg:grpSpPr>
                      <wps:wsp>
                        <wps:cNvPr id="81" name="Надпись 81"/>
                        <wps:cNvSpPr txBox="1"/>
                        <wps:spPr>
                          <a:xfrm>
                            <a:off x="918210" y="0"/>
                            <a:ext cx="3550024" cy="318591"/>
                          </a:xfrm>
                          <a:prstGeom prst="rect"/>
                          <a:solidFill>
                            <a:schemeClr val="lt1"/>
                          </a:solidFill>
                          <a:ln w="19050">
                            <a:solidFill>
                              <a:prstClr val="black"/>
                            </a:solidFill>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spacing w:lineRule="auto" w:line="240" w:after="0" w:beforeAutospacing="0" w:afterAutospacing="0"/>
                                <w:jc w:val="center"/>
                                <w:rPr>
                                  <w:rFonts w:ascii="Times New Roman" w:hAnsi="Times New Roman" w:cs="Times New Roman"/>
                                  <w:b w:val="1"/>
                                  <w:sz w:val="24"/>
                                  <w:szCs w:val="24"/>
                                </w:rPr>
                              </w:pPr>
                              <w:r>
                                <w:rPr>
                                  <w:rFonts w:ascii="Times New Roman" w:hAnsi="Times New Roman" w:cs="Times New Roman"/>
                                  <w:b w:val="1"/>
                                  <w:sz w:val="24"/>
                                  <w:szCs w:val="24"/>
                                </w:rPr>
                                <w:t>Направления инклюзивного роста</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82" name="Надпись 82"/>
                        <wps:cNvSpPr txBox="1"/>
                        <wps:spPr>
                          <a:xfrm>
                            <a:off x="0" y="476250"/>
                            <a:ext cx="2544599" cy="318591"/>
                          </a:xfrm>
                          <a:prstGeom prst="rect"/>
                          <a:solidFill>
                            <a:schemeClr val="lt1"/>
                          </a:solidFill>
                          <a:ln w="19050">
                            <a:solidFill>
                              <a:prstClr val="black"/>
                            </a:solidFill>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spacing w:lineRule="auto" w:line="240" w:after="0" w:beforeAutospacing="0" w:afterAutospacing="0"/>
                                <w:jc w:val="center"/>
                                <w:rPr>
                                  <w:rFonts w:ascii="Times New Roman" w:hAnsi="Times New Roman" w:cs="Times New Roman"/>
                                  <w:sz w:val="24"/>
                                  <w:szCs w:val="24"/>
                                </w:rPr>
                              </w:pPr>
                              <w:r>
                                <w:rPr>
                                  <w:rFonts w:ascii="Times New Roman" w:hAnsi="Times New Roman" w:cs="Times New Roman"/>
                                  <w:sz w:val="24"/>
                                  <w:szCs w:val="24"/>
                                </w:rPr>
                                <w:t>Снижение бедности</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83" name="Надпись 83"/>
                        <wps:cNvSpPr txBox="1"/>
                        <wps:spPr>
                          <a:xfrm>
                            <a:off x="0" y="910590"/>
                            <a:ext cx="2544599" cy="318591"/>
                          </a:xfrm>
                          <a:prstGeom prst="rect"/>
                          <a:solidFill>
                            <a:schemeClr val="lt1"/>
                          </a:solidFill>
                          <a:ln w="19050">
                            <a:solidFill>
                              <a:prstClr val="black"/>
                            </a:solidFill>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spacing w:lineRule="auto" w:line="240" w:after="0" w:beforeAutospacing="0" w:afterAutospacing="0"/>
                                <w:jc w:val="center"/>
                                <w:rPr>
                                  <w:rFonts w:ascii="Times New Roman" w:hAnsi="Times New Roman" w:cs="Times New Roman"/>
                                  <w:sz w:val="24"/>
                                  <w:szCs w:val="24"/>
                                </w:rPr>
                              </w:pPr>
                              <w:r>
                                <w:rPr>
                                  <w:rFonts w:ascii="Times New Roman" w:hAnsi="Times New Roman" w:cs="Times New Roman"/>
                                  <w:sz w:val="24"/>
                                  <w:szCs w:val="24"/>
                                </w:rPr>
                                <w:t>Индустриальное развитие</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84" name="Надпись 84"/>
                        <wps:cNvSpPr txBox="1"/>
                        <wps:spPr>
                          <a:xfrm>
                            <a:off x="0" y="1325880"/>
                            <a:ext cx="2544599" cy="459269"/>
                          </a:xfrm>
                          <a:prstGeom prst="rect"/>
                          <a:solidFill>
                            <a:schemeClr val="lt1"/>
                          </a:solidFill>
                          <a:ln w="19050">
                            <a:solidFill>
                              <a:prstClr val="black"/>
                            </a:solidFill>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spacing w:lineRule="auto" w:line="240" w:after="0" w:beforeAutospacing="0" w:afterAutospacing="0"/>
                                <w:jc w:val="center"/>
                                <w:rPr>
                                  <w:rFonts w:ascii="Times New Roman" w:hAnsi="Times New Roman" w:cs="Times New Roman"/>
                                  <w:sz w:val="24"/>
                                  <w:szCs w:val="24"/>
                                </w:rPr>
                              </w:pPr>
                              <w:r>
                                <w:rPr>
                                  <w:rFonts w:ascii="Times New Roman" w:hAnsi="Times New Roman" w:cs="Times New Roman"/>
                                  <w:sz w:val="24"/>
                                  <w:szCs w:val="24"/>
                                  <w:highlight w:val="yellow"/>
                                </w:rPr>
                                <w:t>Защита окружающей среды</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85" name="Надпись 85"/>
                        <wps:cNvSpPr txBox="1"/>
                        <wps:spPr>
                          <a:xfrm>
                            <a:off x="3368040" y="472440"/>
                            <a:ext cx="2544599" cy="318591"/>
                          </a:xfrm>
                          <a:prstGeom prst="rect"/>
                          <a:solidFill>
                            <a:schemeClr val="lt1"/>
                          </a:solidFill>
                          <a:ln w="19050">
                            <a:solidFill>
                              <a:prstClr val="black"/>
                            </a:solidFill>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spacing w:lineRule="auto" w:line="240" w:after="0" w:beforeAutospacing="0" w:afterAutospacing="0"/>
                                <w:jc w:val="center"/>
                                <w:rPr>
                                  <w:rFonts w:ascii="Times New Roman" w:hAnsi="Times New Roman" w:cs="Times New Roman"/>
                                  <w:sz w:val="24"/>
                                  <w:szCs w:val="24"/>
                                  <w:lang w:val="en-US"/>
                                </w:rPr>
                              </w:pPr>
                              <w:r>
                                <w:rPr>
                                  <w:rFonts w:ascii="Times New Roman" w:hAnsi="Times New Roman" w:cs="Times New Roman"/>
                                  <w:sz w:val="24"/>
                                  <w:szCs w:val="24"/>
                                  <w:highlight w:val="yellow"/>
                                </w:rPr>
                                <w:t>Защита окружающей среды</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86" name="Надпись 86"/>
                        <wps:cNvSpPr txBox="1"/>
                        <wps:spPr>
                          <a:xfrm>
                            <a:off x="3368040" y="1325880"/>
                            <a:ext cx="2544445" cy="459105"/>
                          </a:xfrm>
                          <a:prstGeom prst="rect"/>
                          <a:solidFill>
                            <a:schemeClr val="lt1"/>
                          </a:solidFill>
                          <a:ln w="19050">
                            <a:solidFill>
                              <a:prstClr val="black"/>
                            </a:solidFill>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spacing w:lineRule="auto" w:line="240" w:after="0" w:beforeAutospacing="0" w:afterAutospacing="0"/>
                                <w:jc w:val="center"/>
                                <w:rPr>
                                  <w:rFonts w:ascii="Times New Roman" w:hAnsi="Times New Roman" w:cs="Times New Roman"/>
                                  <w:sz w:val="24"/>
                                  <w:szCs w:val="24"/>
                                </w:rPr>
                              </w:pPr>
                              <w:r>
                                <w:rPr>
                                  <w:rFonts w:ascii="Times New Roman" w:hAnsi="Times New Roman" w:cs="Times New Roman"/>
                                  <w:sz w:val="24"/>
                                  <w:szCs w:val="24"/>
                                </w:rPr>
                                <w:t>Обеспечение равенства доходов</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87" name="Надпись 87"/>
                        <wps:cNvSpPr txBox="1"/>
                        <wps:spPr>
                          <a:xfrm>
                            <a:off x="3368040" y="910590"/>
                            <a:ext cx="2544599" cy="318591"/>
                          </a:xfrm>
                          <a:prstGeom prst="rect"/>
                          <a:solidFill>
                            <a:schemeClr val="lt1"/>
                          </a:solidFill>
                          <a:ln w="19050">
                            <a:solidFill>
                              <a:prstClr val="black"/>
                            </a:solidFill>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spacing w:lineRule="auto" w:line="240" w:after="0" w:beforeAutospacing="0" w:afterAutospacing="0"/>
                                <w:jc w:val="center"/>
                                <w:rPr>
                                  <w:rFonts w:ascii="Times New Roman" w:hAnsi="Times New Roman" w:cs="Times New Roman"/>
                                  <w:sz w:val="24"/>
                                  <w:szCs w:val="24"/>
                                  <w:lang w:val="en-US"/>
                                </w:rPr>
                              </w:pPr>
                              <w:r>
                                <w:rPr>
                                  <w:rFonts w:ascii="Times New Roman" w:hAnsi="Times New Roman" w:cs="Times New Roman"/>
                                  <w:sz w:val="24"/>
                                  <w:szCs w:val="24"/>
                                </w:rPr>
                                <w:t>Развитие социального сектора</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88" name="Надпись 88"/>
                        <wps:cNvSpPr txBox="1"/>
                        <wps:spPr>
                          <a:xfrm>
                            <a:off x="1645920" y="1958340"/>
                            <a:ext cx="2544445" cy="326867"/>
                          </a:xfrm>
                          <a:prstGeom prst="rect"/>
                          <a:solidFill>
                            <a:schemeClr val="lt1"/>
                          </a:solidFill>
                          <a:ln w="19050">
                            <a:solidFill>
                              <a:prstClr val="black"/>
                            </a:solidFill>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spacing w:lineRule="auto" w:line="240" w:after="0" w:beforeAutospacing="0" w:afterAutospacing="0"/>
                                <w:jc w:val="center"/>
                                <w:rPr>
                                  <w:rFonts w:ascii="Times New Roman" w:hAnsi="Times New Roman" w:cs="Times New Roman"/>
                                  <w:sz w:val="24"/>
                                  <w:szCs w:val="24"/>
                                </w:rPr>
                              </w:pPr>
                              <w:r>
                                <w:rPr>
                                  <w:rFonts w:ascii="Times New Roman" w:hAnsi="Times New Roman" w:cs="Times New Roman"/>
                                  <w:sz w:val="24"/>
                                  <w:szCs w:val="24"/>
                                </w:rPr>
                                <w:t>Рост занятости</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89" name="Прямая соединительная линия 89"/>
                        <wps:cNvCnPr/>
                        <wps:spPr>
                          <a:xfrm flipH="1">
                            <a:off x="2960370" y="323850"/>
                            <a:ext cx="3810" cy="1630680"/>
                          </a:xfrm>
                          <a:prstGeom prst="line"/>
                        </wps:spPr>
                        <wps:style>
                          <a:lnRef idx="1">
                            <a:schemeClr val="dk1"/>
                          </a:lnRef>
                          <a:fillRef idx="0">
                            <a:schemeClr val="dk1"/>
                          </a:fillRef>
                          <a:effectRef idx="0">
                            <a:schemeClr val="dk1"/>
                          </a:effectRef>
                          <a:fontRef idx="minor">
                            <a:schemeClr val="tx1"/>
                          </a:fontRef>
                        </wps:style>
                        <wps:bodyPr/>
                      </wps:wsp>
                      <wps:wsp>
                        <wps:cNvPr id="90" name="Прямая соединительная линия 90"/>
                        <wps:cNvCnPr/>
                        <wps:spPr>
                          <a:xfrm>
                            <a:off x="2533650" y="586740"/>
                            <a:ext cx="427355" cy="0"/>
                          </a:xfrm>
                          <a:prstGeom prst="line"/>
                        </wps:spPr>
                        <wps:style>
                          <a:lnRef idx="1">
                            <a:schemeClr val="dk1"/>
                          </a:lnRef>
                          <a:fillRef idx="0">
                            <a:schemeClr val="dk1"/>
                          </a:fillRef>
                          <a:effectRef idx="0">
                            <a:schemeClr val="dk1"/>
                          </a:effectRef>
                          <a:fontRef idx="minor">
                            <a:schemeClr val="tx1"/>
                          </a:fontRef>
                        </wps:style>
                        <wps:bodyPr/>
                      </wps:wsp>
                      <wps:wsp>
                        <wps:cNvPr id="91" name="Прямая соединительная линия 91"/>
                        <wps:cNvCnPr/>
                        <wps:spPr>
                          <a:xfrm>
                            <a:off x="2964180" y="697230"/>
                            <a:ext cx="407670" cy="0"/>
                          </a:xfrm>
                          <a:prstGeom prst="line"/>
                        </wps:spPr>
                        <wps:style>
                          <a:lnRef idx="1">
                            <a:schemeClr val="dk1"/>
                          </a:lnRef>
                          <a:fillRef idx="0">
                            <a:schemeClr val="dk1"/>
                          </a:fillRef>
                          <a:effectRef idx="0">
                            <a:schemeClr val="dk1"/>
                          </a:effectRef>
                          <a:fontRef idx="minor">
                            <a:schemeClr val="tx1"/>
                          </a:fontRef>
                        </wps:style>
                        <wps:bodyPr/>
                      </wps:wsp>
                      <wps:wsp>
                        <wps:cNvPr id="92" name="Прямая соединительная линия 92"/>
                        <wps:cNvCnPr/>
                        <wps:spPr>
                          <a:xfrm>
                            <a:off x="2960370" y="1002030"/>
                            <a:ext cx="407670" cy="0"/>
                          </a:xfrm>
                          <a:prstGeom prst="line"/>
                        </wps:spPr>
                        <wps:style>
                          <a:lnRef idx="1">
                            <a:schemeClr val="dk1"/>
                          </a:lnRef>
                          <a:fillRef idx="0">
                            <a:schemeClr val="dk1"/>
                          </a:fillRef>
                          <a:effectRef idx="0">
                            <a:schemeClr val="dk1"/>
                          </a:effectRef>
                          <a:fontRef idx="minor">
                            <a:schemeClr val="tx1"/>
                          </a:fontRef>
                        </wps:style>
                        <wps:bodyPr/>
                      </wps:wsp>
                      <wps:wsp>
                        <wps:cNvPr id="93" name="Прямая соединительная линия 93"/>
                        <wps:cNvCnPr/>
                        <wps:spPr>
                          <a:xfrm>
                            <a:off x="2537460" y="1116330"/>
                            <a:ext cx="427355" cy="0"/>
                          </a:xfrm>
                          <a:prstGeom prst="line"/>
                        </wps:spPr>
                        <wps:style>
                          <a:lnRef idx="1">
                            <a:schemeClr val="dk1"/>
                          </a:lnRef>
                          <a:fillRef idx="0">
                            <a:schemeClr val="dk1"/>
                          </a:fillRef>
                          <a:effectRef idx="0">
                            <a:schemeClr val="dk1"/>
                          </a:effectRef>
                          <a:fontRef idx="minor">
                            <a:schemeClr val="tx1"/>
                          </a:fontRef>
                        </wps:style>
                        <wps:bodyPr/>
                      </wps:wsp>
                      <wps:wsp>
                        <wps:cNvPr id="94" name="Прямая соединительная линия 94"/>
                        <wps:cNvCnPr/>
                        <wps:spPr>
                          <a:xfrm>
                            <a:off x="2541270" y="1463040"/>
                            <a:ext cx="427355" cy="0"/>
                          </a:xfrm>
                          <a:prstGeom prst="line"/>
                        </wps:spPr>
                        <wps:style>
                          <a:lnRef idx="1">
                            <a:schemeClr val="dk1"/>
                          </a:lnRef>
                          <a:fillRef idx="0">
                            <a:schemeClr val="dk1"/>
                          </a:fillRef>
                          <a:effectRef idx="0">
                            <a:schemeClr val="dk1"/>
                          </a:effectRef>
                          <a:fontRef idx="minor">
                            <a:schemeClr val="tx1"/>
                          </a:fontRef>
                        </wps:style>
                        <wps:bodyPr/>
                      </wps:wsp>
                      <wps:wsp>
                        <wps:cNvPr id="95" name="Прямая соединительная линия 95"/>
                        <wps:cNvCnPr/>
                        <wps:spPr>
                          <a:xfrm>
                            <a:off x="2964180" y="1615440"/>
                            <a:ext cx="407670" cy="0"/>
                          </a:xfrm>
                          <a:prstGeom prst="line"/>
                        </wps:spPr>
                        <wps:style>
                          <a:lnRef idx="1">
                            <a:schemeClr val="dk1"/>
                          </a:lnRef>
                          <a:fillRef idx="0">
                            <a:schemeClr val="dk1"/>
                          </a:fillRef>
                          <a:effectRef idx="0">
                            <a:schemeClr val="dk1"/>
                          </a:effectRef>
                          <a:fontRef idx="minor">
                            <a:schemeClr val="tx1"/>
                          </a:fontRef>
                        </wps:style>
                        <wps:bodyPr/>
                      </wps:wsp>
                    </wpg:wgp>
                  </a:graphicData>
                </a:graphic>
              </wp:anchor>
            </w:drawing>
          </mc:Choice>
          <mc:Fallback>
            <w:pict>
              <v:group xmlns:o="urn:schemas-microsoft-com:office:office" id="Группа 80" style="position:absolute;width:465.55pt;height:179.9pt;z-index:64;mso-wrap-distance-left:9pt;mso-wrap-distance-top:0pt;mso-wrap-distance-right:9pt;mso-wrap-distance-bottom:0pt;margin-left:0pt;margin-top:2.9pt;mso-position-horizontal:left;mso-position-horizontal-relative:margin;mso-position-vertical:absolute;mso-position-vertical-relative:text" coordsize="5912638,2285207" o:allowincell="t">
                <v:shape type="#_x0000_t202" id="Надпись 81" o:spid="_x0000_s1109" style="position:absolute;left:918210;width:3550023;height:318590" o:allowincell="t" fillcolor="#FFFFFF" strokecolor="#000000" strokeweight="1.5pt" stroked="t">
                  <v:textbox inset="3mm,1mm,3mm,1mm">
                    <w:txbxContent>
                      <w:p>
                        <w:pPr>
                          <w:spacing w:lineRule="auto" w:line="240" w:after="0" w:beforeAutospacing="0" w:afterAutospacing="0"/>
                          <w:jc w:val="center"/>
                          <w:rPr>
                            <w:rFonts w:ascii="Times New Roman" w:hAnsi="Times New Roman" w:cs="Times New Roman"/>
                            <w:b w:val="1"/>
                            <w:sz w:val="24"/>
                            <w:szCs w:val="24"/>
                          </w:rPr>
                        </w:pPr>
                        <w:r>
                          <w:rPr>
                            <w:rFonts w:ascii="Times New Roman" w:hAnsi="Times New Roman" w:cs="Times New Roman"/>
                            <w:b w:val="1"/>
                            <w:sz w:val="24"/>
                            <w:szCs w:val="24"/>
                          </w:rPr>
                          <w:t>Направления инклюзивного роста</w:t>
                        </w:r>
                      </w:p>
                    </w:txbxContent>
                  </v:textbox>
                </v:shape>
                <v:shape type="#_x0000_t202" id="Надпись 82" o:spid="_x0000_s1110" style="position:absolute;top:476250;width:2544598;height:318590" o:allowincell="t" fillcolor="#FFFFFF" strokecolor="#000000" strokeweight="1.5pt" stroked="t">
                  <v:textbox inset="3mm,1mm,3mm,1mm">
                    <w:txbxContent>
                      <w:p>
                        <w:pPr>
                          <w:spacing w:lineRule="auto" w:line="240" w:after="0" w:beforeAutospacing="0" w:afterAutospacing="0"/>
                          <w:jc w:val="center"/>
                          <w:rPr>
                            <w:rFonts w:ascii="Times New Roman" w:hAnsi="Times New Roman" w:cs="Times New Roman"/>
                            <w:sz w:val="24"/>
                            <w:szCs w:val="24"/>
                          </w:rPr>
                        </w:pPr>
                        <w:r>
                          <w:rPr>
                            <w:rFonts w:ascii="Times New Roman" w:hAnsi="Times New Roman" w:cs="Times New Roman"/>
                            <w:sz w:val="24"/>
                            <w:szCs w:val="24"/>
                          </w:rPr>
                          <w:t>Снижение бедности</w:t>
                        </w:r>
                      </w:p>
                    </w:txbxContent>
                  </v:textbox>
                </v:shape>
                <v:shape type="#_x0000_t202" id="Надпись 83" o:spid="_x0000_s1111" style="position:absolute;top:910590;width:2544598;height:318590" o:allowincell="t" fillcolor="#FFFFFF" strokecolor="#000000" strokeweight="1.5pt" stroked="t">
                  <v:textbox inset="3mm,1mm,3mm,1mm">
                    <w:txbxContent>
                      <w:p>
                        <w:pPr>
                          <w:spacing w:lineRule="auto" w:line="240" w:after="0" w:beforeAutospacing="0" w:afterAutospacing="0"/>
                          <w:jc w:val="center"/>
                          <w:rPr>
                            <w:rFonts w:ascii="Times New Roman" w:hAnsi="Times New Roman" w:cs="Times New Roman"/>
                            <w:sz w:val="24"/>
                            <w:szCs w:val="24"/>
                          </w:rPr>
                        </w:pPr>
                        <w:r>
                          <w:rPr>
                            <w:rFonts w:ascii="Times New Roman" w:hAnsi="Times New Roman" w:cs="Times New Roman"/>
                            <w:sz w:val="24"/>
                            <w:szCs w:val="24"/>
                          </w:rPr>
                          <w:t>Индустриальное развитие</w:t>
                        </w:r>
                      </w:p>
                    </w:txbxContent>
                  </v:textbox>
                </v:shape>
                <v:shape type="#_x0000_t202" id="Надпись 84" o:spid="_x0000_s1112" style="position:absolute;top:1325880;width:2544598;height:459268" o:allowincell="t" fillcolor="#FFFFFF" strokecolor="#000000" strokeweight="1.5pt" stroked="t">
                  <v:textbox inset="3mm,1mm,3mm,1mm">
                    <w:txbxContent>
                      <w:p>
                        <w:pPr>
                          <w:spacing w:lineRule="auto" w:line="240" w:after="0" w:beforeAutospacing="0" w:afterAutospacing="0"/>
                          <w:jc w:val="center"/>
                          <w:rPr>
                            <w:rFonts w:ascii="Times New Roman" w:hAnsi="Times New Roman" w:cs="Times New Roman"/>
                            <w:sz w:val="24"/>
                            <w:szCs w:val="24"/>
                          </w:rPr>
                        </w:pPr>
                        <w:r>
                          <w:rPr>
                            <w:rFonts w:ascii="Times New Roman" w:hAnsi="Times New Roman" w:cs="Times New Roman"/>
                            <w:sz w:val="24"/>
                            <w:szCs w:val="24"/>
                            <w:highlight w:val="yellow"/>
                          </w:rPr>
                          <w:t>Защита окружающей среды</w:t>
                        </w:r>
                      </w:p>
                    </w:txbxContent>
                  </v:textbox>
                </v:shape>
                <v:shape type="#_x0000_t202" id="Надпись 85" o:spid="_x0000_s1113" style="position:absolute;left:3368040;top:472440;width:2544598;height:318590" o:allowincell="t" fillcolor="#FFFFFF" strokecolor="#000000" strokeweight="1.5pt" stroked="t">
                  <v:textbox inset="3mm,1mm,3mm,1mm">
                    <w:txbxContent>
                      <w:p>
                        <w:pPr>
                          <w:spacing w:lineRule="auto" w:line="240" w:after="0" w:beforeAutospacing="0" w:afterAutospacing="0"/>
                          <w:jc w:val="center"/>
                          <w:rPr>
                            <w:rFonts w:ascii="Times New Roman" w:hAnsi="Times New Roman" w:cs="Times New Roman"/>
                            <w:sz w:val="24"/>
                            <w:szCs w:val="24"/>
                            <w:lang w:val="en-US"/>
                          </w:rPr>
                        </w:pPr>
                        <w:r>
                          <w:rPr>
                            <w:rFonts w:ascii="Times New Roman" w:hAnsi="Times New Roman" w:cs="Times New Roman"/>
                            <w:sz w:val="24"/>
                            <w:szCs w:val="24"/>
                            <w:highlight w:val="yellow"/>
                          </w:rPr>
                          <w:t>Защита окружающей среды</w:t>
                        </w:r>
                      </w:p>
                    </w:txbxContent>
                  </v:textbox>
                </v:shape>
                <v:shape type="#_x0000_t202" id="Надпись 86" o:spid="_x0000_s1114" style="position:absolute;left:3368040;top:1325880;width:2544445;height:459105" o:allowincell="t" fillcolor="#FFFFFF" strokecolor="#000000" strokeweight="1.5pt" stroked="t">
                  <v:textbox inset="3mm,1mm,3mm,1mm">
                    <w:txbxContent>
                      <w:p>
                        <w:pPr>
                          <w:spacing w:lineRule="auto" w:line="240" w:after="0" w:beforeAutospacing="0" w:afterAutospacing="0"/>
                          <w:jc w:val="center"/>
                          <w:rPr>
                            <w:rFonts w:ascii="Times New Roman" w:hAnsi="Times New Roman" w:cs="Times New Roman"/>
                            <w:sz w:val="24"/>
                            <w:szCs w:val="24"/>
                          </w:rPr>
                        </w:pPr>
                        <w:r>
                          <w:rPr>
                            <w:rFonts w:ascii="Times New Roman" w:hAnsi="Times New Roman" w:cs="Times New Roman"/>
                            <w:sz w:val="24"/>
                            <w:szCs w:val="24"/>
                          </w:rPr>
                          <w:t>Обеспечение равенства доходов</w:t>
                        </w:r>
                      </w:p>
                    </w:txbxContent>
                  </v:textbox>
                </v:shape>
                <v:shape type="#_x0000_t202" id="Надпись 87" o:spid="_x0000_s1115" style="position:absolute;left:3368040;top:910590;width:2544598;height:318590" o:allowincell="t" fillcolor="#FFFFFF" strokecolor="#000000" strokeweight="1.5pt" stroked="t">
                  <v:textbox inset="3mm,1mm,3mm,1mm">
                    <w:txbxContent>
                      <w:p>
                        <w:pPr>
                          <w:spacing w:lineRule="auto" w:line="240" w:after="0" w:beforeAutospacing="0" w:afterAutospacing="0"/>
                          <w:jc w:val="center"/>
                          <w:rPr>
                            <w:rFonts w:ascii="Times New Roman" w:hAnsi="Times New Roman" w:cs="Times New Roman"/>
                            <w:sz w:val="24"/>
                            <w:szCs w:val="24"/>
                            <w:lang w:val="en-US"/>
                          </w:rPr>
                        </w:pPr>
                        <w:r>
                          <w:rPr>
                            <w:rFonts w:ascii="Times New Roman" w:hAnsi="Times New Roman" w:cs="Times New Roman"/>
                            <w:sz w:val="24"/>
                            <w:szCs w:val="24"/>
                          </w:rPr>
                          <w:t>Развитие социального сектора</w:t>
                        </w:r>
                      </w:p>
                    </w:txbxContent>
                  </v:textbox>
                </v:shape>
                <v:shape type="#_x0000_t202" id="Надпись 88" o:spid="_x0000_s1116" style="position:absolute;left:1645920;top:1958340;width:2544445;height:326866" o:allowincell="t" fillcolor="#FFFFFF" strokecolor="#000000" strokeweight="1.5pt" stroked="t">
                  <v:textbox inset="3mm,1mm,3mm,1mm">
                    <w:txbxContent>
                      <w:p>
                        <w:pPr>
                          <w:spacing w:lineRule="auto" w:line="240" w:after="0" w:beforeAutospacing="0" w:afterAutospacing="0"/>
                          <w:jc w:val="center"/>
                          <w:rPr>
                            <w:rFonts w:ascii="Times New Roman" w:hAnsi="Times New Roman" w:cs="Times New Roman"/>
                            <w:sz w:val="24"/>
                            <w:szCs w:val="24"/>
                          </w:rPr>
                        </w:pPr>
                        <w:r>
                          <w:rPr>
                            <w:rFonts w:ascii="Times New Roman" w:hAnsi="Times New Roman" w:cs="Times New Roman"/>
                            <w:sz w:val="24"/>
                            <w:szCs w:val="24"/>
                          </w:rPr>
                          <w:t>Рост занятости</w:t>
                        </w:r>
                      </w:p>
                    </w:txbxContent>
                  </v:textbox>
                </v:shape>
                <v:line id="Прямая соединительная линия 89" o:spid="_x0000_s1117" style="position:absolute;flip:x" strokecolor="#000000" strokeweight="0.5pt" stroked="t" o:allowincell="t" from="2960370,323850" to="2964180,1954530"/>
                <v:line id="Прямая соединительная линия 90" o:spid="_x0000_s1118" style="position:absolute" strokecolor="#000000" strokeweight="0.5pt" stroked="t" o:allowincell="t" from="2533650,586740" to="2961005,586740"/>
                <v:line id="Прямая соединительная линия 91" o:spid="_x0000_s1119" style="position:absolute" strokecolor="#000000" strokeweight="0.5pt" stroked="t" o:allowincell="t" from="2964180,697230" to="3371850,697230"/>
                <v:line id="Прямая соединительная линия 92" o:spid="_x0000_s1120" style="position:absolute" strokecolor="#000000" strokeweight="0.5pt" stroked="t" o:allowincell="t" from="2960370,1002030" to="3368040,1002030"/>
                <v:line id="Прямая соединительная линия 93" o:spid="_x0000_s1121" style="position:absolute" strokecolor="#000000" strokeweight="0.5pt" stroked="t" o:allowincell="t" from="2537460,1116330" to="2964815,1116330"/>
                <v:line id="Прямая соединительная линия 94" o:spid="_x0000_s1122" style="position:absolute" strokecolor="#000000" strokeweight="0.5pt" stroked="t" o:allowincell="t" from="2541270,1463040" to="2968625,1463040"/>
                <v:line id="Прямая соединительная линия 95" o:spid="_x0000_s1123" style="position:absolute" strokecolor="#000000" strokeweight="0.5pt" stroked="t" o:allowincell="t" from="2964180,1615440" to="3371850,1615440"/>
              </v:group>
            </w:pict>
          </mc:Fallback>
        </mc:AlternateContent>
      </w:r>
    </w:p>
    <w:p>
      <w:pPr>
        <w:pStyle w:val="P13"/>
        <w:spacing w:lineRule="auto" w:line="360" w:beforeAutospacing="0" w:afterAutospacing="0"/>
        <w:ind w:firstLine="709"/>
        <w:jc w:val="both"/>
        <w:rPr>
          <w:sz w:val="28"/>
          <w:szCs w:val="28"/>
          <w:lang w:val="ru-RU"/>
        </w:rPr>
      </w:pPr>
    </w:p>
    <w:p>
      <w:pPr>
        <w:pStyle w:val="P13"/>
        <w:spacing w:lineRule="auto" w:line="360" w:beforeAutospacing="0" w:afterAutospacing="0"/>
        <w:ind w:firstLine="709"/>
        <w:jc w:val="both"/>
        <w:rPr>
          <w:sz w:val="28"/>
          <w:szCs w:val="28"/>
          <w:lang w:val="ru-RU"/>
        </w:rPr>
      </w:pPr>
    </w:p>
    <w:p>
      <w:pPr>
        <w:pStyle w:val="P13"/>
        <w:spacing w:lineRule="auto" w:line="360" w:beforeAutospacing="0" w:afterAutospacing="0"/>
        <w:ind w:firstLine="709"/>
        <w:jc w:val="both"/>
        <w:rPr>
          <w:sz w:val="28"/>
          <w:szCs w:val="28"/>
          <w:lang w:val="ru-RU"/>
        </w:rPr>
      </w:pPr>
    </w:p>
    <w:p>
      <w:pPr>
        <w:pStyle w:val="P13"/>
        <w:spacing w:lineRule="auto" w:line="360" w:beforeAutospacing="0" w:afterAutospacing="0"/>
        <w:ind w:firstLine="709"/>
        <w:jc w:val="both"/>
        <w:rPr>
          <w:sz w:val="28"/>
          <w:szCs w:val="28"/>
          <w:lang w:val="ru-RU"/>
        </w:rPr>
      </w:pPr>
    </w:p>
    <w:p>
      <w:pPr>
        <w:pStyle w:val="P13"/>
        <w:spacing w:lineRule="auto" w:line="360" w:beforeAutospacing="0" w:afterAutospacing="0"/>
        <w:ind w:firstLine="709"/>
        <w:jc w:val="both"/>
        <w:rPr>
          <w:sz w:val="28"/>
          <w:szCs w:val="28"/>
          <w:lang w:val="ru-RU"/>
        </w:rPr>
      </w:pPr>
    </w:p>
    <w:p>
      <w:pPr>
        <w:pStyle w:val="P13"/>
        <w:spacing w:lineRule="auto" w:line="360" w:beforeAutospacing="0" w:afterAutospacing="0"/>
        <w:ind w:firstLine="709"/>
        <w:jc w:val="both"/>
        <w:rPr>
          <w:sz w:val="28"/>
          <w:szCs w:val="28"/>
          <w:lang w:val="ru-RU"/>
        </w:rPr>
      </w:pPr>
    </w:p>
    <w:p>
      <w:pPr>
        <w:pStyle w:val="P13"/>
        <w:spacing w:lineRule="auto" w:line="360" w:beforeAutospacing="0" w:afterAutospacing="0"/>
        <w:ind w:firstLine="709"/>
        <w:jc w:val="center"/>
        <w:rPr>
          <w:sz w:val="28"/>
          <w:szCs w:val="28"/>
          <w:lang w:val="ru-RU"/>
        </w:rPr>
      </w:pPr>
    </w:p>
    <w:p>
      <w:pPr>
        <w:pStyle w:val="P13"/>
        <w:spacing w:lineRule="auto" w:line="360" w:beforeAutospacing="0" w:afterAutospacing="0"/>
        <w:ind w:firstLine="709"/>
        <w:jc w:val="center"/>
        <w:rPr>
          <w:sz w:val="28"/>
          <w:szCs w:val="28"/>
          <w:lang w:val="ru-RU"/>
        </w:rPr>
      </w:pPr>
      <w:r>
        <w:rPr>
          <w:sz w:val="28"/>
          <w:szCs w:val="28"/>
          <w:lang w:val="ru-RU"/>
        </w:rPr>
        <w:t>Рисунок 6 – Направления инклюзивного роста</w:t>
      </w:r>
      <w:r>
        <w:rPr>
          <w:rStyle w:val="C42"/>
          <w:sz w:val="28"/>
          <w:szCs w:val="28"/>
          <w:lang w:val="ru-RU"/>
        </w:rPr>
        <w:footnoteReference w:id="74"/>
      </w:r>
    </w:p>
    <w:p>
      <w:pPr>
        <w:pStyle w:val="P13"/>
        <w:spacing w:lineRule="auto" w:line="360" w:beforeAutospacing="0" w:afterAutospacing="0"/>
        <w:ind w:firstLine="709"/>
        <w:jc w:val="both"/>
        <w:rPr>
          <w:sz w:val="28"/>
          <w:szCs w:val="28"/>
          <w:lang w:val="ru-RU"/>
        </w:rPr>
      </w:pPr>
    </w:p>
    <w:p>
      <w:pPr>
        <w:pStyle w:val="P13"/>
        <w:spacing w:lineRule="auto" w:line="360" w:beforeAutospacing="0" w:afterAutospacing="0"/>
        <w:ind w:firstLine="709"/>
        <w:jc w:val="both"/>
        <w:rPr>
          <w:sz w:val="28"/>
          <w:szCs w:val="28"/>
          <w:lang w:val="ru-RU"/>
        </w:rPr>
      </w:pPr>
      <w:r>
        <w:rPr>
          <w:sz w:val="28"/>
          <w:szCs w:val="28"/>
          <w:lang w:val="ru-RU"/>
        </w:rPr>
        <w:t>Теоретические основы определения уровня инклюзивности по методике ООН отдельных стран и определения перспектив инклюзивного роста с учетом специфики стран Африки включает три блока показателей: экономика, условия жизни и равенство.</w:t>
      </w:r>
    </w:p>
    <w:p>
      <w:pPr>
        <w:pStyle w:val="P13"/>
        <w:spacing w:lineRule="auto" w:line="360" w:beforeAutospacing="0" w:afterAutospacing="0"/>
        <w:ind w:firstLine="709"/>
        <w:jc w:val="both"/>
        <w:rPr>
          <w:sz w:val="28"/>
          <w:szCs w:val="28"/>
          <w:lang w:val="ru-RU"/>
        </w:rPr>
      </w:pPr>
      <w:r>
        <w:rPr>
          <w:sz w:val="28"/>
          <w:szCs w:val="28"/>
          <w:lang w:val="ru-RU"/>
        </w:rPr>
        <w:t xml:space="preserve">Оценки инклюзивности роста, рассчитанные по данной методике, дают возможность определить сравнительные позиции каждой из африканских стран по отдельным показателям и по каждому из трех блоков и получить рекомендации для определения направлений развития, обеспечивающих наиболее эффективные пути инклюзивного роста с учетом имеющийся специфики. Данная методика оценки инклюзивности развития разработана специально для африканских стран, так как включенные показатели учитывают проблемы наименее развитых стран особенности их социального, экономического и политического развития, а также наиболее острые проблемы, связанные с бедностью, экологией, здравоохранением и образованием.  Важной целью данной методики является также оценка возможной конвергенции ЦУР.</w:t>
      </w:r>
    </w:p>
    <w:p>
      <w:pPr>
        <w:pStyle w:val="P13"/>
        <w:spacing w:lineRule="auto" w:line="360" w:beforeAutospacing="0" w:afterAutospacing="0"/>
        <w:ind w:firstLine="709"/>
        <w:jc w:val="both"/>
        <w:rPr>
          <w:sz w:val="28"/>
          <w:szCs w:val="28"/>
          <w:lang w:val="ru-RU"/>
        </w:rPr>
      </w:pPr>
      <w:r>
        <w:rPr>
          <w:sz w:val="28"/>
          <w:szCs w:val="28"/>
          <w:lang w:val="ru-RU"/>
        </w:rPr>
        <w:t>В качестве примера приведем результаты оценок индекса инклюзивности и устойчивости развития (</w:t>
      </w:r>
      <w:r>
        <w:rPr>
          <w:sz w:val="28"/>
          <w:szCs w:val="28"/>
        </w:rPr>
        <w:t>Inclusive</w:t>
      </w:r>
      <w:r>
        <w:rPr>
          <w:sz w:val="28"/>
          <w:szCs w:val="28"/>
          <w:lang w:val="ru-RU"/>
        </w:rPr>
        <w:t xml:space="preserve"> </w:t>
      </w:r>
      <w:r>
        <w:rPr>
          <w:sz w:val="28"/>
          <w:szCs w:val="28"/>
        </w:rPr>
        <w:t>Development</w:t>
      </w:r>
      <w:r>
        <w:rPr>
          <w:sz w:val="28"/>
          <w:szCs w:val="28"/>
          <w:lang w:val="ru-RU"/>
        </w:rPr>
        <w:t xml:space="preserve"> </w:t>
      </w:r>
      <w:r>
        <w:rPr>
          <w:sz w:val="28"/>
          <w:szCs w:val="28"/>
        </w:rPr>
        <w:t>Index</w:t>
      </w:r>
      <w:r>
        <w:rPr>
          <w:sz w:val="28"/>
          <w:szCs w:val="28"/>
          <w:lang w:val="ru-RU"/>
        </w:rPr>
        <w:t xml:space="preserve"> – </w:t>
      </w:r>
      <w:r>
        <w:rPr>
          <w:sz w:val="28"/>
          <w:szCs w:val="28"/>
        </w:rPr>
        <w:t>IDI</w:t>
      </w:r>
      <w:r>
        <w:rPr>
          <w:sz w:val="28"/>
          <w:szCs w:val="28"/>
          <w:lang w:val="ru-RU"/>
        </w:rPr>
        <w:t>) в рейтинге Всемирного банка [</w:t>
      </w:r>
      <w:r>
        <w:rPr>
          <w:sz w:val="28"/>
          <w:szCs w:val="28"/>
          <w:highlight w:val="yellow"/>
          <w:lang w:val="ru-RU"/>
        </w:rPr>
        <w:t>188]</w:t>
      </w:r>
      <w:r>
        <w:rPr>
          <w:sz w:val="28"/>
          <w:szCs w:val="28"/>
          <w:lang w:val="ru-RU"/>
        </w:rPr>
        <w:t>. Он разработан для межстрановых сопоставлений инклюзивности и устойчивости развития. Комплексный индекс строится на основе трех блоков: рост и развитие, инклюзивность, межпоколенческое равенство и устойчивость, для характеристики каждого из блоков используется по четыре статистических показателя, что существенно меньше, чем в методике ЮНКТАД.</w:t>
      </w:r>
    </w:p>
    <w:p>
      <w:pPr>
        <w:pStyle w:val="P13"/>
        <w:spacing w:lineRule="auto" w:line="360" w:beforeAutospacing="0" w:afterAutospacing="0"/>
        <w:ind w:firstLine="709"/>
        <w:jc w:val="both"/>
        <w:rPr>
          <w:sz w:val="28"/>
          <w:szCs w:val="28"/>
          <w:lang w:val="ru-RU"/>
        </w:rPr>
      </w:pPr>
      <w:r>
        <w:rPr>
          <w:sz w:val="28"/>
          <w:szCs w:val="28"/>
          <w:lang w:val="ru-RU"/>
        </w:rPr>
        <w:t xml:space="preserve">Блок «Рост и развитие» по своему содержанию и используемым для расчета показателям аналогичен блокам, характеризующим экономику в рассмотренных выше методиках. Особенность </w:t>
      </w:r>
      <w:r>
        <w:rPr>
          <w:sz w:val="28"/>
          <w:szCs w:val="28"/>
        </w:rPr>
        <w:t>IDI</w:t>
      </w:r>
      <w:r>
        <w:rPr>
          <w:sz w:val="28"/>
          <w:szCs w:val="28"/>
          <w:lang w:val="ru-RU"/>
        </w:rPr>
        <w:t xml:space="preserve"> состоит в другом подходе к определению неравенства, которое рассматривается не только как неравенство в распределении доходов, но и неравенство в распределении богатства, а также распределение благ между поколениями, вместе с тем, гендерное неравенство во внимание не принимается.</w:t>
      </w:r>
    </w:p>
    <w:p>
      <w:pPr>
        <w:pStyle w:val="P13"/>
        <w:spacing w:lineRule="auto" w:line="360" w:beforeAutospacing="0" w:afterAutospacing="0"/>
        <w:ind w:firstLine="709"/>
        <w:jc w:val="both"/>
        <w:rPr>
          <w:sz w:val="28"/>
          <w:szCs w:val="28"/>
          <w:lang w:val="ru-RU"/>
        </w:rPr>
      </w:pPr>
      <w:r>
        <w:rPr>
          <w:sz w:val="28"/>
          <w:szCs w:val="28"/>
          <w:lang w:val="ru-RU"/>
        </w:rPr>
        <w:t>Общей чертой методик количественной оценки инклюзивности роста и развития является построение комплексного индекса на основе всех трех составляющих: экономической, социальной и экологической, однако в разных методиках акценты делаются на разные составляющие. Для характеристики каждой составляющей используются различные блоки статистических показателей. В силу неоднозначности каждого из блоков, включаемых в комплексный индекс, в разных методиках одни и те же показатели используются для характеристики разных блоков. Пример в этом отношении экологический показатель выбросов СО</w:t>
      </w:r>
      <w:r>
        <w:rPr>
          <w:sz w:val="28"/>
          <w:szCs w:val="28"/>
          <w:vertAlign w:val="subscript"/>
          <w:lang w:val="ru-RU"/>
        </w:rPr>
        <w:t>2</w:t>
      </w:r>
      <w:r>
        <w:rPr>
          <w:sz w:val="28"/>
          <w:szCs w:val="28"/>
          <w:lang w:val="ru-RU"/>
        </w:rPr>
        <w:t xml:space="preserve">. В ИИР, представленном в методике ЮНКТАД, он использован для характеристики условий жизни, а в </w:t>
      </w:r>
      <w:r>
        <w:rPr>
          <w:sz w:val="28"/>
          <w:szCs w:val="28"/>
        </w:rPr>
        <w:t>IDI</w:t>
      </w:r>
      <w:r>
        <w:rPr>
          <w:sz w:val="28"/>
          <w:szCs w:val="28"/>
          <w:lang w:val="ru-RU"/>
        </w:rPr>
        <w:t xml:space="preserve"> ВЭФ для характеристики межпоколенческого равенства и устойчивости. </w:t>
      </w:r>
    </w:p>
    <w:p>
      <w:pPr>
        <w:pStyle w:val="P13"/>
        <w:spacing w:lineRule="auto" w:line="360" w:beforeAutospacing="0" w:afterAutospacing="0"/>
        <w:ind w:firstLine="709"/>
        <w:jc w:val="both"/>
        <w:rPr>
          <w:sz w:val="28"/>
          <w:szCs w:val="28"/>
          <w:lang w:val="ru-RU"/>
        </w:rPr>
      </w:pPr>
      <w:r>
        <w:rPr>
          <w:sz w:val="28"/>
          <w:szCs w:val="28"/>
          <w:lang w:val="ru-RU"/>
        </w:rPr>
        <w:t>Общих критериев для отнесения конкретных статистических показателей к «экономическим», «социальным» или «экологическим» нет. Однако с точки зрения ранжирования стран Африки относительно друг друга в международных рейтингах инклюзивности результаты разных методик дают примерно одинаковые оценки.</w:t>
      </w:r>
    </w:p>
    <w:p>
      <w:pPr>
        <w:pStyle w:val="P13"/>
        <w:spacing w:lineRule="auto" w:line="360" w:beforeAutospacing="0" w:afterAutospacing="0"/>
        <w:ind w:firstLine="709"/>
        <w:jc w:val="both"/>
        <w:rPr>
          <w:sz w:val="28"/>
          <w:szCs w:val="28"/>
          <w:lang w:val="ru-RU"/>
        </w:rPr>
      </w:pPr>
      <w:r>
        <w:rPr>
          <w:sz w:val="28"/>
          <w:szCs w:val="28"/>
          <w:lang w:val="ru-RU"/>
        </w:rPr>
        <w:t>В этой связи при использовании индекса как инструмента для выработки экономической политики продуктивным представляется подход, когда, сохраняя общую содержательную идею инклюзивности, методика строится на базе учета экономических, социальных и экологических факторов. Однако для количественной оценки индекса используется набор статистических показателей наиболее подходящих для решения конкретных задач, ради которых данная методика и применяется. Так, в случае стран Африки построение ИИР должно опираться на статистические показатели, с одной стороны отражающие все три характерные черты инклюзивного роста и развития, с другой стороны, хорошо описывающие процессы возможной интеграции на африканском континенте. При этом очень существенным ограничением является наличие надежной статистики, позволяющей отслеживать не только динамику индекса и его составных частей, но и учитывать влияние гуманитарной и грантовой помощи от стран и международных организаций.</w:t>
      </w:r>
    </w:p>
    <w:p>
      <w:pPr>
        <w:pStyle w:val="P13"/>
        <w:spacing w:lineRule="auto" w:line="360" w:beforeAutospacing="0" w:afterAutospacing="0"/>
        <w:ind w:firstLine="707" w:right="167"/>
        <w:jc w:val="both"/>
        <w:rPr>
          <w:sz w:val="28"/>
          <w:szCs w:val="28"/>
          <w:lang w:val="ru-RU"/>
        </w:rPr>
      </w:pPr>
      <w:r>
        <w:rPr>
          <w:sz w:val="28"/>
          <w:szCs w:val="28"/>
          <w:lang w:val="ru-RU"/>
        </w:rPr>
        <w:t xml:space="preserve">Современные исследования инклюзивного развития </w:t>
      </w:r>
      <w:r>
        <w:rPr>
          <w:sz w:val="28"/>
          <w:szCs w:val="28"/>
          <w:highlight w:val="yellow"/>
          <w:lang w:val="ru-RU"/>
        </w:rPr>
        <w:t>(ссылки??)</w:t>
      </w:r>
      <w:r>
        <w:rPr>
          <w:sz w:val="28"/>
          <w:szCs w:val="28"/>
          <w:lang w:val="ru-RU"/>
        </w:rPr>
        <w:t xml:space="preserve"> все чаще включают институциональные параметры: качество управления, доступ к рынкам, финансовую включенность, инфраструктуру и предпринимательские возможности. В этих подходах инклюзивность понимается как включенность экономических агентов в процессы создания стоимости, а не только перераспределение доходов. Данное направление методологически наиболее близко к целям настоящего исследования, однако в большинстве существующих методик инновационная компонента остается вторичной.</w:t>
      </w:r>
    </w:p>
    <w:p>
      <w:pPr>
        <w:pStyle w:val="P13"/>
        <w:spacing w:lineRule="auto" w:line="360" w:beforeAutospacing="0" w:afterAutospacing="0"/>
        <w:ind w:firstLine="707" w:right="167"/>
        <w:jc w:val="both"/>
        <w:rPr>
          <w:sz w:val="28"/>
          <w:szCs w:val="28"/>
          <w:lang w:val="ru-RU"/>
        </w:rPr>
      </w:pPr>
      <w:r>
        <w:rPr>
          <w:sz w:val="28"/>
          <w:szCs w:val="28"/>
          <w:lang w:val="ru-RU"/>
        </w:rPr>
        <w:t>Обобщение существующих методик позволяет выделить их ключевые ограничения:</w:t>
      </w:r>
    </w:p>
    <w:p>
      <w:pPr>
        <w:pStyle w:val="P13"/>
        <w:numPr>
          <w:ilvl w:val="0"/>
          <w:numId w:val="22"/>
        </w:numPr>
        <w:tabs>
          <w:tab w:val="left" w:pos="993" w:leader="none"/>
        </w:tabs>
        <w:spacing w:lineRule="auto" w:line="360" w:beforeAutospacing="0" w:afterAutospacing="0"/>
        <w:ind w:firstLine="709" w:left="0" w:right="167"/>
        <w:jc w:val="both"/>
        <w:rPr>
          <w:sz w:val="28"/>
          <w:szCs w:val="28"/>
          <w:lang w:val="ru-RU"/>
        </w:rPr>
      </w:pPr>
      <w:r>
        <w:rPr>
          <w:sz w:val="28"/>
          <w:szCs w:val="28"/>
          <w:lang w:val="ru-RU"/>
        </w:rPr>
        <w:t>ориентация преимущественно на социальные результаты, а не на источники роста;</w:t>
      </w:r>
    </w:p>
    <w:p>
      <w:pPr>
        <w:pStyle w:val="P13"/>
        <w:numPr>
          <w:ilvl w:val="0"/>
          <w:numId w:val="22"/>
        </w:numPr>
        <w:tabs>
          <w:tab w:val="left" w:pos="993" w:leader="none"/>
        </w:tabs>
        <w:spacing w:lineRule="auto" w:line="360" w:beforeAutospacing="0" w:afterAutospacing="0"/>
        <w:ind w:firstLine="709" w:left="0" w:right="167"/>
        <w:jc w:val="both"/>
        <w:rPr>
          <w:sz w:val="28"/>
          <w:szCs w:val="28"/>
          <w:lang w:val="ru-RU"/>
        </w:rPr>
      </w:pPr>
      <w:r>
        <w:rPr>
          <w:sz w:val="28"/>
          <w:szCs w:val="28"/>
          <w:lang w:val="ru-RU"/>
        </w:rPr>
        <w:t>слабая связь с инновационной динамикой;</w:t>
      </w:r>
    </w:p>
    <w:p>
      <w:pPr>
        <w:pStyle w:val="P13"/>
        <w:numPr>
          <w:ilvl w:val="0"/>
          <w:numId w:val="22"/>
        </w:numPr>
        <w:tabs>
          <w:tab w:val="left" w:pos="993" w:leader="none"/>
        </w:tabs>
        <w:spacing w:lineRule="auto" w:line="360" w:beforeAutospacing="0" w:afterAutospacing="0"/>
        <w:ind w:firstLine="709" w:left="0" w:right="167"/>
        <w:jc w:val="both"/>
        <w:rPr>
          <w:sz w:val="28"/>
          <w:szCs w:val="28"/>
          <w:lang w:val="ru-RU"/>
        </w:rPr>
      </w:pPr>
      <w:r>
        <w:rPr>
          <w:sz w:val="28"/>
          <w:szCs w:val="28"/>
          <w:lang w:val="ru-RU"/>
        </w:rPr>
        <w:t>ограниченная применимость к региональному уровню в условиях развивающихся стран;</w:t>
      </w:r>
    </w:p>
    <w:p>
      <w:pPr>
        <w:pStyle w:val="P13"/>
        <w:numPr>
          <w:ilvl w:val="0"/>
          <w:numId w:val="22"/>
        </w:numPr>
        <w:tabs>
          <w:tab w:val="left" w:pos="993" w:leader="none"/>
        </w:tabs>
        <w:spacing w:lineRule="auto" w:line="360" w:beforeAutospacing="0" w:afterAutospacing="0"/>
        <w:ind w:firstLine="709" w:left="0" w:right="167"/>
        <w:jc w:val="both"/>
        <w:rPr>
          <w:sz w:val="28"/>
          <w:szCs w:val="28"/>
          <w:lang w:val="ru-RU"/>
        </w:rPr>
      </w:pPr>
      <w:r>
        <w:rPr>
          <w:sz w:val="28"/>
          <w:szCs w:val="28"/>
          <w:lang w:val="ru-RU"/>
        </w:rPr>
        <w:t>фрагментарность учета институциональных факторов.</w:t>
      </w:r>
    </w:p>
    <w:p>
      <w:pPr>
        <w:pStyle w:val="P13"/>
        <w:spacing w:lineRule="auto" w:line="360" w:beforeAutospacing="0" w:afterAutospacing="0"/>
        <w:ind w:firstLine="709"/>
        <w:jc w:val="both"/>
        <w:rPr>
          <w:sz w:val="28"/>
          <w:szCs w:val="28"/>
          <w:lang w:val="ru-RU"/>
        </w:rPr>
      </w:pPr>
      <w:r>
        <w:rPr>
          <w:sz w:val="28"/>
          <w:szCs w:val="28"/>
          <w:lang w:val="ru-RU"/>
        </w:rPr>
        <w:t>В отношении оценки цифровой платформизации в экономической литературе и практике отсутствует единый универсальный подход. Существующие методики формировались в рамках различных исследовательских традиций и институциональных контекстов, что обусловило их фрагментарный характер и ориентацию на отдельные измерения платформенной экономики (таблица 11).</w:t>
      </w:r>
    </w:p>
    <w:p>
      <w:pPr>
        <w:pStyle w:val="P13"/>
        <w:spacing w:lineRule="auto" w:line="360" w:beforeAutospacing="0" w:afterAutospacing="0"/>
        <w:ind w:firstLine="709"/>
        <w:jc w:val="both"/>
        <w:rPr>
          <w:sz w:val="28"/>
          <w:szCs w:val="28"/>
          <w:lang w:val="ru-RU"/>
        </w:rPr>
      </w:pPr>
      <w:r>
        <w:rPr>
          <w:sz w:val="28"/>
          <w:szCs w:val="28"/>
          <w:lang w:val="ru-RU"/>
        </w:rPr>
        <w:t xml:space="preserve">Наиболее распространенным является технологико-инфраструктурный подход, разрабатываемый и применяемый международными организациями, такими как Организация экономического сотрудничества и развития, Всемирный банк и Международный союз электросвязи </w:t>
      </w:r>
      <w:r>
        <w:rPr>
          <w:sz w:val="28"/>
          <w:szCs w:val="28"/>
          <w:highlight w:val="yellow"/>
          <w:lang w:val="ru-RU"/>
        </w:rPr>
        <w:t>(ссылки??)</w:t>
      </w:r>
      <w:r>
        <w:rPr>
          <w:sz w:val="28"/>
          <w:szCs w:val="28"/>
          <w:lang w:val="ru-RU"/>
        </w:rPr>
        <w:t>. В рамках данного подхода цифровая платформизация оценивается через показатели развития цифровой инфраструктуры, включая проникновение интернета и мобильной связи, использование информационно-коммуникационных технологий и цифровых платежных инструментов. Несмотря на высокую сопоставимость и доступность данных, этот подход не позволяет оценить институциональные, социальные и поведенческие эффекты платформизации и в условиях развивающихся стран часто приводит к завышенной оценке ее результативности.</w:t>
      </w:r>
    </w:p>
    <w:p>
      <w:pPr>
        <w:pStyle w:val="P13"/>
        <w:spacing w:lineRule="auto" w:line="360" w:beforeAutospacing="0" w:afterAutospacing="0"/>
        <w:ind w:firstLine="709"/>
        <w:jc w:val="both"/>
        <w:rPr>
          <w:sz w:val="28"/>
          <w:szCs w:val="28"/>
          <w:lang w:val="ru-RU"/>
        </w:rPr>
      </w:pPr>
      <w:r>
        <w:rPr>
          <w:sz w:val="28"/>
          <w:szCs w:val="28"/>
          <w:lang w:val="ru-RU"/>
        </w:rPr>
        <w:t xml:space="preserve">Существенный вклад в анализ платформ внесен в рамках рыночно-экономического подхода, представленного теорией двусторонних рынков и платформ, разработанной Ж. Тиролем, Д. Эвансом, Р. Шмалензи, Ж.-Ш. Роше, а также прикладными исследованиями консалтинговых агентств </w:t>
      </w:r>
      <w:r>
        <w:rPr>
          <w:sz w:val="28"/>
          <w:szCs w:val="28"/>
          <w:highlight w:val="yellow"/>
          <w:lang w:val="ru-RU"/>
        </w:rPr>
        <w:t>(ссылки??)</w:t>
      </w:r>
      <w:r>
        <w:rPr>
          <w:sz w:val="28"/>
          <w:szCs w:val="28"/>
          <w:lang w:val="ru-RU"/>
        </w:rPr>
        <w:t>. В центре внимания данного подхода находятся сетевые эффекты, масштабы пользовательской базы, объемы трансакций, выручка и рыночная власть платформ. Однако ориентация на коммерческую результативность и крупные цифровые рынки ограничивает его применимость для анализа платформизации малого и среднего бизнеса и оценки инклюзивных эффектов в развивающихся экономиках.</w:t>
      </w:r>
    </w:p>
    <w:p>
      <w:pPr>
        <w:pStyle w:val="P13"/>
        <w:spacing w:lineRule="auto" w:line="360" w:beforeAutospacing="0" w:afterAutospacing="0"/>
        <w:ind w:firstLine="709"/>
        <w:jc w:val="both"/>
        <w:rPr>
          <w:sz w:val="28"/>
          <w:szCs w:val="28"/>
          <w:lang w:val="ru-RU"/>
        </w:rPr>
      </w:pPr>
      <w:r>
        <w:rPr>
          <w:sz w:val="28"/>
          <w:szCs w:val="28"/>
          <w:lang w:val="ru-RU"/>
        </w:rPr>
        <w:t xml:space="preserve">Отдельную группу составляют институционально-регуляторные подходы, разрабатываемые регуляторными органами и правовыми школами, прежде всего в рамках антимонопольного и цифрового регулирования </w:t>
      </w:r>
      <w:r>
        <w:rPr>
          <w:sz w:val="28"/>
          <w:szCs w:val="28"/>
          <w:highlight w:val="yellow"/>
          <w:lang w:val="ru-RU"/>
        </w:rPr>
        <w:t>(ссылки??)</w:t>
      </w:r>
      <w:r>
        <w:rPr>
          <w:sz w:val="28"/>
          <w:szCs w:val="28"/>
          <w:lang w:val="ru-RU"/>
        </w:rPr>
        <w:t>. Эти подходы фокусируются на анализе нормативно-правовой среды, включая защиту данных, конкуренцию, налогообложение и трудовые отношения. Их достоинством является выявление регуляторных барьеров и рисков, однако формальный характер оценки и слабый учет неформальных институтов и фактического поведения пользователей ограничивают их аналитическую глубину.</w:t>
      </w:r>
    </w:p>
    <w:p>
      <w:pPr>
        <w:pStyle w:val="P13"/>
        <w:spacing w:lineRule="auto" w:line="360" w:beforeAutospacing="0" w:afterAutospacing="0"/>
        <w:ind w:firstLine="709"/>
        <w:jc w:val="both"/>
        <w:rPr>
          <w:sz w:val="28"/>
          <w:szCs w:val="28"/>
          <w:lang w:val="ru-RU"/>
        </w:rPr>
      </w:pPr>
      <w:r>
        <w:rPr>
          <w:sz w:val="28"/>
          <w:szCs w:val="28"/>
          <w:lang w:val="ru-RU"/>
        </w:rPr>
        <w:t xml:space="preserve">В рамках социально-инклюзивного подхода, развиваемого в трудах Дж. Стиглица, А. Сена, а также в исследованиях ПРООН, МОТ и ЮНКТАД, цифровая платформизация рассматривается через призму занятости, доступа к рынкам, социальной мобильности и вовлеченности уязвимых групп </w:t>
      </w:r>
      <w:r>
        <w:rPr>
          <w:sz w:val="28"/>
          <w:szCs w:val="28"/>
          <w:highlight w:val="yellow"/>
          <w:lang w:val="ru-RU"/>
        </w:rPr>
        <w:t>(ссылки??)</w:t>
      </w:r>
      <w:r>
        <w:rPr>
          <w:sz w:val="28"/>
          <w:szCs w:val="28"/>
          <w:lang w:val="ru-RU"/>
        </w:rPr>
        <w:t>. Данный подход позволяет выявить социальные эффекты платформенного развития, однако зачастую носит описательный характер и слабо интегрируется с анализом инновационной динамики и институциональной совместимости.</w:t>
      </w:r>
    </w:p>
    <w:p>
      <w:pPr>
        <w:pStyle w:val="P13"/>
        <w:spacing w:lineRule="auto" w:line="360" w:beforeAutospacing="0" w:afterAutospacing="0"/>
        <w:ind w:firstLine="709"/>
        <w:jc w:val="both"/>
        <w:rPr>
          <w:sz w:val="28"/>
          <w:szCs w:val="28"/>
          <w:lang w:val="ru-RU"/>
        </w:rPr>
      </w:pPr>
      <w:r>
        <w:rPr>
          <w:sz w:val="28"/>
          <w:szCs w:val="28"/>
          <w:lang w:val="ru-RU"/>
        </w:rPr>
        <w:t xml:space="preserve">Относительно новым направлением является поведенческий и доверительный подход, представленный исследованиями платформенной экономики, экосистем и пользовательского опыта </w:t>
      </w:r>
      <w:r>
        <w:rPr>
          <w:sz w:val="28"/>
          <w:szCs w:val="28"/>
          <w:highlight w:val="yellow"/>
          <w:lang w:val="ru-RU"/>
        </w:rPr>
        <w:t>(ссылки??)</w:t>
      </w:r>
      <w:r>
        <w:rPr>
          <w:sz w:val="28"/>
          <w:szCs w:val="28"/>
          <w:lang w:val="ru-RU"/>
        </w:rPr>
        <w:t>. В его рамках анализируются повторяемость трансакций, рейтинговые механизмы, разрешение споров, параметры пользовательского опыта и восприятие безопасности. Несмотря на высокий аналитический потенциал, данный подход требует доступа к микроданным платформ и редко применяется в системной оценке на макро- и мезоуровне.</w:t>
      </w:r>
    </w:p>
    <w:p>
      <w:pPr>
        <w:pStyle w:val="P13"/>
        <w:spacing w:lineRule="auto" w:line="360" w:beforeAutospacing="0" w:afterAutospacing="0"/>
        <w:ind w:firstLine="709"/>
        <w:jc w:val="both"/>
        <w:rPr>
          <w:sz w:val="28"/>
          <w:szCs w:val="28"/>
          <w:lang w:val="ru-RU"/>
        </w:rPr>
      </w:pPr>
      <w:r>
        <w:rPr>
          <w:sz w:val="28"/>
          <w:szCs w:val="28"/>
          <w:lang w:val="ru-RU"/>
        </w:rPr>
        <w:t xml:space="preserve">Наконец, предпринимаются попытки формирования комплексных индексных методик, объединяющих технологические, экономические и институциональные показатели цифровой экономики и платформизации </w:t>
      </w:r>
      <w:r>
        <w:rPr>
          <w:sz w:val="28"/>
          <w:szCs w:val="28"/>
          <w:highlight w:val="yellow"/>
          <w:lang w:val="ru-RU"/>
        </w:rPr>
        <w:t>(ссылки??)</w:t>
      </w:r>
      <w:r>
        <w:rPr>
          <w:sz w:val="28"/>
          <w:szCs w:val="28"/>
          <w:lang w:val="ru-RU"/>
        </w:rPr>
        <w:t>. Эти подходы удобны для межстрановых сопоставлений, однако часто характеризуются методологической эклектичностью и низкой чувствительностью к локальному контексту и специфике малого и среднего бизнеса.</w:t>
      </w:r>
    </w:p>
    <w:p>
      <w:pPr>
        <w:pStyle w:val="P13"/>
        <w:spacing w:lineRule="auto" w:line="360" w:beforeAutospacing="0" w:afterAutospacing="0"/>
        <w:ind w:firstLine="709"/>
        <w:jc w:val="both"/>
        <w:rPr>
          <w:sz w:val="28"/>
          <w:szCs w:val="28"/>
          <w:lang w:val="ru-RU"/>
        </w:rPr>
      </w:pPr>
    </w:p>
    <w:p>
      <w:pPr>
        <w:pStyle w:val="P13"/>
        <w:spacing w:lineRule="auto" w:line="360" w:beforeAutospacing="0" w:afterAutospacing="0"/>
        <w:jc w:val="both"/>
        <w:rPr>
          <w:sz w:val="28"/>
          <w:szCs w:val="28"/>
          <w:lang w:val="ru-RU"/>
        </w:rPr>
      </w:pPr>
      <w:r>
        <w:rPr>
          <w:sz w:val="28"/>
          <w:szCs w:val="28"/>
          <w:lang w:val="ru-RU"/>
        </w:rPr>
        <w:t>Таблица 11 – Обзор подходов к оценке цифровой платформизации (составлено автором)</w:t>
      </w:r>
    </w:p>
    <w:tbl>
      <w:tblPr>
        <w:tblStyle w:val="T3"/>
        <w:tblW w:w="0" w:type="auto"/>
        <w:tblLayout w:type="fixed"/>
        <w:tblLook w:val="04A0"/>
      </w:tblPr>
      <w:tblGrid>
        <w:gridCol w:w="1964"/>
        <w:gridCol w:w="2126"/>
        <w:gridCol w:w="1150"/>
        <w:gridCol w:w="2457"/>
        <w:gridCol w:w="2215"/>
      </w:tblGrid>
      <w:tr>
        <w:tc>
          <w:tcPr>
            <w:tcW w:w="1964" w:type="dxa"/>
            <w:hideMark/>
          </w:tcPr>
          <w:p>
            <w:pPr>
              <w:jc w:val="center"/>
              <w:rPr>
                <w:rFonts w:ascii="Times New Roman" w:hAnsi="Times New Roman" w:cs="Times New Roman" w:eastAsia="Times New Roman"/>
                <w:bCs w:val="1"/>
                <w:sz w:val="24"/>
                <w:szCs w:val="24"/>
                <w:lang w:eastAsia="ru-RU"/>
              </w:rPr>
            </w:pPr>
            <w:r>
              <w:rPr>
                <w:rFonts w:ascii="Times New Roman" w:hAnsi="Times New Roman" w:cs="Times New Roman" w:eastAsia="Times New Roman"/>
                <w:bCs w:val="1"/>
                <w:sz w:val="24"/>
                <w:szCs w:val="24"/>
                <w:lang w:eastAsia="ru-RU"/>
              </w:rPr>
              <w:t>Автор / институт</w:t>
            </w:r>
          </w:p>
        </w:tc>
        <w:tc>
          <w:tcPr>
            <w:tcW w:w="2126" w:type="dxa"/>
            <w:hideMark/>
          </w:tcPr>
          <w:p>
            <w:pPr>
              <w:jc w:val="center"/>
              <w:rPr>
                <w:rFonts w:ascii="Times New Roman" w:hAnsi="Times New Roman" w:cs="Times New Roman" w:eastAsia="Times New Roman"/>
                <w:bCs w:val="1"/>
                <w:sz w:val="24"/>
                <w:szCs w:val="24"/>
                <w:lang w:eastAsia="ru-RU"/>
              </w:rPr>
            </w:pPr>
            <w:r>
              <w:rPr>
                <w:rFonts w:ascii="Times New Roman" w:hAnsi="Times New Roman" w:cs="Times New Roman" w:eastAsia="Times New Roman"/>
                <w:bCs w:val="1"/>
                <w:sz w:val="24"/>
                <w:szCs w:val="24"/>
                <w:lang w:eastAsia="ru-RU"/>
              </w:rPr>
              <w:t>Название подхода / методики</w:t>
            </w:r>
          </w:p>
        </w:tc>
        <w:tc>
          <w:tcPr>
            <w:tcW w:w="1150" w:type="dxa"/>
            <w:hideMark/>
          </w:tcPr>
          <w:p>
            <w:pPr>
              <w:jc w:val="center"/>
              <w:rPr>
                <w:rFonts w:ascii="Times New Roman" w:hAnsi="Times New Roman" w:cs="Times New Roman" w:eastAsia="Times New Roman"/>
                <w:bCs w:val="1"/>
                <w:sz w:val="24"/>
                <w:szCs w:val="24"/>
                <w:lang w:eastAsia="ru-RU"/>
              </w:rPr>
            </w:pPr>
            <w:r>
              <w:rPr>
                <w:rFonts w:ascii="Times New Roman" w:hAnsi="Times New Roman" w:cs="Times New Roman" w:eastAsia="Times New Roman"/>
                <w:bCs w:val="1"/>
                <w:sz w:val="24"/>
                <w:szCs w:val="24"/>
                <w:lang w:eastAsia="ru-RU"/>
              </w:rPr>
              <w:t>Уровень анализа</w:t>
            </w:r>
          </w:p>
        </w:tc>
        <w:tc>
          <w:tcPr>
            <w:tcW w:w="2457" w:type="dxa"/>
            <w:hideMark/>
          </w:tcPr>
          <w:p>
            <w:pPr>
              <w:jc w:val="center"/>
              <w:rPr>
                <w:rFonts w:ascii="Times New Roman" w:hAnsi="Times New Roman" w:cs="Times New Roman" w:eastAsia="Times New Roman"/>
                <w:bCs w:val="1"/>
                <w:sz w:val="24"/>
                <w:szCs w:val="24"/>
                <w:lang w:eastAsia="ru-RU"/>
              </w:rPr>
            </w:pPr>
            <w:r>
              <w:rPr>
                <w:rFonts w:ascii="Times New Roman" w:hAnsi="Times New Roman" w:cs="Times New Roman" w:eastAsia="Times New Roman"/>
                <w:bCs w:val="1"/>
                <w:sz w:val="24"/>
                <w:szCs w:val="24"/>
                <w:lang w:eastAsia="ru-RU"/>
              </w:rPr>
              <w:t>Ключевые показатели и акценты</w:t>
            </w:r>
          </w:p>
        </w:tc>
        <w:tc>
          <w:tcPr>
            <w:tcW w:w="2215" w:type="dxa"/>
            <w:hideMark/>
          </w:tcPr>
          <w:p>
            <w:pPr>
              <w:jc w:val="center"/>
              <w:rPr>
                <w:rFonts w:ascii="Times New Roman" w:hAnsi="Times New Roman" w:cs="Times New Roman" w:eastAsia="Times New Roman"/>
                <w:bCs w:val="1"/>
                <w:sz w:val="24"/>
                <w:szCs w:val="24"/>
                <w:lang w:eastAsia="ru-RU"/>
              </w:rPr>
            </w:pPr>
            <w:r>
              <w:rPr>
                <w:rFonts w:ascii="Times New Roman" w:hAnsi="Times New Roman" w:cs="Times New Roman" w:eastAsia="Times New Roman"/>
                <w:bCs w:val="1"/>
                <w:sz w:val="24"/>
                <w:szCs w:val="24"/>
                <w:lang w:eastAsia="ru-RU"/>
              </w:rPr>
              <w:t>Методические ограничения</w:t>
            </w:r>
          </w:p>
        </w:tc>
      </w:tr>
      <w:tr>
        <w:tc>
          <w:tcPr>
            <w:tcW w:w="1964"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bCs w:val="1"/>
                <w:sz w:val="24"/>
                <w:szCs w:val="24"/>
                <w:lang w:eastAsia="ru-RU"/>
              </w:rPr>
              <w:t>ОЭСР; Всемирный банк; Международный союз электросвязи (МСЭ)</w:t>
            </w:r>
          </w:p>
        </w:tc>
        <w:tc>
          <w:tcPr>
            <w:tcW w:w="2126"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Технологико-инфраструктур-ный подход к оценке цифровой экономики</w:t>
            </w:r>
          </w:p>
        </w:tc>
        <w:tc>
          <w:tcPr>
            <w:tcW w:w="1150"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Макро-, мезо-уровень</w:t>
            </w:r>
          </w:p>
        </w:tc>
        <w:tc>
          <w:tcPr>
            <w:tcW w:w="2457"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Проникновение интернета и мобильной связи, ИКТ, цифровые платежи, цифровая инфраструктура</w:t>
            </w:r>
          </w:p>
        </w:tc>
        <w:tc>
          <w:tcPr>
            <w:tcW w:w="2215"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Игнорирует институциональ-ные и социальные эффекты; переоце-нка цифровизации в развивающихся странах</w:t>
            </w:r>
          </w:p>
        </w:tc>
      </w:tr>
      <w:tr>
        <w:tc>
          <w:tcPr>
            <w:tcW w:w="1964" w:type="dxa"/>
            <w:hideMark/>
          </w:tcPr>
          <w:p>
            <w:pPr>
              <w:rPr>
                <w:rFonts w:ascii="Times New Roman" w:hAnsi="Times New Roman" w:cs="Times New Roman" w:eastAsia="Times New Roman"/>
                <w:bCs w:val="1"/>
                <w:sz w:val="24"/>
                <w:szCs w:val="24"/>
                <w:lang w:eastAsia="ru-RU"/>
              </w:rPr>
            </w:pPr>
            <w:r>
              <w:rPr>
                <w:rFonts w:ascii="Times New Roman" w:hAnsi="Times New Roman" w:cs="Times New Roman" w:eastAsia="Times New Roman"/>
                <w:bCs w:val="1"/>
                <w:sz w:val="24"/>
                <w:szCs w:val="24"/>
                <w:lang w:eastAsia="ru-RU"/>
              </w:rPr>
              <w:t xml:space="preserve">Ж. Тироль; </w:t>
            </w:r>
          </w:p>
          <w:p>
            <w:pPr>
              <w:rPr>
                <w:rFonts w:ascii="Times New Roman" w:hAnsi="Times New Roman" w:cs="Times New Roman" w:eastAsia="Times New Roman"/>
                <w:bCs w:val="1"/>
                <w:sz w:val="24"/>
                <w:szCs w:val="24"/>
                <w:lang w:eastAsia="ru-RU"/>
              </w:rPr>
            </w:pPr>
            <w:r>
              <w:rPr>
                <w:rFonts w:ascii="Times New Roman" w:hAnsi="Times New Roman" w:cs="Times New Roman" w:eastAsia="Times New Roman"/>
                <w:bCs w:val="1"/>
                <w:sz w:val="24"/>
                <w:szCs w:val="24"/>
                <w:lang w:eastAsia="ru-RU"/>
              </w:rPr>
              <w:t>Д. Эванс,</w:t>
            </w:r>
          </w:p>
          <w:p>
            <w:pPr>
              <w:rPr>
                <w:rFonts w:ascii="Times New Roman" w:hAnsi="Times New Roman" w:cs="Times New Roman" w:eastAsia="Times New Roman"/>
                <w:sz w:val="24"/>
                <w:szCs w:val="24"/>
                <w:lang w:eastAsia="ru-RU"/>
              </w:rPr>
            </w:pPr>
            <w:r>
              <w:rPr>
                <w:rFonts w:ascii="Times New Roman" w:hAnsi="Times New Roman" w:cs="Times New Roman" w:eastAsia="Times New Roman"/>
                <w:bCs w:val="1"/>
                <w:sz w:val="24"/>
                <w:szCs w:val="24"/>
                <w:lang w:eastAsia="ru-RU"/>
              </w:rPr>
              <w:t xml:space="preserve"> Р. Шмалензи; Ж.-Ш. Роше; </w:t>
            </w:r>
            <w:r>
              <w:rPr>
                <w:rFonts w:ascii="Times New Roman" w:hAnsi="Times New Roman" w:cs="Times New Roman" w:eastAsia="Times New Roman"/>
                <w:bCs w:val="1"/>
                <w:sz w:val="24"/>
                <w:szCs w:val="24"/>
                <w:lang w:val="en-US" w:eastAsia="ru-RU"/>
              </w:rPr>
              <w:t>McKinsey</w:t>
            </w:r>
            <w:r>
              <w:rPr>
                <w:rFonts w:ascii="Times New Roman" w:hAnsi="Times New Roman" w:cs="Times New Roman" w:eastAsia="Times New Roman"/>
                <w:bCs w:val="1"/>
                <w:sz w:val="24"/>
                <w:szCs w:val="24"/>
                <w:lang w:eastAsia="ru-RU"/>
              </w:rPr>
              <w:t xml:space="preserve">; </w:t>
            </w:r>
            <w:r>
              <w:rPr>
                <w:rFonts w:ascii="Times New Roman" w:hAnsi="Times New Roman" w:cs="Times New Roman" w:eastAsia="Times New Roman"/>
                <w:bCs w:val="1"/>
                <w:sz w:val="24"/>
                <w:szCs w:val="24"/>
                <w:lang w:val="en-US" w:eastAsia="ru-RU"/>
              </w:rPr>
              <w:t>BCG</w:t>
            </w:r>
            <w:r>
              <w:rPr>
                <w:rFonts w:ascii="Times New Roman" w:hAnsi="Times New Roman" w:cs="Times New Roman" w:eastAsia="Times New Roman"/>
                <w:bCs w:val="1"/>
                <w:sz w:val="24"/>
                <w:szCs w:val="24"/>
                <w:lang w:eastAsia="ru-RU"/>
              </w:rPr>
              <w:t xml:space="preserve">; </w:t>
            </w:r>
            <w:r>
              <w:rPr>
                <w:rFonts w:ascii="Times New Roman" w:hAnsi="Times New Roman" w:cs="Times New Roman" w:eastAsia="Times New Roman"/>
                <w:bCs w:val="1"/>
                <w:sz w:val="24"/>
                <w:szCs w:val="24"/>
                <w:lang w:val="en-US" w:eastAsia="ru-RU"/>
              </w:rPr>
              <w:t>Accenture</w:t>
            </w:r>
          </w:p>
        </w:tc>
        <w:tc>
          <w:tcPr>
            <w:tcW w:w="2126"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Рыночно-экономическая (платформенно-рыночная) оценка</w:t>
            </w:r>
          </w:p>
        </w:tc>
        <w:tc>
          <w:tcPr>
            <w:tcW w:w="1150"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Микро-, мезо-уровень</w:t>
            </w:r>
          </w:p>
        </w:tc>
        <w:tc>
          <w:tcPr>
            <w:tcW w:w="2457"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Число пользователей, сетевые эффекты, объемы транзакций, выручка, рыночная власть</w:t>
            </w:r>
          </w:p>
        </w:tc>
        <w:tc>
          <w:tcPr>
            <w:tcW w:w="2215"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Ориентация на крупные платформы; слабое отражение МСП, инклюзивности и институционального контекста</w:t>
            </w:r>
          </w:p>
        </w:tc>
      </w:tr>
      <w:tr>
        <w:tc>
          <w:tcPr>
            <w:tcW w:w="1964"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bCs w:val="1"/>
                <w:sz w:val="24"/>
                <w:szCs w:val="24"/>
                <w:lang w:eastAsia="ru-RU"/>
              </w:rPr>
              <w:t>Европейская комиссия; Федеральная торговая комиссия США; антимонополь-ные органы ЕС; правовая школа конкурентного права ЕС и США</w:t>
            </w:r>
          </w:p>
        </w:tc>
        <w:tc>
          <w:tcPr>
            <w:tcW w:w="2126" w:type="dxa"/>
            <w:hideMark/>
          </w:tcPr>
          <w:p>
            <w:pPr>
              <w:ind w:right="-124"/>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Институционально-регуляторный подход</w:t>
            </w:r>
          </w:p>
        </w:tc>
        <w:tc>
          <w:tcPr>
            <w:tcW w:w="1150"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Макро-уровень</w:t>
            </w:r>
          </w:p>
        </w:tc>
        <w:tc>
          <w:tcPr>
            <w:tcW w:w="2457"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Антимонопольное регулирование, защита данных, конкуренция, трудовые отношения</w:t>
            </w:r>
          </w:p>
        </w:tc>
        <w:tc>
          <w:tcPr>
            <w:tcW w:w="2215"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Формальный характер оценки; слабая связь с реальным поведением пользователей</w:t>
            </w:r>
          </w:p>
        </w:tc>
      </w:tr>
      <w:tr>
        <w:tc>
          <w:tcPr>
            <w:tcW w:w="1964"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bCs w:val="1"/>
                <w:sz w:val="24"/>
                <w:szCs w:val="24"/>
                <w:lang w:eastAsia="ru-RU"/>
              </w:rPr>
              <w:t>ПРООН; Международная организация труда (МОТ); Дж. Стиглиц; А. Сен; ЮНКТАД</w:t>
            </w:r>
          </w:p>
        </w:tc>
        <w:tc>
          <w:tcPr>
            <w:tcW w:w="2126"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Социально-инклюзивный подход к оценке цифровых платформ</w:t>
            </w:r>
          </w:p>
        </w:tc>
        <w:tc>
          <w:tcPr>
            <w:tcW w:w="1150"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Макро-, мезоуровень</w:t>
            </w:r>
          </w:p>
        </w:tc>
        <w:tc>
          <w:tcPr>
            <w:tcW w:w="2457"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Вовлеченность МСП, занятость, доступ к рынкам, социальная мобильность</w:t>
            </w:r>
          </w:p>
        </w:tc>
        <w:tc>
          <w:tcPr>
            <w:tcW w:w="2215"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Ограниченная операционализа-ция; слабая интеграция с инновационной динамикой</w:t>
            </w:r>
          </w:p>
        </w:tc>
      </w:tr>
      <w:tr>
        <w:tc>
          <w:tcPr>
            <w:tcW w:w="1964" w:type="dxa"/>
            <w:hideMark/>
          </w:tcPr>
          <w:p>
            <w:pPr>
              <w:rPr>
                <w:rFonts w:ascii="Times New Roman" w:hAnsi="Times New Roman" w:cs="Times New Roman" w:eastAsia="Times New Roman"/>
                <w:bCs w:val="1"/>
                <w:sz w:val="24"/>
                <w:szCs w:val="24"/>
                <w:lang w:eastAsia="ru-RU"/>
              </w:rPr>
            </w:pPr>
            <w:r>
              <w:rPr>
                <w:rFonts w:ascii="Times New Roman" w:hAnsi="Times New Roman" w:cs="Times New Roman" w:eastAsia="Times New Roman"/>
                <w:bCs w:val="1"/>
                <w:sz w:val="24"/>
                <w:szCs w:val="24"/>
                <w:lang w:eastAsia="ru-RU"/>
              </w:rPr>
              <w:t xml:space="preserve">Н. Сриджар; </w:t>
            </w:r>
          </w:p>
          <w:p>
            <w:pPr>
              <w:rPr>
                <w:rFonts w:ascii="Times New Roman" w:hAnsi="Times New Roman" w:cs="Times New Roman" w:eastAsia="Times New Roman"/>
                <w:bCs w:val="1"/>
                <w:sz w:val="24"/>
                <w:szCs w:val="24"/>
                <w:lang w:eastAsia="ru-RU"/>
              </w:rPr>
            </w:pPr>
            <w:r>
              <w:rPr>
                <w:rFonts w:ascii="Times New Roman" w:hAnsi="Times New Roman" w:cs="Times New Roman" w:eastAsia="Times New Roman"/>
                <w:bCs w:val="1"/>
                <w:sz w:val="24"/>
                <w:szCs w:val="24"/>
                <w:lang w:eastAsia="ru-RU"/>
              </w:rPr>
              <w:t xml:space="preserve">А. Гавер; </w:t>
            </w:r>
          </w:p>
          <w:p>
            <w:pPr>
              <w:rPr>
                <w:rFonts w:ascii="Times New Roman" w:hAnsi="Times New Roman" w:cs="Times New Roman" w:eastAsia="Times New Roman"/>
                <w:sz w:val="24"/>
                <w:szCs w:val="24"/>
                <w:lang w:eastAsia="ru-RU"/>
              </w:rPr>
            </w:pPr>
            <w:r>
              <w:rPr>
                <w:rFonts w:ascii="Times New Roman" w:hAnsi="Times New Roman" w:cs="Times New Roman" w:eastAsia="Times New Roman"/>
                <w:bCs w:val="1"/>
                <w:sz w:val="24"/>
                <w:szCs w:val="24"/>
                <w:lang w:eastAsia="ru-RU"/>
              </w:rPr>
              <w:t>М.Джейкобидес; Ш. Зубофф; исследователи UX и платформенной экономики</w:t>
            </w:r>
          </w:p>
        </w:tc>
        <w:tc>
          <w:tcPr>
            <w:tcW w:w="2126"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Поведенческий и доверительный подход</w:t>
            </w:r>
          </w:p>
        </w:tc>
        <w:tc>
          <w:tcPr>
            <w:tcW w:w="1150"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Микро-, мезоуро-вень</w:t>
            </w:r>
          </w:p>
        </w:tc>
        <w:tc>
          <w:tcPr>
            <w:tcW w:w="2457"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Повторные транзакции, рейтинги, UX, разрешение споров, доверие</w:t>
            </w:r>
          </w:p>
        </w:tc>
        <w:tc>
          <w:tcPr>
            <w:tcW w:w="2215"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Требует микроданных; редко применяется в макроанализе</w:t>
            </w:r>
          </w:p>
        </w:tc>
      </w:tr>
      <w:tr>
        <w:tc>
          <w:tcPr>
            <w:tcW w:w="1964"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bCs w:val="1"/>
                <w:sz w:val="24"/>
                <w:szCs w:val="24"/>
                <w:lang w:eastAsia="ru-RU"/>
              </w:rPr>
              <w:t>Академические консорциумы; аналитические центры (Digital Economy Reports)</w:t>
            </w:r>
          </w:p>
        </w:tc>
        <w:tc>
          <w:tcPr>
            <w:tcW w:w="2126"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Комплексные индексные методики цифровой экономики</w:t>
            </w:r>
          </w:p>
        </w:tc>
        <w:tc>
          <w:tcPr>
            <w:tcW w:w="1150"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Макро-уровень</w:t>
            </w:r>
          </w:p>
        </w:tc>
        <w:tc>
          <w:tcPr>
            <w:tcW w:w="2457"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Интегральные индексы цифровизации и платформизации</w:t>
            </w:r>
          </w:p>
        </w:tc>
        <w:tc>
          <w:tcPr>
            <w:tcW w:w="2215"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Эклектичность; низкая чувствительность к локальному контексту и МСП</w:t>
            </w:r>
          </w:p>
        </w:tc>
      </w:tr>
    </w:tbl>
    <w:p>
      <w:pPr>
        <w:pStyle w:val="P13"/>
        <w:spacing w:lineRule="auto" w:line="360" w:beforeAutospacing="0" w:afterAutospacing="0"/>
        <w:jc w:val="both"/>
        <w:rPr>
          <w:sz w:val="28"/>
          <w:szCs w:val="28"/>
          <w:lang w:val="ru-RU"/>
        </w:rPr>
      </w:pPr>
    </w:p>
    <w:p>
      <w:pPr>
        <w:pStyle w:val="P13"/>
        <w:spacing w:lineRule="auto" w:line="360" w:beforeAutospacing="0" w:afterAutospacing="0"/>
        <w:ind w:firstLine="709"/>
        <w:jc w:val="both"/>
        <w:rPr>
          <w:sz w:val="28"/>
          <w:szCs w:val="28"/>
          <w:lang w:val="ru-RU"/>
        </w:rPr>
      </w:pPr>
      <w:r>
        <w:rPr>
          <w:sz w:val="28"/>
          <w:szCs w:val="28"/>
          <w:lang w:val="ru-RU"/>
        </w:rPr>
        <w:t>В совокупности анализ существующих подходов показывает, что ни один из них в отдельности не позволяет адекватно оценить цифровую платформизацию в развивающихся экономиках с точки зрения инновационно-инклюзивного развития. Это обуславливает необходимость применения многоуровневого методического подхода, интегрирующего экономические, институциональные, социальные и поведенческие измерения и ориентированного на выявление устойчивых эффектов платформизации, что и составляет методологическую основу настоящего исследования.</w:t>
      </w:r>
    </w:p>
    <w:p>
      <w:pPr>
        <w:pStyle w:val="P13"/>
        <w:spacing w:lineRule="auto" w:line="360" w:beforeAutospacing="0" w:afterAutospacing="0"/>
        <w:ind w:firstLine="709"/>
        <w:jc w:val="both"/>
        <w:rPr>
          <w:sz w:val="28"/>
          <w:szCs w:val="28"/>
          <w:lang w:val="ru-RU"/>
        </w:rPr>
      </w:pPr>
      <w:r>
        <w:rPr>
          <w:sz w:val="28"/>
          <w:szCs w:val="28"/>
          <w:lang w:val="ru-RU"/>
        </w:rPr>
        <w:t>Выявленные ограничения существующих подходов к оценке инновационного и инклюзивного развития, а также методик оценки цифровой платформизации по отдельности, обуславливают необходимость их методологической интеграции. Это предполагает формирование подходов к оценке инновационно-инклюзивного развития регионов, основанных на сопряжении инновационных, институциональных и инклюзивных измерений с учетом следующих принципов.</w:t>
      </w:r>
    </w:p>
    <w:p>
      <w:pPr>
        <w:pStyle w:val="P13"/>
        <w:numPr>
          <w:ilvl w:val="0"/>
          <w:numId w:val="23"/>
        </w:numPr>
        <w:tabs>
          <w:tab w:val="left" w:pos="993" w:leader="none"/>
        </w:tabs>
        <w:spacing w:lineRule="auto" w:line="360" w:beforeAutospacing="0" w:afterAutospacing="0"/>
        <w:ind w:firstLine="709" w:left="0"/>
        <w:jc w:val="both"/>
        <w:rPr>
          <w:sz w:val="28"/>
          <w:szCs w:val="28"/>
          <w:lang w:val="ru-RU"/>
        </w:rPr>
      </w:pPr>
      <w:r>
        <w:rPr>
          <w:sz w:val="28"/>
          <w:szCs w:val="28"/>
          <w:lang w:val="ru-RU"/>
        </w:rPr>
        <w:t>Принцип концептуальной согласованности. Интеграция инновационного и инклюзивного измерений должна опираться на единое теоретико-методологическое основание, в рамках которого инновации рассматриваются как источник экономического роста и структурных изменений, а инклюзивность – как характеристика организации, распространения и доступности инновационного процесса. Это предполагает отказ от механического объединения разнородных индикаторов и ориентацию на их логическое сопряжение в рамках инновационно-инклюзивной модели развития. Соблюдение данного принципа означает, что используемые показатели отражают не только результаты инновационной активности, но и условия участия экономических агентов, малого и среднего бизнеса и территорий в инновационных и цифровых процессах.</w:t>
      </w:r>
    </w:p>
    <w:p>
      <w:pPr>
        <w:pStyle w:val="P13"/>
        <w:spacing w:lineRule="auto" w:line="360" w:beforeAutospacing="0" w:afterAutospacing="0"/>
        <w:ind w:firstLine="709"/>
        <w:jc w:val="both"/>
        <w:rPr>
          <w:sz w:val="28"/>
          <w:szCs w:val="28"/>
          <w:lang w:val="ru-RU"/>
        </w:rPr>
      </w:pPr>
      <w:r>
        <w:rPr>
          <w:sz w:val="28"/>
          <w:szCs w:val="28"/>
          <w:lang w:val="ru-RU"/>
        </w:rPr>
        <w:t>2. Принцип многоуровневости оценки. Инновационно-инклюзивное развитие формируется во взаимодействии микро-, мезо- и макроуровней, что требует соответствующей многоуровневой методологии оценки. На микроуровне анализируются поведение фирм, предпринимателей и пользователей цифровых платформ; на мезоуровне – региональные инновационные системы, платформенная инфраструктура и сетевые формы координации; на макроуровне – институциональные условия и государственная политика. Для целей регионального анализа ключевое значение имеет мезоуровень, обеспечивающий сопряжение национальных приоритетов инновационного развития с локальными институциональными, социальными и инфраструктурными условиями.</w:t>
      </w:r>
    </w:p>
    <w:p>
      <w:pPr>
        <w:pStyle w:val="P13"/>
        <w:spacing w:lineRule="auto" w:line="360" w:beforeAutospacing="0" w:afterAutospacing="0"/>
        <w:ind w:firstLine="709"/>
        <w:jc w:val="both"/>
        <w:rPr>
          <w:sz w:val="28"/>
          <w:szCs w:val="28"/>
          <w:lang w:val="ru-RU"/>
        </w:rPr>
      </w:pPr>
      <w:r>
        <w:rPr>
          <w:sz w:val="28"/>
          <w:szCs w:val="28"/>
          <w:lang w:val="ru-RU"/>
        </w:rPr>
        <w:t>3. Принцип системности и причинной взаимосвязанности показателей. Инновационно-инклюзивное развитие представляет собой системный процесс, в рамках которого инновационная активность, человеческий капитал, финансирование, доверие и институциональная среда находятся во взаимной зависимости. Это обуславливает необходимость перехода от оценки изолированных показателей к анализу их совокупного и причинно-следственного влияния. Методологически данный принцип предполагает формирование взаимосвязанных блоков показателей, отражающих:</w:t>
      </w:r>
    </w:p>
    <w:p>
      <w:pPr>
        <w:pStyle w:val="P13"/>
        <w:spacing w:lineRule="auto" w:line="360" w:beforeAutospacing="0" w:afterAutospacing="0"/>
        <w:ind w:firstLine="709"/>
        <w:jc w:val="both"/>
        <w:rPr>
          <w:sz w:val="28"/>
          <w:szCs w:val="28"/>
          <w:lang w:val="ru-RU"/>
        </w:rPr>
      </w:pPr>
      <w:r>
        <w:rPr>
          <w:sz w:val="28"/>
          <w:szCs w:val="28"/>
          <w:lang w:val="ru-RU"/>
        </w:rPr>
        <w:t>– условия формирования инновационного потенциала и цифровой инфраструктуры;</w:t>
      </w:r>
    </w:p>
    <w:p>
      <w:pPr>
        <w:pStyle w:val="P13"/>
        <w:spacing w:lineRule="auto" w:line="360" w:beforeAutospacing="0" w:afterAutospacing="0"/>
        <w:ind w:firstLine="709"/>
        <w:jc w:val="both"/>
        <w:rPr>
          <w:sz w:val="28"/>
          <w:szCs w:val="28"/>
          <w:lang w:val="ru-RU"/>
        </w:rPr>
      </w:pPr>
      <w:r>
        <w:rPr>
          <w:sz w:val="28"/>
          <w:szCs w:val="28"/>
          <w:lang w:val="ru-RU"/>
        </w:rPr>
        <w:t>– механизмы вовлечения экономических агентов и территорий в инновационные и платформенные процессы;</w:t>
      </w:r>
    </w:p>
    <w:p>
      <w:pPr>
        <w:pStyle w:val="P13"/>
        <w:spacing w:lineRule="auto" w:line="360" w:beforeAutospacing="0" w:afterAutospacing="0"/>
        <w:ind w:firstLine="709"/>
        <w:jc w:val="both"/>
        <w:rPr>
          <w:sz w:val="28"/>
          <w:szCs w:val="28"/>
          <w:lang w:val="ru-RU"/>
        </w:rPr>
      </w:pPr>
      <w:r>
        <w:rPr>
          <w:sz w:val="28"/>
          <w:szCs w:val="28"/>
          <w:lang w:val="ru-RU"/>
        </w:rPr>
        <w:t>– экономические, социальные и институциональные эффекты инновационно-инклюзивного развития.</w:t>
      </w:r>
    </w:p>
    <w:p>
      <w:pPr>
        <w:pStyle w:val="P13"/>
        <w:spacing w:lineRule="auto" w:line="360" w:beforeAutospacing="0" w:afterAutospacing="0"/>
        <w:ind w:firstLine="709"/>
        <w:jc w:val="both"/>
        <w:rPr>
          <w:sz w:val="28"/>
          <w:szCs w:val="28"/>
          <w:lang w:val="ru-RU"/>
        </w:rPr>
      </w:pPr>
      <w:r>
        <w:rPr>
          <w:sz w:val="28"/>
          <w:szCs w:val="28"/>
          <w:lang w:val="ru-RU"/>
        </w:rPr>
        <w:t>4. Принцип территориальной и институциональной чувствительности. Оценка инновационно-инклюзивного развития регионов должна учитывать пространственную неоднородность социально-экономических условий и институциональных сред. Методики анализа должны быть чувствительны к различиям между центрами и периферией, уровню развития региональных инновационных систем, качеству цифровой и логистической инфраструктуры, а также особенностям институционального доверия. Игнорирование территориальной и институциональной специфики приводит к усредненным оценкам, не отражающим реальные траектории инновационного и инклюзивного развития.</w:t>
      </w:r>
    </w:p>
    <w:p>
      <w:pPr>
        <w:pStyle w:val="P13"/>
        <w:spacing w:lineRule="auto" w:line="360" w:beforeAutospacing="0" w:afterAutospacing="0"/>
        <w:ind w:firstLine="709"/>
        <w:jc w:val="both"/>
        <w:rPr>
          <w:sz w:val="28"/>
          <w:szCs w:val="28"/>
          <w:lang w:val="ru-RU"/>
        </w:rPr>
      </w:pPr>
      <w:r>
        <w:rPr>
          <w:sz w:val="28"/>
          <w:szCs w:val="28"/>
          <w:lang w:val="ru-RU"/>
        </w:rPr>
        <w:t>5. Принцип контекстной адекватности и воспроизводимости данных. Интеграция инновационного, инклюзивного и платформенного измерений требует использования данных, доступных и воспроизводимых на региональном уровне, с учетом ограничений статистики развивающихся стран. Методологически целесообразно сочетание официальной статистики, международных индикаторов, данных цифровых платформ и агрегированных поведенческих показателей, что обеспечивает сопоставимость во времени и возможность динамического анализа без утраты чувствительности к локальному контексту.</w:t>
      </w:r>
    </w:p>
    <w:p>
      <w:pPr>
        <w:pStyle w:val="P13"/>
        <w:spacing w:lineRule="auto" w:line="360" w:beforeAutospacing="0" w:afterAutospacing="0"/>
        <w:ind w:firstLine="709"/>
        <w:jc w:val="both"/>
        <w:rPr>
          <w:sz w:val="28"/>
          <w:szCs w:val="28"/>
          <w:lang w:val="ru-RU"/>
        </w:rPr>
      </w:pPr>
      <w:r>
        <w:rPr>
          <w:sz w:val="28"/>
          <w:szCs w:val="28"/>
          <w:lang w:val="ru-RU"/>
        </w:rPr>
        <w:t>6. Принцип интерпретируемости и практической применимости. Результаты оценки инновационно-инклюзивного развития должны быть интерпретируемыми и ориентированными на практическое использование в аналитических и управленческих целях. Это предполагает прозрачность методики, логическую обоснованность интегральных показателей, возможность типологизации регионов и выявления факторов, сдерживающих или стимулирующих инновационно-инклюзивное развитие. Реализация данного принципа особенно важна для формирования рекомендаций в сфере региональной, инновационной и цифровой политики.</w:t>
      </w:r>
    </w:p>
    <w:p>
      <w:pPr>
        <w:pStyle w:val="P13"/>
        <w:spacing w:lineRule="auto" w:line="360" w:beforeAutospacing="0" w:afterAutospacing="0"/>
        <w:ind w:firstLine="709"/>
        <w:jc w:val="both"/>
        <w:rPr>
          <w:sz w:val="28"/>
          <w:szCs w:val="28"/>
          <w:lang w:val="ru-RU"/>
        </w:rPr>
      </w:pPr>
      <w:r>
        <w:rPr>
          <w:sz w:val="28"/>
          <w:szCs w:val="28"/>
          <w:lang w:val="ru-RU"/>
        </w:rPr>
        <w:t>Таким образом, интеграция инновационного, инклюзивного и платформенного измерений в оценке регионального развития требует соблюдения комплекса взаимосвязанных методологических принципов, обеспечивающих концептуальную согласованность, системность, многоуровневость, территориальную чувствительность и практическую применимость анализа. Реализация данных принципов позволяет перейти от фрагментарных оценок инновационной активности, цифровизации и социальных эффектов к комплексной оценке инновационно-инклюзивного развития регионов, адекватной условиям развивающихся экономик.</w:t>
      </w:r>
    </w:p>
    <w:p>
      <w:pPr>
        <w:pStyle w:val="P13"/>
        <w:spacing w:lineRule="auto" w:line="360" w:beforeAutospacing="0" w:afterAutospacing="0"/>
        <w:ind w:firstLine="709"/>
        <w:jc w:val="both"/>
        <w:rPr>
          <w:sz w:val="28"/>
          <w:szCs w:val="28"/>
          <w:lang w:val="ru-RU"/>
        </w:rPr>
      </w:pPr>
      <w:r>
        <w:rPr>
          <w:sz w:val="28"/>
          <w:szCs w:val="28"/>
          <w:lang w:val="ru-RU"/>
        </w:rPr>
        <w:t>Учитывая специфику инновационно-инклюзивного развития, а также особенности регионального анализа в условиях развивающихся стран, методические инструменты его оценки не могут ограничиваться использованием отдельных показателей или унифицированных индексных решений. Оценка инновационно-инклюзивного развития регионов требует применения многоуровневого и взаимодополняющего набора аналитических инструментов, обеспечивающего комплексность, сопоставимость и интерпретируемость получаемых результатов с учетом институционального и социально-экономического контекста.</w:t>
      </w:r>
    </w:p>
    <w:p>
      <w:pPr>
        <w:pStyle w:val="P13"/>
        <w:spacing w:lineRule="auto" w:line="360" w:beforeAutospacing="0" w:afterAutospacing="0"/>
        <w:ind w:firstLine="709"/>
        <w:jc w:val="both"/>
        <w:rPr>
          <w:sz w:val="28"/>
          <w:szCs w:val="28"/>
          <w:lang w:val="ru-RU"/>
        </w:rPr>
      </w:pPr>
      <w:r>
        <w:rPr>
          <w:sz w:val="28"/>
          <w:szCs w:val="28"/>
          <w:lang w:val="ru-RU"/>
        </w:rPr>
        <w:t>Для целей настоящего исследования выбран комбинированный методический подход, основанный на согласованном использовании индикаторных, типологических и эконометрических инструментов анализа. Такое сочетание позволяет преодолеть ограничения отдельных методик и обеспечить переход от описательной фиксации различий к аналитическому объяснению механизмов инновационно-инклюзивного развития регионов. В рамках данного подхода:</w:t>
      </w:r>
    </w:p>
    <w:p>
      <w:pPr>
        <w:pStyle w:val="P13"/>
        <w:spacing w:lineRule="auto" w:line="360" w:beforeAutospacing="0" w:afterAutospacing="0"/>
        <w:ind w:firstLine="709"/>
        <w:jc w:val="both"/>
        <w:rPr>
          <w:sz w:val="28"/>
          <w:szCs w:val="28"/>
          <w:lang w:val="ru-RU"/>
        </w:rPr>
      </w:pPr>
      <w:r>
        <w:rPr>
          <w:sz w:val="28"/>
          <w:szCs w:val="28"/>
          <w:lang w:val="ru-RU"/>
        </w:rPr>
        <w:t>– индикаторный и индексный анализ используется для оценки уровня и динамики инновационно-инклюзивного развития регионов, а также для проведения межрегиональных сопоставлений;</w:t>
      </w:r>
    </w:p>
    <w:p>
      <w:pPr>
        <w:pStyle w:val="P13"/>
        <w:spacing w:lineRule="auto" w:line="360" w:beforeAutospacing="0" w:afterAutospacing="0"/>
        <w:ind w:firstLine="709"/>
        <w:jc w:val="both"/>
        <w:rPr>
          <w:sz w:val="28"/>
          <w:szCs w:val="28"/>
          <w:lang w:val="ru-RU"/>
        </w:rPr>
      </w:pPr>
      <w:r>
        <w:rPr>
          <w:sz w:val="28"/>
          <w:szCs w:val="28"/>
          <w:lang w:val="ru-RU"/>
        </w:rPr>
        <w:t>– типологические и матричные инструменты применяются для классификации регионов по сочетанию инновационных и инклюзивных характеристик и выявления структурных различий в траекториях развития;</w:t>
      </w:r>
    </w:p>
    <w:p>
      <w:pPr>
        <w:pStyle w:val="P13"/>
        <w:spacing w:lineRule="auto" w:line="360" w:beforeAutospacing="0" w:afterAutospacing="0"/>
        <w:ind w:firstLine="709"/>
        <w:jc w:val="both"/>
        <w:rPr>
          <w:sz w:val="28"/>
          <w:szCs w:val="28"/>
          <w:lang w:val="ru-RU"/>
        </w:rPr>
      </w:pPr>
      <w:r>
        <w:rPr>
          <w:sz w:val="28"/>
          <w:szCs w:val="28"/>
          <w:lang w:val="ru-RU"/>
        </w:rPr>
        <w:t>– эконометрические методы используются для анализа факторов и механизмов инновационно-инклюзивного развития, а также для выявления причинно-следственных связей между инновационной активностью, институциональными условиями и социально-экономическими результатами.</w:t>
      </w:r>
    </w:p>
    <w:p>
      <w:pPr>
        <w:pStyle w:val="P13"/>
        <w:spacing w:lineRule="auto" w:line="360" w:beforeAutospacing="0" w:afterAutospacing="0"/>
        <w:ind w:firstLine="709"/>
        <w:jc w:val="both"/>
        <w:rPr>
          <w:sz w:val="28"/>
          <w:szCs w:val="28"/>
          <w:lang w:val="ru-RU"/>
        </w:rPr>
      </w:pPr>
      <w:r>
        <w:rPr>
          <w:sz w:val="28"/>
          <w:szCs w:val="28"/>
          <w:lang w:val="ru-RU"/>
        </w:rPr>
        <w:t>Особое внимание в рамках методического подхода уделяется его адаптации к условиям развивающихся стран, для которых характерны ограничения статистической базы, институциональная неоднородность и выраженные территориальные диспропорции. В этой связи методика оценки предусматривает:</w:t>
      </w:r>
    </w:p>
    <w:p>
      <w:pPr>
        <w:pStyle w:val="P13"/>
        <w:spacing w:lineRule="auto" w:line="360" w:beforeAutospacing="0" w:afterAutospacing="0"/>
        <w:ind w:firstLine="709"/>
        <w:jc w:val="both"/>
        <w:rPr>
          <w:sz w:val="28"/>
          <w:szCs w:val="28"/>
          <w:lang w:val="ru-RU"/>
        </w:rPr>
      </w:pPr>
      <w:r>
        <w:rPr>
          <w:sz w:val="28"/>
          <w:szCs w:val="28"/>
          <w:lang w:val="ru-RU"/>
        </w:rPr>
        <w:t>– использование агрегированных и прокси-показателей при недостатке прямых статистических данных;</w:t>
      </w:r>
    </w:p>
    <w:p>
      <w:pPr>
        <w:pStyle w:val="P13"/>
        <w:spacing w:lineRule="auto" w:line="360" w:beforeAutospacing="0" w:afterAutospacing="0"/>
        <w:ind w:firstLine="709"/>
        <w:jc w:val="both"/>
        <w:rPr>
          <w:sz w:val="28"/>
          <w:szCs w:val="28"/>
          <w:lang w:val="ru-RU"/>
        </w:rPr>
      </w:pPr>
      <w:r>
        <w:rPr>
          <w:sz w:val="28"/>
          <w:szCs w:val="28"/>
          <w:lang w:val="ru-RU"/>
        </w:rPr>
        <w:t>– акцент на относительные и динамические показатели, позволяющие выявлять направления и устойчивость изменений;</w:t>
      </w:r>
    </w:p>
    <w:p>
      <w:pPr>
        <w:pStyle w:val="P13"/>
        <w:spacing w:lineRule="auto" w:line="360" w:beforeAutospacing="0" w:afterAutospacing="0"/>
        <w:ind w:firstLine="709"/>
        <w:jc w:val="both"/>
        <w:rPr>
          <w:sz w:val="28"/>
          <w:szCs w:val="28"/>
          <w:lang w:val="ru-RU"/>
        </w:rPr>
      </w:pPr>
      <w:r>
        <w:rPr>
          <w:sz w:val="28"/>
          <w:szCs w:val="28"/>
          <w:lang w:val="ru-RU"/>
        </w:rPr>
        <w:t>– комбинирование официальной статистики с международными индикаторами и аналитическими источниками;</w:t>
      </w:r>
    </w:p>
    <w:p>
      <w:pPr>
        <w:pStyle w:val="P13"/>
        <w:spacing w:lineRule="auto" w:line="360" w:beforeAutospacing="0" w:afterAutospacing="0"/>
        <w:ind w:firstLine="709"/>
        <w:jc w:val="both"/>
        <w:rPr>
          <w:sz w:val="28"/>
          <w:szCs w:val="28"/>
          <w:lang w:val="ru-RU"/>
        </w:rPr>
      </w:pPr>
      <w:r>
        <w:rPr>
          <w:sz w:val="28"/>
          <w:szCs w:val="28"/>
          <w:lang w:val="ru-RU"/>
        </w:rPr>
        <w:t>– контекстно обусловленную интерпретацию результатов с учетом институциональных и социально-экономических особенностей регионов.</w:t>
      </w:r>
    </w:p>
    <w:p>
      <w:pPr>
        <w:pStyle w:val="P13"/>
        <w:spacing w:lineRule="auto" w:line="360" w:beforeAutospacing="0" w:afterAutospacing="0"/>
        <w:ind w:firstLine="709"/>
        <w:jc w:val="both"/>
        <w:rPr>
          <w:sz w:val="28"/>
          <w:szCs w:val="28"/>
          <w:lang w:val="ru-RU"/>
        </w:rPr>
      </w:pPr>
      <w:r>
        <w:rPr>
          <w:sz w:val="28"/>
          <w:szCs w:val="28"/>
          <w:lang w:val="ru-RU"/>
        </w:rPr>
        <w:t>Ключевой особенностью предлагаемого подхода является отказ от построения единого агрегированного индекса в пользу многоуровневой аналитической конструкции, позволяющей одновременно:</w:t>
      </w:r>
    </w:p>
    <w:p>
      <w:pPr>
        <w:pStyle w:val="P13"/>
        <w:spacing w:lineRule="auto" w:line="360" w:beforeAutospacing="0" w:afterAutospacing="0"/>
        <w:ind w:firstLine="709"/>
        <w:jc w:val="both"/>
        <w:rPr>
          <w:sz w:val="28"/>
          <w:szCs w:val="28"/>
          <w:lang w:val="ru-RU"/>
        </w:rPr>
      </w:pPr>
      <w:r>
        <w:rPr>
          <w:sz w:val="28"/>
          <w:szCs w:val="28"/>
          <w:lang w:val="ru-RU"/>
        </w:rPr>
        <w:t>– измерять инновационную активность;</w:t>
      </w:r>
    </w:p>
    <w:p>
      <w:pPr>
        <w:pStyle w:val="P13"/>
        <w:spacing w:lineRule="auto" w:line="360" w:beforeAutospacing="0" w:afterAutospacing="0"/>
        <w:ind w:firstLine="709"/>
        <w:jc w:val="both"/>
        <w:rPr>
          <w:sz w:val="28"/>
          <w:szCs w:val="28"/>
          <w:lang w:val="ru-RU"/>
        </w:rPr>
      </w:pPr>
      <w:r>
        <w:rPr>
          <w:sz w:val="28"/>
          <w:szCs w:val="28"/>
          <w:lang w:val="ru-RU"/>
        </w:rPr>
        <w:t>– оценивать степень включенности экономических агентов и территорий в инновационный и цифровой процесс;</w:t>
      </w:r>
    </w:p>
    <w:p>
      <w:pPr>
        <w:pStyle w:val="P13"/>
        <w:spacing w:lineRule="auto" w:line="360" w:beforeAutospacing="0" w:afterAutospacing="0"/>
        <w:ind w:firstLine="709"/>
        <w:jc w:val="both"/>
        <w:rPr>
          <w:sz w:val="28"/>
          <w:szCs w:val="28"/>
          <w:lang w:val="ru-RU"/>
        </w:rPr>
      </w:pPr>
      <w:r>
        <w:rPr>
          <w:sz w:val="28"/>
          <w:szCs w:val="28"/>
          <w:lang w:val="ru-RU"/>
        </w:rPr>
        <w:t>– выявлять причинно-следственные механизмы инновационно-инклюзивного развития.</w:t>
      </w:r>
    </w:p>
    <w:p>
      <w:pPr>
        <w:pStyle w:val="P13"/>
        <w:spacing w:lineRule="auto" w:line="360" w:beforeAutospacing="0" w:afterAutospacing="0"/>
        <w:ind w:firstLine="709"/>
        <w:jc w:val="both"/>
        <w:rPr>
          <w:sz w:val="28"/>
          <w:szCs w:val="28"/>
          <w:lang w:val="ru-RU"/>
        </w:rPr>
      </w:pPr>
      <w:r>
        <w:rPr>
          <w:sz w:val="28"/>
          <w:szCs w:val="28"/>
          <w:lang w:val="ru-RU"/>
        </w:rPr>
        <w:t>Первый блок анализа представляет собой индикаторную оценку инновационной активности регионов. На данном уровне используется система показателей, отражающая инновационную активность предприятий, развитие цифровых технологий, доступ к финансированию инноваций, участие в экспортной и внешнеэкономической деятельности, а также институциональные условия осуществления инновационной деятельности. Эти показатели формируют эмпирическую основу исследования и используются в качестве наблюдаемых переменных для последующих этапов анализа.</w:t>
      </w:r>
    </w:p>
    <w:p>
      <w:pPr>
        <w:pStyle w:val="P13"/>
        <w:spacing w:lineRule="auto" w:line="360" w:beforeAutospacing="0" w:afterAutospacing="0"/>
        <w:ind w:firstLine="709"/>
        <w:jc w:val="both"/>
        <w:rPr>
          <w:sz w:val="28"/>
          <w:szCs w:val="28"/>
          <w:lang w:val="ru-RU"/>
        </w:rPr>
      </w:pPr>
      <w:r>
        <w:rPr>
          <w:sz w:val="28"/>
          <w:szCs w:val="28"/>
          <w:lang w:val="ru-RU"/>
        </w:rPr>
        <w:t>Второй блок анализа – типологизация регионов по инновационно-инклюзивным характеристикам. На этом этапе осуществляется классификация регионов на основе сочетания инновационных и инклюзивных параметров развития. Применение типологических и матричных инструментов позволяет выявить структурные различия между регионами, определить типовые траектории инновационно-инклюзивного развития и зафиксировать диспропорции между лидирующими и отстающими территориями. Данный блок обеспечивает переход от индивидуальных показателей к структурному анализу регионального пространства.</w:t>
      </w:r>
    </w:p>
    <w:p>
      <w:pPr>
        <w:pStyle w:val="P13"/>
        <w:spacing w:lineRule="auto" w:line="360" w:beforeAutospacing="0" w:afterAutospacing="0"/>
        <w:ind w:firstLine="709"/>
        <w:jc w:val="both"/>
        <w:rPr>
          <w:sz w:val="28"/>
          <w:szCs w:val="28"/>
          <w:lang w:val="ru-RU"/>
        </w:rPr>
      </w:pPr>
      <w:r>
        <w:rPr>
          <w:sz w:val="28"/>
          <w:szCs w:val="28"/>
          <w:lang w:val="ru-RU"/>
        </w:rPr>
        <w:t>Третий блок анализа – причинно-структурный анализ инновационно-инклюзивного развития. Данный уровень направлен на выявление механизмов и факторов инновационно-инклюзивного развития регионов. Использование подхода направленных ациклических графов (DAG) позволяет формализовать предполагаемую каузальную структуру взаимосвязей между инновационной активностью, институциональными условиями, финансовыми факторами и социально-экономическими результатами. Это обеспечивает разграничение прямых и опосредованных эффектов, а также снижение риска интерпретации простых корреляций как причинных зависимостей, что особенно важно в условиях институциональной неоднородности развивающихся стран.</w:t>
      </w:r>
    </w:p>
    <w:p>
      <w:pPr>
        <w:pStyle w:val="P13"/>
        <w:spacing w:lineRule="auto" w:line="360" w:beforeAutospacing="0" w:afterAutospacing="0"/>
        <w:ind w:firstLine="709"/>
        <w:jc w:val="both"/>
        <w:rPr>
          <w:sz w:val="28"/>
          <w:szCs w:val="28"/>
          <w:lang w:val="ru-RU"/>
        </w:rPr>
      </w:pPr>
      <w:r>
        <w:rPr>
          <w:sz w:val="28"/>
          <w:szCs w:val="28"/>
          <w:lang w:val="ru-RU"/>
        </w:rPr>
        <w:t>Четвертый блок анализа – оценка латентных эффектов и инклюзивных результатов. На данном этапе осуществляется анализ сложных и ненаблюдаемых характеристик инновационно-инклюзивного развития, таких как инклюзивность, институциональное доверие и качество инновационной среды. Для этих целей применяется PLS-моделирование, позволяющее работать с латентными переменными в условиях ограниченных объемов данных и высокой гетерогенности регионов. Данный блок позволяет выявить скрытые эффекты инновационного развития, которые не поддаются прямому измерению через традиционные статистические показатели.</w:t>
      </w:r>
    </w:p>
    <w:p>
      <w:pPr>
        <w:pStyle w:val="P13"/>
        <w:spacing w:lineRule="auto" w:line="360" w:beforeAutospacing="0" w:afterAutospacing="0"/>
        <w:ind w:firstLine="709"/>
        <w:jc w:val="both"/>
        <w:rPr>
          <w:sz w:val="28"/>
          <w:szCs w:val="28"/>
          <w:lang w:val="ru-RU"/>
        </w:rPr>
      </w:pPr>
      <w:r>
        <w:rPr>
          <w:sz w:val="28"/>
          <w:szCs w:val="28"/>
          <w:lang w:val="ru-RU"/>
        </w:rPr>
        <w:t>Пятый блок анализа – квазиэкспериментальная оценка эффектов вовлечения.</w:t>
      </w:r>
    </w:p>
    <w:p>
      <w:pPr>
        <w:pStyle w:val="P13"/>
        <w:spacing w:lineRule="auto" w:line="360" w:beforeAutospacing="0" w:afterAutospacing="0"/>
        <w:ind w:firstLine="709"/>
        <w:jc w:val="both"/>
        <w:rPr>
          <w:sz w:val="28"/>
          <w:szCs w:val="28"/>
          <w:lang w:val="ru-RU"/>
        </w:rPr>
      </w:pPr>
      <w:r>
        <w:rPr>
          <w:sz w:val="28"/>
          <w:szCs w:val="28"/>
          <w:lang w:val="ru-RU"/>
        </w:rPr>
        <w:t>В рамках данного блока используется квазиэкспериментальный подход (PSM), направленный на сопоставление регионов и экономических агентов с различной степенью участия в инновационных и цифровых процессах. Это позволяет оценить инклюзивные эффекты инновационного развития, включая влияние участия в цифровых платформах на экономические результаты, занятость и устойчивость хозяйственной деятельности, а также снизить влияние смещения выборки при оценке эффектов участия.</w:t>
      </w:r>
    </w:p>
    <w:p>
      <w:pPr>
        <w:pStyle w:val="P13"/>
        <w:spacing w:lineRule="auto" w:line="360" w:beforeAutospacing="0" w:afterAutospacing="0"/>
        <w:ind w:firstLine="709"/>
        <w:jc w:val="both"/>
        <w:rPr>
          <w:sz w:val="28"/>
          <w:szCs w:val="28"/>
          <w:lang w:val="ru-RU"/>
        </w:rPr>
      </w:pPr>
      <w:r>
        <w:rPr>
          <w:sz w:val="28"/>
          <w:szCs w:val="28"/>
          <w:lang w:val="ru-RU"/>
        </w:rPr>
        <w:t>Шестой блок анализа – оценка платформизации малого и среднего бизнеса. Для оценки результативности платформизации малого и среднего предпринимательства в развивающихся экономиках в работе обосновывается недостаточность фиксации исключительно темпов цифровизации или количественных показателей подключения к цифровым сервисам. Перенос универсальных индикаторов, разработанных для развитых цифровых экономик, без учета институциональных, культурных и социально-экономических особенностей приводит к искажению результатов и переоценке эффектов цифровой трансформации. В этой связи в настоящем исследовании предлагается многоуровневый авторский подход к оценке, ориентированный на выявление не только технологических, но и институциональных и социальных эффектов платформизации.</w:t>
      </w:r>
    </w:p>
    <w:p>
      <w:pPr>
        <w:pStyle w:val="P13"/>
        <w:spacing w:lineRule="auto" w:line="360" w:beforeAutospacing="0" w:afterAutospacing="0"/>
        <w:ind w:firstLine="709"/>
        <w:jc w:val="both"/>
        <w:rPr>
          <w:sz w:val="28"/>
          <w:szCs w:val="28"/>
          <w:lang w:val="ru-RU"/>
        </w:rPr>
      </w:pPr>
      <w:r>
        <w:rPr>
          <w:sz w:val="28"/>
          <w:szCs w:val="28"/>
          <w:lang w:val="ru-RU"/>
        </w:rPr>
        <w:t>Предлагаемый подход исходит из того, что цифровая платформа в развивающейся экономике выступает не только инструментом повышения эффективности, но и институциональным механизмом расширения экономической включенности, формирования доверия и снижения трансакционных издержек. Соответственно, система оценки должна отражать устойчивость включения экономических агентов, их адаптацию к новым формам взаимодействия и возникающие социальные риски. Метрики в рамках данного подхода рассматриваются не как инструмент санкционного контроля, а как сигнальный механизм раннего выявления дисбалансов, позволяющий корректировать траекторию развития платформы и сопряженных с ней институтов.</w:t>
      </w:r>
    </w:p>
    <w:p>
      <w:pPr>
        <w:pStyle w:val="P13"/>
        <w:spacing w:lineRule="auto" w:line="360" w:beforeAutospacing="0" w:afterAutospacing="0"/>
        <w:ind w:firstLine="709"/>
        <w:jc w:val="both"/>
        <w:rPr>
          <w:sz w:val="28"/>
          <w:szCs w:val="28"/>
          <w:lang w:val="ru-RU"/>
        </w:rPr>
      </w:pPr>
      <w:r>
        <w:rPr>
          <w:sz w:val="28"/>
          <w:szCs w:val="28"/>
          <w:lang w:val="ru-RU"/>
        </w:rPr>
        <w:t>В рамках авторского подхода выделяются пять взаимосвязанных групп метрик, отражающих ключевые измерения инновационно-инклюзивного развития.</w:t>
      </w:r>
    </w:p>
    <w:p>
      <w:pPr>
        <w:pStyle w:val="P13"/>
        <w:spacing w:lineRule="auto" w:line="360" w:beforeAutospacing="0" w:afterAutospacing="0"/>
        <w:ind w:firstLine="709"/>
        <w:jc w:val="both"/>
        <w:rPr>
          <w:sz w:val="28"/>
          <w:szCs w:val="28"/>
          <w:lang w:val="ru-RU"/>
        </w:rPr>
      </w:pPr>
      <w:r>
        <w:rPr>
          <w:sz w:val="28"/>
          <w:szCs w:val="28"/>
          <w:lang w:val="ru-RU"/>
        </w:rPr>
        <w:t>Первая группа включает метрики экономической включенности малого и среднего бизнеса, позволяющие оценить глубину и устойчивость вовлечения МСП в платформенные процессы, охват пользователей, удержание активности во времени, динамику выручки и маржинальности, расширение географии спроса и степень формализации хозяйственной деятельности. Показатели безналичных транзакций и регулярности оборота рассматриваются как косвенные индикаторы институционального доверия.</w:t>
      </w:r>
    </w:p>
    <w:p>
      <w:pPr>
        <w:pStyle w:val="P13"/>
        <w:spacing w:lineRule="auto" w:line="360" w:beforeAutospacing="0" w:afterAutospacing="0"/>
        <w:ind w:firstLine="709"/>
        <w:jc w:val="both"/>
        <w:rPr>
          <w:sz w:val="28"/>
          <w:szCs w:val="28"/>
          <w:lang w:val="ru-RU"/>
        </w:rPr>
      </w:pPr>
      <w:r>
        <w:rPr>
          <w:sz w:val="28"/>
          <w:szCs w:val="28"/>
          <w:lang w:val="ru-RU"/>
        </w:rPr>
        <w:t>Вторая группа объединяет метрики институциональной совместимости, отражающие степень согласованности платформенных механизмов с существующей институциональной средой и ожиданиями экономических агентов. К ним относятся показатели доверия к цифровым сервисам, поведенческие прокси доверия, уровень соблюдения правил платформы, эффективность механизмов разрешения споров и наличие процедур по защите данных и управлению цифровыми рисками.</w:t>
      </w:r>
    </w:p>
    <w:p>
      <w:pPr>
        <w:pStyle w:val="P13"/>
        <w:spacing w:lineRule="auto" w:line="360" w:beforeAutospacing="0" w:afterAutospacing="0"/>
        <w:ind w:firstLine="709"/>
        <w:jc w:val="both"/>
        <w:rPr>
          <w:sz w:val="28"/>
          <w:szCs w:val="28"/>
          <w:lang w:val="ru-RU"/>
        </w:rPr>
      </w:pPr>
      <w:r>
        <w:rPr>
          <w:sz w:val="28"/>
          <w:szCs w:val="28"/>
          <w:lang w:val="ru-RU"/>
        </w:rPr>
        <w:t>Третья группа включает метрики культурной адаптации, позволяющие оценить степень учета платформой локальных форм хозяйственного поведения и социальных практик, распространенность коллективных форм использования, адаптацию интерфейса под устную коммуникацию и локальные языковые паттерны, а также реальную эффективность образовательных элементов платформы.</w:t>
      </w:r>
    </w:p>
    <w:p>
      <w:pPr>
        <w:pStyle w:val="P13"/>
        <w:spacing w:lineRule="auto" w:line="360" w:beforeAutospacing="0" w:afterAutospacing="0"/>
        <w:ind w:firstLine="709"/>
        <w:jc w:val="both"/>
        <w:rPr>
          <w:sz w:val="28"/>
          <w:szCs w:val="28"/>
          <w:lang w:val="ru-RU"/>
        </w:rPr>
      </w:pPr>
      <w:r>
        <w:rPr>
          <w:sz w:val="28"/>
          <w:szCs w:val="28"/>
          <w:lang w:val="ru-RU"/>
        </w:rPr>
        <w:t>Четвертая группа представлена метриками социальной устойчивости и рисков, направленными на выявление негативных эффектов платформизации, включая конфликтность, мошенничество, концентрацию продаж, риски вытеснения малых участников и угрозы зависимости от платформы, а также параметры кибербезопасности и защиты приватности.</w:t>
      </w:r>
    </w:p>
    <w:p>
      <w:pPr>
        <w:pStyle w:val="P13"/>
        <w:spacing w:lineRule="auto" w:line="360" w:beforeAutospacing="0" w:afterAutospacing="0"/>
        <w:ind w:firstLine="709"/>
        <w:jc w:val="both"/>
        <w:rPr>
          <w:sz w:val="28"/>
          <w:szCs w:val="28"/>
          <w:lang w:val="ru-RU"/>
        </w:rPr>
      </w:pPr>
      <w:r>
        <w:rPr>
          <w:sz w:val="28"/>
          <w:szCs w:val="28"/>
          <w:lang w:val="ru-RU"/>
        </w:rPr>
        <w:t>Пятая группа охватывает метрики инфраструктурной готовности, отражающие надежность и воспроизводимость платформенных сценариев, включая сквозную логистику, соблюдение сроков доставки, доступность сервисов и качество технической поддержки. Эти показатели имеют принципиальное значение, поскольку доверие как институт формируется через повторяющийся опыт надежности и безопасности цифровых взаимодействий.</w:t>
      </w:r>
    </w:p>
    <w:p>
      <w:pPr>
        <w:pStyle w:val="P13"/>
        <w:spacing w:lineRule="auto" w:line="360" w:beforeAutospacing="0" w:afterAutospacing="0"/>
        <w:ind w:firstLine="709"/>
        <w:jc w:val="both"/>
        <w:rPr>
          <w:sz w:val="28"/>
          <w:szCs w:val="28"/>
          <w:lang w:val="ru-RU"/>
        </w:rPr>
      </w:pPr>
      <w:r>
        <w:rPr>
          <w:sz w:val="28"/>
          <w:szCs w:val="28"/>
          <w:lang w:val="ru-RU"/>
        </w:rPr>
        <w:t>Заключительный блок анализа ориентирован на оценку инновационно-инклюзивных эффектов цифровой платформизации малого и среднего предпринимательства. В рамках данного уровня применяется система многоуровневых метрик, отражающих экономическую включенность МСП, институциональную совместимость платформенных механизмов, культурную адаптацию, социальную устойчивость и инфраструктурную готовность. Особое внимание уделяется устойчивости участия экономических агентов и формированию доверия как институционального условия долгосрочного функционирования платформ.</w:t>
      </w:r>
    </w:p>
    <w:p>
      <w:pPr>
        <w:pStyle w:val="P13"/>
        <w:spacing w:lineRule="auto" w:line="360" w:beforeAutospacing="0" w:afterAutospacing="0"/>
        <w:ind w:firstLine="709"/>
        <w:jc w:val="both"/>
        <w:rPr>
          <w:sz w:val="28"/>
          <w:szCs w:val="28"/>
          <w:lang w:val="ru-RU"/>
        </w:rPr>
      </w:pPr>
      <w:r>
        <w:rPr>
          <w:sz w:val="28"/>
          <w:szCs w:val="28"/>
          <w:lang w:val="ru-RU"/>
        </w:rPr>
        <w:t xml:space="preserve">Ключевые составляющие предлагаемого методического подхода к оценке инновационно-инклюзивного развития региона представлены в таблице 12. </w:t>
      </w:r>
    </w:p>
    <w:p>
      <w:pPr>
        <w:pStyle w:val="P13"/>
        <w:spacing w:lineRule="auto" w:line="360" w:beforeAutospacing="0" w:afterAutospacing="0"/>
        <w:jc w:val="both"/>
        <w:rPr>
          <w:sz w:val="28"/>
          <w:szCs w:val="28"/>
          <w:lang w:val="ru-RU"/>
        </w:rPr>
      </w:pPr>
    </w:p>
    <w:p>
      <w:pPr>
        <w:pStyle w:val="P13"/>
        <w:spacing w:lineRule="auto" w:line="360" w:beforeAutospacing="0" w:afterAutospacing="0"/>
        <w:jc w:val="both"/>
        <w:rPr>
          <w:sz w:val="28"/>
          <w:szCs w:val="28"/>
          <w:lang w:val="ru-RU"/>
        </w:rPr>
      </w:pPr>
      <w:r>
        <w:rPr>
          <w:sz w:val="28"/>
          <w:szCs w:val="28"/>
          <w:lang w:val="ru-RU"/>
        </w:rPr>
        <w:t>Таблица 12 – Интегрированный методический подход к оценке инновационно-инклюзивного развития регионов в условиях цифровой платформизации (составлено автором)</w:t>
      </w:r>
    </w:p>
    <w:tbl>
      <w:tblPr>
        <w:tblStyle w:val="T3"/>
        <w:tblW w:w="0" w:type="auto"/>
        <w:tblLayout w:type="fixed"/>
        <w:tblLook w:val="04A0"/>
      </w:tblPr>
      <w:tblGrid>
        <w:gridCol w:w="1555"/>
        <w:gridCol w:w="1842"/>
        <w:gridCol w:w="1843"/>
        <w:gridCol w:w="2552"/>
        <w:gridCol w:w="2120"/>
      </w:tblGrid>
      <w:tr>
        <w:tc>
          <w:tcPr>
            <w:tcW w:w="1555" w:type="dxa"/>
            <w:hideMark/>
          </w:tcPr>
          <w:p>
            <w:pPr>
              <w:jc w:val="center"/>
              <w:rPr>
                <w:rFonts w:ascii="Times New Roman" w:hAnsi="Times New Roman" w:cs="Times New Roman" w:eastAsia="Times New Roman"/>
                <w:bCs w:val="1"/>
                <w:sz w:val="24"/>
                <w:szCs w:val="24"/>
                <w:lang w:eastAsia="ru-RU"/>
              </w:rPr>
            </w:pPr>
            <w:r>
              <w:rPr>
                <w:rFonts w:ascii="Times New Roman" w:hAnsi="Times New Roman" w:cs="Times New Roman" w:eastAsia="Times New Roman"/>
                <w:bCs w:val="1"/>
                <w:sz w:val="24"/>
                <w:szCs w:val="24"/>
                <w:lang w:eastAsia="ru-RU"/>
              </w:rPr>
              <w:t>Блок анализа</w:t>
            </w:r>
          </w:p>
        </w:tc>
        <w:tc>
          <w:tcPr>
            <w:tcW w:w="1842" w:type="dxa"/>
            <w:hideMark/>
          </w:tcPr>
          <w:p>
            <w:pPr>
              <w:jc w:val="center"/>
              <w:rPr>
                <w:rFonts w:ascii="Times New Roman" w:hAnsi="Times New Roman" w:cs="Times New Roman" w:eastAsia="Times New Roman"/>
                <w:bCs w:val="1"/>
                <w:sz w:val="24"/>
                <w:szCs w:val="24"/>
                <w:lang w:eastAsia="ru-RU"/>
              </w:rPr>
            </w:pPr>
            <w:r>
              <w:rPr>
                <w:rFonts w:ascii="Times New Roman" w:hAnsi="Times New Roman" w:cs="Times New Roman" w:eastAsia="Times New Roman"/>
                <w:bCs w:val="1"/>
                <w:sz w:val="24"/>
                <w:szCs w:val="24"/>
                <w:lang w:eastAsia="ru-RU"/>
              </w:rPr>
              <w:t>Цель оценки</w:t>
            </w:r>
          </w:p>
        </w:tc>
        <w:tc>
          <w:tcPr>
            <w:tcW w:w="1843" w:type="dxa"/>
            <w:hideMark/>
          </w:tcPr>
          <w:p>
            <w:pPr>
              <w:jc w:val="center"/>
              <w:rPr>
                <w:rFonts w:ascii="Times New Roman" w:hAnsi="Times New Roman" w:cs="Times New Roman" w:eastAsia="Times New Roman"/>
                <w:bCs w:val="1"/>
                <w:sz w:val="24"/>
                <w:szCs w:val="24"/>
                <w:lang w:eastAsia="ru-RU"/>
              </w:rPr>
            </w:pPr>
            <w:r>
              <w:rPr>
                <w:rFonts w:ascii="Times New Roman" w:hAnsi="Times New Roman" w:cs="Times New Roman" w:eastAsia="Times New Roman"/>
                <w:bCs w:val="1"/>
                <w:sz w:val="24"/>
                <w:szCs w:val="24"/>
                <w:lang w:eastAsia="ru-RU"/>
              </w:rPr>
              <w:t>Ключевые методы и инструменты</w:t>
            </w:r>
          </w:p>
        </w:tc>
        <w:tc>
          <w:tcPr>
            <w:tcW w:w="2552" w:type="dxa"/>
            <w:hideMark/>
          </w:tcPr>
          <w:p>
            <w:pPr>
              <w:jc w:val="center"/>
              <w:rPr>
                <w:rFonts w:ascii="Times New Roman" w:hAnsi="Times New Roman" w:cs="Times New Roman" w:eastAsia="Times New Roman"/>
                <w:bCs w:val="1"/>
                <w:sz w:val="24"/>
                <w:szCs w:val="24"/>
                <w:lang w:eastAsia="ru-RU"/>
              </w:rPr>
            </w:pPr>
            <w:r>
              <w:rPr>
                <w:rFonts w:ascii="Times New Roman" w:hAnsi="Times New Roman" w:cs="Times New Roman" w:eastAsia="Times New Roman"/>
                <w:bCs w:val="1"/>
                <w:sz w:val="24"/>
                <w:szCs w:val="24"/>
                <w:lang w:eastAsia="ru-RU"/>
              </w:rPr>
              <w:t>Основные показатели / метрики</w:t>
            </w:r>
          </w:p>
        </w:tc>
        <w:tc>
          <w:tcPr>
            <w:tcW w:w="2120" w:type="dxa"/>
            <w:hideMark/>
          </w:tcPr>
          <w:p>
            <w:pPr>
              <w:jc w:val="center"/>
              <w:rPr>
                <w:rFonts w:ascii="Times New Roman" w:hAnsi="Times New Roman" w:cs="Times New Roman" w:eastAsia="Times New Roman"/>
                <w:bCs w:val="1"/>
                <w:sz w:val="24"/>
                <w:szCs w:val="24"/>
                <w:lang w:eastAsia="ru-RU"/>
              </w:rPr>
            </w:pPr>
            <w:r>
              <w:rPr>
                <w:rFonts w:ascii="Times New Roman" w:hAnsi="Times New Roman" w:cs="Times New Roman" w:eastAsia="Times New Roman"/>
                <w:bCs w:val="1"/>
                <w:sz w:val="24"/>
                <w:szCs w:val="24"/>
                <w:lang w:eastAsia="ru-RU"/>
              </w:rPr>
              <w:t>Аналитический результат</w:t>
            </w:r>
          </w:p>
        </w:tc>
      </w:tr>
      <w:tr>
        <w:tc>
          <w:tcPr>
            <w:tcW w:w="1555"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bCs w:val="1"/>
                <w:sz w:val="24"/>
                <w:szCs w:val="24"/>
                <w:lang w:eastAsia="ru-RU"/>
              </w:rPr>
              <w:t>I. Индикато-рная оценка инновацио-нной активности</w:t>
            </w:r>
          </w:p>
        </w:tc>
        <w:tc>
          <w:tcPr>
            <w:tcW w:w="1842" w:type="dxa"/>
            <w:hideMark/>
          </w:tcPr>
          <w:p>
            <w:pPr>
              <w:ind w:right="-108"/>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Оценка исходного уровня и динамики инновационного развития регионов</w:t>
            </w:r>
          </w:p>
        </w:tc>
        <w:tc>
          <w:tcPr>
            <w:tcW w:w="1843"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Индикаторный и индексный анализ</w:t>
            </w:r>
          </w:p>
        </w:tc>
        <w:tc>
          <w:tcPr>
            <w:tcW w:w="2552"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Инновационная активность предприятий; цифровизация; доступ к финансированию; экспортная активность; институциональные условия</w:t>
            </w:r>
          </w:p>
        </w:tc>
        <w:tc>
          <w:tcPr>
            <w:tcW w:w="2120"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Количественная характеристика инновационного потенциала регионов; база для межрегиональных сопоставлений</w:t>
            </w:r>
          </w:p>
        </w:tc>
      </w:tr>
      <w:tr>
        <w:tc>
          <w:tcPr>
            <w:tcW w:w="1555"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bCs w:val="1"/>
                <w:sz w:val="24"/>
                <w:szCs w:val="24"/>
                <w:lang w:eastAsia="ru-RU"/>
              </w:rPr>
              <w:t>II. Типоло-гизация регионов</w:t>
            </w:r>
          </w:p>
        </w:tc>
        <w:tc>
          <w:tcPr>
            <w:tcW w:w="1842"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Выявление структурных различий и типовых траекторий развития</w:t>
            </w:r>
          </w:p>
        </w:tc>
        <w:tc>
          <w:tcPr>
            <w:tcW w:w="1843" w:type="dxa"/>
            <w:hideMark/>
          </w:tcPr>
          <w:p>
            <w:pPr>
              <w:ind w:right="-108"/>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Типологические и матричные методы</w:t>
            </w:r>
          </w:p>
        </w:tc>
        <w:tc>
          <w:tcPr>
            <w:tcW w:w="2552"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Сочетание инновационных и инклюзивных характеристик; позиционирование регионов</w:t>
            </w:r>
          </w:p>
        </w:tc>
        <w:tc>
          <w:tcPr>
            <w:tcW w:w="2120"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Классификация регионов по типам инновационно-инклюзивного развития</w:t>
            </w:r>
          </w:p>
        </w:tc>
      </w:tr>
      <w:tr>
        <w:tc>
          <w:tcPr>
            <w:tcW w:w="1555"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bCs w:val="1"/>
                <w:sz w:val="24"/>
                <w:szCs w:val="24"/>
                <w:lang w:eastAsia="ru-RU"/>
              </w:rPr>
              <w:t>III. Причин-но-структур-ный анализ</w:t>
            </w:r>
          </w:p>
        </w:tc>
        <w:tc>
          <w:tcPr>
            <w:tcW w:w="1842"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Выявление каузальных связей и механизмов развития</w:t>
            </w:r>
          </w:p>
        </w:tc>
        <w:tc>
          <w:tcPr>
            <w:tcW w:w="1843"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DAG-подход (направленные ациклические графы)</w:t>
            </w:r>
          </w:p>
        </w:tc>
        <w:tc>
          <w:tcPr>
            <w:tcW w:w="2552"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Прямые и опосредованные эффекты инноваций; роль институтов и финансирования</w:t>
            </w:r>
          </w:p>
        </w:tc>
        <w:tc>
          <w:tcPr>
            <w:tcW w:w="2120"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Формализация причинно-следственной структуры инновационно-инклюзивного развития</w:t>
            </w:r>
          </w:p>
        </w:tc>
      </w:tr>
      <w:tr>
        <w:tc>
          <w:tcPr>
            <w:tcW w:w="1555"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bCs w:val="1"/>
                <w:sz w:val="24"/>
                <w:szCs w:val="24"/>
                <w:lang w:eastAsia="ru-RU"/>
              </w:rPr>
              <w:t>IV. Анализ латентных эффектов</w:t>
            </w:r>
          </w:p>
        </w:tc>
        <w:tc>
          <w:tcPr>
            <w:tcW w:w="1842"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Оценка ненаб-людаемых характеристик развития</w:t>
            </w:r>
          </w:p>
        </w:tc>
        <w:tc>
          <w:tcPr>
            <w:tcW w:w="1843"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PLS-моделирование</w:t>
            </w:r>
          </w:p>
        </w:tc>
        <w:tc>
          <w:tcPr>
            <w:tcW w:w="2552"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Инклюзивность; институциональное доверие; качество инновационной среды</w:t>
            </w:r>
          </w:p>
        </w:tc>
        <w:tc>
          <w:tcPr>
            <w:tcW w:w="2120"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Количественная оценка латентных факторов и их влияния на результаты развития</w:t>
            </w:r>
          </w:p>
        </w:tc>
      </w:tr>
      <w:tr>
        <w:tc>
          <w:tcPr>
            <w:tcW w:w="1555"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bCs w:val="1"/>
                <w:sz w:val="24"/>
                <w:szCs w:val="24"/>
                <w:lang w:eastAsia="ru-RU"/>
              </w:rPr>
              <w:t>V. Квази-эксперимен-тальная оценка</w:t>
            </w:r>
          </w:p>
        </w:tc>
        <w:tc>
          <w:tcPr>
            <w:tcW w:w="1842" w:type="dxa"/>
            <w:hideMark/>
          </w:tcPr>
          <w:p>
            <w:pPr>
              <w:ind w:right="-108"/>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Выявление эффектов вовлечения в инновационные и цифровые процессы</w:t>
            </w:r>
          </w:p>
        </w:tc>
        <w:tc>
          <w:tcPr>
            <w:tcW w:w="1843"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PSM (Propensity Score Matching)</w:t>
            </w:r>
          </w:p>
        </w:tc>
        <w:tc>
          <w:tcPr>
            <w:tcW w:w="2552"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Сравнение групп с различной степенью участия в инновациях и платформизации</w:t>
            </w:r>
          </w:p>
        </w:tc>
        <w:tc>
          <w:tcPr>
            <w:tcW w:w="2120"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Оценка инклюзивных эффектов и эффектов участия</w:t>
            </w:r>
          </w:p>
        </w:tc>
      </w:tr>
      <w:tr>
        <w:tc>
          <w:tcPr>
            <w:tcW w:w="1555" w:type="dxa"/>
            <w:hideMark/>
          </w:tcPr>
          <w:p>
            <w:pPr>
              <w:rPr>
                <w:rFonts w:ascii="Times New Roman" w:hAnsi="Times New Roman" w:cs="Times New Roman" w:eastAsia="Times New Roman"/>
                <w:bCs w:val="1"/>
                <w:sz w:val="24"/>
                <w:szCs w:val="24"/>
                <w:lang w:eastAsia="ru-RU"/>
              </w:rPr>
            </w:pPr>
            <w:r>
              <w:rPr>
                <w:rFonts w:ascii="Times New Roman" w:hAnsi="Times New Roman" w:cs="Times New Roman" w:eastAsia="Times New Roman"/>
                <w:bCs w:val="1"/>
                <w:sz w:val="24"/>
                <w:szCs w:val="24"/>
                <w:lang w:eastAsia="ru-RU"/>
              </w:rPr>
              <w:t>VI. Оценка платфор-</w:t>
            </w:r>
          </w:p>
          <w:p>
            <w:pPr>
              <w:rPr>
                <w:rFonts w:ascii="Times New Roman" w:hAnsi="Times New Roman" w:cs="Times New Roman" w:eastAsia="Times New Roman"/>
                <w:sz w:val="24"/>
                <w:szCs w:val="24"/>
                <w:lang w:eastAsia="ru-RU"/>
              </w:rPr>
            </w:pPr>
            <w:r>
              <w:rPr>
                <w:rFonts w:ascii="Times New Roman" w:hAnsi="Times New Roman" w:cs="Times New Roman" w:eastAsia="Times New Roman"/>
                <w:bCs w:val="1"/>
                <w:sz w:val="24"/>
                <w:szCs w:val="24"/>
                <w:lang w:eastAsia="ru-RU"/>
              </w:rPr>
              <w:t>мизации МСП</w:t>
            </w:r>
          </w:p>
        </w:tc>
        <w:tc>
          <w:tcPr>
            <w:tcW w:w="1842"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Анализ инновационно-инклюзивных эффектов цифровых платформ</w:t>
            </w:r>
          </w:p>
        </w:tc>
        <w:tc>
          <w:tcPr>
            <w:tcW w:w="1843" w:type="dxa"/>
            <w:hideMark/>
          </w:tcPr>
          <w:p>
            <w:pPr>
              <w:ind w:right="-108"/>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Многоуровневая система платформенных метрик</w:t>
            </w:r>
          </w:p>
        </w:tc>
        <w:tc>
          <w:tcPr>
            <w:tcW w:w="2552"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Экономическая включенность МСП; институциональная совместимость; культурная адаптация; социальные риски; инфраструктурная готовность</w:t>
            </w:r>
          </w:p>
        </w:tc>
        <w:tc>
          <w:tcPr>
            <w:tcW w:w="2120"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Комплексная оценка институциональ-ных, социальных и экономических эффектов платформизации</w:t>
            </w:r>
          </w:p>
        </w:tc>
      </w:tr>
      <w:tr>
        <w:tc>
          <w:tcPr>
            <w:tcW w:w="1555"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bCs w:val="1"/>
                <w:sz w:val="24"/>
                <w:szCs w:val="24"/>
                <w:lang w:eastAsia="ru-RU"/>
              </w:rPr>
              <w:t>VII.Интерп-ритация результатов</w:t>
            </w:r>
          </w:p>
        </w:tc>
        <w:tc>
          <w:tcPr>
            <w:tcW w:w="1842"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Синтез результатов и формирование выводов</w:t>
            </w:r>
          </w:p>
        </w:tc>
        <w:tc>
          <w:tcPr>
            <w:tcW w:w="1843"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Комплексная интерпретация результатов</w:t>
            </w:r>
          </w:p>
        </w:tc>
        <w:tc>
          <w:tcPr>
            <w:tcW w:w="2552"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Сопоставление индикаторных, структурных и причинных оценок</w:t>
            </w:r>
          </w:p>
        </w:tc>
        <w:tc>
          <w:tcPr>
            <w:tcW w:w="2120"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Целостная оценка инновационно-инклюзивного развития регионов</w:t>
            </w:r>
          </w:p>
        </w:tc>
      </w:tr>
    </w:tbl>
    <w:p>
      <w:pPr>
        <w:pStyle w:val="P13"/>
        <w:spacing w:lineRule="auto" w:line="360" w:beforeAutospacing="0" w:afterAutospacing="0"/>
        <w:ind w:firstLine="709"/>
        <w:jc w:val="both"/>
        <w:rPr>
          <w:sz w:val="28"/>
          <w:szCs w:val="28"/>
          <w:lang w:val="ru-RU"/>
        </w:rPr>
      </w:pPr>
    </w:p>
    <w:p>
      <w:pPr>
        <w:pStyle w:val="P13"/>
        <w:spacing w:lineRule="auto" w:line="360" w:beforeAutospacing="0" w:afterAutospacing="0"/>
        <w:ind w:firstLine="709"/>
        <w:jc w:val="both"/>
        <w:rPr>
          <w:sz w:val="28"/>
          <w:szCs w:val="28"/>
          <w:lang w:val="ru-RU"/>
        </w:rPr>
      </w:pPr>
      <w:r>
        <w:rPr>
          <w:sz w:val="28"/>
          <w:szCs w:val="28"/>
          <w:lang w:val="ru-RU"/>
        </w:rPr>
        <w:t xml:space="preserve">Представленный авторский методический подход основан на поэтапной интеграции индикаторного анализа, типологизации, причинно-структурного моделирования и оценки латентных эффектов, что позволяет перейти от описательной характеристики инновационной активности к выявлению механизмов инновационно-инклюзивного развития регионов. Особое место в подходе занимает оценка платформизации малого и среднего бизнеса как институционального механизма расширения экономической включенности и формирования доверия в условиях развивающихся экономик. В совокупности предложенная методическая конструкция позволяет перейти от фрагментарной количественной оценки инновационной активности и цифровизации к комплексной оценке инновационно-инклюзивного эффекта платформизации, учитывающей экономические, институциональные, культурные и социальные измерения. </w:t>
      </w:r>
    </w:p>
    <w:p>
      <w:pPr>
        <w:pStyle w:val="P13"/>
        <w:spacing w:lineRule="auto" w:line="360" w:beforeAutospacing="0" w:afterAutospacing="0"/>
        <w:ind w:firstLine="709"/>
        <w:jc w:val="both"/>
        <w:rPr>
          <w:sz w:val="28"/>
          <w:szCs w:val="28"/>
          <w:lang w:val="ru-RU"/>
        </w:rPr>
      </w:pPr>
      <w:r>
        <w:rPr>
          <w:sz w:val="28"/>
          <w:szCs w:val="28"/>
          <w:lang w:val="ru-RU"/>
        </w:rPr>
        <w:t>Таким образом, в хоте теоретического осмысления предметной области исследования сформирована теоретико-методическая основа анализа инновационно-инклюзивного развития региональной экономики в условиях цифровой трансформации, что позволило последовательно обосновать предметное поле, категориальный аппарат и методический инструментарий дальнейшего исследования. В результате проведенного теоретического анализа уточнены и систематизированы подходы к трактовке понятий устойчивого, инклюзивного и инновационного развития, выявлены их концептуальные различия и точки пересечения. Показано, что в условиях развивающихся экономик данные модели не могут рассматриваться изолированно, а их эффективная реализация требует интеграции инновационного и инклюзивного измерений. На этой основе введена и обоснована категория инновационно-инклюзивного развития, отражающая взаимосвязь технологических изменений, расширения экономической включенности и институциональных условий распространения инноваций.</w:t>
      </w:r>
    </w:p>
    <w:p>
      <w:pPr>
        <w:pStyle w:val="P13"/>
        <w:spacing w:lineRule="auto" w:line="360" w:beforeAutospacing="0" w:afterAutospacing="0"/>
        <w:ind w:firstLine="709"/>
        <w:jc w:val="both"/>
        <w:rPr>
          <w:sz w:val="28"/>
          <w:szCs w:val="28"/>
          <w:lang w:val="ru-RU"/>
        </w:rPr>
      </w:pPr>
      <w:r>
        <w:rPr>
          <w:sz w:val="28"/>
          <w:szCs w:val="28"/>
          <w:lang w:val="ru-RU"/>
        </w:rPr>
        <w:t>В рамках анализа национальных и региональных инновационных систем раскрыты их сущностные характеристики, структурные элементы и механизмы функционирования, а также показана специфика их формирования в развивающихся странах. Установлено, что ключевыми ограничениями развития НИС и РИС в таких экономиках являются институциональная фрагментарность, ограниченный доступ к финансированию, пространственная неоднородность и дефицит доверия между экономическими агентами, что усиливает значимость цифровых платформ как инструментов координации и интеграции инновационных процессов.</w:t>
      </w:r>
    </w:p>
    <w:p>
      <w:pPr>
        <w:pStyle w:val="P13"/>
        <w:spacing w:lineRule="auto" w:line="360" w:beforeAutospacing="0" w:afterAutospacing="0"/>
        <w:ind w:firstLine="709"/>
        <w:jc w:val="both"/>
        <w:rPr>
          <w:sz w:val="28"/>
          <w:szCs w:val="28"/>
          <w:lang w:val="ru-RU"/>
        </w:rPr>
      </w:pPr>
      <w:r>
        <w:rPr>
          <w:sz w:val="28"/>
          <w:szCs w:val="28"/>
          <w:lang w:val="ru-RU"/>
        </w:rPr>
        <w:t>Особое внимание уделено роли цифровой платформизации и института доверия в формировании инновационно-инклюзивной модели развития. Обосновано, что цифровые платформы в развивающихся экономиках выполняют не только технологическую, но и институциональную функцию, способствуя снижению трансакционных издержек, расширению участия малого и среднего бизнеса и формированию устойчивых механизмов доверия на основе рейтинговых систем, пользовательского опыта и встроенных механизмов безопасности.</w:t>
      </w:r>
    </w:p>
    <w:p>
      <w:pPr>
        <w:pStyle w:val="P13"/>
        <w:spacing w:lineRule="auto" w:line="360" w:beforeAutospacing="0" w:afterAutospacing="0"/>
        <w:ind w:firstLine="709"/>
        <w:jc w:val="both"/>
        <w:rPr>
          <w:sz w:val="28"/>
          <w:szCs w:val="28"/>
          <w:lang w:val="ru-RU"/>
        </w:rPr>
      </w:pPr>
      <w:r>
        <w:rPr>
          <w:sz w:val="28"/>
          <w:szCs w:val="28"/>
          <w:lang w:val="ru-RU"/>
        </w:rPr>
        <w:t>На основе критического анализа существующих подходов к оценке инновационного, инклюзивного развития и цифровой платформизации выявлены их методические ограничения, обусловленные фрагментарностью, ориентацией на развитые экономики и недостаточным учетом институционального и социального контекста. В ответ на выявленные ограничения предложен авторский многоуровневый методический подход к оценке инновационно-инклюзивного развития регионов, основанный на интеграции индикаторного анализа, типологизации, причинно-структурного моделирования (DAG), анализа латентных эффектов (PLS) и квазиэкспериментальных методов (PSM). Предложенный подход ориентирован на выявление не только уровня инновационной активности, но и устойчивости включения экономических агентов, институциональной совместимости цифровых платформ, культурной адаптации и социальных рисков, что позволяет обеспечить комплексную и интерпретируемую оценку инновационно-инклюзивного развития регионов в условиях развивающихся стран.</w:t>
      </w:r>
    </w:p>
    <w:p>
      <w:pPr>
        <w:pStyle w:val="P13"/>
        <w:spacing w:lineRule="auto" w:line="360" w:beforeAutospacing="0" w:afterAutospacing="0"/>
        <w:ind w:firstLine="709"/>
        <w:jc w:val="both"/>
        <w:rPr>
          <w:sz w:val="28"/>
          <w:szCs w:val="28"/>
          <w:lang w:val="ru-RU"/>
        </w:rPr>
      </w:pPr>
      <w:r>
        <w:rPr>
          <w:sz w:val="28"/>
          <w:szCs w:val="28"/>
          <w:lang w:val="ru-RU"/>
        </w:rPr>
        <w:t>Выводы первой главы определили концептуальные и методические ориентиры эмпирического исследования инновационно-инклюзивного развития экономики региона. Сформированный категориальный аппарат и авторский методический подход позволяют перейти к практическому анализу социально-экономических, институциональных и инновационных процессов на уровне конкретной страны. В этой связи далее проведем анализ инновационно-инклюзивного развития Республики Кот-д’Ивуар.</w:t>
      </w:r>
    </w:p>
    <w:p>
      <w:pPr>
        <w:pStyle w:val="P13"/>
        <w:spacing w:lineRule="auto" w:line="360" w:beforeAutospacing="0" w:afterAutospacing="0"/>
        <w:ind w:firstLine="709"/>
        <w:jc w:val="both"/>
        <w:rPr>
          <w:sz w:val="28"/>
          <w:szCs w:val="28"/>
          <w:lang w:val="ru-RU"/>
        </w:rPr>
      </w:pPr>
    </w:p>
    <w:p>
      <w:pPr>
        <w:spacing w:lineRule="auto" w:line="360" w:after="0" w:beforeAutospacing="0" w:afterAutospacing="0"/>
        <w:ind w:firstLine="709"/>
        <w:jc w:val="center"/>
        <w:rPr>
          <w:rFonts w:cs="Times New Roman"/>
          <w:b w:val="1"/>
          <w:bCs w:val="1"/>
          <w:caps w:val="1"/>
          <w:sz w:val="28"/>
          <w:szCs w:val="28"/>
        </w:rPr>
      </w:pPr>
      <w:r>
        <w:rPr>
          <w:rFonts w:cs="Times New Roman"/>
          <w:b w:val="1"/>
          <w:bCs w:val="1"/>
          <w:caps w:val="1"/>
          <w:sz w:val="28"/>
          <w:szCs w:val="28"/>
        </w:rPr>
        <w:t xml:space="preserve"> </w:t>
      </w:r>
      <w:r>
        <w:rPr>
          <w:rFonts w:ascii="Times New Roman" w:hAnsi="Times New Roman" w:cs="Times New Roman"/>
          <w:b w:val="1"/>
          <w:sz w:val="28"/>
          <w:szCs w:val="28"/>
        </w:rPr>
        <w:t>ГЛАВА</w:t>
      </w:r>
      <w:r>
        <w:rPr>
          <w:rFonts w:ascii="Times New Roman Полужирный" w:hAnsi="Times New Roman Полужирный" w:cs="Times New Roman"/>
          <w:b w:val="1"/>
          <w:bCs w:val="1"/>
          <w:caps w:val="1"/>
          <w:sz w:val="28"/>
          <w:szCs w:val="28"/>
        </w:rPr>
        <w:t xml:space="preserve"> 2. Анализ инновационно-инклюзивного развития Республики Кот-д’Ивуар и </w:t>
      </w:r>
    </w:p>
    <w:p>
      <w:pPr>
        <w:spacing w:lineRule="auto" w:line="360" w:after="0" w:beforeAutospacing="0" w:afterAutospacing="0"/>
        <w:ind w:firstLine="709"/>
        <w:jc w:val="center"/>
        <w:rPr>
          <w:rFonts w:ascii="Times New Roman Полужирный" w:hAnsi="Times New Roman Полужирный" w:cs="Times New Roman"/>
          <w:b w:val="1"/>
          <w:bCs w:val="1"/>
          <w:caps w:val="1"/>
          <w:sz w:val="28"/>
          <w:szCs w:val="28"/>
        </w:rPr>
      </w:pPr>
      <w:r>
        <w:rPr>
          <w:rFonts w:ascii="Times New Roman Полужирный" w:hAnsi="Times New Roman Полужирный" w:cs="Times New Roman"/>
          <w:b w:val="1"/>
          <w:bCs w:val="1"/>
          <w:caps w:val="1"/>
          <w:sz w:val="28"/>
          <w:szCs w:val="28"/>
        </w:rPr>
        <w:t xml:space="preserve">факторов его формирования </w:t>
      </w:r>
    </w:p>
    <w:p>
      <w:pPr>
        <w:spacing w:lineRule="auto" w:line="360" w:after="0" w:beforeAutospacing="0" w:afterAutospacing="0"/>
        <w:ind w:firstLine="709"/>
        <w:jc w:val="center"/>
        <w:rPr>
          <w:rFonts w:ascii="Times New Roman" w:hAnsi="Times New Roman" w:cs="Times New Roman"/>
          <w:b w:val="1"/>
          <w:bCs w:val="1"/>
          <w:sz w:val="28"/>
          <w:szCs w:val="28"/>
        </w:rPr>
      </w:pPr>
    </w:p>
    <w:p>
      <w:pPr>
        <w:spacing w:lineRule="auto" w:line="360" w:after="0" w:beforeAutospacing="0" w:afterAutospacing="0"/>
        <w:ind w:firstLine="709"/>
        <w:jc w:val="center"/>
        <w:rPr>
          <w:rFonts w:ascii="Times New Roman" w:hAnsi="Times New Roman" w:cs="Times New Roman"/>
          <w:b w:val="1"/>
          <w:bCs w:val="1"/>
          <w:sz w:val="28"/>
          <w:szCs w:val="28"/>
        </w:rPr>
      </w:pPr>
    </w:p>
    <w:p>
      <w:pPr>
        <w:spacing w:lineRule="auto" w:line="360" w:after="0" w:beforeAutospacing="0" w:afterAutospacing="0"/>
        <w:ind w:firstLine="709"/>
        <w:jc w:val="center"/>
        <w:rPr>
          <w:rFonts w:ascii="Times New Roman" w:hAnsi="Times New Roman" w:cs="Times New Roman"/>
          <w:b w:val="1"/>
          <w:bCs w:val="1"/>
          <w:sz w:val="28"/>
          <w:szCs w:val="28"/>
        </w:rPr>
      </w:pPr>
    </w:p>
    <w:p>
      <w:pPr>
        <w:spacing w:lineRule="auto" w:line="360" w:after="0" w:beforeAutospacing="0" w:afterAutospacing="0"/>
        <w:ind w:firstLine="709"/>
        <w:jc w:val="center"/>
        <w:rPr>
          <w:rFonts w:ascii="Times New Roman" w:hAnsi="Times New Roman" w:cs="Times New Roman"/>
          <w:b w:val="1"/>
          <w:bCs w:val="1"/>
          <w:sz w:val="28"/>
          <w:szCs w:val="28"/>
        </w:rPr>
      </w:pPr>
      <w:r>
        <w:rPr>
          <w:rFonts w:ascii="Times New Roman" w:hAnsi="Times New Roman" w:cs="Times New Roman"/>
          <w:b w:val="1"/>
          <w:bCs w:val="1"/>
          <w:sz w:val="28"/>
          <w:szCs w:val="28"/>
        </w:rPr>
        <w:t xml:space="preserve">2.1. Социально-экономические предпосылки и институциональные барьеры инновационного развития Республики Кот-д’Ивуар </w:t>
      </w:r>
    </w:p>
    <w:p>
      <w:pPr>
        <w:pStyle w:val="P13"/>
        <w:spacing w:lineRule="auto" w:line="360" w:beforeAutospacing="0" w:afterAutospacing="0"/>
        <w:jc w:val="both"/>
        <w:rPr>
          <w:sz w:val="28"/>
          <w:szCs w:val="28"/>
          <w:lang w:val="ru-RU"/>
        </w:rPr>
      </w:pPr>
    </w:p>
    <w:p>
      <w:pPr>
        <w:pStyle w:val="P13"/>
        <w:spacing w:lineRule="auto" w:line="360" w:beforeAutospacing="0" w:afterAutospacing="0"/>
        <w:ind w:firstLine="709"/>
        <w:jc w:val="both"/>
        <w:rPr>
          <w:sz w:val="28"/>
          <w:szCs w:val="28"/>
          <w:lang w:val="ru-RU"/>
        </w:rPr>
      </w:pPr>
    </w:p>
    <w:p>
      <w:pPr>
        <w:pStyle w:val="P13"/>
        <w:spacing w:lineRule="auto" w:line="360" w:beforeAutospacing="0" w:afterAutospacing="0"/>
        <w:ind w:firstLine="709"/>
        <w:jc w:val="both"/>
        <w:rPr>
          <w:sz w:val="28"/>
          <w:szCs w:val="28"/>
          <w:lang w:val="ru-RU"/>
        </w:rPr>
      </w:pPr>
    </w:p>
    <w:p>
      <w:pPr>
        <w:pStyle w:val="P13"/>
        <w:spacing w:lineRule="auto" w:line="360" w:beforeAutospacing="0" w:afterAutospacing="0"/>
        <w:ind w:firstLine="709"/>
        <w:jc w:val="both"/>
        <w:rPr>
          <w:sz w:val="28"/>
          <w:szCs w:val="28"/>
          <w:lang w:val="ru-RU"/>
        </w:rPr>
      </w:pPr>
      <w:r>
        <w:rPr>
          <w:sz w:val="28"/>
          <w:szCs w:val="28"/>
          <w:lang w:val="ru-RU"/>
        </w:rPr>
        <w:t>Выбор Республики Кот-д’Ивуар в качестве объекта эмпирического анализа обусловлен ее статусом одной из динамично развивающихся экономик Западной Африки, демонстрирующей устойчивый экономический рост при сохраняющейся структурной неоднородности, институциональных ограничениях и выраженных территориальных диспропорциях. В этих условиях особую значимость приобретает оценка того, в какой степени инновационные процессы и цифровая трансформация способствуют расширению экономической включенности и формированию устойчивых институциональных механизмов развития.</w:t>
      </w:r>
    </w:p>
    <w:p>
      <w:pPr>
        <w:pStyle w:val="P13"/>
        <w:spacing w:lineRule="auto" w:line="360" w:beforeAutospacing="0" w:afterAutospacing="0"/>
        <w:ind w:firstLine="709"/>
        <w:jc w:val="both"/>
        <w:rPr>
          <w:sz w:val="28"/>
          <w:szCs w:val="28"/>
          <w:lang w:val="ru-RU"/>
        </w:rPr>
      </w:pPr>
      <w:r>
        <w:rPr>
          <w:sz w:val="28"/>
          <w:szCs w:val="28"/>
          <w:lang w:val="ru-RU"/>
        </w:rPr>
        <w:t>Республика Кот-д’Ивуар как и все страны африканского континента приступила к реализации своего 50-летнего плана развития, адаптировав и внедрив повестку дня на период до 2063 года в национальные и региональные стратегии развития. Пятьдесят четыре страны подписали и двадцать девять ратифицировали данное соглашение. За первые шесть лет реализации был достигнут значительный прогресс в достижении целей, определенных в первом десятилетнем плане реализации повестки с общим баллом 32 % по сравнению с целевыми ориентирами 2019 года. На региональном уровне в Восточной Африке был зафиксирован самый высокий показатель эффективности по пяти ЦУР с совокупным баллом 40 %, в Западной Африке данный показатель составил 34 %, а Северной Африки – 27 % [</w:t>
      </w:r>
      <w:r>
        <w:rPr>
          <w:sz w:val="28"/>
          <w:szCs w:val="28"/>
          <w:highlight w:val="yellow"/>
          <w:lang w:val="ru-RU"/>
        </w:rPr>
        <w:t>177</w:t>
      </w:r>
      <w:r>
        <w:rPr>
          <w:sz w:val="28"/>
          <w:szCs w:val="28"/>
          <w:lang w:val="ru-RU"/>
        </w:rPr>
        <w:t xml:space="preserve">]. </w:t>
      </w:r>
    </w:p>
    <w:p>
      <w:pPr>
        <w:pStyle w:val="P13"/>
        <w:spacing w:lineRule="auto" w:line="360" w:beforeAutospacing="0" w:afterAutospacing="0"/>
        <w:ind w:firstLine="709"/>
        <w:jc w:val="both"/>
        <w:rPr>
          <w:sz w:val="28"/>
          <w:szCs w:val="28"/>
          <w:lang w:val="ru-RU"/>
        </w:rPr>
      </w:pPr>
      <w:r>
        <w:rPr>
          <w:sz w:val="28"/>
          <w:szCs w:val="28"/>
          <w:lang w:val="ru-RU"/>
        </w:rPr>
        <w:t>Перечень ЦУР новой утвержденной повестки до 2063 года представлен в таблице 13. Как видно они охватывают максимально широкий перечень целей, которые соответствуют критериям инклюзивного роста и устойчивого развития, а именно: акцент на развитии человеческого потенциала, устранение всех видов неравенств, уважение прав человека и т.д.</w:t>
      </w:r>
    </w:p>
    <w:p>
      <w:pPr>
        <w:pStyle w:val="P13"/>
        <w:spacing w:lineRule="auto" w:line="360" w:beforeAutospacing="0" w:afterAutospacing="0"/>
        <w:ind w:firstLine="709"/>
        <w:jc w:val="both"/>
        <w:rPr>
          <w:sz w:val="28"/>
          <w:szCs w:val="28"/>
          <w:lang w:val="ru-RU"/>
        </w:rPr>
      </w:pPr>
      <w:r>
        <w:rPr>
          <w:sz w:val="28"/>
          <w:szCs w:val="28"/>
          <w:lang w:val="ru-RU"/>
        </w:rPr>
        <w:t>Очевидно, что потребуются дополнительные усилия для ускорения реализации на континенте комплекса целей и задач, определенных в новой повестке. Также потребуются согласованные и скоординированные усилия на субнациональном, национальном, региональном и континентальном уровнях для комплексного решения выявленных проблем и рационально использовать имеющиеся возможности. При этом актуальным остается вопрос согласования ЦУР повестки развития до 2063 г. и долгосрочных целевых ориентиров предыдущей стратегии развития африканского континента (таблица 13).</w:t>
      </w:r>
    </w:p>
    <w:p>
      <w:pPr>
        <w:spacing w:lineRule="auto" w:line="360" w:after="0" w:beforeAutospacing="0" w:afterAutospacing="0"/>
        <w:jc w:val="both"/>
        <w:rPr>
          <w:rFonts w:ascii="Times New Roman" w:hAnsi="Times New Roman" w:cs="Times New Roman"/>
          <w:iCs w:val="1"/>
          <w:sz w:val="28"/>
          <w:szCs w:val="28"/>
        </w:rPr>
      </w:pPr>
    </w:p>
    <w:p>
      <w:pPr>
        <w:spacing w:lineRule="auto" w:line="360" w:after="0" w:beforeAutospacing="0" w:afterAutospacing="0"/>
        <w:jc w:val="both"/>
        <w:rPr>
          <w:rFonts w:ascii="Times New Roman" w:hAnsi="Times New Roman" w:cs="Times New Roman"/>
          <w:iCs w:val="1"/>
          <w:sz w:val="28"/>
          <w:szCs w:val="28"/>
        </w:rPr>
      </w:pPr>
      <w:r>
        <w:rPr>
          <w:rFonts w:ascii="Times New Roman" w:hAnsi="Times New Roman" w:cs="Times New Roman"/>
          <w:iCs w:val="1"/>
          <w:sz w:val="28"/>
          <w:szCs w:val="28"/>
        </w:rPr>
        <w:t>Таблица 13 – Повестка дня Африканского союза на период до 2063 г.</w:t>
      </w:r>
      <w:r>
        <w:rPr>
          <w:rStyle w:val="C42"/>
          <w:rFonts w:ascii="Times New Roman" w:hAnsi="Times New Roman" w:cs="Times New Roman"/>
          <w:iCs w:val="1"/>
          <w:sz w:val="28"/>
          <w:szCs w:val="28"/>
        </w:rPr>
        <w:footnoteReference w:id="75"/>
      </w:r>
      <w:r>
        <w:rPr>
          <w:rFonts w:ascii="Times New Roman" w:hAnsi="Times New Roman" w:cs="Times New Roman"/>
          <w:iCs w:val="1"/>
          <w:sz w:val="28"/>
          <w:szCs w:val="28"/>
        </w:rPr>
        <w:t xml:space="preserve"> </w:t>
      </w:r>
    </w:p>
    <w:tbl>
      <w:tblPr>
        <w:tblStyle w:val="T2"/>
        <w:tblW w:w="9498" w:type="dxa"/>
        <w:tblInd w:w="-5" w:type="dxa"/>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Layout w:type="fixed"/>
        <w:tblLook w:val="01E0"/>
      </w:tblPr>
      <w:tblGrid>
        <w:gridCol w:w="993"/>
        <w:gridCol w:w="8505"/>
      </w:tblGrid>
      <w:tr>
        <w:trPr>
          <w:trHeight w:hRule="atLeast" w:val="289"/>
        </w:trPr>
        <w:tc>
          <w:tcPr>
            <w:tcW w:w="993" w:type="dxa"/>
          </w:tcPr>
          <w:p>
            <w:pPr>
              <w:pStyle w:val="P16"/>
              <w:spacing w:before="0" w:beforeAutospacing="0" w:afterAutospacing="0"/>
              <w:ind w:left="0"/>
              <w:jc w:val="center"/>
              <w:rPr>
                <w:bCs w:val="1"/>
                <w:sz w:val="24"/>
                <w:szCs w:val="24"/>
                <w:lang w:val="ru-RU"/>
              </w:rPr>
            </w:pPr>
            <w:r>
              <w:rPr>
                <w:bCs w:val="1"/>
                <w:sz w:val="24"/>
                <w:szCs w:val="24"/>
                <w:lang w:val="ru-RU"/>
              </w:rPr>
              <w:t>№ цели</w:t>
            </w:r>
          </w:p>
        </w:tc>
        <w:tc>
          <w:tcPr>
            <w:tcW w:w="8505" w:type="dxa"/>
          </w:tcPr>
          <w:p>
            <w:pPr>
              <w:pStyle w:val="P16"/>
              <w:spacing w:before="0" w:beforeAutospacing="0" w:afterAutospacing="0"/>
              <w:ind w:left="142"/>
              <w:rPr>
                <w:bCs w:val="1"/>
                <w:sz w:val="24"/>
                <w:szCs w:val="24"/>
                <w:lang w:val="ru-RU"/>
              </w:rPr>
            </w:pPr>
            <w:r>
              <w:rPr>
                <w:bCs w:val="1"/>
                <w:sz w:val="24"/>
                <w:szCs w:val="24"/>
                <w:lang w:val="ru-RU"/>
              </w:rPr>
              <w:t>Описание</w:t>
            </w:r>
          </w:p>
        </w:tc>
      </w:tr>
      <w:tr>
        <w:trPr>
          <w:trHeight w:hRule="atLeast" w:val="289"/>
        </w:trPr>
        <w:tc>
          <w:tcPr>
            <w:tcW w:w="993" w:type="dxa"/>
          </w:tcPr>
          <w:p>
            <w:pPr>
              <w:pStyle w:val="P16"/>
              <w:spacing w:before="0" w:beforeAutospacing="0" w:afterAutospacing="0"/>
              <w:ind w:left="0"/>
              <w:jc w:val="center"/>
              <w:rPr>
                <w:bCs w:val="1"/>
                <w:sz w:val="24"/>
                <w:szCs w:val="24"/>
              </w:rPr>
            </w:pPr>
            <w:r>
              <w:rPr>
                <w:bCs w:val="1"/>
                <w:sz w:val="24"/>
                <w:szCs w:val="24"/>
              </w:rPr>
              <w:t>1</w:t>
            </w:r>
          </w:p>
        </w:tc>
        <w:tc>
          <w:tcPr>
            <w:tcW w:w="8505" w:type="dxa"/>
          </w:tcPr>
          <w:p>
            <w:pPr>
              <w:pStyle w:val="P16"/>
              <w:spacing w:before="0" w:beforeAutospacing="0" w:afterAutospacing="0"/>
              <w:ind w:left="142"/>
              <w:rPr>
                <w:bCs w:val="1"/>
                <w:sz w:val="24"/>
                <w:szCs w:val="24"/>
                <w:lang w:val="ru-RU"/>
              </w:rPr>
            </w:pPr>
            <w:r>
              <w:rPr>
                <w:bCs w:val="1"/>
                <w:sz w:val="24"/>
                <w:szCs w:val="24"/>
                <w:lang w:val="ru-RU"/>
              </w:rPr>
              <w:t>Процветающая Африка, основанная на инклюзивном росте и устойчивом развитии</w:t>
            </w:r>
          </w:p>
        </w:tc>
      </w:tr>
      <w:tr>
        <w:trPr>
          <w:trHeight w:hRule="atLeast" w:val="482"/>
        </w:trPr>
        <w:tc>
          <w:tcPr>
            <w:tcW w:w="993" w:type="dxa"/>
          </w:tcPr>
          <w:p>
            <w:pPr>
              <w:pStyle w:val="P16"/>
              <w:spacing w:before="0" w:beforeAutospacing="0" w:afterAutospacing="0"/>
              <w:ind w:left="0"/>
              <w:jc w:val="center"/>
              <w:rPr>
                <w:bCs w:val="1"/>
                <w:sz w:val="24"/>
                <w:szCs w:val="24"/>
              </w:rPr>
            </w:pPr>
            <w:r>
              <w:rPr>
                <w:bCs w:val="1"/>
                <w:sz w:val="24"/>
                <w:szCs w:val="24"/>
              </w:rPr>
              <w:t>2</w:t>
            </w:r>
          </w:p>
        </w:tc>
        <w:tc>
          <w:tcPr>
            <w:tcW w:w="8505" w:type="dxa"/>
          </w:tcPr>
          <w:p>
            <w:pPr>
              <w:pStyle w:val="P16"/>
              <w:spacing w:before="0" w:beforeAutospacing="0" w:afterAutospacing="0"/>
              <w:ind w:left="142"/>
              <w:rPr>
                <w:bCs w:val="1"/>
                <w:sz w:val="24"/>
                <w:szCs w:val="24"/>
                <w:lang w:val="ru-RU"/>
              </w:rPr>
            </w:pPr>
            <w:r>
              <w:rPr>
                <w:bCs w:val="1"/>
                <w:sz w:val="24"/>
                <w:szCs w:val="24"/>
                <w:lang w:val="ru-RU"/>
              </w:rPr>
              <w:t>Единый континент; политически объединенный и основанный на идеалах панафриканизма и видении Возрождения Африки</w:t>
            </w:r>
          </w:p>
        </w:tc>
      </w:tr>
      <w:tr>
        <w:trPr>
          <w:trHeight w:hRule="atLeast" w:val="290"/>
        </w:trPr>
        <w:tc>
          <w:tcPr>
            <w:tcW w:w="993" w:type="dxa"/>
          </w:tcPr>
          <w:p>
            <w:pPr>
              <w:pStyle w:val="P16"/>
              <w:spacing w:before="0" w:beforeAutospacing="0" w:afterAutospacing="0"/>
              <w:ind w:left="0"/>
              <w:jc w:val="center"/>
              <w:rPr>
                <w:bCs w:val="1"/>
                <w:sz w:val="24"/>
                <w:szCs w:val="24"/>
              </w:rPr>
            </w:pPr>
            <w:r>
              <w:rPr>
                <w:bCs w:val="1"/>
                <w:sz w:val="24"/>
                <w:szCs w:val="24"/>
              </w:rPr>
              <w:t>3</w:t>
            </w:r>
          </w:p>
        </w:tc>
        <w:tc>
          <w:tcPr>
            <w:tcW w:w="8505" w:type="dxa"/>
          </w:tcPr>
          <w:p>
            <w:pPr>
              <w:pStyle w:val="P16"/>
              <w:spacing w:before="0" w:beforeAutospacing="0" w:afterAutospacing="0"/>
              <w:ind w:left="142"/>
              <w:rPr>
                <w:bCs w:val="1"/>
                <w:sz w:val="24"/>
                <w:szCs w:val="24"/>
                <w:lang w:val="ru-RU"/>
              </w:rPr>
            </w:pPr>
            <w:r>
              <w:rPr>
                <w:bCs w:val="1"/>
                <w:sz w:val="24"/>
                <w:szCs w:val="24"/>
                <w:lang w:val="ru-RU"/>
              </w:rPr>
              <w:t>Африка благого управления, демократии, уважения прав человека, справедливости и верховенства закона</w:t>
            </w:r>
          </w:p>
        </w:tc>
      </w:tr>
      <w:tr>
        <w:trPr>
          <w:trHeight w:hRule="atLeast" w:val="290"/>
        </w:trPr>
        <w:tc>
          <w:tcPr>
            <w:tcW w:w="993" w:type="dxa"/>
          </w:tcPr>
          <w:p>
            <w:pPr>
              <w:pStyle w:val="P16"/>
              <w:spacing w:before="0" w:beforeAutospacing="0" w:afterAutospacing="0"/>
              <w:ind w:left="0"/>
              <w:jc w:val="center"/>
              <w:rPr>
                <w:bCs w:val="1"/>
                <w:sz w:val="24"/>
                <w:szCs w:val="24"/>
              </w:rPr>
            </w:pPr>
            <w:r>
              <w:rPr>
                <w:bCs w:val="1"/>
                <w:sz w:val="24"/>
                <w:szCs w:val="24"/>
              </w:rPr>
              <w:t>4</w:t>
            </w:r>
          </w:p>
        </w:tc>
        <w:tc>
          <w:tcPr>
            <w:tcW w:w="8505" w:type="dxa"/>
          </w:tcPr>
          <w:p>
            <w:pPr>
              <w:pStyle w:val="P16"/>
              <w:spacing w:before="0" w:beforeAutospacing="0" w:afterAutospacing="0"/>
              <w:ind w:left="142"/>
              <w:rPr>
                <w:bCs w:val="1"/>
                <w:sz w:val="24"/>
                <w:szCs w:val="24"/>
              </w:rPr>
            </w:pPr>
            <w:r>
              <w:rPr>
                <w:bCs w:val="1"/>
                <w:sz w:val="24"/>
                <w:szCs w:val="24"/>
              </w:rPr>
              <w:t>Мирная и безопасная Африка</w:t>
            </w:r>
          </w:p>
        </w:tc>
      </w:tr>
      <w:tr>
        <w:trPr>
          <w:trHeight w:hRule="atLeast" w:val="290"/>
        </w:trPr>
        <w:tc>
          <w:tcPr>
            <w:tcW w:w="993" w:type="dxa"/>
          </w:tcPr>
          <w:p>
            <w:pPr>
              <w:pStyle w:val="P16"/>
              <w:spacing w:before="0" w:beforeAutospacing="0" w:afterAutospacing="0"/>
              <w:ind w:left="0"/>
              <w:jc w:val="center"/>
              <w:rPr>
                <w:bCs w:val="1"/>
                <w:sz w:val="24"/>
                <w:szCs w:val="24"/>
              </w:rPr>
            </w:pPr>
            <w:r>
              <w:rPr>
                <w:bCs w:val="1"/>
                <w:sz w:val="24"/>
                <w:szCs w:val="24"/>
              </w:rPr>
              <w:t>5</w:t>
            </w:r>
          </w:p>
        </w:tc>
        <w:tc>
          <w:tcPr>
            <w:tcW w:w="8505" w:type="dxa"/>
          </w:tcPr>
          <w:p>
            <w:pPr>
              <w:pStyle w:val="P16"/>
              <w:spacing w:before="0" w:beforeAutospacing="0" w:afterAutospacing="0"/>
              <w:ind w:left="142"/>
              <w:rPr>
                <w:bCs w:val="1"/>
                <w:sz w:val="24"/>
                <w:szCs w:val="24"/>
                <w:lang w:val="ru-RU"/>
              </w:rPr>
            </w:pPr>
            <w:r>
              <w:rPr>
                <w:bCs w:val="1"/>
                <w:sz w:val="24"/>
                <w:szCs w:val="24"/>
                <w:lang w:val="ru-RU"/>
              </w:rPr>
              <w:t>Африка с сильной культурной самобытностью, общим наследием, общими ценностями и этикой</w:t>
            </w:r>
          </w:p>
        </w:tc>
      </w:tr>
      <w:tr>
        <w:trPr>
          <w:trHeight w:hRule="atLeast" w:val="482"/>
        </w:trPr>
        <w:tc>
          <w:tcPr>
            <w:tcW w:w="993" w:type="dxa"/>
          </w:tcPr>
          <w:p>
            <w:pPr>
              <w:pStyle w:val="P16"/>
              <w:spacing w:before="0" w:beforeAutospacing="0" w:afterAutospacing="0"/>
              <w:ind w:left="0"/>
              <w:jc w:val="center"/>
              <w:rPr>
                <w:bCs w:val="1"/>
                <w:sz w:val="24"/>
                <w:szCs w:val="24"/>
              </w:rPr>
            </w:pPr>
            <w:r>
              <w:rPr>
                <w:bCs w:val="1"/>
                <w:sz w:val="24"/>
                <w:szCs w:val="24"/>
              </w:rPr>
              <w:t>6</w:t>
            </w:r>
          </w:p>
        </w:tc>
        <w:tc>
          <w:tcPr>
            <w:tcW w:w="8505" w:type="dxa"/>
          </w:tcPr>
          <w:p>
            <w:pPr>
              <w:pStyle w:val="P16"/>
              <w:spacing w:before="0" w:beforeAutospacing="0" w:afterAutospacing="0"/>
              <w:ind w:left="142"/>
              <w:rPr>
                <w:bCs w:val="1"/>
                <w:sz w:val="24"/>
                <w:szCs w:val="24"/>
                <w:lang w:val="ru-RU"/>
              </w:rPr>
            </w:pPr>
            <w:r>
              <w:rPr>
                <w:bCs w:val="1"/>
                <w:sz w:val="24"/>
                <w:szCs w:val="24"/>
                <w:lang w:val="ru-RU"/>
              </w:rPr>
              <w:t>Африка, развитие которой зависит от людей, опирающихся на потенциал африканцев, особенно женщин и молодежи, и заботящихся о детях.</w:t>
            </w:r>
          </w:p>
        </w:tc>
      </w:tr>
      <w:tr>
        <w:trPr>
          <w:trHeight w:hRule="atLeast" w:val="290"/>
        </w:trPr>
        <w:tc>
          <w:tcPr>
            <w:tcW w:w="993" w:type="dxa"/>
          </w:tcPr>
          <w:p>
            <w:pPr>
              <w:pStyle w:val="P16"/>
              <w:spacing w:before="0" w:beforeAutospacing="0" w:afterAutospacing="0"/>
              <w:ind w:left="0"/>
              <w:jc w:val="center"/>
              <w:rPr>
                <w:bCs w:val="1"/>
                <w:sz w:val="24"/>
                <w:szCs w:val="24"/>
              </w:rPr>
            </w:pPr>
            <w:r>
              <w:rPr>
                <w:bCs w:val="1"/>
                <w:sz w:val="24"/>
                <w:szCs w:val="24"/>
              </w:rPr>
              <w:t>7</w:t>
            </w:r>
          </w:p>
        </w:tc>
        <w:tc>
          <w:tcPr>
            <w:tcW w:w="8505" w:type="dxa"/>
          </w:tcPr>
          <w:p>
            <w:pPr>
              <w:pStyle w:val="P16"/>
              <w:spacing w:before="0" w:beforeAutospacing="0" w:afterAutospacing="0"/>
              <w:ind w:left="142"/>
              <w:rPr>
                <w:bCs w:val="1"/>
                <w:sz w:val="24"/>
                <w:szCs w:val="24"/>
                <w:lang w:val="ru-RU"/>
              </w:rPr>
            </w:pPr>
            <w:r>
              <w:rPr>
                <w:bCs w:val="1"/>
                <w:sz w:val="24"/>
                <w:szCs w:val="24"/>
                <w:lang w:val="ru-RU"/>
              </w:rPr>
              <w:t>Африка как сильный, единый, устойчивый и влиятельный глобальный игрок и партнер</w:t>
            </w:r>
          </w:p>
        </w:tc>
      </w:tr>
    </w:tbl>
    <w:p>
      <w:pPr>
        <w:spacing w:lineRule="auto" w:line="360" w:beforeAutospacing="0" w:afterAutospacing="0"/>
        <w:ind w:firstLine="709" w:left="142"/>
        <w:jc w:val="both"/>
        <w:rPr>
          <w:rFonts w:ascii="Times New Roman" w:hAnsi="Times New Roman" w:cs="Times New Roman"/>
          <w:sz w:val="20"/>
          <w:szCs w:val="20"/>
        </w:rPr>
      </w:pPr>
    </w:p>
    <w:p>
      <w:pPr>
        <w:pStyle w:val="P13"/>
        <w:spacing w:lineRule="auto" w:line="360" w:beforeAutospacing="0" w:afterAutospacing="0"/>
        <w:ind w:firstLine="709"/>
        <w:jc w:val="both"/>
        <w:rPr>
          <w:sz w:val="28"/>
          <w:szCs w:val="28"/>
          <w:lang w:val="ru-RU"/>
        </w:rPr>
      </w:pPr>
      <w:r>
        <w:rPr>
          <w:sz w:val="28"/>
          <w:szCs w:val="28"/>
          <w:lang w:val="ru-RU"/>
        </w:rPr>
        <w:t>Несмотря на то, что период их действия весьма различен (всего 15 лет для повестки дня на период до 2030 г. и 50 лет для повестки дня до 2063 г.), 17 ЦУР предыдущей программы четко вписываются в новые 20 целей, которые планируется достичь к 2063 г. Степень сближения между двумя повестками дня зависит от уровня и степени их дезагрегации по целям, задачам, индикаторам, а также же характера направленности. Картографирование, проведенное Экономической комиссией ООН для Африки в 2017 году, показало, что конвергенция на целевом уровне составляет 100,0 %, на целевом уровне – 69,8 % и 67,2 % на уровне индикаторов [</w:t>
      </w:r>
      <w:r>
        <w:rPr>
          <w:sz w:val="28"/>
          <w:szCs w:val="28"/>
          <w:highlight w:val="yellow"/>
          <w:lang w:val="ru-RU"/>
        </w:rPr>
        <w:t>65</w:t>
      </w:r>
      <w:r>
        <w:rPr>
          <w:sz w:val="28"/>
          <w:szCs w:val="28"/>
          <w:lang w:val="ru-RU"/>
        </w:rPr>
        <w:t xml:space="preserve">]. </w:t>
      </w:r>
    </w:p>
    <w:p>
      <w:pPr>
        <w:pStyle w:val="P13"/>
        <w:spacing w:lineRule="auto" w:line="360" w:beforeAutospacing="0" w:afterAutospacing="0"/>
        <w:ind w:firstLine="709"/>
        <w:jc w:val="both"/>
        <w:rPr>
          <w:sz w:val="28"/>
          <w:szCs w:val="28"/>
          <w:lang w:val="ru-RU"/>
        </w:rPr>
      </w:pPr>
      <w:r>
        <w:rPr>
          <w:sz w:val="28"/>
          <w:szCs w:val="28"/>
          <w:lang w:val="ru-RU"/>
        </w:rPr>
        <w:t xml:space="preserve">В этой связи, на наш взгляд, африканские страны выполняя повестку дня на период до 2063 года, тем самым будут выполнять глобальные обязательства в рамках повестки дня на период до 2030 года. Существуют отдельные расхождения по таким темам, как неравенство (между странами и внутри них), устойчивое управление наземными экосистемами (опустынивание, биоразнообразие и деградация земель), ответственное потребление и производство, но формат их постановки в новой повестке дня позволяет говорить о возможности их согласования. При этом следует учитывать, что присутствует значительное совпадение тем в повестках дня на период до 2030 года и до 2063 года (таблица 14). </w:t>
      </w:r>
    </w:p>
    <w:p>
      <w:pPr>
        <w:spacing w:lineRule="auto" w:line="360" w:after="0" w:beforeAutospacing="0" w:afterAutospacing="0"/>
        <w:ind w:firstLine="709"/>
        <w:jc w:val="both"/>
        <w:rPr>
          <w:rFonts w:ascii="Times New Roman" w:hAnsi="Times New Roman" w:cs="Times New Roman"/>
          <w:iCs w:val="1"/>
          <w:sz w:val="28"/>
          <w:szCs w:val="28"/>
        </w:rPr>
      </w:pPr>
    </w:p>
    <w:p>
      <w:pPr>
        <w:spacing w:lineRule="auto" w:line="360" w:after="0" w:beforeAutospacing="0" w:afterAutospacing="0"/>
        <w:jc w:val="both"/>
        <w:rPr>
          <w:rFonts w:ascii="Times New Roman" w:hAnsi="Times New Roman" w:cs="Times New Roman"/>
          <w:iCs w:val="1"/>
          <w:sz w:val="28"/>
          <w:szCs w:val="28"/>
        </w:rPr>
      </w:pPr>
      <w:r>
        <w:rPr>
          <w:rFonts w:ascii="Times New Roman" w:hAnsi="Times New Roman" w:cs="Times New Roman"/>
          <w:iCs w:val="1"/>
          <w:sz w:val="28"/>
          <w:szCs w:val="28"/>
        </w:rPr>
        <w:t>Таблица 14 – Сравнение повестки дня 2030 г. и повестки дня 2063 г.</w:t>
      </w:r>
      <w:r>
        <w:rPr>
          <w:rStyle w:val="C42"/>
          <w:rFonts w:ascii="Times New Roman" w:hAnsi="Times New Roman" w:cs="Times New Roman"/>
          <w:iCs w:val="1"/>
          <w:sz w:val="28"/>
          <w:szCs w:val="28"/>
        </w:rPr>
        <w:footnoteReference w:id="76"/>
      </w:r>
    </w:p>
    <w:tbl>
      <w:tblPr>
        <w:tblStyle w:val="T2"/>
        <w:tblW w:w="0" w:type="auto"/>
        <w:tblInd w:w="125" w:type="dxa"/>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Layout w:type="fixed"/>
        <w:tblLook w:val="01E0"/>
      </w:tblPr>
      <w:tblGrid>
        <w:gridCol w:w="3015"/>
        <w:gridCol w:w="1865"/>
        <w:gridCol w:w="1721"/>
        <w:gridCol w:w="1465"/>
        <w:gridCol w:w="1577"/>
      </w:tblGrid>
      <w:tr>
        <w:trPr>
          <w:trHeight w:hRule="atLeast" w:val="288"/>
        </w:trPr>
        <w:tc>
          <w:tcPr>
            <w:tcW w:w="3015" w:type="dxa"/>
            <w:shd w:val="clear" w:color="auto" w:fill="FFFFFF" w:themeFill="background1"/>
          </w:tcPr>
          <w:p>
            <w:pPr>
              <w:pStyle w:val="P16"/>
              <w:spacing w:before="0" w:beforeAutospacing="0" w:afterAutospacing="0"/>
              <w:ind w:firstLine="17" w:left="0"/>
              <w:jc w:val="center"/>
              <w:rPr>
                <w:bCs w:val="1"/>
                <w:sz w:val="24"/>
                <w:szCs w:val="24"/>
              </w:rPr>
            </w:pPr>
            <w:r>
              <w:rPr>
                <w:bCs w:val="1"/>
                <w:sz w:val="24"/>
                <w:szCs w:val="24"/>
              </w:rPr>
              <w:t xml:space="preserve">Цели устойчивого </w:t>
            </w:r>
            <w:r>
              <w:rPr>
                <w:bCs w:val="1"/>
                <w:sz w:val="24"/>
                <w:szCs w:val="24"/>
              </w:rPr>
              <w:br w:type="textWrapping"/>
            </w:r>
            <w:r>
              <w:rPr>
                <w:bCs w:val="1"/>
                <w:sz w:val="24"/>
                <w:szCs w:val="24"/>
              </w:rPr>
              <w:t>развития</w:t>
            </w:r>
          </w:p>
        </w:tc>
        <w:tc>
          <w:tcPr>
            <w:tcW w:w="1865" w:type="dxa"/>
            <w:shd w:val="clear" w:color="auto" w:fill="FFFFFF" w:themeFill="background1"/>
          </w:tcPr>
          <w:p>
            <w:pPr>
              <w:pStyle w:val="P16"/>
              <w:spacing w:before="0" w:beforeAutospacing="0" w:afterAutospacing="0"/>
              <w:ind w:firstLine="17" w:left="0"/>
              <w:jc w:val="center"/>
              <w:rPr>
                <w:bCs w:val="1"/>
                <w:sz w:val="24"/>
                <w:szCs w:val="24"/>
                <w:lang w:val="ru-RU"/>
              </w:rPr>
            </w:pPr>
            <w:r>
              <w:rPr>
                <w:bCs w:val="1"/>
                <w:sz w:val="24"/>
                <w:szCs w:val="24"/>
              </w:rPr>
              <w:t>Сильно</w:t>
            </w:r>
            <w:r>
              <w:rPr>
                <w:bCs w:val="1"/>
                <w:sz w:val="24"/>
                <w:szCs w:val="24"/>
                <w:lang w:val="ru-RU"/>
              </w:rPr>
              <w:t>е со</w:t>
            </w:r>
            <w:r>
              <w:rPr>
                <w:bCs w:val="1"/>
                <w:sz w:val="24"/>
                <w:szCs w:val="24"/>
              </w:rPr>
              <w:t>впа</w:t>
            </w:r>
            <w:r>
              <w:rPr>
                <w:bCs w:val="1"/>
                <w:sz w:val="24"/>
                <w:szCs w:val="24"/>
                <w:lang w:val="ru-RU"/>
              </w:rPr>
              <w:t>дение</w:t>
            </w:r>
          </w:p>
        </w:tc>
        <w:tc>
          <w:tcPr>
            <w:tcW w:w="1721" w:type="dxa"/>
            <w:shd w:val="clear" w:color="auto" w:fill="FFFFFF" w:themeFill="background1"/>
          </w:tcPr>
          <w:p>
            <w:pPr>
              <w:pStyle w:val="P16"/>
              <w:spacing w:before="0" w:beforeAutospacing="0" w:afterAutospacing="0"/>
              <w:ind w:firstLine="17" w:left="0"/>
              <w:jc w:val="center"/>
              <w:rPr>
                <w:bCs w:val="1"/>
                <w:sz w:val="24"/>
                <w:szCs w:val="24"/>
                <w:lang w:val="ru-RU"/>
              </w:rPr>
            </w:pPr>
            <w:r>
              <w:rPr>
                <w:bCs w:val="1"/>
                <w:sz w:val="24"/>
                <w:szCs w:val="24"/>
                <w:lang w:val="ru-RU"/>
              </w:rPr>
              <w:t>Частичное</w:t>
            </w:r>
            <w:r>
              <w:rPr>
                <w:bCs w:val="1"/>
                <w:sz w:val="24"/>
                <w:szCs w:val="24"/>
              </w:rPr>
              <w:t xml:space="preserve"> </w:t>
            </w:r>
            <w:r>
              <w:rPr>
                <w:bCs w:val="1"/>
                <w:sz w:val="24"/>
                <w:szCs w:val="24"/>
                <w:lang w:val="ru-RU"/>
              </w:rPr>
              <w:t>совпадение</w:t>
            </w:r>
          </w:p>
        </w:tc>
        <w:tc>
          <w:tcPr>
            <w:tcW w:w="1465" w:type="dxa"/>
            <w:shd w:val="clear" w:color="auto" w:fill="FFFFFF" w:themeFill="background1"/>
          </w:tcPr>
          <w:p>
            <w:pPr>
              <w:pStyle w:val="P16"/>
              <w:spacing w:before="0" w:beforeAutospacing="0" w:afterAutospacing="0"/>
              <w:ind w:firstLine="17" w:left="0"/>
              <w:jc w:val="center"/>
              <w:rPr>
                <w:bCs w:val="1"/>
                <w:sz w:val="24"/>
                <w:szCs w:val="24"/>
                <w:lang w:val="ru-RU"/>
              </w:rPr>
            </w:pPr>
            <w:r>
              <w:rPr>
                <w:bCs w:val="1"/>
                <w:sz w:val="24"/>
                <w:szCs w:val="24"/>
                <w:lang w:val="ru-RU"/>
              </w:rPr>
              <w:t>Полное совпадение</w:t>
            </w:r>
          </w:p>
        </w:tc>
        <w:tc>
          <w:tcPr>
            <w:tcW w:w="1577" w:type="dxa"/>
            <w:shd w:val="clear" w:color="auto" w:fill="FFFFFF" w:themeFill="background1"/>
          </w:tcPr>
          <w:p>
            <w:pPr>
              <w:pStyle w:val="P16"/>
              <w:spacing w:before="0" w:beforeAutospacing="0" w:afterAutospacing="0"/>
              <w:ind w:firstLine="17" w:left="0"/>
              <w:jc w:val="center"/>
              <w:rPr>
                <w:bCs w:val="1"/>
                <w:sz w:val="24"/>
                <w:szCs w:val="24"/>
                <w:lang w:val="ru-RU"/>
              </w:rPr>
            </w:pPr>
            <w:r>
              <w:rPr>
                <w:bCs w:val="1"/>
                <w:sz w:val="24"/>
                <w:szCs w:val="24"/>
              </w:rPr>
              <w:t xml:space="preserve">Нет </w:t>
            </w:r>
            <w:r>
              <w:rPr>
                <w:bCs w:val="1"/>
                <w:sz w:val="24"/>
                <w:szCs w:val="24"/>
                <w:lang w:val="ru-RU"/>
              </w:rPr>
              <w:t>совпадений</w:t>
            </w:r>
          </w:p>
        </w:tc>
      </w:tr>
      <w:tr>
        <w:trPr>
          <w:trHeight w:hRule="atLeast" w:val="288"/>
        </w:trPr>
        <w:tc>
          <w:tcPr>
            <w:tcW w:w="3015" w:type="dxa"/>
          </w:tcPr>
          <w:p>
            <w:pPr>
              <w:pStyle w:val="P16"/>
              <w:spacing w:before="0" w:beforeAutospacing="0" w:afterAutospacing="0"/>
              <w:ind w:firstLine="17" w:left="0"/>
              <w:jc w:val="both"/>
              <w:rPr>
                <w:sz w:val="24"/>
                <w:szCs w:val="24"/>
                <w:lang w:val="ru-RU"/>
              </w:rPr>
            </w:pPr>
            <w:r>
              <w:rPr>
                <w:sz w:val="24"/>
                <w:szCs w:val="24"/>
              </w:rPr>
              <w:t xml:space="preserve">Количество </w:t>
            </w:r>
            <w:r>
              <w:rPr>
                <w:sz w:val="24"/>
                <w:szCs w:val="24"/>
                <w:lang w:val="ru-RU"/>
              </w:rPr>
              <w:t>задач</w:t>
            </w:r>
          </w:p>
        </w:tc>
        <w:tc>
          <w:tcPr>
            <w:tcW w:w="1865" w:type="dxa"/>
          </w:tcPr>
          <w:p>
            <w:pPr>
              <w:pStyle w:val="P16"/>
              <w:spacing w:before="0" w:beforeAutospacing="0" w:afterAutospacing="0"/>
              <w:ind w:firstLine="17" w:left="0"/>
              <w:jc w:val="center"/>
              <w:rPr>
                <w:sz w:val="24"/>
                <w:szCs w:val="24"/>
              </w:rPr>
            </w:pPr>
            <w:r>
              <w:rPr>
                <w:sz w:val="24"/>
                <w:szCs w:val="24"/>
              </w:rPr>
              <w:t>11</w:t>
            </w:r>
          </w:p>
        </w:tc>
        <w:tc>
          <w:tcPr>
            <w:tcW w:w="1721" w:type="dxa"/>
          </w:tcPr>
          <w:p>
            <w:pPr>
              <w:pStyle w:val="P16"/>
              <w:spacing w:before="0" w:beforeAutospacing="0" w:afterAutospacing="0"/>
              <w:ind w:firstLine="17" w:left="0"/>
              <w:jc w:val="center"/>
              <w:rPr>
                <w:sz w:val="24"/>
                <w:szCs w:val="24"/>
                <w:lang w:val="ru-RU"/>
              </w:rPr>
            </w:pPr>
            <w:r>
              <w:rPr>
                <w:sz w:val="24"/>
                <w:szCs w:val="24"/>
              </w:rPr>
              <w:t>6</w:t>
            </w:r>
          </w:p>
        </w:tc>
        <w:tc>
          <w:tcPr>
            <w:tcW w:w="1465" w:type="dxa"/>
          </w:tcPr>
          <w:p>
            <w:pPr>
              <w:pStyle w:val="P16"/>
              <w:spacing w:before="0" w:beforeAutospacing="0" w:afterAutospacing="0"/>
              <w:ind w:firstLine="17" w:left="0"/>
              <w:jc w:val="center"/>
              <w:rPr>
                <w:sz w:val="24"/>
                <w:szCs w:val="24"/>
              </w:rPr>
            </w:pPr>
            <w:r>
              <w:rPr>
                <w:sz w:val="24"/>
                <w:szCs w:val="24"/>
              </w:rPr>
              <w:t>17</w:t>
            </w:r>
          </w:p>
        </w:tc>
        <w:tc>
          <w:tcPr>
            <w:tcW w:w="1577" w:type="dxa"/>
          </w:tcPr>
          <w:p>
            <w:pPr>
              <w:pStyle w:val="P16"/>
              <w:spacing w:before="0" w:beforeAutospacing="0" w:afterAutospacing="0"/>
              <w:ind w:firstLine="17" w:left="0"/>
              <w:jc w:val="center"/>
              <w:rPr>
                <w:sz w:val="24"/>
                <w:szCs w:val="24"/>
              </w:rPr>
            </w:pPr>
            <w:r>
              <w:rPr>
                <w:sz w:val="24"/>
                <w:szCs w:val="24"/>
              </w:rPr>
              <w:t>0</w:t>
            </w:r>
          </w:p>
        </w:tc>
      </w:tr>
      <w:tr>
        <w:trPr>
          <w:trHeight w:hRule="atLeast" w:val="288"/>
        </w:trPr>
        <w:tc>
          <w:tcPr>
            <w:tcW w:w="3015" w:type="dxa"/>
          </w:tcPr>
          <w:p>
            <w:pPr>
              <w:pStyle w:val="P16"/>
              <w:spacing w:before="0" w:beforeAutospacing="0" w:afterAutospacing="0"/>
              <w:ind w:firstLine="17" w:left="0"/>
              <w:jc w:val="both"/>
              <w:rPr>
                <w:sz w:val="24"/>
                <w:szCs w:val="24"/>
                <w:lang w:val="ru-RU"/>
              </w:rPr>
            </w:pPr>
            <w:r>
              <w:rPr>
                <w:sz w:val="24"/>
                <w:szCs w:val="24"/>
              </w:rPr>
              <w:t xml:space="preserve">Процент </w:t>
            </w:r>
            <w:r>
              <w:rPr>
                <w:sz w:val="24"/>
                <w:szCs w:val="24"/>
                <w:lang w:val="ru-RU"/>
              </w:rPr>
              <w:t>задач</w:t>
            </w:r>
          </w:p>
        </w:tc>
        <w:tc>
          <w:tcPr>
            <w:tcW w:w="1865" w:type="dxa"/>
          </w:tcPr>
          <w:p>
            <w:pPr>
              <w:pStyle w:val="P16"/>
              <w:spacing w:before="0" w:beforeAutospacing="0" w:afterAutospacing="0"/>
              <w:ind w:firstLine="17" w:left="0"/>
              <w:jc w:val="center"/>
              <w:rPr>
                <w:sz w:val="24"/>
                <w:szCs w:val="24"/>
              </w:rPr>
            </w:pPr>
            <w:r>
              <w:rPr>
                <w:sz w:val="24"/>
                <w:szCs w:val="24"/>
              </w:rPr>
              <w:t>64,7</w:t>
            </w:r>
          </w:p>
        </w:tc>
        <w:tc>
          <w:tcPr>
            <w:tcW w:w="1721" w:type="dxa"/>
          </w:tcPr>
          <w:p>
            <w:pPr>
              <w:pStyle w:val="P16"/>
              <w:spacing w:before="0" w:beforeAutospacing="0" w:afterAutospacing="0"/>
              <w:ind w:firstLine="17" w:left="0"/>
              <w:jc w:val="center"/>
              <w:rPr>
                <w:sz w:val="24"/>
                <w:szCs w:val="24"/>
              </w:rPr>
            </w:pPr>
            <w:r>
              <w:rPr>
                <w:sz w:val="24"/>
                <w:szCs w:val="24"/>
              </w:rPr>
              <w:t>35,3</w:t>
            </w:r>
          </w:p>
        </w:tc>
        <w:tc>
          <w:tcPr>
            <w:tcW w:w="1465" w:type="dxa"/>
          </w:tcPr>
          <w:p>
            <w:pPr>
              <w:pStyle w:val="P16"/>
              <w:spacing w:before="0" w:beforeAutospacing="0" w:afterAutospacing="0"/>
              <w:ind w:firstLine="17" w:left="0"/>
              <w:jc w:val="center"/>
              <w:rPr>
                <w:sz w:val="24"/>
                <w:szCs w:val="24"/>
              </w:rPr>
            </w:pPr>
            <w:r>
              <w:rPr>
                <w:sz w:val="24"/>
                <w:szCs w:val="24"/>
              </w:rPr>
              <w:t>100,0</w:t>
            </w:r>
          </w:p>
        </w:tc>
        <w:tc>
          <w:tcPr>
            <w:tcW w:w="1577" w:type="dxa"/>
          </w:tcPr>
          <w:p>
            <w:pPr>
              <w:pStyle w:val="P16"/>
              <w:spacing w:before="0" w:beforeAutospacing="0" w:afterAutospacing="0"/>
              <w:ind w:firstLine="17" w:left="0"/>
              <w:jc w:val="center"/>
              <w:rPr>
                <w:sz w:val="24"/>
                <w:szCs w:val="24"/>
              </w:rPr>
            </w:pPr>
            <w:r>
              <w:rPr>
                <w:sz w:val="24"/>
                <w:szCs w:val="24"/>
              </w:rPr>
              <w:t>0,0</w:t>
            </w:r>
          </w:p>
        </w:tc>
      </w:tr>
      <w:tr>
        <w:trPr>
          <w:trHeight w:hRule="atLeast" w:val="288"/>
        </w:trPr>
        <w:tc>
          <w:tcPr>
            <w:tcW w:w="3015" w:type="dxa"/>
          </w:tcPr>
          <w:p>
            <w:pPr>
              <w:pStyle w:val="P16"/>
              <w:spacing w:before="0" w:beforeAutospacing="0" w:afterAutospacing="0"/>
              <w:ind w:firstLine="17" w:left="0"/>
              <w:jc w:val="both"/>
              <w:rPr>
                <w:sz w:val="24"/>
                <w:szCs w:val="24"/>
              </w:rPr>
            </w:pPr>
            <w:r>
              <w:rPr>
                <w:sz w:val="24"/>
                <w:szCs w:val="24"/>
              </w:rPr>
              <w:t>Количество целей</w:t>
            </w:r>
          </w:p>
        </w:tc>
        <w:tc>
          <w:tcPr>
            <w:tcW w:w="1865" w:type="dxa"/>
          </w:tcPr>
          <w:p>
            <w:pPr>
              <w:pStyle w:val="P16"/>
              <w:spacing w:before="0" w:beforeAutospacing="0" w:afterAutospacing="0"/>
              <w:ind w:firstLine="17" w:left="0"/>
              <w:jc w:val="center"/>
              <w:rPr>
                <w:sz w:val="24"/>
                <w:szCs w:val="24"/>
                <w:lang w:val="ru-RU"/>
              </w:rPr>
            </w:pPr>
            <w:r>
              <w:rPr>
                <w:sz w:val="24"/>
                <w:szCs w:val="24"/>
              </w:rPr>
              <w:t>62</w:t>
            </w:r>
          </w:p>
        </w:tc>
        <w:tc>
          <w:tcPr>
            <w:tcW w:w="1721" w:type="dxa"/>
          </w:tcPr>
          <w:p>
            <w:pPr>
              <w:pStyle w:val="P16"/>
              <w:spacing w:before="0" w:beforeAutospacing="0" w:afterAutospacing="0"/>
              <w:ind w:firstLine="17" w:left="0"/>
              <w:jc w:val="center"/>
              <w:rPr>
                <w:sz w:val="24"/>
                <w:szCs w:val="24"/>
                <w:lang w:val="ru-RU"/>
              </w:rPr>
            </w:pPr>
            <w:r>
              <w:rPr>
                <w:sz w:val="24"/>
                <w:szCs w:val="24"/>
              </w:rPr>
              <w:t>56</w:t>
            </w:r>
          </w:p>
        </w:tc>
        <w:tc>
          <w:tcPr>
            <w:tcW w:w="1465" w:type="dxa"/>
          </w:tcPr>
          <w:p>
            <w:pPr>
              <w:pStyle w:val="P16"/>
              <w:spacing w:before="0" w:beforeAutospacing="0" w:afterAutospacing="0"/>
              <w:ind w:firstLine="17" w:left="0"/>
              <w:jc w:val="center"/>
              <w:rPr>
                <w:sz w:val="24"/>
                <w:szCs w:val="24"/>
              </w:rPr>
            </w:pPr>
            <w:r>
              <w:rPr>
                <w:sz w:val="24"/>
                <w:szCs w:val="24"/>
              </w:rPr>
              <w:t>118</w:t>
            </w:r>
          </w:p>
        </w:tc>
        <w:tc>
          <w:tcPr>
            <w:tcW w:w="1577" w:type="dxa"/>
          </w:tcPr>
          <w:p>
            <w:pPr>
              <w:pStyle w:val="P16"/>
              <w:spacing w:before="0" w:beforeAutospacing="0" w:afterAutospacing="0"/>
              <w:ind w:firstLine="17" w:left="0"/>
              <w:jc w:val="center"/>
              <w:rPr>
                <w:sz w:val="24"/>
                <w:szCs w:val="24"/>
              </w:rPr>
            </w:pPr>
            <w:r>
              <w:rPr>
                <w:sz w:val="24"/>
                <w:szCs w:val="24"/>
              </w:rPr>
              <w:t>51</w:t>
            </w:r>
          </w:p>
        </w:tc>
      </w:tr>
      <w:tr>
        <w:trPr>
          <w:trHeight w:hRule="atLeast" w:val="288"/>
        </w:trPr>
        <w:tc>
          <w:tcPr>
            <w:tcW w:w="3015" w:type="dxa"/>
          </w:tcPr>
          <w:p>
            <w:pPr>
              <w:pStyle w:val="P16"/>
              <w:spacing w:before="0" w:beforeAutospacing="0" w:afterAutospacing="0"/>
              <w:ind w:firstLine="17" w:left="0"/>
              <w:jc w:val="both"/>
              <w:rPr>
                <w:sz w:val="24"/>
                <w:szCs w:val="24"/>
              </w:rPr>
            </w:pPr>
            <w:r>
              <w:rPr>
                <w:sz w:val="24"/>
                <w:szCs w:val="24"/>
              </w:rPr>
              <w:t>Процент целей</w:t>
            </w:r>
          </w:p>
        </w:tc>
        <w:tc>
          <w:tcPr>
            <w:tcW w:w="1865" w:type="dxa"/>
          </w:tcPr>
          <w:p>
            <w:pPr>
              <w:pStyle w:val="P16"/>
              <w:spacing w:before="0" w:beforeAutospacing="0" w:afterAutospacing="0"/>
              <w:ind w:firstLine="17" w:left="0"/>
              <w:jc w:val="center"/>
              <w:rPr>
                <w:sz w:val="24"/>
                <w:szCs w:val="24"/>
              </w:rPr>
            </w:pPr>
            <w:r>
              <w:rPr>
                <w:sz w:val="24"/>
                <w:szCs w:val="24"/>
              </w:rPr>
              <w:t>36,7</w:t>
            </w:r>
          </w:p>
        </w:tc>
        <w:tc>
          <w:tcPr>
            <w:tcW w:w="1721" w:type="dxa"/>
          </w:tcPr>
          <w:p>
            <w:pPr>
              <w:pStyle w:val="P16"/>
              <w:spacing w:before="0" w:beforeAutospacing="0" w:afterAutospacing="0"/>
              <w:ind w:firstLine="17" w:left="0"/>
              <w:jc w:val="center"/>
              <w:rPr>
                <w:sz w:val="24"/>
                <w:szCs w:val="24"/>
              </w:rPr>
            </w:pPr>
            <w:r>
              <w:rPr>
                <w:sz w:val="24"/>
                <w:szCs w:val="24"/>
              </w:rPr>
              <w:t>33</w:t>
            </w:r>
            <w:r>
              <w:rPr>
                <w:sz w:val="24"/>
                <w:szCs w:val="24"/>
                <w:lang w:val="ru-RU"/>
              </w:rPr>
              <w:t>,</w:t>
            </w:r>
            <w:r>
              <w:rPr>
                <w:sz w:val="24"/>
                <w:szCs w:val="24"/>
              </w:rPr>
              <w:t>1</w:t>
            </w:r>
          </w:p>
        </w:tc>
        <w:tc>
          <w:tcPr>
            <w:tcW w:w="1465" w:type="dxa"/>
          </w:tcPr>
          <w:p>
            <w:pPr>
              <w:pStyle w:val="P16"/>
              <w:spacing w:before="0" w:beforeAutospacing="0" w:afterAutospacing="0"/>
              <w:ind w:firstLine="17" w:left="0"/>
              <w:jc w:val="center"/>
              <w:rPr>
                <w:sz w:val="24"/>
                <w:szCs w:val="24"/>
              </w:rPr>
            </w:pPr>
            <w:r>
              <w:rPr>
                <w:sz w:val="24"/>
                <w:szCs w:val="24"/>
              </w:rPr>
              <w:t>69,8</w:t>
            </w:r>
          </w:p>
        </w:tc>
        <w:tc>
          <w:tcPr>
            <w:tcW w:w="1577" w:type="dxa"/>
          </w:tcPr>
          <w:p>
            <w:pPr>
              <w:pStyle w:val="P16"/>
              <w:spacing w:before="0" w:beforeAutospacing="0" w:afterAutospacing="0"/>
              <w:ind w:firstLine="17" w:left="0"/>
              <w:jc w:val="center"/>
              <w:rPr>
                <w:sz w:val="24"/>
                <w:szCs w:val="24"/>
              </w:rPr>
            </w:pPr>
            <w:r>
              <w:rPr>
                <w:sz w:val="24"/>
                <w:szCs w:val="24"/>
              </w:rPr>
              <w:t>30,2</w:t>
            </w:r>
          </w:p>
        </w:tc>
      </w:tr>
      <w:tr>
        <w:trPr>
          <w:trHeight w:hRule="atLeast" w:val="288"/>
        </w:trPr>
        <w:tc>
          <w:tcPr>
            <w:tcW w:w="3015" w:type="dxa"/>
          </w:tcPr>
          <w:p>
            <w:pPr>
              <w:pStyle w:val="P16"/>
              <w:spacing w:before="0" w:beforeAutospacing="0" w:afterAutospacing="0"/>
              <w:ind w:firstLine="17" w:left="0"/>
              <w:jc w:val="both"/>
              <w:rPr>
                <w:sz w:val="24"/>
                <w:szCs w:val="24"/>
              </w:rPr>
            </w:pPr>
            <w:r>
              <w:rPr>
                <w:sz w:val="24"/>
                <w:szCs w:val="24"/>
              </w:rPr>
              <w:t>Количество индикаторов</w:t>
            </w:r>
          </w:p>
        </w:tc>
        <w:tc>
          <w:tcPr>
            <w:tcW w:w="1865" w:type="dxa"/>
          </w:tcPr>
          <w:p>
            <w:pPr>
              <w:pStyle w:val="P16"/>
              <w:spacing w:before="0" w:beforeAutospacing="0" w:afterAutospacing="0"/>
              <w:ind w:firstLine="17" w:left="0"/>
              <w:jc w:val="center"/>
              <w:rPr>
                <w:sz w:val="24"/>
                <w:szCs w:val="24"/>
                <w:lang w:val="ru-RU"/>
              </w:rPr>
            </w:pPr>
            <w:r>
              <w:rPr>
                <w:sz w:val="24"/>
                <w:szCs w:val="24"/>
              </w:rPr>
              <w:t>96</w:t>
            </w:r>
          </w:p>
        </w:tc>
        <w:tc>
          <w:tcPr>
            <w:tcW w:w="1721" w:type="dxa"/>
          </w:tcPr>
          <w:p>
            <w:pPr>
              <w:pStyle w:val="P16"/>
              <w:spacing w:before="0" w:beforeAutospacing="0" w:afterAutospacing="0"/>
              <w:ind w:firstLine="17" w:left="0"/>
              <w:jc w:val="center"/>
              <w:rPr>
                <w:sz w:val="24"/>
                <w:szCs w:val="24"/>
                <w:lang w:val="ru-RU"/>
              </w:rPr>
            </w:pPr>
            <w:r>
              <w:rPr>
                <w:sz w:val="24"/>
                <w:szCs w:val="24"/>
              </w:rPr>
              <w:t>66</w:t>
            </w:r>
          </w:p>
        </w:tc>
        <w:tc>
          <w:tcPr>
            <w:tcW w:w="1465" w:type="dxa"/>
          </w:tcPr>
          <w:p>
            <w:pPr>
              <w:pStyle w:val="P16"/>
              <w:spacing w:before="0" w:beforeAutospacing="0" w:afterAutospacing="0"/>
              <w:ind w:firstLine="17" w:left="0"/>
              <w:jc w:val="center"/>
              <w:rPr>
                <w:sz w:val="24"/>
                <w:szCs w:val="24"/>
              </w:rPr>
            </w:pPr>
            <w:r>
              <w:rPr>
                <w:sz w:val="24"/>
                <w:szCs w:val="24"/>
              </w:rPr>
              <w:t>162</w:t>
            </w:r>
          </w:p>
        </w:tc>
        <w:tc>
          <w:tcPr>
            <w:tcW w:w="1577" w:type="dxa"/>
          </w:tcPr>
          <w:p>
            <w:pPr>
              <w:pStyle w:val="P16"/>
              <w:spacing w:before="0" w:beforeAutospacing="0" w:afterAutospacing="0"/>
              <w:ind w:firstLine="17" w:left="0"/>
              <w:jc w:val="center"/>
              <w:rPr>
                <w:sz w:val="24"/>
                <w:szCs w:val="24"/>
              </w:rPr>
            </w:pPr>
            <w:r>
              <w:rPr>
                <w:sz w:val="24"/>
                <w:szCs w:val="24"/>
              </w:rPr>
              <w:t>79</w:t>
            </w:r>
          </w:p>
        </w:tc>
      </w:tr>
      <w:tr>
        <w:trPr>
          <w:trHeight w:hRule="atLeast" w:val="288"/>
        </w:trPr>
        <w:tc>
          <w:tcPr>
            <w:tcW w:w="3015" w:type="dxa"/>
          </w:tcPr>
          <w:p>
            <w:pPr>
              <w:pStyle w:val="P16"/>
              <w:spacing w:before="0" w:beforeAutospacing="0" w:afterAutospacing="0"/>
              <w:ind w:firstLine="17" w:left="0"/>
              <w:jc w:val="both"/>
              <w:rPr>
                <w:sz w:val="24"/>
                <w:szCs w:val="24"/>
              </w:rPr>
            </w:pPr>
            <w:r>
              <w:rPr>
                <w:sz w:val="24"/>
                <w:szCs w:val="24"/>
              </w:rPr>
              <w:t>Процент показателей</w:t>
            </w:r>
          </w:p>
        </w:tc>
        <w:tc>
          <w:tcPr>
            <w:tcW w:w="1865" w:type="dxa"/>
          </w:tcPr>
          <w:p>
            <w:pPr>
              <w:pStyle w:val="P16"/>
              <w:spacing w:before="0" w:beforeAutospacing="0" w:afterAutospacing="0"/>
              <w:ind w:firstLine="17" w:left="0"/>
              <w:jc w:val="center"/>
              <w:rPr>
                <w:sz w:val="24"/>
                <w:szCs w:val="24"/>
              </w:rPr>
            </w:pPr>
            <w:r>
              <w:rPr>
                <w:sz w:val="24"/>
                <w:szCs w:val="24"/>
              </w:rPr>
              <w:t>39,8</w:t>
            </w:r>
          </w:p>
        </w:tc>
        <w:tc>
          <w:tcPr>
            <w:tcW w:w="1721" w:type="dxa"/>
          </w:tcPr>
          <w:p>
            <w:pPr>
              <w:pStyle w:val="P16"/>
              <w:spacing w:before="0" w:beforeAutospacing="0" w:afterAutospacing="0"/>
              <w:ind w:firstLine="17" w:left="0"/>
              <w:jc w:val="center"/>
              <w:rPr>
                <w:sz w:val="24"/>
                <w:szCs w:val="24"/>
              </w:rPr>
            </w:pPr>
            <w:r>
              <w:rPr>
                <w:sz w:val="24"/>
                <w:szCs w:val="24"/>
              </w:rPr>
              <w:t>27,4</w:t>
            </w:r>
          </w:p>
        </w:tc>
        <w:tc>
          <w:tcPr>
            <w:tcW w:w="1465" w:type="dxa"/>
          </w:tcPr>
          <w:p>
            <w:pPr>
              <w:pStyle w:val="P16"/>
              <w:spacing w:before="0" w:beforeAutospacing="0" w:afterAutospacing="0"/>
              <w:ind w:firstLine="17" w:left="0"/>
              <w:jc w:val="center"/>
              <w:rPr>
                <w:sz w:val="24"/>
                <w:szCs w:val="24"/>
              </w:rPr>
            </w:pPr>
            <w:r>
              <w:rPr>
                <w:sz w:val="24"/>
                <w:szCs w:val="24"/>
              </w:rPr>
              <w:t>67,2</w:t>
            </w:r>
          </w:p>
        </w:tc>
        <w:tc>
          <w:tcPr>
            <w:tcW w:w="1577" w:type="dxa"/>
          </w:tcPr>
          <w:p>
            <w:pPr>
              <w:pStyle w:val="P16"/>
              <w:spacing w:before="0" w:beforeAutospacing="0" w:afterAutospacing="0"/>
              <w:ind w:firstLine="17" w:left="0"/>
              <w:jc w:val="center"/>
              <w:rPr>
                <w:sz w:val="24"/>
                <w:szCs w:val="24"/>
              </w:rPr>
            </w:pPr>
            <w:r>
              <w:rPr>
                <w:sz w:val="24"/>
                <w:szCs w:val="24"/>
              </w:rPr>
              <w:t>32,8</w:t>
            </w:r>
          </w:p>
        </w:tc>
      </w:tr>
    </w:tbl>
    <w:p>
      <w:pPr>
        <w:pStyle w:val="P13"/>
        <w:spacing w:lineRule="auto" w:line="360" w:beforeAutospacing="0" w:afterAutospacing="0"/>
        <w:ind w:firstLine="709"/>
        <w:jc w:val="both"/>
        <w:rPr>
          <w:sz w:val="28"/>
          <w:szCs w:val="28"/>
          <w:lang w:val="ru-RU"/>
        </w:rPr>
      </w:pPr>
    </w:p>
    <w:p>
      <w:pPr>
        <w:pStyle w:val="P13"/>
        <w:spacing w:lineRule="auto" w:line="360" w:beforeAutospacing="0" w:afterAutospacing="0"/>
        <w:ind w:firstLine="709"/>
        <w:jc w:val="both"/>
        <w:rPr>
          <w:sz w:val="28"/>
          <w:szCs w:val="28"/>
          <w:lang w:val="ru-RU"/>
        </w:rPr>
      </w:pPr>
      <w:r>
        <w:rPr>
          <w:sz w:val="28"/>
          <w:szCs w:val="28"/>
          <w:lang w:val="ru-RU"/>
        </w:rPr>
        <w:t xml:space="preserve">Эта структура представляет собой унифицированную систему отчетности по мониторингу и оценке, которая используется для оценки уровня развития всего континента в целом и отдельных стран Африки. Однако ее применение не соответствует целям инновационно-инклюзивного развития. </w:t>
      </w:r>
    </w:p>
    <w:p>
      <w:pPr>
        <w:pStyle w:val="P13"/>
        <w:spacing w:lineRule="auto" w:line="360" w:beforeAutospacing="0" w:afterAutospacing="0"/>
        <w:ind w:firstLine="709"/>
        <w:jc w:val="both"/>
        <w:rPr>
          <w:sz w:val="28"/>
          <w:szCs w:val="28"/>
          <w:lang w:val="ru-RU"/>
        </w:rPr>
      </w:pPr>
      <w:r>
        <w:rPr>
          <w:sz w:val="28"/>
          <w:szCs w:val="28"/>
          <w:lang w:val="ru-RU"/>
        </w:rPr>
        <w:t xml:space="preserve">В этой связи логика анализа инновационно-инклюзивного развития Республики Кот-д’Ивуар соответствует авторскому многоуровневому подходу: от формирования информационно-эмпирической базы и индикаторной оценки инновационной активности  к типологизации регионов, выявлению причинно-следственных механизмов инновационно-инклюзивного развития и анализу эффектов цифровой платформизации малого и среднего предпринимательства. Такая последовательность обеспечивает переход от описательной характеристики к аналитическому объяснению наблюдаемых различий и формирует основу для моделирования организационно-экономических решений в третьей главе диссертации.</w:t>
      </w:r>
    </w:p>
    <w:p>
      <w:pPr>
        <w:pStyle w:val="P13"/>
        <w:spacing w:lineRule="auto" w:line="360" w:beforeAutospacing="0" w:afterAutospacing="0"/>
        <w:ind w:firstLine="709"/>
        <w:jc w:val="both"/>
        <w:rPr>
          <w:sz w:val="28"/>
          <w:szCs w:val="28"/>
          <w:lang w:val="ru-RU"/>
        </w:rPr>
      </w:pPr>
      <w:r>
        <w:rPr>
          <w:sz w:val="28"/>
          <w:szCs w:val="28"/>
          <w:lang w:val="ru-RU"/>
        </w:rPr>
        <w:t xml:space="preserve">В качестве исходного массива статистических данных была использована информация  Африканского банка развития (АфБР) </w:t>
      </w:r>
      <w:r>
        <w:rPr>
          <w:sz w:val="28"/>
          <w:szCs w:val="28"/>
          <w:highlight w:val="yellow"/>
          <w:lang w:val="ru-RU"/>
        </w:rPr>
        <w:t>[29</w:t>
      </w:r>
      <w:r>
        <w:rPr>
          <w:sz w:val="28"/>
          <w:szCs w:val="28"/>
          <w:lang w:val="ru-RU"/>
        </w:rPr>
        <w:t>], Экономической комиссии для Африки (ЭКА) [</w:t>
      </w:r>
      <w:r>
        <w:rPr>
          <w:sz w:val="28"/>
          <w:szCs w:val="28"/>
          <w:highlight w:val="yellow"/>
          <w:lang w:val="ru-RU"/>
        </w:rPr>
        <w:t>176</w:t>
      </w:r>
      <w:r>
        <w:rPr>
          <w:sz w:val="28"/>
          <w:szCs w:val="28"/>
          <w:lang w:val="ru-RU"/>
        </w:rPr>
        <w:t xml:space="preserve">], </w:t>
      </w:r>
      <w:bookmarkStart w:id="10" w:name="_Hlk138340682"/>
      <w:r>
        <w:rPr>
          <w:sz w:val="28"/>
          <w:szCs w:val="28"/>
          <w:lang w:val="ru-RU"/>
        </w:rPr>
        <w:t>Регионального бюро Программы развития ООН для Африки</w:t>
      </w:r>
      <w:bookmarkEnd w:id="10"/>
      <w:r>
        <w:rPr>
          <w:sz w:val="28"/>
          <w:szCs w:val="28"/>
          <w:lang w:val="ru-RU"/>
        </w:rPr>
        <w:t xml:space="preserve"> (ПРООН-РБА) [</w:t>
      </w:r>
      <w:r>
        <w:rPr>
          <w:sz w:val="28"/>
          <w:szCs w:val="28"/>
          <w:highlight w:val="yellow"/>
          <w:lang w:val="ru-RU"/>
        </w:rPr>
        <w:t>171</w:t>
      </w:r>
      <w:r>
        <w:rPr>
          <w:sz w:val="28"/>
          <w:szCs w:val="28"/>
          <w:lang w:val="ru-RU"/>
        </w:rPr>
        <w:t>], а также данные международных организаций (Конференция ООН по торговле и развитию (ЮНКТАД) [</w:t>
      </w:r>
      <w:r>
        <w:rPr>
          <w:sz w:val="28"/>
          <w:szCs w:val="28"/>
          <w:highlight w:val="yellow"/>
          <w:lang w:val="ru-RU"/>
        </w:rPr>
        <w:t>174</w:t>
      </w:r>
      <w:r>
        <w:rPr>
          <w:sz w:val="28"/>
          <w:szCs w:val="28"/>
          <w:lang w:val="ru-RU"/>
        </w:rPr>
        <w:t>], Статистическая служба ООН (СОООН) [</w:t>
      </w:r>
      <w:r>
        <w:rPr>
          <w:sz w:val="28"/>
          <w:szCs w:val="28"/>
          <w:highlight w:val="yellow"/>
          <w:lang w:val="ru-RU"/>
        </w:rPr>
        <w:t>178</w:t>
      </w:r>
      <w:r>
        <w:rPr>
          <w:sz w:val="28"/>
          <w:szCs w:val="28"/>
          <w:lang w:val="ru-RU"/>
        </w:rPr>
        <w:t>], Международный валютный фонд (МВФ) [</w:t>
      </w:r>
      <w:r>
        <w:rPr>
          <w:sz w:val="28"/>
          <w:szCs w:val="28"/>
          <w:highlight w:val="yellow"/>
          <w:lang w:val="ru-RU"/>
        </w:rPr>
        <w:t>112</w:t>
      </w:r>
      <w:r>
        <w:rPr>
          <w:sz w:val="28"/>
          <w:szCs w:val="28"/>
          <w:lang w:val="ru-RU"/>
        </w:rPr>
        <w:t>] и Всемирный банк [</w:t>
      </w:r>
      <w:r>
        <w:rPr>
          <w:sz w:val="28"/>
          <w:szCs w:val="28"/>
          <w:highlight w:val="yellow"/>
          <w:lang w:val="ru-RU"/>
        </w:rPr>
        <w:t>188</w:t>
      </w:r>
      <w:r>
        <w:rPr>
          <w:sz w:val="28"/>
          <w:szCs w:val="28"/>
          <w:lang w:val="ru-RU"/>
        </w:rPr>
        <w:t xml:space="preserve">], международные базы данных  (UNDP, WIPO, ITU и др.), содержащие индикаторы инновационного и социально-экономического развития; отчеты о цифровой трансформации, развитии предпринимательства и финансовой инклюзивности;   данные по внешнеэкономической деятельности и экспортной структуре; аналитические материалы по развитию цифровых сервисов и платформенных решений.</w:t>
      </w:r>
    </w:p>
    <w:p>
      <w:pPr>
        <w:pStyle w:val="P13"/>
        <w:spacing w:lineRule="auto" w:line="360" w:beforeAutospacing="0" w:afterAutospacing="0"/>
        <w:ind w:firstLine="709"/>
        <w:jc w:val="both"/>
        <w:rPr>
          <w:sz w:val="28"/>
          <w:szCs w:val="28"/>
          <w:lang w:val="ru-RU"/>
        </w:rPr>
      </w:pPr>
      <w:r>
        <w:rPr>
          <w:sz w:val="28"/>
          <w:szCs w:val="28"/>
          <w:lang w:val="ru-RU"/>
        </w:rPr>
        <w:t>Особенностью анализа в условиях развивающейся экономики является ограниченная доступность регионализированных данных по инновационной активности и цифровизации. В этой связи в работе применяется комбинация прямых статистических показателей и прокси-индикаторов, позволяющих косвенно оценить уровень инновационного и инклюзивного развития.</w:t>
      </w:r>
    </w:p>
    <w:p>
      <w:pPr>
        <w:pStyle w:val="P13"/>
        <w:spacing w:lineRule="auto" w:line="360" w:beforeAutospacing="0" w:afterAutospacing="0"/>
        <w:ind w:firstLine="709"/>
        <w:jc w:val="both"/>
        <w:rPr>
          <w:sz w:val="28"/>
          <w:szCs w:val="28"/>
          <w:lang w:val="ru-RU"/>
        </w:rPr>
      </w:pPr>
      <w:r>
        <w:rPr>
          <w:sz w:val="28"/>
          <w:szCs w:val="28"/>
          <w:lang w:val="ru-RU"/>
        </w:rPr>
        <w:t xml:space="preserve">К ограничениям информационной базы относятся: </w:t>
      </w:r>
    </w:p>
    <w:p>
      <w:pPr>
        <w:pStyle w:val="P13"/>
        <w:numPr>
          <w:ilvl w:val="0"/>
          <w:numId w:val="46"/>
        </w:numPr>
        <w:spacing w:lineRule="auto" w:line="360" w:beforeAutospacing="0" w:afterAutospacing="0"/>
        <w:jc w:val="both"/>
        <w:rPr>
          <w:sz w:val="28"/>
          <w:szCs w:val="28"/>
          <w:lang w:val="ru-RU"/>
        </w:rPr>
      </w:pPr>
      <w:r>
        <w:rPr>
          <w:sz w:val="28"/>
          <w:szCs w:val="28"/>
          <w:lang w:val="ru-RU"/>
        </w:rPr>
        <w:t xml:space="preserve">фрагментарность региональной статистики; различная периодичность публикации данных;  </w:t>
      </w:r>
    </w:p>
    <w:p>
      <w:pPr>
        <w:pStyle w:val="P13"/>
        <w:numPr>
          <w:ilvl w:val="0"/>
          <w:numId w:val="46"/>
        </w:numPr>
        <w:spacing w:lineRule="auto" w:line="360" w:beforeAutospacing="0" w:afterAutospacing="0"/>
        <w:jc w:val="both"/>
        <w:rPr>
          <w:sz w:val="28"/>
          <w:szCs w:val="28"/>
          <w:lang w:val="ru-RU"/>
        </w:rPr>
      </w:pPr>
      <w:r>
        <w:rPr>
          <w:sz w:val="28"/>
          <w:szCs w:val="28"/>
          <w:lang w:val="ru-RU"/>
        </w:rPr>
        <w:t xml:space="preserve">неполная сопоставимость международных и национальных индикаторов;  </w:t>
      </w:r>
    </w:p>
    <w:p>
      <w:pPr>
        <w:pStyle w:val="P13"/>
        <w:numPr>
          <w:ilvl w:val="0"/>
          <w:numId w:val="46"/>
        </w:numPr>
        <w:spacing w:lineRule="auto" w:line="360" w:beforeAutospacing="0" w:afterAutospacing="0"/>
        <w:jc w:val="both"/>
        <w:rPr>
          <w:sz w:val="28"/>
          <w:szCs w:val="28"/>
          <w:lang w:val="ru-RU"/>
        </w:rPr>
      </w:pPr>
      <w:r>
        <w:rPr>
          <w:sz w:val="28"/>
          <w:szCs w:val="28"/>
          <w:lang w:val="ru-RU"/>
        </w:rPr>
        <w:t xml:space="preserve">отсутствие прямых показателей институционального доверия и инклюзивности инноваций. </w:t>
      </w:r>
    </w:p>
    <w:p>
      <w:pPr>
        <w:pStyle w:val="P13"/>
        <w:spacing w:lineRule="auto" w:line="360" w:beforeAutospacing="0" w:afterAutospacing="0"/>
        <w:ind w:firstLine="709"/>
        <w:jc w:val="both"/>
        <w:rPr>
          <w:sz w:val="28"/>
          <w:szCs w:val="28"/>
          <w:lang w:val="ru-RU"/>
        </w:rPr>
      </w:pPr>
      <w:r>
        <w:rPr>
          <w:sz w:val="28"/>
          <w:szCs w:val="28"/>
          <w:lang w:val="ru-RU"/>
        </w:rPr>
        <w:t>Указанные ограничения учитывались нами при интерпретации результатов и компенсировались использованием многоуровневой методики анализа, включающей относительные показатели, динамические сравнения и латентное моделирование.</w:t>
      </w:r>
    </w:p>
    <w:p>
      <w:pPr>
        <w:pStyle w:val="P13"/>
        <w:spacing w:lineRule="auto" w:line="360" w:beforeAutospacing="0" w:afterAutospacing="0"/>
        <w:ind w:firstLine="709"/>
        <w:jc w:val="both"/>
        <w:rPr>
          <w:sz w:val="28"/>
          <w:szCs w:val="28"/>
          <w:lang w:val="ru-RU"/>
        </w:rPr>
      </w:pPr>
      <w:r>
        <w:rPr>
          <w:sz w:val="28"/>
          <w:szCs w:val="28"/>
          <w:lang w:val="ru-RU"/>
        </w:rPr>
        <w:t>В соответствии с общепринятым подходом было использовано субрегиональное разграничение стран Африки, представленное в таблице 15. [</w:t>
      </w:r>
      <w:r>
        <w:rPr>
          <w:sz w:val="28"/>
          <w:szCs w:val="28"/>
          <w:highlight w:val="yellow"/>
          <w:lang w:val="ru-RU"/>
        </w:rPr>
        <w:t>29, 112,171, 174</w:t>
      </w:r>
      <w:r>
        <w:rPr>
          <w:sz w:val="28"/>
          <w:szCs w:val="28"/>
          <w:highlight w:val="yellow"/>
        </w:rPr>
        <w:t> </w:t>
      </w:r>
      <w:r>
        <w:rPr>
          <w:sz w:val="28"/>
          <w:szCs w:val="28"/>
          <w:highlight w:val="yellow"/>
          <w:lang w:val="ru-RU"/>
        </w:rPr>
        <w:t>176, 188</w:t>
      </w:r>
      <w:r>
        <w:rPr>
          <w:sz w:val="28"/>
          <w:szCs w:val="28"/>
          <w:lang w:val="ru-RU"/>
        </w:rPr>
        <w:t>]</w:t>
      </w:r>
    </w:p>
    <w:p>
      <w:pPr>
        <w:spacing w:lineRule="auto" w:line="360" w:after="0" w:beforeAutospacing="0" w:afterAutospacing="0"/>
        <w:ind w:firstLine="709"/>
        <w:jc w:val="both"/>
        <w:rPr>
          <w:rFonts w:ascii="Times New Roman" w:hAnsi="Times New Roman" w:cs="Times New Roman"/>
          <w:iCs w:val="1"/>
          <w:sz w:val="28"/>
          <w:szCs w:val="28"/>
        </w:rPr>
      </w:pPr>
    </w:p>
    <w:p>
      <w:pPr>
        <w:spacing w:lineRule="auto" w:line="360" w:after="0" w:beforeAutospacing="0" w:afterAutospacing="0"/>
        <w:jc w:val="both"/>
        <w:rPr>
          <w:i w:val="1"/>
          <w:sz w:val="13"/>
        </w:rPr>
      </w:pPr>
      <w:r>
        <w:rPr>
          <w:rFonts w:ascii="Times New Roman" w:hAnsi="Times New Roman" w:cs="Times New Roman"/>
          <w:iCs w:val="1"/>
          <w:sz w:val="28"/>
          <w:szCs w:val="28"/>
        </w:rPr>
        <w:t>Таблица 15 – Разграничение африканских субрегионов</w:t>
      </w:r>
      <w:r>
        <w:rPr>
          <w:rStyle w:val="C42"/>
          <w:rFonts w:ascii="Times New Roman" w:hAnsi="Times New Roman" w:cs="Times New Roman"/>
          <w:iCs w:val="1"/>
          <w:sz w:val="28"/>
          <w:szCs w:val="28"/>
        </w:rPr>
        <w:footnoteReference w:id="77"/>
      </w:r>
    </w:p>
    <w:tbl>
      <w:tblPr>
        <w:tblStyle w:val="T2"/>
        <w:tblW w:w="9639" w:type="dxa"/>
        <w:tblInd w:w="137" w:type="dxa"/>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shd w:val="clear" w:fill="FFFFFF" w:themeFill="background1"/>
        <w:tblLayout w:type="fixed"/>
        <w:tblLook w:val="01E0"/>
      </w:tblPr>
      <w:tblGrid>
        <w:gridCol w:w="1842"/>
        <w:gridCol w:w="7797"/>
      </w:tblGrid>
      <w:tr>
        <w:trPr>
          <w:trHeight w:hRule="atLeast" w:val="642"/>
        </w:trPr>
        <w:tc>
          <w:tcPr>
            <w:tcW w:w="1842" w:type="dxa"/>
            <w:shd w:val="clear" w:color="auto" w:fill="FFFFFF" w:themeFill="background1"/>
          </w:tcPr>
          <w:p>
            <w:pPr>
              <w:pStyle w:val="P16"/>
              <w:spacing w:before="0" w:beforeAutospacing="0" w:afterAutospacing="0"/>
              <w:ind w:left="113"/>
              <w:rPr>
                <w:sz w:val="24"/>
                <w:szCs w:val="24"/>
              </w:rPr>
            </w:pPr>
            <w:r>
              <w:rPr>
                <w:sz w:val="24"/>
                <w:szCs w:val="24"/>
              </w:rPr>
              <w:t>Северная Африка</w:t>
            </w:r>
          </w:p>
        </w:tc>
        <w:tc>
          <w:tcPr>
            <w:tcW w:w="7797" w:type="dxa"/>
            <w:shd w:val="clear" w:color="auto" w:fill="FFFFFF" w:themeFill="background1"/>
          </w:tcPr>
          <w:p>
            <w:pPr>
              <w:pStyle w:val="P16"/>
              <w:spacing w:before="0" w:beforeAutospacing="0" w:afterAutospacing="0"/>
              <w:ind w:left="90"/>
              <w:rPr>
                <w:sz w:val="24"/>
                <w:szCs w:val="24"/>
                <w:lang w:val="ru-RU"/>
              </w:rPr>
            </w:pPr>
            <w:r>
              <w:rPr>
                <w:sz w:val="24"/>
                <w:szCs w:val="24"/>
                <w:lang w:val="ru-RU"/>
              </w:rPr>
              <w:t>Алжир, Египет, Ливия, Мавритания, Марокко, Тунис.</w:t>
            </w:r>
          </w:p>
        </w:tc>
      </w:tr>
      <w:tr>
        <w:trPr>
          <w:trHeight w:hRule="atLeast" w:val="860"/>
        </w:trPr>
        <w:tc>
          <w:tcPr>
            <w:tcW w:w="1842" w:type="dxa"/>
            <w:shd w:val="clear" w:color="auto" w:fill="FFFFFF" w:themeFill="background1"/>
          </w:tcPr>
          <w:p>
            <w:pPr>
              <w:pStyle w:val="P16"/>
              <w:spacing w:before="0" w:beforeAutospacing="0" w:afterAutospacing="0"/>
              <w:ind w:left="113"/>
              <w:rPr>
                <w:sz w:val="24"/>
                <w:szCs w:val="24"/>
              </w:rPr>
            </w:pPr>
            <w:r>
              <w:rPr>
                <w:sz w:val="24"/>
                <w:szCs w:val="24"/>
              </w:rPr>
              <w:t>Западная Африка</w:t>
            </w:r>
          </w:p>
        </w:tc>
        <w:tc>
          <w:tcPr>
            <w:tcW w:w="7797" w:type="dxa"/>
            <w:shd w:val="clear" w:color="auto" w:fill="FFFFFF" w:themeFill="background1"/>
          </w:tcPr>
          <w:p>
            <w:pPr>
              <w:pStyle w:val="P16"/>
              <w:spacing w:before="0" w:beforeAutospacing="0" w:afterAutospacing="0"/>
              <w:ind w:left="90" w:right="187"/>
              <w:rPr>
                <w:sz w:val="24"/>
                <w:szCs w:val="24"/>
                <w:lang w:val="ru-RU"/>
              </w:rPr>
            </w:pPr>
            <w:r>
              <w:rPr>
                <w:sz w:val="24"/>
                <w:szCs w:val="24"/>
                <w:lang w:val="ru-RU"/>
              </w:rPr>
              <w:t>Бенин, Буркина-Фасо, Кабо-Верде, Кот-д'Ивуар, Гамбия, Гана, Гвинея, Гвинея-Бисау, Либерия, Мали, Нигер, Нигерия, Сенегал, СьерраЛеоне, Того.</w:t>
            </w:r>
          </w:p>
        </w:tc>
      </w:tr>
      <w:tr>
        <w:trPr>
          <w:trHeight w:hRule="atLeast" w:val="860"/>
        </w:trPr>
        <w:tc>
          <w:tcPr>
            <w:tcW w:w="1842" w:type="dxa"/>
            <w:shd w:val="clear" w:color="auto" w:fill="FFFFFF" w:themeFill="background1"/>
          </w:tcPr>
          <w:p>
            <w:pPr>
              <w:pStyle w:val="P16"/>
              <w:spacing w:before="0" w:beforeAutospacing="0" w:afterAutospacing="0"/>
              <w:ind w:left="113"/>
              <w:rPr>
                <w:sz w:val="24"/>
                <w:szCs w:val="24"/>
              </w:rPr>
            </w:pPr>
            <w:r>
              <w:rPr>
                <w:sz w:val="24"/>
                <w:szCs w:val="24"/>
              </w:rPr>
              <w:t>Центральная Африка</w:t>
            </w:r>
          </w:p>
        </w:tc>
        <w:tc>
          <w:tcPr>
            <w:tcW w:w="7797" w:type="dxa"/>
            <w:shd w:val="clear" w:color="auto" w:fill="FFFFFF" w:themeFill="background1"/>
          </w:tcPr>
          <w:p>
            <w:pPr>
              <w:pStyle w:val="P16"/>
              <w:spacing w:before="0" w:beforeAutospacing="0" w:afterAutospacing="0"/>
              <w:ind w:left="90" w:right="187"/>
              <w:rPr>
                <w:sz w:val="24"/>
                <w:szCs w:val="24"/>
                <w:lang w:val="ru-RU"/>
              </w:rPr>
            </w:pPr>
            <w:r>
              <w:rPr>
                <w:sz w:val="24"/>
                <w:szCs w:val="24"/>
                <w:lang w:val="ru-RU"/>
              </w:rPr>
              <w:t>Бурунди, Камерун, Центральноафриканская Республика, Чад, Республика Конго, Демократическая Республика Конго, Экваториальная Гвинея, Габон, Сан-Томе и Принсипи.</w:t>
            </w:r>
          </w:p>
        </w:tc>
      </w:tr>
      <w:tr>
        <w:trPr>
          <w:trHeight w:hRule="atLeast" w:val="620"/>
        </w:trPr>
        <w:tc>
          <w:tcPr>
            <w:tcW w:w="1842" w:type="dxa"/>
            <w:shd w:val="clear" w:color="auto" w:fill="FFFFFF" w:themeFill="background1"/>
          </w:tcPr>
          <w:p>
            <w:pPr>
              <w:pStyle w:val="P16"/>
              <w:spacing w:before="0" w:beforeAutospacing="0" w:afterAutospacing="0"/>
              <w:ind w:left="113"/>
              <w:rPr>
                <w:sz w:val="24"/>
                <w:szCs w:val="24"/>
              </w:rPr>
            </w:pPr>
            <w:r>
              <w:rPr>
                <w:sz w:val="24"/>
                <w:szCs w:val="24"/>
              </w:rPr>
              <w:t>Восточная Африка</w:t>
            </w:r>
          </w:p>
        </w:tc>
        <w:tc>
          <w:tcPr>
            <w:tcW w:w="7797" w:type="dxa"/>
            <w:shd w:val="clear" w:color="auto" w:fill="FFFFFF" w:themeFill="background1"/>
          </w:tcPr>
          <w:p>
            <w:pPr>
              <w:pStyle w:val="P16"/>
              <w:spacing w:before="0" w:beforeAutospacing="0" w:afterAutospacing="0"/>
              <w:ind w:left="90"/>
              <w:rPr>
                <w:sz w:val="24"/>
                <w:szCs w:val="24"/>
                <w:lang w:val="ru-RU"/>
              </w:rPr>
            </w:pPr>
            <w:r>
              <w:rPr>
                <w:sz w:val="24"/>
                <w:szCs w:val="24"/>
                <w:lang w:val="ru-RU"/>
              </w:rPr>
              <w:t>Коморы, Джибути, Эритрея, Эфиопия, Кения, Мадагаскар, Маврикий, Руанда, Сейшельские острова, Сомали, Южный Судан, Судан, Танзания, Уганда.</w:t>
            </w:r>
          </w:p>
        </w:tc>
      </w:tr>
      <w:tr>
        <w:trPr>
          <w:trHeight w:hRule="atLeast" w:val="642"/>
        </w:trPr>
        <w:tc>
          <w:tcPr>
            <w:tcW w:w="1842" w:type="dxa"/>
            <w:shd w:val="clear" w:color="auto" w:fill="FFFFFF" w:themeFill="background1"/>
          </w:tcPr>
          <w:p>
            <w:pPr>
              <w:pStyle w:val="P16"/>
              <w:spacing w:before="0" w:beforeAutospacing="0" w:afterAutospacing="0"/>
              <w:ind w:left="113"/>
              <w:rPr>
                <w:sz w:val="24"/>
                <w:szCs w:val="24"/>
              </w:rPr>
            </w:pPr>
            <w:r>
              <w:rPr>
                <w:sz w:val="24"/>
                <w:szCs w:val="24"/>
              </w:rPr>
              <w:t>Южная Африка</w:t>
            </w:r>
          </w:p>
        </w:tc>
        <w:tc>
          <w:tcPr>
            <w:tcW w:w="7797" w:type="dxa"/>
            <w:shd w:val="clear" w:color="auto" w:fill="FFFFFF" w:themeFill="background1"/>
          </w:tcPr>
          <w:p>
            <w:pPr>
              <w:pStyle w:val="P16"/>
              <w:spacing w:before="0" w:beforeAutospacing="0" w:afterAutospacing="0"/>
              <w:ind w:left="90"/>
              <w:rPr>
                <w:sz w:val="24"/>
                <w:szCs w:val="24"/>
                <w:lang w:val="ru-RU"/>
              </w:rPr>
            </w:pPr>
            <w:r>
              <w:rPr>
                <w:sz w:val="24"/>
                <w:szCs w:val="24"/>
                <w:lang w:val="ru-RU"/>
              </w:rPr>
              <w:t>Ангола, Ботсвана, Эсватини, Лесото, Мадагаскар, Малави, Мозамбик, Намибия, ЮАР, Замбия, Зимбабве.</w:t>
            </w:r>
          </w:p>
        </w:tc>
      </w:tr>
    </w:tbl>
    <w:p>
      <w:pPr>
        <w:pStyle w:val="P30"/>
        <w:shd w:val="clear" w:fill="FFFFFF"/>
        <w:spacing w:lineRule="atLeast" w:line="420" w:before="0" w:after="0" w:beforeAutospacing="0" w:afterAutospacing="0"/>
        <w:rPr>
          <w:rFonts w:asciiTheme="majorHAnsi" w:hAnsiTheme="majorHAnsi" w:cstheme="majorBidi" w:eastAsiaTheme="majorEastAsia"/>
          <w:sz w:val="22"/>
          <w:szCs w:val="22"/>
          <w:lang w:eastAsia="en-US"/>
        </w:rPr>
      </w:pPr>
      <w:bookmarkStart w:id="11" w:name="_bookmark8"/>
      <w:bookmarkEnd w:id="11"/>
    </w:p>
    <w:p>
      <w:pPr>
        <w:pStyle w:val="P30"/>
        <w:shd w:val="clear" w:fill="FFFFFF"/>
        <w:spacing w:lineRule="auto" w:line="360" w:before="0" w:after="0" w:beforeAutospacing="0" w:afterAutospacing="0"/>
        <w:ind w:firstLine="709"/>
        <w:jc w:val="both"/>
        <w:rPr>
          <w:rFonts w:eastAsiaTheme="majorEastAsia"/>
          <w:color w:val="FF0000"/>
          <w:sz w:val="28"/>
          <w:szCs w:val="28"/>
          <w:lang w:eastAsia="en-US"/>
        </w:rPr>
      </w:pPr>
      <w:r>
        <w:rPr>
          <w:rFonts w:eastAsiaTheme="majorEastAsia"/>
          <w:color w:val="FF0000"/>
          <w:sz w:val="28"/>
          <w:szCs w:val="28"/>
          <w:lang w:eastAsia="en-US"/>
        </w:rPr>
        <w:t>Инновационное измерение в рамках настоящего исследования включает показатели, отражающие уровень и динамику инновационной активности, технологической модернизации и цифровой трансформации экономики. К ключевым блокам инновационного измерения отнесены следующие.</w:t>
      </w:r>
    </w:p>
    <w:p>
      <w:pPr>
        <w:pStyle w:val="P30"/>
        <w:shd w:val="clear" w:fill="FFFFFF"/>
        <w:spacing w:lineRule="auto" w:line="360" w:before="0" w:after="0" w:beforeAutospacing="0" w:afterAutospacing="0"/>
        <w:ind w:firstLine="709"/>
        <w:jc w:val="both"/>
        <w:rPr>
          <w:rFonts w:eastAsiaTheme="majorEastAsia"/>
          <w:color w:val="FF0000"/>
          <w:sz w:val="28"/>
          <w:szCs w:val="28"/>
          <w:lang w:eastAsia="en-US"/>
        </w:rPr>
      </w:pPr>
      <w:r>
        <w:rPr>
          <w:rFonts w:eastAsiaTheme="majorEastAsia"/>
          <w:color w:val="FF0000"/>
          <w:sz w:val="28"/>
          <w:szCs w:val="28"/>
          <w:lang w:eastAsia="en-US"/>
        </w:rPr>
        <w:t>Инновационная активность предприятий:</w:t>
      </w:r>
    </w:p>
    <w:p>
      <w:pPr>
        <w:pStyle w:val="P30"/>
        <w:shd w:val="clear" w:fill="FFFFFF"/>
        <w:spacing w:lineRule="auto" w:line="360" w:before="0" w:after="0" w:beforeAutospacing="0" w:afterAutospacing="0"/>
        <w:ind w:firstLine="709"/>
        <w:jc w:val="both"/>
        <w:rPr>
          <w:rFonts w:eastAsiaTheme="majorEastAsia"/>
          <w:color w:val="FF0000"/>
          <w:sz w:val="28"/>
          <w:szCs w:val="28"/>
          <w:lang w:eastAsia="en-US"/>
        </w:rPr>
      </w:pPr>
      <w:r>
        <w:rPr>
          <w:rFonts w:eastAsiaTheme="majorEastAsia"/>
          <w:color w:val="FF0000"/>
          <w:sz w:val="28"/>
          <w:szCs w:val="28"/>
          <w:lang w:eastAsia="en-US"/>
        </w:rPr>
        <w:t xml:space="preserve">    – доля предприятий, внедряющих новые продукты и процессы;</w:t>
      </w:r>
    </w:p>
    <w:p>
      <w:pPr>
        <w:pStyle w:val="P30"/>
        <w:shd w:val="clear" w:fill="FFFFFF"/>
        <w:spacing w:lineRule="auto" w:line="360" w:before="0" w:after="0" w:beforeAutospacing="0" w:afterAutospacing="0"/>
        <w:ind w:firstLine="709"/>
        <w:jc w:val="both"/>
        <w:rPr>
          <w:rFonts w:eastAsiaTheme="majorEastAsia"/>
          <w:color w:val="FF0000"/>
          <w:sz w:val="28"/>
          <w:szCs w:val="28"/>
          <w:lang w:eastAsia="en-US"/>
        </w:rPr>
      </w:pPr>
      <w:r>
        <w:rPr>
          <w:rFonts w:eastAsiaTheme="majorEastAsia"/>
          <w:color w:val="FF0000"/>
          <w:sz w:val="28"/>
          <w:szCs w:val="28"/>
          <w:lang w:eastAsia="en-US"/>
        </w:rPr>
        <w:t xml:space="preserve">    – расходы на НИОКР (при наличии данных);</w:t>
      </w:r>
    </w:p>
    <w:p>
      <w:pPr>
        <w:pStyle w:val="P30"/>
        <w:shd w:val="clear" w:fill="FFFFFF"/>
        <w:spacing w:lineRule="auto" w:line="360" w:before="0" w:after="0" w:beforeAutospacing="0" w:afterAutospacing="0"/>
        <w:ind w:firstLine="709"/>
        <w:jc w:val="both"/>
        <w:rPr>
          <w:rFonts w:eastAsiaTheme="majorEastAsia"/>
          <w:color w:val="FF0000"/>
          <w:sz w:val="28"/>
          <w:szCs w:val="28"/>
          <w:lang w:eastAsia="en-US"/>
        </w:rPr>
      </w:pPr>
      <w:r>
        <w:rPr>
          <w:rFonts w:eastAsiaTheme="majorEastAsia"/>
          <w:color w:val="FF0000"/>
          <w:sz w:val="28"/>
          <w:szCs w:val="28"/>
          <w:lang w:eastAsia="en-US"/>
        </w:rPr>
        <w:t xml:space="preserve">    – развитие предпринимательства в технологически ориентированных секторах.</w:t>
      </w:r>
    </w:p>
    <w:p>
      <w:pPr>
        <w:pStyle w:val="P30"/>
        <w:shd w:val="clear" w:fill="FFFFFF"/>
        <w:spacing w:lineRule="auto" w:line="360" w:before="0" w:after="0" w:beforeAutospacing="0" w:afterAutospacing="0"/>
        <w:ind w:firstLine="709"/>
        <w:jc w:val="both"/>
        <w:rPr>
          <w:rFonts w:eastAsiaTheme="majorEastAsia"/>
          <w:color w:val="FF0000"/>
          <w:sz w:val="28"/>
          <w:szCs w:val="28"/>
          <w:lang w:eastAsia="en-US"/>
        </w:rPr>
      </w:pPr>
      <w:r>
        <w:rPr>
          <w:rFonts w:eastAsiaTheme="majorEastAsia"/>
          <w:color w:val="FF0000"/>
          <w:sz w:val="28"/>
          <w:szCs w:val="28"/>
          <w:lang w:eastAsia="en-US"/>
        </w:rPr>
        <w:t xml:space="preserve">    Цифровая трансформация экономики:</w:t>
      </w:r>
    </w:p>
    <w:p>
      <w:pPr>
        <w:pStyle w:val="P30"/>
        <w:shd w:val="clear" w:fill="FFFFFF"/>
        <w:spacing w:lineRule="auto" w:line="360" w:before="0" w:after="0" w:beforeAutospacing="0" w:afterAutospacing="0"/>
        <w:ind w:firstLine="709"/>
        <w:jc w:val="both"/>
        <w:rPr>
          <w:rFonts w:eastAsiaTheme="majorEastAsia"/>
          <w:color w:val="FF0000"/>
          <w:sz w:val="28"/>
          <w:szCs w:val="28"/>
          <w:lang w:eastAsia="en-US"/>
        </w:rPr>
      </w:pPr>
      <w:r>
        <w:rPr>
          <w:rFonts w:eastAsiaTheme="majorEastAsia"/>
          <w:color w:val="FF0000"/>
          <w:sz w:val="28"/>
          <w:szCs w:val="28"/>
          <w:lang w:eastAsia="en-US"/>
        </w:rPr>
        <w:t xml:space="preserve">    – уровень интернет-проникновения;</w:t>
      </w:r>
    </w:p>
    <w:p>
      <w:pPr>
        <w:pStyle w:val="P30"/>
        <w:shd w:val="clear" w:fill="FFFFFF"/>
        <w:spacing w:lineRule="auto" w:line="360" w:before="0" w:after="0" w:beforeAutospacing="0" w:afterAutospacing="0"/>
        <w:ind w:firstLine="709"/>
        <w:jc w:val="both"/>
        <w:rPr>
          <w:rFonts w:eastAsiaTheme="majorEastAsia"/>
          <w:color w:val="FF0000"/>
          <w:sz w:val="28"/>
          <w:szCs w:val="28"/>
          <w:lang w:eastAsia="en-US"/>
        </w:rPr>
      </w:pPr>
      <w:r>
        <w:rPr>
          <w:rFonts w:eastAsiaTheme="majorEastAsia"/>
          <w:color w:val="FF0000"/>
          <w:sz w:val="28"/>
          <w:szCs w:val="28"/>
          <w:lang w:eastAsia="en-US"/>
        </w:rPr>
        <w:t xml:space="preserve">    – распространенность мобильных финансовых сервисов;</w:t>
      </w:r>
    </w:p>
    <w:p>
      <w:pPr>
        <w:pStyle w:val="P30"/>
        <w:shd w:val="clear" w:fill="FFFFFF"/>
        <w:spacing w:lineRule="auto" w:line="360" w:before="0" w:after="0" w:beforeAutospacing="0" w:afterAutospacing="0"/>
        <w:ind w:firstLine="709"/>
        <w:jc w:val="both"/>
        <w:rPr>
          <w:rFonts w:eastAsiaTheme="majorEastAsia"/>
          <w:color w:val="FF0000"/>
          <w:sz w:val="28"/>
          <w:szCs w:val="28"/>
          <w:lang w:eastAsia="en-US"/>
        </w:rPr>
      </w:pPr>
      <w:r>
        <w:rPr>
          <w:rFonts w:eastAsiaTheme="majorEastAsia"/>
          <w:color w:val="FF0000"/>
          <w:sz w:val="28"/>
          <w:szCs w:val="28"/>
          <w:lang w:eastAsia="en-US"/>
        </w:rPr>
        <w:t xml:space="preserve">    – цифровизация платежей и электронная коммерция.</w:t>
      </w:r>
    </w:p>
    <w:p>
      <w:pPr>
        <w:pStyle w:val="P30"/>
        <w:shd w:val="clear" w:fill="FFFFFF"/>
        <w:spacing w:lineRule="auto" w:line="360" w:before="0" w:after="0" w:beforeAutospacing="0" w:afterAutospacing="0"/>
        <w:ind w:firstLine="709"/>
        <w:jc w:val="both"/>
        <w:rPr>
          <w:rFonts w:eastAsiaTheme="majorEastAsia"/>
          <w:color w:val="FF0000"/>
          <w:sz w:val="28"/>
          <w:szCs w:val="28"/>
          <w:lang w:eastAsia="en-US"/>
        </w:rPr>
      </w:pPr>
      <w:r>
        <w:rPr>
          <w:rFonts w:eastAsiaTheme="majorEastAsia"/>
          <w:color w:val="FF0000"/>
          <w:sz w:val="28"/>
          <w:szCs w:val="28"/>
          <w:lang w:eastAsia="en-US"/>
        </w:rPr>
        <w:t xml:space="preserve">    Доступ к финансированию инноваций:</w:t>
      </w:r>
    </w:p>
    <w:p>
      <w:pPr>
        <w:pStyle w:val="P30"/>
        <w:shd w:val="clear" w:fill="FFFFFF"/>
        <w:spacing w:lineRule="auto" w:line="360" w:before="0" w:after="0" w:beforeAutospacing="0" w:afterAutospacing="0"/>
        <w:ind w:firstLine="709"/>
        <w:jc w:val="both"/>
        <w:rPr>
          <w:rFonts w:eastAsiaTheme="majorEastAsia"/>
          <w:color w:val="FF0000"/>
          <w:sz w:val="28"/>
          <w:szCs w:val="28"/>
          <w:lang w:eastAsia="en-US"/>
        </w:rPr>
      </w:pPr>
      <w:r>
        <w:rPr>
          <w:rFonts w:eastAsiaTheme="majorEastAsia"/>
          <w:color w:val="FF0000"/>
          <w:sz w:val="28"/>
          <w:szCs w:val="28"/>
          <w:lang w:eastAsia="en-US"/>
        </w:rPr>
        <w:t xml:space="preserve">    – объем кредитования МСП;</w:t>
      </w:r>
    </w:p>
    <w:p>
      <w:pPr>
        <w:pStyle w:val="P30"/>
        <w:shd w:val="clear" w:fill="FFFFFF"/>
        <w:spacing w:lineRule="auto" w:line="360" w:before="0" w:after="0" w:beforeAutospacing="0" w:afterAutospacing="0"/>
        <w:ind w:firstLine="709"/>
        <w:jc w:val="both"/>
        <w:rPr>
          <w:rFonts w:eastAsiaTheme="majorEastAsia"/>
          <w:color w:val="FF0000"/>
          <w:sz w:val="28"/>
          <w:szCs w:val="28"/>
          <w:lang w:eastAsia="en-US"/>
        </w:rPr>
      </w:pPr>
      <w:r>
        <w:rPr>
          <w:rFonts w:eastAsiaTheme="majorEastAsia"/>
          <w:color w:val="FF0000"/>
          <w:sz w:val="28"/>
          <w:szCs w:val="28"/>
          <w:lang w:eastAsia="en-US"/>
        </w:rPr>
        <w:t xml:space="preserve">    – развитие микрофинансовых инструментов;</w:t>
      </w:r>
    </w:p>
    <w:p>
      <w:pPr>
        <w:pStyle w:val="P30"/>
        <w:shd w:val="clear" w:fill="FFFFFF"/>
        <w:spacing w:lineRule="auto" w:line="360" w:before="0" w:after="0" w:beforeAutospacing="0" w:afterAutospacing="0"/>
        <w:ind w:firstLine="709"/>
        <w:jc w:val="both"/>
        <w:rPr>
          <w:rFonts w:eastAsiaTheme="majorEastAsia"/>
          <w:color w:val="FF0000"/>
          <w:sz w:val="28"/>
          <w:szCs w:val="28"/>
          <w:lang w:eastAsia="en-US"/>
        </w:rPr>
      </w:pPr>
      <w:r>
        <w:rPr>
          <w:rFonts w:eastAsiaTheme="majorEastAsia"/>
          <w:color w:val="FF0000"/>
          <w:sz w:val="28"/>
          <w:szCs w:val="28"/>
          <w:lang w:eastAsia="en-US"/>
        </w:rPr>
        <w:t xml:space="preserve">    – приток прямых иностранных инвестиций в инновационно ориентированные сектора.</w:t>
      </w:r>
    </w:p>
    <w:p>
      <w:pPr>
        <w:pStyle w:val="P30"/>
        <w:shd w:val="clear" w:fill="FFFFFF"/>
        <w:spacing w:lineRule="auto" w:line="360" w:before="0" w:after="0" w:beforeAutospacing="0" w:afterAutospacing="0"/>
        <w:ind w:firstLine="709"/>
        <w:jc w:val="both"/>
        <w:rPr>
          <w:rFonts w:eastAsiaTheme="majorEastAsia"/>
          <w:color w:val="FF0000"/>
          <w:sz w:val="28"/>
          <w:szCs w:val="28"/>
          <w:lang w:eastAsia="en-US"/>
        </w:rPr>
      </w:pPr>
      <w:r>
        <w:rPr>
          <w:rFonts w:eastAsiaTheme="majorEastAsia"/>
          <w:color w:val="FF0000"/>
          <w:sz w:val="28"/>
          <w:szCs w:val="28"/>
          <w:lang w:eastAsia="en-US"/>
        </w:rPr>
        <w:t xml:space="preserve">    Внешнеэкономическая активность:</w:t>
      </w:r>
    </w:p>
    <w:p>
      <w:pPr>
        <w:pStyle w:val="P30"/>
        <w:shd w:val="clear" w:fill="FFFFFF"/>
        <w:spacing w:lineRule="auto" w:line="360" w:before="0" w:after="0" w:beforeAutospacing="0" w:afterAutospacing="0"/>
        <w:ind w:firstLine="709"/>
        <w:jc w:val="both"/>
        <w:rPr>
          <w:rFonts w:eastAsiaTheme="majorEastAsia"/>
          <w:color w:val="FF0000"/>
          <w:sz w:val="28"/>
          <w:szCs w:val="28"/>
          <w:lang w:eastAsia="en-US"/>
        </w:rPr>
      </w:pPr>
      <w:r>
        <w:rPr>
          <w:rFonts w:eastAsiaTheme="majorEastAsia"/>
          <w:color w:val="FF0000"/>
          <w:sz w:val="28"/>
          <w:szCs w:val="28"/>
          <w:lang w:eastAsia="en-US"/>
        </w:rPr>
        <w:t xml:space="preserve">    – диверсификация экспорта;</w:t>
      </w:r>
    </w:p>
    <w:p>
      <w:pPr>
        <w:pStyle w:val="P30"/>
        <w:shd w:val="clear" w:fill="FFFFFF"/>
        <w:spacing w:lineRule="auto" w:line="360" w:before="0" w:after="0" w:beforeAutospacing="0" w:afterAutospacing="0"/>
        <w:ind w:firstLine="709"/>
        <w:jc w:val="both"/>
        <w:rPr>
          <w:rFonts w:eastAsiaTheme="majorEastAsia"/>
          <w:color w:val="FF0000"/>
          <w:sz w:val="28"/>
          <w:szCs w:val="28"/>
          <w:lang w:eastAsia="en-US"/>
        </w:rPr>
      </w:pPr>
      <w:r>
        <w:rPr>
          <w:rFonts w:eastAsiaTheme="majorEastAsia"/>
          <w:color w:val="FF0000"/>
          <w:sz w:val="28"/>
          <w:szCs w:val="28"/>
          <w:lang w:eastAsia="en-US"/>
        </w:rPr>
        <w:t xml:space="preserve">    – доля переработанной продукции;</w:t>
      </w:r>
    </w:p>
    <w:p>
      <w:pPr>
        <w:pStyle w:val="P30"/>
        <w:shd w:val="clear" w:fill="FFFFFF"/>
        <w:spacing w:lineRule="auto" w:line="360" w:before="0" w:after="0" w:beforeAutospacing="0" w:afterAutospacing="0"/>
        <w:ind w:firstLine="709"/>
        <w:jc w:val="both"/>
        <w:rPr>
          <w:rFonts w:eastAsiaTheme="majorEastAsia"/>
          <w:color w:val="FF0000"/>
          <w:sz w:val="28"/>
          <w:szCs w:val="28"/>
          <w:lang w:eastAsia="en-US"/>
        </w:rPr>
      </w:pPr>
      <w:r>
        <w:rPr>
          <w:rFonts w:eastAsiaTheme="majorEastAsia"/>
          <w:color w:val="FF0000"/>
          <w:sz w:val="28"/>
          <w:szCs w:val="28"/>
          <w:lang w:eastAsia="en-US"/>
        </w:rPr>
        <w:t xml:space="preserve">    – участие в региональных и глобальных цепочках создания стоимости.</w:t>
      </w:r>
    </w:p>
    <w:p>
      <w:pPr>
        <w:pStyle w:val="P30"/>
        <w:shd w:val="clear" w:fill="FFFFFF"/>
        <w:spacing w:lineRule="auto" w:line="360" w:before="0" w:after="0" w:beforeAutospacing="0" w:afterAutospacing="0"/>
        <w:ind w:firstLine="709"/>
        <w:jc w:val="both"/>
        <w:rPr>
          <w:rFonts w:eastAsiaTheme="majorEastAsia"/>
          <w:color w:val="FF0000"/>
          <w:sz w:val="28"/>
          <w:szCs w:val="28"/>
          <w:lang w:eastAsia="en-US"/>
        </w:rPr>
      </w:pPr>
      <w:r>
        <w:rPr>
          <w:rFonts w:eastAsiaTheme="majorEastAsia"/>
          <w:color w:val="FF0000"/>
          <w:sz w:val="28"/>
          <w:szCs w:val="28"/>
          <w:lang w:eastAsia="en-US"/>
        </w:rPr>
        <w:t>Данные показатели используются как наблюдаемые переменные для индикаторного анализа и последующего причинно-структурного моделирования.</w:t>
      </w:r>
    </w:p>
    <w:p>
      <w:pPr>
        <w:pStyle w:val="P30"/>
        <w:shd w:val="clear" w:fill="FFFFFF"/>
        <w:spacing w:lineRule="auto" w:line="360" w:before="0" w:after="0" w:beforeAutospacing="0" w:afterAutospacing="0"/>
        <w:ind w:firstLine="709"/>
        <w:jc w:val="both"/>
        <w:rPr>
          <w:rFonts w:eastAsiaTheme="majorEastAsia"/>
          <w:color w:val="FF0000"/>
          <w:sz w:val="28"/>
          <w:szCs w:val="28"/>
          <w:lang w:eastAsia="en-US"/>
        </w:rPr>
      </w:pPr>
      <w:r>
        <w:rPr>
          <w:rFonts w:eastAsiaTheme="majorEastAsia"/>
          <w:color w:val="FF0000"/>
          <w:sz w:val="28"/>
          <w:szCs w:val="28"/>
          <w:lang w:eastAsia="en-US"/>
        </w:rPr>
        <w:t>Инклюзивное измерение направлено на оценку степени вовлеченности экономических агентов и территорий в процессы экономического роста и инновационного развития. В рамках исследования инклюзивность рассматривается через следующие блоки.</w:t>
      </w:r>
    </w:p>
    <w:p>
      <w:pPr>
        <w:pStyle w:val="P30"/>
        <w:shd w:val="clear" w:fill="FFFFFF"/>
        <w:spacing w:lineRule="auto" w:line="360" w:before="0" w:after="0" w:beforeAutospacing="0" w:afterAutospacing="0"/>
        <w:ind w:firstLine="709"/>
        <w:jc w:val="both"/>
        <w:rPr>
          <w:rFonts w:eastAsiaTheme="majorEastAsia"/>
          <w:color w:val="FF0000"/>
          <w:sz w:val="28"/>
          <w:szCs w:val="28"/>
          <w:lang w:eastAsia="en-US"/>
        </w:rPr>
      </w:pPr>
      <w:r>
        <w:rPr>
          <w:rFonts w:eastAsiaTheme="majorEastAsia"/>
          <w:color w:val="FF0000"/>
          <w:sz w:val="28"/>
          <w:szCs w:val="28"/>
          <w:lang w:eastAsia="en-US"/>
        </w:rPr>
        <w:t xml:space="preserve">    Экономическая включенность населения и МСП:</w:t>
      </w:r>
    </w:p>
    <w:p>
      <w:pPr>
        <w:pStyle w:val="P30"/>
        <w:shd w:val="clear" w:fill="FFFFFF"/>
        <w:spacing w:lineRule="auto" w:line="360" w:before="0" w:after="0" w:beforeAutospacing="0" w:afterAutospacing="0"/>
        <w:ind w:firstLine="709"/>
        <w:jc w:val="both"/>
        <w:rPr>
          <w:rFonts w:eastAsiaTheme="majorEastAsia"/>
          <w:color w:val="FF0000"/>
          <w:sz w:val="28"/>
          <w:szCs w:val="28"/>
          <w:lang w:eastAsia="en-US"/>
        </w:rPr>
      </w:pPr>
      <w:r>
        <w:rPr>
          <w:rFonts w:eastAsiaTheme="majorEastAsia"/>
          <w:color w:val="FF0000"/>
          <w:sz w:val="28"/>
          <w:szCs w:val="28"/>
          <w:lang w:eastAsia="en-US"/>
        </w:rPr>
        <w:t xml:space="preserve">    – уровень занятости;</w:t>
      </w:r>
    </w:p>
    <w:p>
      <w:pPr>
        <w:pStyle w:val="P30"/>
        <w:shd w:val="clear" w:fill="FFFFFF"/>
        <w:spacing w:lineRule="auto" w:line="360" w:before="0" w:after="0" w:beforeAutospacing="0" w:afterAutospacing="0"/>
        <w:ind w:firstLine="709"/>
        <w:jc w:val="both"/>
        <w:rPr>
          <w:rFonts w:eastAsiaTheme="majorEastAsia"/>
          <w:color w:val="FF0000"/>
          <w:sz w:val="28"/>
          <w:szCs w:val="28"/>
          <w:lang w:eastAsia="en-US"/>
        </w:rPr>
      </w:pPr>
      <w:r>
        <w:rPr>
          <w:rFonts w:eastAsiaTheme="majorEastAsia"/>
          <w:color w:val="FF0000"/>
          <w:sz w:val="28"/>
          <w:szCs w:val="28"/>
          <w:lang w:eastAsia="en-US"/>
        </w:rPr>
        <w:t xml:space="preserve">    – доля самозанятых и микропредприятий;</w:t>
      </w:r>
    </w:p>
    <w:p>
      <w:pPr>
        <w:pStyle w:val="P30"/>
        <w:shd w:val="clear" w:fill="FFFFFF"/>
        <w:spacing w:lineRule="auto" w:line="360" w:before="0" w:after="0" w:beforeAutospacing="0" w:afterAutospacing="0"/>
        <w:ind w:firstLine="709"/>
        <w:jc w:val="both"/>
        <w:rPr>
          <w:rFonts w:eastAsiaTheme="majorEastAsia"/>
          <w:color w:val="FF0000"/>
          <w:sz w:val="28"/>
          <w:szCs w:val="28"/>
          <w:lang w:eastAsia="en-US"/>
        </w:rPr>
      </w:pPr>
      <w:r>
        <w:rPr>
          <w:rFonts w:eastAsiaTheme="majorEastAsia"/>
          <w:color w:val="FF0000"/>
          <w:sz w:val="28"/>
          <w:szCs w:val="28"/>
          <w:lang w:eastAsia="en-US"/>
        </w:rPr>
        <w:t xml:space="preserve">    – доступ к финансовым услугам;</w:t>
      </w:r>
    </w:p>
    <w:p>
      <w:pPr>
        <w:pStyle w:val="P30"/>
        <w:shd w:val="clear" w:fill="FFFFFF"/>
        <w:spacing w:lineRule="auto" w:line="360" w:before="0" w:after="0" w:beforeAutospacing="0" w:afterAutospacing="0"/>
        <w:ind w:firstLine="709"/>
        <w:jc w:val="both"/>
        <w:rPr>
          <w:rFonts w:eastAsiaTheme="majorEastAsia"/>
          <w:color w:val="FF0000"/>
          <w:sz w:val="28"/>
          <w:szCs w:val="28"/>
          <w:lang w:eastAsia="en-US"/>
        </w:rPr>
      </w:pPr>
      <w:r>
        <w:rPr>
          <w:rFonts w:eastAsiaTheme="majorEastAsia"/>
          <w:color w:val="FF0000"/>
          <w:sz w:val="28"/>
          <w:szCs w:val="28"/>
          <w:lang w:eastAsia="en-US"/>
        </w:rPr>
        <w:t xml:space="preserve">    – формализация хозяйственной деятельности.</w:t>
      </w:r>
    </w:p>
    <w:p>
      <w:pPr>
        <w:pStyle w:val="P30"/>
        <w:shd w:val="clear" w:fill="FFFFFF"/>
        <w:spacing w:lineRule="auto" w:line="360" w:before="0" w:after="0" w:beforeAutospacing="0" w:afterAutospacing="0"/>
        <w:ind w:firstLine="709"/>
        <w:jc w:val="both"/>
        <w:rPr>
          <w:rFonts w:eastAsiaTheme="majorEastAsia"/>
          <w:color w:val="FF0000"/>
          <w:sz w:val="28"/>
          <w:szCs w:val="28"/>
          <w:lang w:eastAsia="en-US"/>
        </w:rPr>
      </w:pPr>
      <w:r>
        <w:rPr>
          <w:rFonts w:eastAsiaTheme="majorEastAsia"/>
          <w:color w:val="FF0000"/>
          <w:sz w:val="28"/>
          <w:szCs w:val="28"/>
          <w:lang w:eastAsia="en-US"/>
        </w:rPr>
        <w:t xml:space="preserve">    Региональная вовлеченность:</w:t>
      </w:r>
    </w:p>
    <w:p>
      <w:pPr>
        <w:pStyle w:val="P30"/>
        <w:shd w:val="clear" w:fill="FFFFFF"/>
        <w:spacing w:lineRule="auto" w:line="360" w:before="0" w:after="0" w:beforeAutospacing="0" w:afterAutospacing="0"/>
        <w:ind w:firstLine="709"/>
        <w:jc w:val="both"/>
        <w:rPr>
          <w:rFonts w:eastAsiaTheme="majorEastAsia"/>
          <w:color w:val="FF0000"/>
          <w:sz w:val="28"/>
          <w:szCs w:val="28"/>
          <w:lang w:eastAsia="en-US"/>
        </w:rPr>
      </w:pPr>
      <w:r>
        <w:rPr>
          <w:rFonts w:eastAsiaTheme="majorEastAsia"/>
          <w:color w:val="FF0000"/>
          <w:sz w:val="28"/>
          <w:szCs w:val="28"/>
          <w:lang w:eastAsia="en-US"/>
        </w:rPr>
        <w:t xml:space="preserve">    – различия в уровне доходов между регионами;</w:t>
      </w:r>
    </w:p>
    <w:p>
      <w:pPr>
        <w:pStyle w:val="P30"/>
        <w:shd w:val="clear" w:fill="FFFFFF"/>
        <w:spacing w:lineRule="auto" w:line="360" w:before="0" w:after="0" w:beforeAutospacing="0" w:afterAutospacing="0"/>
        <w:ind w:firstLine="709"/>
        <w:jc w:val="both"/>
        <w:rPr>
          <w:rFonts w:eastAsiaTheme="majorEastAsia"/>
          <w:color w:val="FF0000"/>
          <w:sz w:val="28"/>
          <w:szCs w:val="28"/>
          <w:lang w:eastAsia="en-US"/>
        </w:rPr>
      </w:pPr>
      <w:r>
        <w:rPr>
          <w:rFonts w:eastAsiaTheme="majorEastAsia"/>
          <w:color w:val="FF0000"/>
          <w:sz w:val="28"/>
          <w:szCs w:val="28"/>
          <w:lang w:eastAsia="en-US"/>
        </w:rPr>
        <w:t xml:space="preserve">    – территориальная концентрация экономической активности;</w:t>
      </w:r>
    </w:p>
    <w:p>
      <w:pPr>
        <w:pStyle w:val="P30"/>
        <w:shd w:val="clear" w:fill="FFFFFF"/>
        <w:spacing w:lineRule="auto" w:line="360" w:before="0" w:after="0" w:beforeAutospacing="0" w:afterAutospacing="0"/>
        <w:ind w:firstLine="709"/>
        <w:jc w:val="both"/>
        <w:rPr>
          <w:rFonts w:eastAsiaTheme="majorEastAsia"/>
          <w:color w:val="FF0000"/>
          <w:sz w:val="28"/>
          <w:szCs w:val="28"/>
          <w:lang w:eastAsia="en-US"/>
        </w:rPr>
      </w:pPr>
      <w:r>
        <w:rPr>
          <w:rFonts w:eastAsiaTheme="majorEastAsia"/>
          <w:color w:val="FF0000"/>
          <w:sz w:val="28"/>
          <w:szCs w:val="28"/>
          <w:lang w:eastAsia="en-US"/>
        </w:rPr>
        <w:t xml:space="preserve">    – доступ к инфраструктуре.</w:t>
      </w:r>
    </w:p>
    <w:p>
      <w:pPr>
        <w:pStyle w:val="P30"/>
        <w:shd w:val="clear" w:fill="FFFFFF"/>
        <w:spacing w:lineRule="auto" w:line="360" w:before="0" w:after="0" w:beforeAutospacing="0" w:afterAutospacing="0"/>
        <w:ind w:firstLine="709"/>
        <w:jc w:val="both"/>
        <w:rPr>
          <w:rFonts w:eastAsiaTheme="majorEastAsia"/>
          <w:color w:val="FF0000"/>
          <w:sz w:val="28"/>
          <w:szCs w:val="28"/>
          <w:lang w:eastAsia="en-US"/>
        </w:rPr>
      </w:pPr>
      <w:r>
        <w:rPr>
          <w:rFonts w:eastAsiaTheme="majorEastAsia"/>
          <w:color w:val="FF0000"/>
          <w:sz w:val="28"/>
          <w:szCs w:val="28"/>
          <w:lang w:eastAsia="en-US"/>
        </w:rPr>
        <w:t xml:space="preserve">    Социальная устойчивость развития:</w:t>
      </w:r>
    </w:p>
    <w:p>
      <w:pPr>
        <w:pStyle w:val="P30"/>
        <w:shd w:val="clear" w:fill="FFFFFF"/>
        <w:spacing w:lineRule="auto" w:line="360" w:before="0" w:after="0" w:beforeAutospacing="0" w:afterAutospacing="0"/>
        <w:ind w:firstLine="709"/>
        <w:jc w:val="both"/>
        <w:rPr>
          <w:rFonts w:eastAsiaTheme="majorEastAsia"/>
          <w:color w:val="FF0000"/>
          <w:sz w:val="28"/>
          <w:szCs w:val="28"/>
          <w:lang w:eastAsia="en-US"/>
        </w:rPr>
      </w:pPr>
      <w:r>
        <w:rPr>
          <w:rFonts w:eastAsiaTheme="majorEastAsia"/>
          <w:color w:val="FF0000"/>
          <w:sz w:val="28"/>
          <w:szCs w:val="28"/>
          <w:lang w:eastAsia="en-US"/>
        </w:rPr>
        <w:t xml:space="preserve">    – уровень бедности;</w:t>
      </w:r>
    </w:p>
    <w:p>
      <w:pPr>
        <w:pStyle w:val="P30"/>
        <w:shd w:val="clear" w:fill="FFFFFF"/>
        <w:spacing w:lineRule="auto" w:line="360" w:before="0" w:after="0" w:beforeAutospacing="0" w:afterAutospacing="0"/>
        <w:ind w:firstLine="709"/>
        <w:jc w:val="both"/>
        <w:rPr>
          <w:rFonts w:eastAsiaTheme="majorEastAsia"/>
          <w:color w:val="FF0000"/>
          <w:sz w:val="28"/>
          <w:szCs w:val="28"/>
          <w:lang w:eastAsia="en-US"/>
        </w:rPr>
      </w:pPr>
      <w:r>
        <w:rPr>
          <w:rFonts w:eastAsiaTheme="majorEastAsia"/>
          <w:color w:val="FF0000"/>
          <w:sz w:val="28"/>
          <w:szCs w:val="28"/>
          <w:lang w:eastAsia="en-US"/>
        </w:rPr>
        <w:t xml:space="preserve">    – доступ к образованию и цифровым услугам;</w:t>
      </w:r>
    </w:p>
    <w:p>
      <w:pPr>
        <w:pStyle w:val="P30"/>
        <w:shd w:val="clear" w:fill="FFFFFF"/>
        <w:spacing w:lineRule="auto" w:line="360" w:before="0" w:after="0" w:beforeAutospacing="0" w:afterAutospacing="0"/>
        <w:ind w:firstLine="709"/>
        <w:jc w:val="both"/>
        <w:rPr>
          <w:rFonts w:eastAsiaTheme="majorEastAsia"/>
          <w:color w:val="FF0000"/>
          <w:sz w:val="28"/>
          <w:szCs w:val="28"/>
          <w:lang w:eastAsia="en-US"/>
        </w:rPr>
      </w:pPr>
      <w:r>
        <w:rPr>
          <w:rFonts w:eastAsiaTheme="majorEastAsia"/>
          <w:color w:val="FF0000"/>
          <w:sz w:val="28"/>
          <w:szCs w:val="28"/>
          <w:lang w:eastAsia="en-US"/>
        </w:rPr>
        <w:t xml:space="preserve">    – показатели гендерной и молодежной вовлеченности.</w:t>
      </w:r>
    </w:p>
    <w:p>
      <w:pPr>
        <w:pStyle w:val="P30"/>
        <w:widowControl w:val="0"/>
        <w:shd w:val="clear" w:fill="FFFFFF"/>
        <w:spacing w:lineRule="auto" w:line="360" w:before="0" w:after="0" w:beforeAutospacing="0" w:afterAutospacing="0"/>
        <w:ind w:firstLine="709"/>
        <w:jc w:val="both"/>
        <w:rPr>
          <w:rFonts w:eastAsiaTheme="majorEastAsia"/>
          <w:color w:val="FF0000"/>
          <w:sz w:val="28"/>
          <w:szCs w:val="28"/>
          <w:lang w:eastAsia="en-US"/>
        </w:rPr>
      </w:pPr>
      <w:r>
        <w:rPr>
          <w:rFonts w:eastAsiaTheme="majorEastAsia"/>
          <w:color w:val="FF0000"/>
          <w:sz w:val="28"/>
          <w:szCs w:val="28"/>
          <w:lang w:eastAsia="en-US"/>
        </w:rPr>
        <w:t>Особое внимание уделяется показателям финансовой и цифровой инклюзии, которые в условиях развивающихся стран выступают связующим звеном между инновационной активностью и социально-экономическими результатами.</w:t>
      </w:r>
    </w:p>
    <w:p>
      <w:pPr>
        <w:pStyle w:val="P30"/>
        <w:shd w:val="clear" w:fill="FFFFFF"/>
        <w:spacing w:lineRule="auto" w:line="360" w:before="0" w:after="0" w:beforeAutospacing="0" w:afterAutospacing="0"/>
        <w:ind w:firstLine="709"/>
        <w:jc w:val="both"/>
        <w:rPr>
          <w:color w:val="000000"/>
          <w:sz w:val="28"/>
          <w:szCs w:val="28"/>
        </w:rPr>
      </w:pPr>
      <w:r>
        <w:rPr>
          <w:color w:val="000000"/>
          <w:sz w:val="28"/>
          <w:szCs w:val="28"/>
        </w:rPr>
        <w:t>Республика Кот-д'Ивуар (РКИ) – государство на южном побережье Западной Африки, Атлантического океана, в западной части Гвинейского залива. Площадь страны составляет 322 462 км</w:t>
      </w:r>
      <w:r>
        <w:rPr>
          <w:color w:val="000000"/>
          <w:sz w:val="28"/>
          <w:szCs w:val="28"/>
          <w:vertAlign w:val="superscript"/>
        </w:rPr>
        <w:t>2</w:t>
      </w:r>
      <w:r>
        <w:rPr>
          <w:color w:val="000000"/>
          <w:sz w:val="28"/>
          <w:szCs w:val="28"/>
        </w:rPr>
        <w:t xml:space="preserve">.  На северо-западе граничит с Гвинеей, на западе – с Либерией, на северо-западе – с Мали, на северо-востоке – с Буркина-Фасо, на востоке – с Ганой, а на юге омывается Атлантическим океаном и Гвинейским заливом. В 2024 г., согласно данным бюро по вопросам народонаселения, в Кот-д’Ивуаре проживало 31,5 млн чел., что делает его третьей по численности населения страной в Западной Африке</w:t>
      </w:r>
      <w:r>
        <w:rPr>
          <w:rStyle w:val="C42"/>
          <w:color w:val="000000"/>
          <w:sz w:val="28"/>
          <w:szCs w:val="28"/>
        </w:rPr>
        <w:footnoteReference w:id="78"/>
      </w:r>
      <w:r>
        <w:rPr>
          <w:color w:val="000000"/>
          <w:sz w:val="28"/>
          <w:szCs w:val="28"/>
        </w:rPr>
        <w:t>. Официальным языком является французский. Страна разделена на 31 регион и 2 автономных округа. Ее столица – город Ямусукро, расположенный в центре страны, а крупнейший город и экономический центр – портовый город Абиджан.</w:t>
      </w:r>
    </w:p>
    <w:p>
      <w:pPr>
        <w:pStyle w:val="P13"/>
        <w:spacing w:lineRule="auto" w:line="360" w:beforeAutospacing="0" w:afterAutospacing="0"/>
        <w:ind w:firstLine="709"/>
        <w:jc w:val="both"/>
        <w:rPr>
          <w:color w:val="00B0F0"/>
          <w:sz w:val="28"/>
          <w:szCs w:val="28"/>
          <w:lang w:val="ru-RU"/>
        </w:rPr>
      </w:pPr>
      <w:r>
        <w:rPr>
          <w:color w:val="00B0F0"/>
          <w:sz w:val="28"/>
          <w:szCs w:val="28"/>
          <w:lang w:val="ru-RU"/>
        </w:rPr>
        <w:t xml:space="preserve">Этот фрагмент надо освежить до данных 2024, я нашла разные данным по ВВП в зависимости от сайта – данные всемирного банка в долларах, есть два сайта, где информация по КДВ. </w:t>
      </w:r>
      <w:hyperlink r:id="R2">
        <w:r>
          <w:rPr>
            <w:rStyle w:val="C2"/>
            <w:sz w:val="28"/>
            <w:szCs w:val="28"/>
            <w:lang w:val="ru-RU"/>
          </w:rPr>
          <w:t>https://statbase.ru/data/civ-gdp/</w:t>
        </w:r>
      </w:hyperlink>
      <w:r>
        <w:rPr>
          <w:color w:val="00B0F0"/>
          <w:sz w:val="28"/>
          <w:szCs w:val="28"/>
          <w:lang w:val="ru-RU"/>
        </w:rPr>
        <w:t xml:space="preserve"> и </w:t>
      </w:r>
      <w:hyperlink r:id="R3">
        <w:r>
          <w:rPr>
            <w:rStyle w:val="C2"/>
            <w:sz w:val="28"/>
            <w:szCs w:val="28"/>
            <w:lang w:val="ru-RU"/>
          </w:rPr>
          <w:t>https://ru.tradingeconomics.com/ivory-coast/gdp</w:t>
        </w:r>
      </w:hyperlink>
      <w:r>
        <w:rPr>
          <w:color w:val="00B0F0"/>
          <w:sz w:val="28"/>
          <w:szCs w:val="28"/>
          <w:lang w:val="ru-RU"/>
        </w:rPr>
        <w:t xml:space="preserve"> </w:t>
      </w:r>
    </w:p>
    <w:p>
      <w:pPr>
        <w:pStyle w:val="P13"/>
        <w:spacing w:lineRule="auto" w:line="360" w:beforeAutospacing="0" w:afterAutospacing="0"/>
        <w:ind w:firstLine="709"/>
        <w:jc w:val="both"/>
        <w:rPr>
          <w:color w:val="00B0F0"/>
          <w:sz w:val="28"/>
          <w:szCs w:val="28"/>
          <w:lang w:val="ru-RU"/>
        </w:rPr>
      </w:pPr>
      <w:r>
        <w:rPr>
          <w:color w:val="00B0F0"/>
          <w:sz w:val="28"/>
          <w:szCs w:val="28"/>
          <w:lang w:val="ru-RU"/>
        </w:rPr>
        <w:t xml:space="preserve">Вы мне присылали по ВВП в их национальной валюте. </w:t>
      </w:r>
    </w:p>
    <w:p>
      <w:pPr>
        <w:pStyle w:val="P13"/>
        <w:spacing w:lineRule="auto" w:line="360" w:beforeAutospacing="0" w:afterAutospacing="0"/>
        <w:ind w:firstLine="709"/>
        <w:jc w:val="both"/>
        <w:rPr>
          <w:color w:val="00B0F0"/>
          <w:sz w:val="28"/>
          <w:szCs w:val="28"/>
          <w:lang w:val="ru-RU"/>
        </w:rPr>
      </w:pPr>
      <w:r>
        <w:rPr>
          <w:color w:val="00B0F0"/>
          <w:sz w:val="28"/>
          <w:szCs w:val="28"/>
          <w:lang w:val="ru-RU"/>
        </w:rPr>
        <w:t xml:space="preserve">Вопрос, что здесь будем отжать? Можно и то и то, но тогда надо объяснить разный рост темпов ВВВ, в зависимости от валюты показателя. </w:t>
      </w:r>
    </w:p>
    <w:p>
      <w:pPr>
        <w:pStyle w:val="P13"/>
        <w:spacing w:lineRule="auto" w:line="360" w:beforeAutospacing="0" w:afterAutospacing="0"/>
        <w:ind w:firstLine="709"/>
        <w:jc w:val="both"/>
        <w:rPr>
          <w:color w:val="00B0F0"/>
          <w:sz w:val="28"/>
          <w:szCs w:val="28"/>
          <w:lang w:val="ru-RU"/>
        </w:rPr>
      </w:pPr>
    </w:p>
    <w:p>
      <w:pPr>
        <w:pStyle w:val="P13"/>
        <w:spacing w:lineRule="auto" w:line="360" w:beforeAutospacing="0" w:afterAutospacing="0"/>
        <w:ind w:firstLine="709"/>
        <w:jc w:val="both"/>
        <w:rPr>
          <w:color w:val="00B0F0"/>
          <w:sz w:val="28"/>
          <w:szCs w:val="28"/>
          <w:lang w:val="ru-RU"/>
        </w:rPr>
      </w:pPr>
      <w:r>
        <w:rPr>
          <w:noProof w:val="1"/>
          <w:lang w:val="ru-RU" w:eastAsia="ru-RU"/>
        </w:rPr>
        <w:drawing>
          <wp:inline xmlns:wp="http://schemas.openxmlformats.org/drawingml/2006/wordprocessingDrawing" distT="0" distB="0" distL="0" distR="0">
            <wp:extent cx="5219700" cy="258254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png"/>
                    <pic:cNvPicPr/>
                  </pic:nvPicPr>
                  <pic:blipFill dpi="0">
                    <a:blip xmlns:r="http://schemas.openxmlformats.org/officeDocument/2006/relationships" r:embed="Relimage2"/>
                    <a:srcRect/>
                    <a:stretch>
                      <a:fillRect/>
                    </a:stretch>
                  </pic:blipFill>
                  <pic:spPr>
                    <a:xfrm>
                      <a:off x="0" y="0"/>
                      <a:ext cx="5220001" cy="2583038"/>
                    </a:xfrm>
                    <a:prstGeom prst="rect"/>
                  </pic:spPr>
                </pic:pic>
              </a:graphicData>
            </a:graphic>
          </wp:inline>
        </w:drawing>
      </w:r>
    </w:p>
    <w:p>
      <w:pPr>
        <w:pStyle w:val="P13"/>
        <w:spacing w:lineRule="auto" w:line="360" w:beforeAutospacing="0" w:afterAutospacing="0"/>
        <w:ind w:firstLine="709"/>
        <w:jc w:val="both"/>
        <w:rPr>
          <w:color w:val="FF0000"/>
          <w:sz w:val="28"/>
          <w:szCs w:val="28"/>
          <w:lang w:val="ru-RU"/>
        </w:rPr>
      </w:pPr>
      <w:r>
        <w:rPr>
          <w:color w:val="00B0F0"/>
          <w:sz w:val="28"/>
          <w:szCs w:val="28"/>
          <w:lang w:val="ru-RU"/>
        </w:rPr>
        <w:t xml:space="preserve"> </w:t>
      </w:r>
      <w:r>
        <w:rPr>
          <w:color w:val="FF0000"/>
          <w:sz w:val="28"/>
          <w:szCs w:val="28"/>
          <w:lang w:val="ru-RU"/>
        </w:rPr>
        <w:t>Рисунок 1. Динамика ВВП Республики Кот-д'Ивуар (2011–2025 гг.)</w:t>
      </w:r>
    </w:p>
    <w:p>
      <w:pPr>
        <w:pStyle w:val="P13"/>
        <w:spacing w:lineRule="auto" w:line="360" w:beforeAutospacing="0" w:afterAutospacing="0"/>
        <w:ind w:firstLine="709"/>
        <w:jc w:val="both"/>
        <w:rPr>
          <w:color w:val="FF0000"/>
          <w:sz w:val="28"/>
          <w:szCs w:val="28"/>
          <w:lang w:val="ru-RU"/>
        </w:rPr>
      </w:pPr>
      <w:r>
        <w:rPr>
          <w:color w:val="FF0000"/>
          <w:sz w:val="28"/>
          <w:szCs w:val="28"/>
          <w:lang w:val="ru-RU"/>
        </w:rPr>
        <w:t>Примечание. Составлено автором по данным Министерства экономики и финансов Кот-д'Ивуара [7] и Африканского банка развития [11].</w:t>
      </w:r>
    </w:p>
    <w:p>
      <w:pPr>
        <w:pStyle w:val="P13"/>
        <w:spacing w:lineRule="auto" w:line="360" w:beforeAutospacing="0" w:afterAutospacing="0"/>
        <w:ind w:firstLine="709"/>
        <w:jc w:val="both"/>
        <w:rPr>
          <w:color w:val="FF0000"/>
          <w:sz w:val="28"/>
          <w:szCs w:val="28"/>
          <w:lang w:val="ru-RU"/>
        </w:rPr>
      </w:pPr>
      <w:r>
        <w:rPr>
          <w:color w:val="FF0000"/>
          <w:sz w:val="28"/>
          <w:szCs w:val="28"/>
          <w:lang w:val="ru-RU"/>
        </w:rPr>
        <w:t>Как свидетельствует рисунок 1, ВВП страны вырос с 22,2 трлн франков КФА в 2011 году до 57,6 трлн в 2025 году, преодолев последствия постэлекторального кризиса 2010–2011 гг. Среднегодовые темпы роста в 2012–2024 гг. составили 6,5% — один из наиболее высоких показателей в Западной Африке [7; 11]. Вместе с тем структурная зависимость экономики от сырьевого экспорта не устранена: на какао-бобы, нефть и каучук приходится 45% экспортной выручки [7], а доля несырьевого промышленного производства в ВВП все еще остается ниже оптимальных значений для страны на данном уровне дохода на душу населения.</w:t>
      </w:r>
    </w:p>
    <w:p>
      <w:pPr>
        <w:pStyle w:val="P13"/>
        <w:spacing w:lineRule="auto" w:line="360" w:beforeAutospacing="0" w:afterAutospacing="0"/>
        <w:ind w:firstLine="709"/>
        <w:jc w:val="both"/>
        <w:rPr>
          <w:color w:val="FF0000"/>
          <w:sz w:val="28"/>
          <w:szCs w:val="28"/>
          <w:lang w:val="ru-RU"/>
        </w:rPr>
      </w:pPr>
    </w:p>
    <w:p>
      <w:pPr>
        <w:pStyle w:val="P13"/>
        <w:spacing w:lineRule="auto" w:line="360" w:beforeAutospacing="0" w:afterAutospacing="0"/>
        <w:ind w:firstLine="709"/>
        <w:jc w:val="both"/>
        <w:rPr>
          <w:color w:val="00B0F0"/>
          <w:sz w:val="28"/>
          <w:szCs w:val="28"/>
          <w:lang w:val="ru-RU"/>
        </w:rPr>
      </w:pPr>
      <w:r>
        <w:rPr>
          <w:color w:val="FF0000"/>
          <w:sz w:val="28"/>
          <w:szCs w:val="28"/>
          <w:lang w:val="ru-RU"/>
        </w:rPr>
        <w:t xml:space="preserve">Экономика Кот-д'Ивуара демонстрирует устойчивую динамику роста после кризиса 2011 года. ВВП страны увеличился с 22,2 трлн франков КФА (около 34 млрд евро) в 2011 г. до 57,6 трлн франков КФА (около 88 млрд евро) в 2025 г. [3]. </w:t>
      </w:r>
    </w:p>
    <w:p>
      <w:pPr>
        <w:spacing w:lineRule="auto" w:line="360" w:after="0" w:beforeAutospacing="0" w:afterAutospacing="0"/>
        <w:jc w:val="both"/>
        <w:rPr>
          <w:rFonts w:ascii="Times New Roman" w:hAnsi="Times New Roman" w:cs="Times New Roman"/>
          <w:color w:val="FF0000"/>
          <w:sz w:val="28"/>
          <w:szCs w:val="28"/>
        </w:rPr>
      </w:pPr>
      <w:r>
        <w:rPr>
          <w:rFonts w:ascii="Times New Roman" w:hAnsi="Times New Roman" w:cs="Times New Roman"/>
          <w:color w:val="FF0000"/>
          <w:sz w:val="28"/>
          <w:szCs w:val="28"/>
        </w:rPr>
        <w:t>Таблица 2. Основные макроэкономические показатели Кот-д'Ивуара (2011–2025)</w:t>
      </w:r>
    </w:p>
    <w:tbl>
      <w:tblPr>
        <w:tblStyle w:val="T3"/>
        <w:tblW w:w="0" w:type="auto"/>
        <w:jc w:val="center"/>
        <w:tblLook w:val="04A0"/>
      </w:tblPr>
      <w:tblGrid>
        <w:gridCol w:w="4363"/>
        <w:gridCol w:w="644"/>
        <w:gridCol w:w="711"/>
        <w:gridCol w:w="711"/>
        <w:gridCol w:w="766"/>
      </w:tblGrid>
      <w:tr>
        <w:trPr>
          <w:jc w:val="center"/>
        </w:trPr>
        <w:tc>
          <w:tcPr>
            <w:tcW w:w="0" w:type="auto"/>
            <w:hideMark/>
          </w:tcPr>
          <w:p>
            <w:pPr>
              <w:jc w:val="center"/>
              <w:rPr>
                <w:rFonts w:ascii="Times New Roman" w:hAnsi="Times New Roman" w:cs="Times New Roman"/>
                <w:b w:val="1"/>
                <w:bCs w:val="1"/>
                <w:color w:val="FF0000"/>
              </w:rPr>
            </w:pPr>
            <w:r>
              <w:rPr>
                <w:rFonts w:ascii="Times New Roman" w:hAnsi="Times New Roman" w:cs="Times New Roman"/>
                <w:b w:val="1"/>
                <w:bCs w:val="1"/>
                <w:color w:val="FF0000"/>
              </w:rPr>
              <w:t>Показатель</w:t>
            </w:r>
          </w:p>
        </w:tc>
        <w:tc>
          <w:tcPr>
            <w:tcW w:w="0" w:type="auto"/>
            <w:hideMark/>
          </w:tcPr>
          <w:p>
            <w:pPr>
              <w:jc w:val="both"/>
              <w:rPr>
                <w:rFonts w:ascii="Times New Roman" w:hAnsi="Times New Roman" w:cs="Times New Roman"/>
                <w:b w:val="1"/>
                <w:bCs w:val="1"/>
                <w:color w:val="FF0000"/>
              </w:rPr>
            </w:pPr>
            <w:r>
              <w:rPr>
                <w:rFonts w:ascii="Times New Roman" w:hAnsi="Times New Roman" w:cs="Times New Roman"/>
                <w:b w:val="1"/>
                <w:bCs w:val="1"/>
                <w:color w:val="FF0000"/>
              </w:rPr>
              <w:t>2011</w:t>
            </w:r>
          </w:p>
        </w:tc>
        <w:tc>
          <w:tcPr>
            <w:tcW w:w="0" w:type="auto"/>
            <w:hideMark/>
          </w:tcPr>
          <w:p>
            <w:pPr>
              <w:jc w:val="both"/>
              <w:rPr>
                <w:rFonts w:ascii="Times New Roman" w:hAnsi="Times New Roman" w:cs="Times New Roman"/>
                <w:b w:val="1"/>
                <w:bCs w:val="1"/>
                <w:color w:val="FF0000"/>
              </w:rPr>
            </w:pPr>
            <w:r>
              <w:rPr>
                <w:rFonts w:ascii="Times New Roman" w:hAnsi="Times New Roman" w:cs="Times New Roman"/>
                <w:b w:val="1"/>
                <w:bCs w:val="1"/>
                <w:color w:val="FF0000"/>
              </w:rPr>
              <w:t>2021</w:t>
            </w:r>
          </w:p>
        </w:tc>
        <w:tc>
          <w:tcPr>
            <w:tcW w:w="0" w:type="auto"/>
            <w:hideMark/>
          </w:tcPr>
          <w:p>
            <w:pPr>
              <w:jc w:val="both"/>
              <w:rPr>
                <w:rFonts w:ascii="Times New Roman" w:hAnsi="Times New Roman" w:cs="Times New Roman"/>
                <w:b w:val="1"/>
                <w:bCs w:val="1"/>
                <w:color w:val="FF0000"/>
              </w:rPr>
            </w:pPr>
            <w:r>
              <w:rPr>
                <w:rFonts w:ascii="Times New Roman" w:hAnsi="Times New Roman" w:cs="Times New Roman"/>
                <w:b w:val="1"/>
                <w:bCs w:val="1"/>
                <w:color w:val="FF0000"/>
              </w:rPr>
              <w:t>2024</w:t>
            </w:r>
          </w:p>
        </w:tc>
        <w:tc>
          <w:tcPr>
            <w:tcW w:w="0" w:type="auto"/>
            <w:hideMark/>
          </w:tcPr>
          <w:p>
            <w:pPr>
              <w:jc w:val="both"/>
              <w:rPr>
                <w:rFonts w:ascii="Times New Roman" w:hAnsi="Times New Roman" w:cs="Times New Roman"/>
                <w:b w:val="1"/>
                <w:bCs w:val="1"/>
                <w:color w:val="FF0000"/>
              </w:rPr>
            </w:pPr>
            <w:r>
              <w:rPr>
                <w:rFonts w:ascii="Times New Roman" w:hAnsi="Times New Roman" w:cs="Times New Roman"/>
                <w:b w:val="1"/>
                <w:bCs w:val="1"/>
                <w:color w:val="FF0000"/>
              </w:rPr>
              <w:t>2025*</w:t>
            </w:r>
          </w:p>
        </w:tc>
      </w:tr>
      <w:tr>
        <w:trPr>
          <w:jc w:val="center"/>
        </w:trPr>
        <w:tc>
          <w:tcPr>
            <w:tcW w:w="0" w:type="auto"/>
            <w:hideMark/>
          </w:tcPr>
          <w:p>
            <w:pPr>
              <w:jc w:val="both"/>
              <w:rPr>
                <w:rFonts w:ascii="Times New Roman" w:hAnsi="Times New Roman" w:cs="Times New Roman"/>
                <w:color w:val="FF0000"/>
              </w:rPr>
            </w:pPr>
            <w:r>
              <w:rPr>
                <w:rFonts w:ascii="Times New Roman" w:hAnsi="Times New Roman" w:cs="Times New Roman"/>
                <w:color w:val="FF0000"/>
              </w:rPr>
              <w:t>ВВП, трлн. франков КФА</w:t>
            </w:r>
          </w:p>
        </w:tc>
        <w:tc>
          <w:tcPr>
            <w:tcW w:w="0" w:type="auto"/>
            <w:hideMark/>
          </w:tcPr>
          <w:p>
            <w:pPr>
              <w:jc w:val="both"/>
              <w:rPr>
                <w:rFonts w:ascii="Times New Roman" w:hAnsi="Times New Roman" w:cs="Times New Roman"/>
                <w:color w:val="FF0000"/>
              </w:rPr>
            </w:pPr>
            <w:r>
              <w:rPr>
                <w:rFonts w:ascii="Times New Roman" w:hAnsi="Times New Roman" w:cs="Times New Roman"/>
                <w:color w:val="FF0000"/>
              </w:rPr>
              <w:t>22,2</w:t>
            </w:r>
          </w:p>
        </w:tc>
        <w:tc>
          <w:tcPr>
            <w:tcW w:w="0" w:type="auto"/>
            <w:hideMark/>
          </w:tcPr>
          <w:p>
            <w:pPr>
              <w:jc w:val="both"/>
              <w:rPr>
                <w:rFonts w:ascii="Times New Roman" w:hAnsi="Times New Roman" w:cs="Times New Roman"/>
                <w:color w:val="FF0000"/>
              </w:rPr>
            </w:pPr>
            <w:r>
              <w:rPr>
                <w:rFonts w:ascii="Times New Roman" w:hAnsi="Times New Roman" w:cs="Times New Roman"/>
                <w:color w:val="FF0000"/>
              </w:rPr>
              <w:t>42,4</w:t>
            </w:r>
          </w:p>
        </w:tc>
        <w:tc>
          <w:tcPr>
            <w:tcW w:w="0" w:type="auto"/>
            <w:hideMark/>
          </w:tcPr>
          <w:p>
            <w:pPr>
              <w:jc w:val="both"/>
              <w:rPr>
                <w:rFonts w:ascii="Times New Roman" w:hAnsi="Times New Roman" w:cs="Times New Roman"/>
                <w:color w:val="FF0000"/>
              </w:rPr>
            </w:pPr>
            <w:r>
              <w:rPr>
                <w:rFonts w:ascii="Times New Roman" w:hAnsi="Times New Roman" w:cs="Times New Roman"/>
                <w:color w:val="FF0000"/>
              </w:rPr>
              <w:t>55,4</w:t>
            </w:r>
          </w:p>
        </w:tc>
        <w:tc>
          <w:tcPr>
            <w:tcW w:w="0" w:type="auto"/>
            <w:hideMark/>
          </w:tcPr>
          <w:p>
            <w:pPr>
              <w:jc w:val="both"/>
              <w:rPr>
                <w:rFonts w:ascii="Times New Roman" w:hAnsi="Times New Roman" w:cs="Times New Roman"/>
                <w:color w:val="FF0000"/>
              </w:rPr>
            </w:pPr>
            <w:r>
              <w:rPr>
                <w:rFonts w:ascii="Times New Roman" w:hAnsi="Times New Roman" w:cs="Times New Roman"/>
                <w:color w:val="FF0000"/>
              </w:rPr>
              <w:t>57,6</w:t>
            </w:r>
          </w:p>
        </w:tc>
      </w:tr>
      <w:tr>
        <w:trPr>
          <w:jc w:val="center"/>
        </w:trPr>
        <w:tc>
          <w:tcPr>
            <w:tcW w:w="0" w:type="auto"/>
            <w:hideMark/>
          </w:tcPr>
          <w:p>
            <w:pPr>
              <w:jc w:val="both"/>
              <w:rPr>
                <w:rFonts w:ascii="Times New Roman" w:hAnsi="Times New Roman" w:cs="Times New Roman"/>
                <w:color w:val="FF0000"/>
              </w:rPr>
            </w:pPr>
            <w:r>
              <w:rPr>
                <w:rFonts w:ascii="Times New Roman" w:hAnsi="Times New Roman" w:cs="Times New Roman"/>
                <w:color w:val="FF0000"/>
              </w:rPr>
              <w:t>Темпы роста ВВП, %</w:t>
            </w:r>
          </w:p>
        </w:tc>
        <w:tc>
          <w:tcPr>
            <w:tcW w:w="0" w:type="auto"/>
            <w:hideMark/>
          </w:tcPr>
          <w:p>
            <w:pPr>
              <w:jc w:val="both"/>
              <w:rPr>
                <w:rFonts w:ascii="Times New Roman" w:hAnsi="Times New Roman" w:cs="Times New Roman"/>
                <w:color w:val="FF0000"/>
              </w:rPr>
            </w:pPr>
            <w:r>
              <w:rPr>
                <w:rFonts w:ascii="Times New Roman" w:hAnsi="Times New Roman" w:cs="Times New Roman"/>
                <w:color w:val="FF0000"/>
              </w:rPr>
              <w:t>-6,6</w:t>
            </w:r>
          </w:p>
        </w:tc>
        <w:tc>
          <w:tcPr>
            <w:tcW w:w="0" w:type="auto"/>
            <w:hideMark/>
          </w:tcPr>
          <w:p>
            <w:pPr>
              <w:jc w:val="both"/>
              <w:rPr>
                <w:rFonts w:ascii="Times New Roman" w:hAnsi="Times New Roman" w:cs="Times New Roman"/>
                <w:color w:val="FF0000"/>
              </w:rPr>
            </w:pPr>
            <w:r>
              <w:rPr>
                <w:rFonts w:ascii="Times New Roman" w:hAnsi="Times New Roman" w:cs="Times New Roman"/>
                <w:color w:val="FF0000"/>
              </w:rPr>
              <w:t>7,1</w:t>
            </w:r>
          </w:p>
        </w:tc>
        <w:tc>
          <w:tcPr>
            <w:tcW w:w="0" w:type="auto"/>
            <w:hideMark/>
          </w:tcPr>
          <w:p>
            <w:pPr>
              <w:jc w:val="both"/>
              <w:rPr>
                <w:rFonts w:ascii="Times New Roman" w:hAnsi="Times New Roman" w:cs="Times New Roman"/>
                <w:color w:val="FF0000"/>
              </w:rPr>
            </w:pPr>
            <w:r>
              <w:rPr>
                <w:rFonts w:ascii="Times New Roman" w:hAnsi="Times New Roman" w:cs="Times New Roman"/>
                <w:color w:val="FF0000"/>
              </w:rPr>
              <w:t>6,0</w:t>
            </w:r>
          </w:p>
        </w:tc>
        <w:tc>
          <w:tcPr>
            <w:tcW w:w="0" w:type="auto"/>
            <w:hideMark/>
          </w:tcPr>
          <w:p>
            <w:pPr>
              <w:jc w:val="both"/>
              <w:rPr>
                <w:rFonts w:ascii="Times New Roman" w:hAnsi="Times New Roman" w:cs="Times New Roman"/>
                <w:color w:val="FF0000"/>
              </w:rPr>
            </w:pPr>
            <w:r>
              <w:rPr>
                <w:rFonts w:ascii="Times New Roman" w:hAnsi="Times New Roman" w:cs="Times New Roman"/>
                <w:color w:val="FF0000"/>
              </w:rPr>
              <w:t>6,5</w:t>
            </w:r>
          </w:p>
        </w:tc>
      </w:tr>
      <w:tr>
        <w:trPr>
          <w:jc w:val="center"/>
        </w:trPr>
        <w:tc>
          <w:tcPr>
            <w:tcW w:w="0" w:type="auto"/>
            <w:hideMark/>
          </w:tcPr>
          <w:p>
            <w:pPr>
              <w:jc w:val="both"/>
              <w:rPr>
                <w:rFonts w:ascii="Times New Roman" w:hAnsi="Times New Roman" w:cs="Times New Roman"/>
                <w:color w:val="FF0000"/>
              </w:rPr>
            </w:pPr>
            <w:r>
              <w:rPr>
                <w:rFonts w:ascii="Times New Roman" w:hAnsi="Times New Roman" w:cs="Times New Roman"/>
                <w:color w:val="FF0000"/>
              </w:rPr>
              <w:t>ВВП на душу населения, тыс. франков КФА</w:t>
            </w:r>
          </w:p>
        </w:tc>
        <w:tc>
          <w:tcPr>
            <w:tcW w:w="0" w:type="auto"/>
            <w:hideMark/>
          </w:tcPr>
          <w:p>
            <w:pPr>
              <w:jc w:val="both"/>
              <w:rPr>
                <w:rFonts w:ascii="Times New Roman" w:hAnsi="Times New Roman" w:cs="Times New Roman"/>
                <w:color w:val="FF0000"/>
              </w:rPr>
            </w:pPr>
            <w:r>
              <w:rPr>
                <w:rFonts w:ascii="Times New Roman" w:hAnsi="Times New Roman" w:cs="Times New Roman"/>
                <w:color w:val="FF0000"/>
              </w:rPr>
              <w:t>817</w:t>
            </w:r>
          </w:p>
        </w:tc>
        <w:tc>
          <w:tcPr>
            <w:tcW w:w="0" w:type="auto"/>
            <w:hideMark/>
          </w:tcPr>
          <w:p>
            <w:pPr>
              <w:jc w:val="both"/>
              <w:rPr>
                <w:rFonts w:ascii="Times New Roman" w:hAnsi="Times New Roman" w:cs="Times New Roman"/>
                <w:color w:val="FF0000"/>
              </w:rPr>
            </w:pPr>
            <w:r>
              <w:rPr>
                <w:rFonts w:ascii="Times New Roman" w:hAnsi="Times New Roman" w:cs="Times New Roman"/>
                <w:color w:val="FF0000"/>
              </w:rPr>
              <w:t>1 556</w:t>
            </w:r>
          </w:p>
        </w:tc>
        <w:tc>
          <w:tcPr>
            <w:tcW w:w="0" w:type="auto"/>
            <w:hideMark/>
          </w:tcPr>
          <w:p>
            <w:pPr>
              <w:jc w:val="both"/>
              <w:rPr>
                <w:rFonts w:ascii="Times New Roman" w:hAnsi="Times New Roman" w:cs="Times New Roman"/>
                <w:color w:val="FF0000"/>
              </w:rPr>
            </w:pPr>
            <w:r>
              <w:rPr>
                <w:rFonts w:ascii="Times New Roman" w:hAnsi="Times New Roman" w:cs="Times New Roman"/>
                <w:color w:val="FF0000"/>
              </w:rPr>
              <w:t>1 663</w:t>
            </w:r>
          </w:p>
        </w:tc>
        <w:tc>
          <w:tcPr>
            <w:tcW w:w="0" w:type="auto"/>
            <w:hideMark/>
          </w:tcPr>
          <w:p>
            <w:pPr>
              <w:jc w:val="both"/>
              <w:rPr>
                <w:rFonts w:ascii="Times New Roman" w:hAnsi="Times New Roman" w:cs="Times New Roman"/>
                <w:color w:val="FF0000"/>
              </w:rPr>
            </w:pPr>
            <w:r>
              <w:rPr>
                <w:rFonts w:ascii="Times New Roman" w:hAnsi="Times New Roman" w:cs="Times New Roman"/>
                <w:color w:val="FF0000"/>
              </w:rPr>
              <w:t>1 772</w:t>
            </w:r>
          </w:p>
        </w:tc>
      </w:tr>
      <w:tr>
        <w:trPr>
          <w:jc w:val="center"/>
        </w:trPr>
        <w:tc>
          <w:tcPr>
            <w:tcW w:w="0" w:type="auto"/>
            <w:hideMark/>
          </w:tcPr>
          <w:p>
            <w:pPr>
              <w:jc w:val="both"/>
              <w:rPr>
                <w:rFonts w:ascii="Times New Roman" w:hAnsi="Times New Roman" w:cs="Times New Roman"/>
                <w:color w:val="FF0000"/>
              </w:rPr>
            </w:pPr>
            <w:r>
              <w:rPr>
                <w:rFonts w:ascii="Times New Roman" w:hAnsi="Times New Roman" w:cs="Times New Roman"/>
                <w:color w:val="FF0000"/>
              </w:rPr>
              <w:t>Инфляция, %</w:t>
            </w:r>
          </w:p>
        </w:tc>
        <w:tc>
          <w:tcPr>
            <w:tcW w:w="0" w:type="auto"/>
            <w:hideMark/>
          </w:tcPr>
          <w:p>
            <w:pPr>
              <w:jc w:val="both"/>
              <w:rPr>
                <w:rFonts w:ascii="Times New Roman" w:hAnsi="Times New Roman" w:cs="Times New Roman"/>
                <w:color w:val="FF0000"/>
              </w:rPr>
            </w:pPr>
            <w:r>
              <w:rPr>
                <w:rFonts w:ascii="Times New Roman" w:hAnsi="Times New Roman" w:cs="Times New Roman"/>
                <w:color w:val="FF0000"/>
              </w:rPr>
              <w:t>4,9</w:t>
            </w:r>
          </w:p>
        </w:tc>
        <w:tc>
          <w:tcPr>
            <w:tcW w:w="0" w:type="auto"/>
            <w:hideMark/>
          </w:tcPr>
          <w:p>
            <w:pPr>
              <w:jc w:val="both"/>
              <w:rPr>
                <w:rFonts w:ascii="Times New Roman" w:hAnsi="Times New Roman" w:cs="Times New Roman"/>
                <w:color w:val="FF0000"/>
              </w:rPr>
            </w:pPr>
            <w:r>
              <w:rPr>
                <w:rFonts w:ascii="Times New Roman" w:hAnsi="Times New Roman" w:cs="Times New Roman"/>
                <w:color w:val="FF0000"/>
              </w:rPr>
              <w:t>3,0</w:t>
            </w:r>
          </w:p>
        </w:tc>
        <w:tc>
          <w:tcPr>
            <w:tcW w:w="0" w:type="auto"/>
            <w:hideMark/>
          </w:tcPr>
          <w:p>
            <w:pPr>
              <w:jc w:val="both"/>
              <w:rPr>
                <w:rFonts w:ascii="Times New Roman" w:hAnsi="Times New Roman" w:cs="Times New Roman"/>
                <w:color w:val="FF0000"/>
              </w:rPr>
            </w:pPr>
            <w:r>
              <w:rPr>
                <w:rFonts w:ascii="Times New Roman" w:hAnsi="Times New Roman" w:cs="Times New Roman"/>
                <w:color w:val="FF0000"/>
              </w:rPr>
              <w:t>3,5</w:t>
            </w:r>
          </w:p>
        </w:tc>
        <w:tc>
          <w:tcPr>
            <w:tcW w:w="0" w:type="auto"/>
            <w:hideMark/>
          </w:tcPr>
          <w:p>
            <w:pPr>
              <w:jc w:val="both"/>
              <w:rPr>
                <w:rFonts w:ascii="Times New Roman" w:hAnsi="Times New Roman" w:cs="Times New Roman"/>
                <w:color w:val="FF0000"/>
              </w:rPr>
            </w:pPr>
            <w:r>
              <w:rPr>
                <w:rFonts w:ascii="Times New Roman" w:hAnsi="Times New Roman" w:cs="Times New Roman"/>
                <w:color w:val="FF0000"/>
              </w:rPr>
              <w:t>3,0</w:t>
            </w:r>
          </w:p>
        </w:tc>
      </w:tr>
      <w:tr>
        <w:trPr>
          <w:jc w:val="center"/>
        </w:trPr>
        <w:tc>
          <w:tcPr>
            <w:tcW w:w="0" w:type="auto"/>
            <w:hideMark/>
          </w:tcPr>
          <w:p>
            <w:pPr>
              <w:jc w:val="both"/>
              <w:rPr>
                <w:rFonts w:ascii="Times New Roman" w:hAnsi="Times New Roman" w:cs="Times New Roman"/>
                <w:color w:val="FF0000"/>
              </w:rPr>
            </w:pPr>
            <w:r>
              <w:rPr>
                <w:rFonts w:ascii="Times New Roman" w:hAnsi="Times New Roman" w:cs="Times New Roman"/>
                <w:color w:val="FF0000"/>
              </w:rPr>
              <w:t>Инвестиции (% ВВП)</w:t>
            </w:r>
          </w:p>
        </w:tc>
        <w:tc>
          <w:tcPr>
            <w:tcW w:w="0" w:type="auto"/>
            <w:hideMark/>
          </w:tcPr>
          <w:p>
            <w:pPr>
              <w:jc w:val="both"/>
              <w:rPr>
                <w:rFonts w:ascii="Times New Roman" w:hAnsi="Times New Roman" w:cs="Times New Roman"/>
                <w:color w:val="FF0000"/>
              </w:rPr>
            </w:pPr>
            <w:r>
              <w:rPr>
                <w:rFonts w:ascii="Times New Roman" w:hAnsi="Times New Roman" w:cs="Times New Roman"/>
                <w:color w:val="FF0000"/>
              </w:rPr>
              <w:t>14,1</w:t>
            </w:r>
          </w:p>
        </w:tc>
        <w:tc>
          <w:tcPr>
            <w:tcW w:w="0" w:type="auto"/>
            <w:hideMark/>
          </w:tcPr>
          <w:p>
            <w:pPr>
              <w:jc w:val="both"/>
              <w:rPr>
                <w:rFonts w:ascii="Times New Roman" w:hAnsi="Times New Roman" w:cs="Times New Roman"/>
                <w:color w:val="FF0000"/>
              </w:rPr>
            </w:pPr>
            <w:r>
              <w:rPr>
                <w:rFonts w:ascii="Times New Roman" w:hAnsi="Times New Roman" w:cs="Times New Roman"/>
                <w:color w:val="FF0000"/>
              </w:rPr>
              <w:t>21,1</w:t>
            </w:r>
          </w:p>
        </w:tc>
        <w:tc>
          <w:tcPr>
            <w:tcW w:w="0" w:type="auto"/>
            <w:hideMark/>
          </w:tcPr>
          <w:p>
            <w:pPr>
              <w:jc w:val="both"/>
              <w:rPr>
                <w:rFonts w:ascii="Times New Roman" w:hAnsi="Times New Roman" w:cs="Times New Roman"/>
                <w:color w:val="FF0000"/>
              </w:rPr>
            </w:pPr>
            <w:r>
              <w:rPr>
                <w:rFonts w:ascii="Times New Roman" w:hAnsi="Times New Roman" w:cs="Times New Roman"/>
                <w:color w:val="FF0000"/>
              </w:rPr>
              <w:t>23,1</w:t>
            </w:r>
          </w:p>
        </w:tc>
        <w:tc>
          <w:tcPr>
            <w:tcW w:w="0" w:type="auto"/>
            <w:hideMark/>
          </w:tcPr>
          <w:p>
            <w:pPr>
              <w:jc w:val="both"/>
              <w:rPr>
                <w:rFonts w:ascii="Times New Roman" w:hAnsi="Times New Roman" w:cs="Times New Roman"/>
                <w:color w:val="FF0000"/>
              </w:rPr>
            </w:pPr>
            <w:r>
              <w:rPr>
                <w:rFonts w:ascii="Times New Roman" w:hAnsi="Times New Roman" w:cs="Times New Roman"/>
                <w:color w:val="FF0000"/>
              </w:rPr>
              <w:t>23,7</w:t>
            </w:r>
          </w:p>
        </w:tc>
      </w:tr>
      <w:tr>
        <w:trPr>
          <w:jc w:val="center"/>
        </w:trPr>
        <w:tc>
          <w:tcPr>
            <w:tcW w:w="0" w:type="auto"/>
            <w:hideMark/>
          </w:tcPr>
          <w:p>
            <w:pPr>
              <w:jc w:val="both"/>
              <w:rPr>
                <w:rFonts w:ascii="Times New Roman" w:hAnsi="Times New Roman" w:cs="Times New Roman"/>
                <w:color w:val="FF0000"/>
              </w:rPr>
            </w:pPr>
            <w:r>
              <w:rPr>
                <w:rFonts w:ascii="Times New Roman" w:hAnsi="Times New Roman" w:cs="Times New Roman"/>
                <w:color w:val="FF0000"/>
              </w:rPr>
              <w:t>Государственный долг (% ВВП)</w:t>
            </w:r>
          </w:p>
        </w:tc>
        <w:tc>
          <w:tcPr>
            <w:tcW w:w="0" w:type="auto"/>
            <w:hideMark/>
          </w:tcPr>
          <w:p>
            <w:pPr>
              <w:jc w:val="both"/>
              <w:rPr>
                <w:rFonts w:ascii="Times New Roman" w:hAnsi="Times New Roman" w:cs="Times New Roman"/>
                <w:color w:val="FF0000"/>
              </w:rPr>
            </w:pPr>
            <w:r>
              <w:rPr>
                <w:rFonts w:ascii="Times New Roman" w:hAnsi="Times New Roman" w:cs="Times New Roman"/>
                <w:color w:val="FF0000"/>
              </w:rPr>
              <w:t>69,0</w:t>
            </w:r>
          </w:p>
        </w:tc>
        <w:tc>
          <w:tcPr>
            <w:tcW w:w="0" w:type="auto"/>
            <w:hideMark/>
          </w:tcPr>
          <w:p>
            <w:pPr>
              <w:jc w:val="both"/>
              <w:rPr>
                <w:rFonts w:ascii="Times New Roman" w:hAnsi="Times New Roman" w:cs="Times New Roman"/>
                <w:color w:val="FF0000"/>
              </w:rPr>
            </w:pPr>
            <w:r>
              <w:rPr>
                <w:rFonts w:ascii="Times New Roman" w:hAnsi="Times New Roman" w:cs="Times New Roman"/>
                <w:color w:val="FF0000"/>
              </w:rPr>
              <w:t>61,0</w:t>
            </w:r>
          </w:p>
        </w:tc>
        <w:tc>
          <w:tcPr>
            <w:tcW w:w="0" w:type="auto"/>
            <w:hideMark/>
          </w:tcPr>
          <w:p>
            <w:pPr>
              <w:jc w:val="both"/>
              <w:rPr>
                <w:rFonts w:ascii="Times New Roman" w:hAnsi="Times New Roman" w:cs="Times New Roman"/>
                <w:color w:val="FF0000"/>
              </w:rPr>
            </w:pPr>
            <w:r>
              <w:rPr>
                <w:rFonts w:ascii="Times New Roman" w:hAnsi="Times New Roman" w:cs="Times New Roman"/>
                <w:color w:val="FF0000"/>
              </w:rPr>
              <w:t>59,5</w:t>
            </w:r>
          </w:p>
        </w:tc>
        <w:tc>
          <w:tcPr>
            <w:tcW w:w="0" w:type="auto"/>
            <w:hideMark/>
          </w:tcPr>
          <w:p>
            <w:pPr>
              <w:jc w:val="both"/>
              <w:rPr>
                <w:rFonts w:ascii="Times New Roman" w:hAnsi="Times New Roman" w:cs="Times New Roman"/>
                <w:color w:val="FF0000"/>
              </w:rPr>
            </w:pPr>
            <w:r>
              <w:rPr>
                <w:rFonts w:ascii="Times New Roman" w:hAnsi="Times New Roman" w:cs="Times New Roman"/>
                <w:color w:val="FF0000"/>
              </w:rPr>
              <w:t>57,0</w:t>
            </w:r>
          </w:p>
        </w:tc>
      </w:tr>
      <w:tr>
        <w:trPr>
          <w:jc w:val="center"/>
        </w:trPr>
        <w:tc>
          <w:tcPr>
            <w:tcW w:w="0" w:type="auto"/>
            <w:hideMark/>
          </w:tcPr>
          <w:p>
            <w:pPr>
              <w:jc w:val="both"/>
              <w:rPr>
                <w:rFonts w:ascii="Times New Roman" w:hAnsi="Times New Roman" w:cs="Times New Roman"/>
                <w:color w:val="FF0000"/>
              </w:rPr>
            </w:pPr>
            <w:r>
              <w:rPr>
                <w:rFonts w:ascii="Times New Roman" w:hAnsi="Times New Roman" w:cs="Times New Roman"/>
                <w:color w:val="FF0000"/>
              </w:rPr>
              <w:t>Налоговое бремя (% ВВП)</w:t>
            </w:r>
          </w:p>
        </w:tc>
        <w:tc>
          <w:tcPr>
            <w:tcW w:w="0" w:type="auto"/>
            <w:hideMark/>
          </w:tcPr>
          <w:p>
            <w:pPr>
              <w:jc w:val="both"/>
              <w:rPr>
                <w:rFonts w:ascii="Times New Roman" w:hAnsi="Times New Roman" w:cs="Times New Roman"/>
                <w:color w:val="FF0000"/>
              </w:rPr>
            </w:pPr>
            <w:r>
              <w:rPr>
                <w:rFonts w:ascii="Times New Roman" w:hAnsi="Times New Roman" w:cs="Times New Roman"/>
                <w:color w:val="FF0000"/>
              </w:rPr>
              <w:t>8,2</w:t>
            </w:r>
          </w:p>
        </w:tc>
        <w:tc>
          <w:tcPr>
            <w:tcW w:w="0" w:type="auto"/>
            <w:hideMark/>
          </w:tcPr>
          <w:p>
            <w:pPr>
              <w:jc w:val="both"/>
              <w:rPr>
                <w:rFonts w:ascii="Times New Roman" w:hAnsi="Times New Roman" w:cs="Times New Roman"/>
                <w:color w:val="FF0000"/>
              </w:rPr>
            </w:pPr>
            <w:r>
              <w:rPr>
                <w:rFonts w:ascii="Times New Roman" w:hAnsi="Times New Roman" w:cs="Times New Roman"/>
                <w:color w:val="FF0000"/>
              </w:rPr>
              <w:t>13,4</w:t>
            </w:r>
          </w:p>
        </w:tc>
        <w:tc>
          <w:tcPr>
            <w:tcW w:w="0" w:type="auto"/>
            <w:hideMark/>
          </w:tcPr>
          <w:p>
            <w:pPr>
              <w:jc w:val="both"/>
              <w:rPr>
                <w:rFonts w:ascii="Times New Roman" w:hAnsi="Times New Roman" w:cs="Times New Roman"/>
                <w:color w:val="FF0000"/>
              </w:rPr>
            </w:pPr>
            <w:r>
              <w:rPr>
                <w:rFonts w:ascii="Times New Roman" w:hAnsi="Times New Roman" w:cs="Times New Roman"/>
                <w:color w:val="FF0000"/>
              </w:rPr>
              <w:t>13,8</w:t>
            </w:r>
          </w:p>
        </w:tc>
        <w:tc>
          <w:tcPr>
            <w:tcW w:w="0" w:type="auto"/>
            <w:hideMark/>
          </w:tcPr>
          <w:p>
            <w:pPr>
              <w:jc w:val="both"/>
              <w:rPr>
                <w:rFonts w:ascii="Times New Roman" w:hAnsi="Times New Roman" w:cs="Times New Roman"/>
                <w:color w:val="FF0000"/>
              </w:rPr>
            </w:pPr>
            <w:r>
              <w:rPr>
                <w:rFonts w:ascii="Times New Roman" w:hAnsi="Times New Roman" w:cs="Times New Roman"/>
                <w:color w:val="FF0000"/>
              </w:rPr>
              <w:t>15,0</w:t>
            </w:r>
          </w:p>
        </w:tc>
      </w:tr>
    </w:tbl>
    <w:p>
      <w:pPr>
        <w:spacing w:lineRule="auto" w:line="360" w:after="0" w:beforeAutospacing="0" w:afterAutospacing="0"/>
        <w:ind w:firstLine="709"/>
        <w:jc w:val="both"/>
        <w:rPr>
          <w:rFonts w:ascii="Times New Roman" w:hAnsi="Times New Roman" w:cs="Times New Roman"/>
          <w:color w:val="FF0000"/>
          <w:sz w:val="28"/>
          <w:szCs w:val="28"/>
        </w:rPr>
      </w:pPr>
      <w:r>
        <w:rPr>
          <w:rFonts w:ascii="Times New Roman" w:hAnsi="Times New Roman" w:cs="Times New Roman"/>
          <w:color w:val="FF0000"/>
          <w:sz w:val="28"/>
          <w:szCs w:val="28"/>
        </w:rPr>
        <w:t>Прогнозные данные, Источник: Министерство экономики и финансов (2025), Дирекция экономики и планирования [3]</w:t>
      </w:r>
    </w:p>
    <w:p>
      <w:pPr>
        <w:pStyle w:val="P13"/>
        <w:spacing w:lineRule="auto" w:line="360" w:beforeAutospacing="0" w:afterAutospacing="0"/>
        <w:ind w:firstLine="709"/>
        <w:jc w:val="both"/>
        <w:rPr>
          <w:color w:val="00B0F0"/>
          <w:sz w:val="28"/>
          <w:szCs w:val="28"/>
          <w:lang w:val="ru-RU"/>
        </w:rPr>
      </w:pPr>
    </w:p>
    <w:p>
      <w:pPr>
        <w:pStyle w:val="P13"/>
        <w:spacing w:lineRule="auto" w:line="360" w:beforeAutospacing="0" w:afterAutospacing="0"/>
        <w:ind w:firstLine="709"/>
        <w:jc w:val="both"/>
        <w:rPr>
          <w:sz w:val="28"/>
          <w:szCs w:val="28"/>
          <w:highlight w:val="yellow"/>
          <w:lang w:val="ru-RU"/>
        </w:rPr>
      </w:pPr>
      <w:r>
        <w:rPr>
          <w:sz w:val="28"/>
          <w:szCs w:val="28"/>
          <w:highlight w:val="yellow"/>
          <w:lang w:val="ru-RU"/>
        </w:rPr>
        <w:t>В период с 2012 года по 2021 год среднедушевой ВРП в Республике Кот-Д’Ивуар вырос на 44, 5 % с 11,8 тыс. долл. до 17,1 тыс. долл. (рисунок 2.4). Следовательно, можно говорить о том, что в стране наблюдается рост благосостояния населения и это может стать основой для обеспечения устойчивого развития и инклюзивного роста. В то время как Африка добилась обнадеживающего прогресса в достижении ЦРТ, предшественнице ЦУР, отправная точка континента в принятии ЦУР была ниже, чем на других континентах. Появляющиеся за последние четыре года (2015–2020 гг.) данные отслеживания прогресса в достижении ЦУР указывают на то, что в Африке по-прежнему преобладают проблемы устойчивости, при этом несколько африканских стран не находятся на пути к достижению ЦУР.</w:t>
      </w:r>
    </w:p>
    <w:p>
      <w:pPr>
        <w:jc w:val="center"/>
        <w:rPr>
          <w:rFonts w:ascii="Times New Roman" w:hAnsi="Times New Roman" w:cs="Times New Roman"/>
          <w:sz w:val="28"/>
          <w:szCs w:val="28"/>
          <w:highlight w:val="yellow"/>
        </w:rPr>
      </w:pPr>
      <w:r>
        <w:rPr>
          <w:noProof w:val="1"/>
          <w:highlight w:val="yellow"/>
          <w:lang w:eastAsia="ru-RU"/>
        </w:rPr>
        <w:drawing>
          <wp:inline xmlns:wp="http://schemas.openxmlformats.org/drawingml/2006/wordprocessingDrawing" distT="0" distB="0" distL="0" distR="0">
            <wp:extent cx="6000115" cy="1882775"/>
            <wp:effectExtent l="0" t="0" r="635" b="3175"/>
            <wp:docPr id="19" name="Диаграмма 19"/>
            <wp:cNvGraphicFramePr/>
            <a:graphic xmlns:a="http://schemas.openxmlformats.org/drawingml/2006/main">
              <a:graphicData uri="http://schemas.openxmlformats.org/drawingml/2006/chart">
                <c:chart xmlns:c="http://schemas.openxmlformats.org/drawingml/2006/chart" r:id="RelChart1"/>
              </a:graphicData>
            </a:graphic>
          </wp:inline>
        </w:drawing>
      </w:r>
    </w:p>
    <w:p>
      <w:pPr>
        <w:spacing w:lineRule="auto" w:line="360" w:after="0" w:beforeAutospacing="0" w:afterAutospacing="0"/>
        <w:jc w:val="center"/>
        <w:rPr>
          <w:rFonts w:ascii="Times New Roman" w:hAnsi="Times New Roman" w:cs="Times New Roman"/>
          <w:sz w:val="28"/>
          <w:szCs w:val="28"/>
          <w:highlight w:val="yellow"/>
        </w:rPr>
      </w:pPr>
      <w:r>
        <w:rPr>
          <w:rFonts w:ascii="Times New Roman" w:hAnsi="Times New Roman" w:cs="Times New Roman"/>
          <w:sz w:val="28"/>
          <w:szCs w:val="28"/>
          <w:highlight w:val="yellow"/>
        </w:rPr>
        <w:t xml:space="preserve">Рисунок 2.4 – Динамика среднедушевого ВВП в </w:t>
      </w:r>
      <w:bookmarkStart w:id="12" w:name="_Hlk137628370"/>
      <w:r>
        <w:rPr>
          <w:rFonts w:ascii="Times New Roman" w:hAnsi="Times New Roman" w:cs="Times New Roman"/>
          <w:sz w:val="28"/>
          <w:szCs w:val="28"/>
          <w:highlight w:val="yellow"/>
        </w:rPr>
        <w:t>Республике Кот-Д’Ивуар</w:t>
      </w:r>
      <w:bookmarkEnd w:id="12"/>
      <w:r>
        <w:rPr>
          <w:rFonts w:ascii="Times New Roman" w:hAnsi="Times New Roman" w:cs="Times New Roman"/>
          <w:sz w:val="28"/>
          <w:szCs w:val="28"/>
          <w:highlight w:val="yellow"/>
        </w:rPr>
        <w:t>, долл. Источник: составлено автором по: [178, 188]</w:t>
      </w:r>
    </w:p>
    <w:p>
      <w:pPr>
        <w:pStyle w:val="P13"/>
        <w:spacing w:lineRule="auto" w:line="360" w:beforeAutospacing="0" w:afterAutospacing="0"/>
        <w:ind w:firstLine="709"/>
        <w:jc w:val="both"/>
        <w:rPr>
          <w:sz w:val="28"/>
          <w:szCs w:val="28"/>
          <w:highlight w:val="yellow"/>
          <w:lang w:val="ru-RU"/>
        </w:rPr>
      </w:pPr>
    </w:p>
    <w:p>
      <w:pPr>
        <w:pStyle w:val="P13"/>
        <w:spacing w:lineRule="auto" w:line="360" w:beforeAutospacing="0" w:afterAutospacing="0"/>
        <w:ind w:firstLine="709"/>
        <w:jc w:val="both"/>
        <w:rPr>
          <w:sz w:val="28"/>
          <w:szCs w:val="28"/>
          <w:highlight w:val="yellow"/>
          <w:lang w:val="ru-RU"/>
        </w:rPr>
      </w:pPr>
      <w:r>
        <w:rPr>
          <w:sz w:val="28"/>
          <w:szCs w:val="28"/>
          <w:highlight w:val="yellow"/>
          <w:lang w:val="ru-RU"/>
        </w:rPr>
        <w:t>Индекс ЦУР Африки 2020 года показал, что страны с самым высоким рейтингом в Африке представляют собой комбинацию стран Северной Африки и малых островных государств – Тунис, Маврикий, Марокко, Алжир и Кабо-Верде, но эти страны с лучшими показателями по-прежнему составляют лишь около двух третей от путь, в среднем, к достижению ЦУР. Низкие показатели имеют Южный Судан, Центральноафриканская Республика, Чад, Сомали и Эритрея в основном нестабильные государства с высоким уровнем бедности и конфликтами на их территориях.</w:t>
      </w:r>
    </w:p>
    <w:p>
      <w:pPr>
        <w:pStyle w:val="P13"/>
        <w:spacing w:lineRule="auto" w:line="360" w:beforeAutospacing="0" w:afterAutospacing="0"/>
        <w:ind w:firstLine="709"/>
        <w:jc w:val="both"/>
        <w:rPr>
          <w:sz w:val="28"/>
          <w:szCs w:val="28"/>
          <w:highlight w:val="yellow"/>
          <w:lang w:val="ru-RU"/>
        </w:rPr>
      </w:pPr>
      <w:bookmarkStart w:id="13" w:name="_Hlk138263022"/>
      <w:r>
        <w:rPr>
          <w:sz w:val="28"/>
          <w:szCs w:val="28"/>
          <w:highlight w:val="yellow"/>
          <w:lang w:val="ru-RU"/>
        </w:rPr>
        <w:t xml:space="preserve">В Республике Кот-Д’Ивуар средине темпы роста ВВП начиная с 2013 года превышают 7 %. Несмотря на такие высокие темпы роста, следует отметить, что такая положительная динамика связана, прежде всего, с агропромышленным комплексом, так как его доля в ВВП выросла с 15,3 % в 2013 году до 19,9 % в 2021 году, а доля промышленности остается на стабильном уровне около 20 %. Снизился уровень внешнеэкономической активности, так как доля экспорта и импорта в ВВП сократилась на 6 % за анализируемый период с 29 % до 23 % </w:t>
      </w:r>
      <w:bookmarkEnd w:id="13"/>
      <w:r>
        <w:rPr>
          <w:sz w:val="28"/>
          <w:szCs w:val="28"/>
          <w:highlight w:val="yellow"/>
          <w:lang w:val="ru-RU"/>
        </w:rPr>
        <w:t>(таблица 2.13).</w:t>
      </w:r>
    </w:p>
    <w:p>
      <w:pPr>
        <w:spacing w:lineRule="auto" w:line="360" w:after="0" w:beforeAutospacing="0" w:afterAutospacing="0"/>
        <w:ind w:firstLine="708"/>
        <w:rPr>
          <w:rFonts w:ascii="Times New Roman" w:hAnsi="Times New Roman" w:cs="Times New Roman"/>
          <w:sz w:val="28"/>
          <w:szCs w:val="28"/>
          <w:highlight w:val="yellow"/>
        </w:rPr>
      </w:pPr>
    </w:p>
    <w:p>
      <w:pPr>
        <w:spacing w:lineRule="auto" w:line="360" w:after="0" w:beforeAutospacing="0" w:afterAutospacing="0"/>
        <w:jc w:val="both"/>
        <w:rPr>
          <w:rFonts w:ascii="Times New Roman" w:hAnsi="Times New Roman" w:cs="Times New Roman"/>
          <w:sz w:val="28"/>
          <w:szCs w:val="28"/>
          <w:highlight w:val="yellow"/>
        </w:rPr>
      </w:pPr>
      <w:r>
        <w:rPr>
          <w:rFonts w:ascii="Times New Roman" w:hAnsi="Times New Roman" w:cs="Times New Roman"/>
          <w:sz w:val="28"/>
          <w:szCs w:val="28"/>
          <w:highlight w:val="yellow"/>
        </w:rPr>
        <w:t>Таблица 2.13 – Динамика основных показателей экономического развития Республики Кот-д’Ивуар Источник: составлено автором по: [178, 188]</w:t>
      </w:r>
    </w:p>
    <w:tbl>
      <w:tblPr>
        <w:tblW w:w="10060" w:type="dxa"/>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Look w:val="04A0"/>
      </w:tblPr>
      <w:tblGrid>
        <w:gridCol w:w="2972"/>
        <w:gridCol w:w="1107"/>
        <w:gridCol w:w="1107"/>
        <w:gridCol w:w="1107"/>
        <w:gridCol w:w="1108"/>
        <w:gridCol w:w="923"/>
        <w:gridCol w:w="816"/>
        <w:gridCol w:w="920"/>
      </w:tblGrid>
      <w:tr>
        <w:trPr>
          <w:trHeight w:hRule="atLeast" w:val="300"/>
        </w:trPr>
        <w:tc>
          <w:tcPr>
            <w:tcW w:w="2972" w:type="dxa"/>
            <w:noWrap/>
            <w:vAlign w:val="bottom"/>
            <w:hideMark/>
          </w:tcPr>
          <w:p>
            <w:pPr>
              <w:spacing w:lineRule="auto" w:line="240" w:after="0" w:beforeAutospacing="0" w:afterAutospacing="0"/>
              <w:rPr>
                <w:rFonts w:ascii="Times New Roman" w:hAnsi="Times New Roman" w:cs="Times New Roman" w:eastAsia="Times New Roman"/>
                <w:sz w:val="24"/>
                <w:szCs w:val="24"/>
                <w:highlight w:val="yellow"/>
                <w:lang w:eastAsia="ru-RU"/>
              </w:rPr>
            </w:pPr>
            <w:r>
              <w:rPr>
                <w:rFonts w:ascii="Times New Roman" w:hAnsi="Times New Roman" w:cs="Times New Roman" w:eastAsia="Times New Roman"/>
                <w:sz w:val="24"/>
                <w:szCs w:val="24"/>
                <w:highlight w:val="yellow"/>
                <w:lang w:eastAsia="ru-RU"/>
              </w:rPr>
              <w:t>Показатель</w:t>
            </w:r>
          </w:p>
        </w:tc>
        <w:tc>
          <w:tcPr>
            <w:tcW w:w="1116" w:type="dxa"/>
            <w:vAlign w:val="center"/>
          </w:tcPr>
          <w:p>
            <w:pPr>
              <w:spacing w:lineRule="auto" w:line="240" w:after="0" w:beforeAutospacing="0" w:afterAutospacing="0"/>
              <w:jc w:val="center"/>
              <w:rPr>
                <w:rFonts w:ascii="Times New Roman" w:hAnsi="Times New Roman" w:cs="Times New Roman" w:eastAsia="Times New Roman"/>
                <w:sz w:val="24"/>
                <w:szCs w:val="24"/>
                <w:highlight w:val="yellow"/>
                <w:lang w:eastAsia="ru-RU"/>
              </w:rPr>
            </w:pPr>
            <w:r>
              <w:rPr>
                <w:rFonts w:ascii="Times New Roman" w:hAnsi="Times New Roman" w:cs="Times New Roman" w:eastAsia="Times New Roman"/>
                <w:sz w:val="24"/>
                <w:szCs w:val="24"/>
                <w:highlight w:val="yellow"/>
                <w:lang w:eastAsia="ru-RU"/>
              </w:rPr>
              <w:t>2015 г.</w:t>
            </w:r>
          </w:p>
        </w:tc>
        <w:tc>
          <w:tcPr>
            <w:tcW w:w="1116" w:type="dxa"/>
            <w:vAlign w:val="center"/>
          </w:tcPr>
          <w:p>
            <w:pPr>
              <w:spacing w:lineRule="auto" w:line="240" w:after="0" w:beforeAutospacing="0" w:afterAutospacing="0"/>
              <w:jc w:val="center"/>
              <w:rPr>
                <w:rFonts w:ascii="Times New Roman" w:hAnsi="Times New Roman" w:cs="Times New Roman" w:eastAsia="Times New Roman"/>
                <w:sz w:val="24"/>
                <w:szCs w:val="24"/>
                <w:highlight w:val="yellow"/>
                <w:lang w:eastAsia="ru-RU"/>
              </w:rPr>
            </w:pPr>
            <w:r>
              <w:rPr>
                <w:rFonts w:ascii="Times New Roman" w:hAnsi="Times New Roman" w:cs="Times New Roman" w:eastAsia="Times New Roman"/>
                <w:sz w:val="24"/>
                <w:szCs w:val="24"/>
                <w:highlight w:val="yellow"/>
                <w:lang w:eastAsia="ru-RU"/>
              </w:rPr>
              <w:t>2017 г.</w:t>
            </w:r>
          </w:p>
        </w:tc>
        <w:tc>
          <w:tcPr>
            <w:tcW w:w="1116" w:type="dxa"/>
            <w:vAlign w:val="center"/>
          </w:tcPr>
          <w:p>
            <w:pPr>
              <w:spacing w:lineRule="auto" w:line="240" w:after="0" w:beforeAutospacing="0" w:afterAutospacing="0"/>
              <w:jc w:val="center"/>
              <w:rPr>
                <w:rFonts w:ascii="Times New Roman" w:hAnsi="Times New Roman" w:cs="Times New Roman" w:eastAsia="Times New Roman"/>
                <w:sz w:val="24"/>
                <w:szCs w:val="24"/>
                <w:highlight w:val="yellow"/>
                <w:lang w:eastAsia="ru-RU"/>
              </w:rPr>
            </w:pPr>
            <w:r>
              <w:rPr>
                <w:rFonts w:ascii="Times New Roman" w:hAnsi="Times New Roman" w:cs="Times New Roman" w:eastAsia="Times New Roman"/>
                <w:sz w:val="24"/>
                <w:szCs w:val="24"/>
                <w:highlight w:val="yellow"/>
                <w:lang w:eastAsia="ru-RU"/>
              </w:rPr>
              <w:t>2019 г.</w:t>
            </w:r>
          </w:p>
        </w:tc>
        <w:tc>
          <w:tcPr>
            <w:tcW w:w="1116" w:type="dxa"/>
            <w:vAlign w:val="center"/>
          </w:tcPr>
          <w:p>
            <w:pPr>
              <w:spacing w:lineRule="auto" w:line="240" w:after="0" w:beforeAutospacing="0" w:afterAutospacing="0"/>
              <w:jc w:val="center"/>
              <w:rPr>
                <w:rFonts w:ascii="Times New Roman" w:hAnsi="Times New Roman" w:cs="Times New Roman" w:eastAsia="Times New Roman"/>
                <w:sz w:val="24"/>
                <w:szCs w:val="24"/>
                <w:highlight w:val="yellow"/>
                <w:lang w:eastAsia="ru-RU"/>
              </w:rPr>
            </w:pPr>
            <w:r>
              <w:rPr>
                <w:rFonts w:ascii="Times New Roman" w:hAnsi="Times New Roman" w:cs="Times New Roman" w:eastAsia="Times New Roman"/>
                <w:sz w:val="24"/>
                <w:szCs w:val="24"/>
                <w:highlight w:val="yellow"/>
                <w:lang w:eastAsia="ru-RU"/>
              </w:rPr>
              <w:t>2021 г.</w:t>
            </w:r>
          </w:p>
        </w:tc>
        <w:tc>
          <w:tcPr>
            <w:tcW w:w="923" w:type="dxa"/>
            <w:noWrap/>
            <w:vAlign w:val="center"/>
            <w:hideMark/>
          </w:tcPr>
          <w:p>
            <w:pPr>
              <w:spacing w:lineRule="auto" w:line="240" w:after="0" w:beforeAutospacing="0" w:afterAutospacing="0"/>
              <w:jc w:val="center"/>
              <w:rPr>
                <w:rFonts w:ascii="Times New Roman" w:hAnsi="Times New Roman" w:cs="Times New Roman" w:eastAsia="Times New Roman"/>
                <w:sz w:val="24"/>
                <w:szCs w:val="24"/>
                <w:highlight w:val="yellow"/>
                <w:lang w:eastAsia="ru-RU"/>
              </w:rPr>
            </w:pPr>
            <w:r>
              <w:rPr>
                <w:rFonts w:ascii="Times New Roman" w:hAnsi="Times New Roman" w:cs="Times New Roman" w:eastAsia="Times New Roman"/>
                <w:sz w:val="24"/>
                <w:szCs w:val="24"/>
                <w:highlight w:val="yellow"/>
                <w:lang w:eastAsia="ru-RU"/>
              </w:rPr>
              <w:t>2022 г.</w:t>
            </w:r>
          </w:p>
        </w:tc>
        <w:tc>
          <w:tcPr>
            <w:tcW w:w="778" w:type="dxa"/>
          </w:tcPr>
          <w:p>
            <w:pPr>
              <w:spacing w:lineRule="auto" w:line="240" w:after="0" w:beforeAutospacing="0" w:afterAutospacing="0"/>
              <w:ind w:right="-177"/>
              <w:jc w:val="center"/>
              <w:rPr>
                <w:rFonts w:ascii="Times New Roman" w:hAnsi="Times New Roman" w:cs="Times New Roman" w:eastAsia="Times New Roman"/>
                <w:sz w:val="24"/>
                <w:szCs w:val="24"/>
                <w:highlight w:val="yellow"/>
                <w:lang w:eastAsia="ru-RU"/>
              </w:rPr>
            </w:pPr>
            <w:r>
              <w:rPr>
                <w:rFonts w:ascii="Times New Roman" w:hAnsi="Times New Roman" w:cs="Times New Roman" w:eastAsia="Times New Roman"/>
                <w:sz w:val="24"/>
                <w:szCs w:val="24"/>
                <w:highlight w:val="yellow"/>
                <w:lang w:eastAsia="ru-RU"/>
              </w:rPr>
              <w:t>2023 г.</w:t>
            </w:r>
          </w:p>
        </w:tc>
        <w:tc>
          <w:tcPr>
            <w:tcW w:w="923" w:type="dxa"/>
          </w:tcPr>
          <w:p>
            <w:pPr>
              <w:spacing w:lineRule="auto" w:line="240" w:after="0" w:beforeAutospacing="0" w:afterAutospacing="0"/>
              <w:jc w:val="center"/>
              <w:rPr>
                <w:rFonts w:ascii="Times New Roman" w:hAnsi="Times New Roman" w:cs="Times New Roman" w:eastAsia="Times New Roman"/>
                <w:sz w:val="24"/>
                <w:szCs w:val="24"/>
                <w:highlight w:val="yellow"/>
                <w:lang w:eastAsia="ru-RU"/>
              </w:rPr>
            </w:pPr>
            <w:r>
              <w:rPr>
                <w:rFonts w:ascii="Times New Roman" w:hAnsi="Times New Roman" w:cs="Times New Roman" w:eastAsia="Times New Roman"/>
                <w:sz w:val="24"/>
                <w:szCs w:val="24"/>
                <w:highlight w:val="yellow"/>
                <w:lang w:eastAsia="ru-RU"/>
              </w:rPr>
              <w:t>2024 г.</w:t>
            </w:r>
          </w:p>
        </w:tc>
      </w:tr>
      <w:tr>
        <w:trPr>
          <w:trHeight w:hRule="atLeast" w:val="315"/>
        </w:trPr>
        <w:tc>
          <w:tcPr>
            <w:tcW w:w="2972" w:type="dxa"/>
            <w:vAlign w:val="center"/>
            <w:hideMark/>
          </w:tcPr>
          <w:p>
            <w:pPr>
              <w:spacing w:lineRule="auto" w:line="240" w:after="0" w:beforeAutospacing="0" w:afterAutospacing="0"/>
              <w:rPr>
                <w:rFonts w:ascii="Times New Roman" w:hAnsi="Times New Roman" w:cs="Times New Roman" w:eastAsia="Times New Roman"/>
                <w:sz w:val="24"/>
                <w:szCs w:val="24"/>
                <w:highlight w:val="yellow"/>
                <w:lang w:eastAsia="ru-RU"/>
              </w:rPr>
            </w:pPr>
            <w:r>
              <w:rPr>
                <w:rFonts w:ascii="Times New Roman" w:hAnsi="Times New Roman" w:cs="Times New Roman" w:eastAsia="Times New Roman"/>
                <w:sz w:val="24"/>
                <w:szCs w:val="24"/>
                <w:highlight w:val="yellow"/>
                <w:lang w:eastAsia="ru-RU"/>
              </w:rPr>
              <w:t>ВВП, млн. долл. США</w:t>
            </w:r>
          </w:p>
        </w:tc>
        <w:tc>
          <w:tcPr>
            <w:tcW w:w="1116" w:type="dxa"/>
            <w:vAlign w:val="center"/>
          </w:tcPr>
          <w:p>
            <w:pPr>
              <w:spacing w:lineRule="auto" w:line="240" w:after="0" w:beforeAutospacing="0" w:afterAutospacing="0"/>
              <w:jc w:val="center"/>
              <w:rPr>
                <w:rFonts w:ascii="Times New Roman" w:hAnsi="Times New Roman" w:cs="Times New Roman" w:eastAsia="Times New Roman"/>
                <w:sz w:val="24"/>
                <w:szCs w:val="24"/>
                <w:highlight w:val="yellow"/>
                <w:lang w:eastAsia="ru-RU"/>
              </w:rPr>
            </w:pPr>
            <w:r>
              <w:rPr>
                <w:rFonts w:ascii="Times New Roman" w:hAnsi="Times New Roman" w:cs="Times New Roman" w:eastAsia="Times New Roman"/>
                <w:sz w:val="24"/>
                <w:szCs w:val="24"/>
                <w:highlight w:val="yellow"/>
                <w:lang w:eastAsia="ru-RU"/>
              </w:rPr>
              <w:t>45815</w:t>
            </w:r>
          </w:p>
        </w:tc>
        <w:tc>
          <w:tcPr>
            <w:tcW w:w="1116" w:type="dxa"/>
            <w:vAlign w:val="center"/>
          </w:tcPr>
          <w:p>
            <w:pPr>
              <w:spacing w:lineRule="auto" w:line="240" w:after="0" w:beforeAutospacing="0" w:afterAutospacing="0"/>
              <w:jc w:val="center"/>
              <w:rPr>
                <w:rFonts w:ascii="Times New Roman" w:hAnsi="Times New Roman" w:cs="Times New Roman" w:eastAsia="Times New Roman"/>
                <w:sz w:val="24"/>
                <w:szCs w:val="24"/>
                <w:highlight w:val="yellow"/>
                <w:lang w:eastAsia="ru-RU"/>
              </w:rPr>
            </w:pPr>
            <w:r>
              <w:rPr>
                <w:rFonts w:ascii="Times New Roman" w:hAnsi="Times New Roman" w:cs="Times New Roman" w:eastAsia="Times New Roman"/>
                <w:sz w:val="24"/>
                <w:szCs w:val="24"/>
                <w:highlight w:val="yellow"/>
                <w:lang w:eastAsia="ru-RU"/>
              </w:rPr>
              <w:t>52512</w:t>
            </w:r>
          </w:p>
        </w:tc>
        <w:tc>
          <w:tcPr>
            <w:tcW w:w="1116" w:type="dxa"/>
            <w:vAlign w:val="center"/>
          </w:tcPr>
          <w:p>
            <w:pPr>
              <w:spacing w:lineRule="auto" w:line="240" w:after="0" w:beforeAutospacing="0" w:afterAutospacing="0"/>
              <w:jc w:val="center"/>
              <w:rPr>
                <w:rFonts w:ascii="Times New Roman" w:hAnsi="Times New Roman" w:cs="Times New Roman" w:eastAsia="Times New Roman"/>
                <w:sz w:val="24"/>
                <w:szCs w:val="24"/>
                <w:highlight w:val="yellow"/>
                <w:lang w:eastAsia="ru-RU"/>
              </w:rPr>
            </w:pPr>
            <w:r>
              <w:rPr>
                <w:rFonts w:ascii="Times New Roman" w:hAnsi="Times New Roman" w:cs="Times New Roman" w:eastAsia="Times New Roman"/>
                <w:sz w:val="24"/>
                <w:szCs w:val="24"/>
                <w:highlight w:val="yellow"/>
                <w:lang w:eastAsia="ru-RU"/>
              </w:rPr>
              <w:t>60383</w:t>
            </w:r>
          </w:p>
        </w:tc>
        <w:tc>
          <w:tcPr>
            <w:tcW w:w="1116" w:type="dxa"/>
            <w:vAlign w:val="center"/>
          </w:tcPr>
          <w:p>
            <w:pPr>
              <w:spacing w:lineRule="auto" w:line="240" w:after="0" w:beforeAutospacing="0" w:afterAutospacing="0"/>
              <w:jc w:val="center"/>
              <w:rPr>
                <w:rFonts w:ascii="Times New Roman" w:hAnsi="Times New Roman" w:cs="Times New Roman" w:eastAsia="Times New Roman"/>
                <w:sz w:val="24"/>
                <w:szCs w:val="24"/>
                <w:highlight w:val="yellow"/>
                <w:lang w:eastAsia="ru-RU"/>
              </w:rPr>
            </w:pPr>
            <w:r>
              <w:rPr>
                <w:rFonts w:ascii="Times New Roman" w:hAnsi="Times New Roman" w:cs="Times New Roman" w:eastAsia="Times New Roman"/>
                <w:sz w:val="24"/>
                <w:szCs w:val="24"/>
                <w:highlight w:val="yellow"/>
                <w:lang w:eastAsia="ru-RU"/>
              </w:rPr>
              <w:t>72795</w:t>
            </w:r>
          </w:p>
        </w:tc>
        <w:tc>
          <w:tcPr>
            <w:tcW w:w="923" w:type="dxa"/>
            <w:noWrap/>
            <w:vAlign w:val="center"/>
          </w:tcPr>
          <w:p>
            <w:pPr>
              <w:spacing w:lineRule="auto" w:line="240" w:after="0" w:beforeAutospacing="0" w:afterAutospacing="0"/>
              <w:jc w:val="center"/>
              <w:rPr>
                <w:rFonts w:ascii="Times New Roman" w:hAnsi="Times New Roman" w:cs="Times New Roman" w:eastAsia="Times New Roman"/>
                <w:sz w:val="24"/>
                <w:szCs w:val="24"/>
                <w:highlight w:val="yellow"/>
                <w:lang w:eastAsia="ru-RU"/>
              </w:rPr>
            </w:pPr>
            <w:r>
              <w:rPr>
                <w:rFonts w:ascii="Times New Roman" w:hAnsi="Times New Roman" w:cs="Times New Roman" w:eastAsia="Times New Roman"/>
                <w:sz w:val="24"/>
                <w:szCs w:val="24"/>
                <w:highlight w:val="yellow"/>
                <w:lang w:eastAsia="ru-RU"/>
              </w:rPr>
              <w:t>70923</w:t>
            </w:r>
          </w:p>
        </w:tc>
        <w:tc>
          <w:tcPr>
            <w:tcW w:w="778" w:type="dxa"/>
          </w:tcPr>
          <w:p>
            <w:pPr>
              <w:spacing w:lineRule="auto" w:line="240" w:after="0" w:beforeAutospacing="0" w:afterAutospacing="0"/>
              <w:jc w:val="center"/>
              <w:rPr>
                <w:rFonts w:ascii="Times New Roman" w:hAnsi="Times New Roman" w:cs="Times New Roman" w:eastAsia="Times New Roman"/>
                <w:sz w:val="24"/>
                <w:szCs w:val="24"/>
                <w:highlight w:val="yellow"/>
                <w:lang w:eastAsia="ru-RU"/>
              </w:rPr>
            </w:pPr>
            <w:r>
              <w:rPr>
                <w:rFonts w:ascii="Times New Roman" w:hAnsi="Times New Roman" w:cs="Times New Roman" w:eastAsia="Times New Roman"/>
                <w:sz w:val="24"/>
                <w:szCs w:val="24"/>
                <w:highlight w:val="yellow"/>
                <w:lang w:eastAsia="ru-RU"/>
              </w:rPr>
              <w:t>79168</w:t>
            </w:r>
          </w:p>
        </w:tc>
        <w:tc>
          <w:tcPr>
            <w:tcW w:w="923" w:type="dxa"/>
          </w:tcPr>
          <w:p>
            <w:pPr>
              <w:spacing w:lineRule="auto" w:line="240" w:after="0" w:beforeAutospacing="0" w:afterAutospacing="0"/>
              <w:jc w:val="center"/>
              <w:rPr>
                <w:rFonts w:ascii="Times New Roman" w:hAnsi="Times New Roman" w:cs="Times New Roman" w:eastAsia="Times New Roman"/>
                <w:sz w:val="24"/>
                <w:szCs w:val="24"/>
                <w:highlight w:val="yellow"/>
                <w:lang w:eastAsia="ru-RU"/>
              </w:rPr>
            </w:pPr>
            <w:r>
              <w:rPr>
                <w:rFonts w:ascii="Times New Roman" w:hAnsi="Times New Roman" w:cs="Times New Roman" w:eastAsia="Times New Roman"/>
                <w:sz w:val="24"/>
                <w:szCs w:val="24"/>
                <w:highlight w:val="yellow"/>
                <w:lang w:eastAsia="ru-RU"/>
              </w:rPr>
              <w:t>86538</w:t>
            </w:r>
          </w:p>
        </w:tc>
      </w:tr>
      <w:tr>
        <w:trPr>
          <w:trHeight w:hRule="atLeast" w:val="315"/>
        </w:trPr>
        <w:tc>
          <w:tcPr>
            <w:tcW w:w="2972" w:type="dxa"/>
            <w:vAlign w:val="center"/>
            <w:hideMark/>
          </w:tcPr>
          <w:p>
            <w:pPr>
              <w:spacing w:lineRule="auto" w:line="240" w:after="0" w:beforeAutospacing="0" w:afterAutospacing="0"/>
              <w:rPr>
                <w:rFonts w:ascii="Times New Roman" w:hAnsi="Times New Roman" w:cs="Times New Roman" w:eastAsia="Times New Roman"/>
                <w:sz w:val="24"/>
                <w:szCs w:val="24"/>
                <w:highlight w:val="yellow"/>
                <w:lang w:eastAsia="ru-RU"/>
              </w:rPr>
            </w:pPr>
            <w:r>
              <w:rPr>
                <w:rFonts w:ascii="Times New Roman" w:hAnsi="Times New Roman" w:cs="Times New Roman" w:eastAsia="Times New Roman"/>
                <w:sz w:val="24"/>
                <w:szCs w:val="24"/>
                <w:highlight w:val="yellow"/>
                <w:lang w:eastAsia="ru-RU"/>
              </w:rPr>
              <w:t>Рост ВВП, %</w:t>
            </w:r>
          </w:p>
        </w:tc>
        <w:tc>
          <w:tcPr>
            <w:tcW w:w="1116" w:type="dxa"/>
            <w:vAlign w:val="center"/>
          </w:tcPr>
          <w:p>
            <w:pPr>
              <w:spacing w:lineRule="auto" w:line="240" w:after="0" w:beforeAutospacing="0" w:afterAutospacing="0"/>
              <w:jc w:val="center"/>
              <w:rPr>
                <w:rFonts w:ascii="Times New Roman" w:hAnsi="Times New Roman" w:cs="Times New Roman" w:eastAsia="Times New Roman"/>
                <w:sz w:val="24"/>
                <w:szCs w:val="24"/>
                <w:highlight w:val="yellow"/>
                <w:lang w:eastAsia="ru-RU"/>
              </w:rPr>
            </w:pPr>
            <w:r>
              <w:rPr>
                <w:rFonts w:ascii="Times New Roman" w:hAnsi="Times New Roman" w:cs="Times New Roman" w:eastAsia="Times New Roman"/>
                <w:sz w:val="24"/>
                <w:szCs w:val="24"/>
                <w:highlight w:val="yellow"/>
                <w:lang w:eastAsia="ru-RU"/>
              </w:rPr>
              <w:t>7,19</w:t>
            </w:r>
          </w:p>
        </w:tc>
        <w:tc>
          <w:tcPr>
            <w:tcW w:w="1116" w:type="dxa"/>
            <w:vAlign w:val="center"/>
          </w:tcPr>
          <w:p>
            <w:pPr>
              <w:spacing w:lineRule="auto" w:line="240" w:after="0" w:beforeAutospacing="0" w:afterAutospacing="0"/>
              <w:jc w:val="center"/>
              <w:rPr>
                <w:rFonts w:ascii="Times New Roman" w:hAnsi="Times New Roman" w:cs="Times New Roman" w:eastAsia="Times New Roman"/>
                <w:sz w:val="24"/>
                <w:szCs w:val="24"/>
                <w:highlight w:val="yellow"/>
                <w:lang w:eastAsia="ru-RU"/>
              </w:rPr>
            </w:pPr>
            <w:r>
              <w:rPr>
                <w:rFonts w:ascii="Times New Roman" w:hAnsi="Times New Roman" w:cs="Times New Roman" w:eastAsia="Times New Roman"/>
                <w:sz w:val="24"/>
                <w:szCs w:val="24"/>
                <w:highlight w:val="yellow"/>
                <w:lang w:eastAsia="ru-RU"/>
              </w:rPr>
              <w:t>7,36</w:t>
            </w:r>
          </w:p>
        </w:tc>
        <w:tc>
          <w:tcPr>
            <w:tcW w:w="1116" w:type="dxa"/>
            <w:vAlign w:val="center"/>
          </w:tcPr>
          <w:p>
            <w:pPr>
              <w:spacing w:lineRule="auto" w:line="240" w:after="0" w:beforeAutospacing="0" w:afterAutospacing="0"/>
              <w:jc w:val="center"/>
              <w:rPr>
                <w:rFonts w:ascii="Times New Roman" w:hAnsi="Times New Roman" w:cs="Times New Roman" w:eastAsia="Times New Roman"/>
                <w:sz w:val="24"/>
                <w:szCs w:val="24"/>
                <w:highlight w:val="yellow"/>
                <w:lang w:eastAsia="ru-RU"/>
              </w:rPr>
            </w:pPr>
            <w:r>
              <w:rPr>
                <w:rFonts w:ascii="Times New Roman" w:hAnsi="Times New Roman" w:cs="Times New Roman" w:eastAsia="Times New Roman"/>
                <w:sz w:val="24"/>
                <w:szCs w:val="24"/>
                <w:highlight w:val="yellow"/>
                <w:lang w:eastAsia="ru-RU"/>
              </w:rPr>
              <w:t>6,23</w:t>
            </w:r>
          </w:p>
        </w:tc>
        <w:tc>
          <w:tcPr>
            <w:tcW w:w="1116" w:type="dxa"/>
            <w:vAlign w:val="center"/>
          </w:tcPr>
          <w:p>
            <w:pPr>
              <w:spacing w:lineRule="auto" w:line="240" w:after="0" w:beforeAutospacing="0" w:afterAutospacing="0"/>
              <w:jc w:val="center"/>
              <w:rPr>
                <w:rFonts w:ascii="Times New Roman" w:hAnsi="Times New Roman" w:cs="Times New Roman" w:eastAsia="Times New Roman"/>
                <w:sz w:val="24"/>
                <w:szCs w:val="24"/>
                <w:highlight w:val="yellow"/>
                <w:lang w:eastAsia="ru-RU"/>
              </w:rPr>
            </w:pPr>
            <w:r>
              <w:rPr>
                <w:rFonts w:ascii="Times New Roman" w:hAnsi="Times New Roman" w:cs="Times New Roman" w:eastAsia="Times New Roman"/>
                <w:sz w:val="24"/>
                <w:szCs w:val="24"/>
                <w:highlight w:val="yellow"/>
                <w:lang w:eastAsia="ru-RU"/>
              </w:rPr>
              <w:t>7,04</w:t>
            </w:r>
          </w:p>
        </w:tc>
        <w:tc>
          <w:tcPr>
            <w:tcW w:w="923" w:type="dxa"/>
            <w:noWrap/>
            <w:vAlign w:val="center"/>
          </w:tcPr>
          <w:p>
            <w:pPr>
              <w:spacing w:lineRule="auto" w:line="240" w:after="0" w:beforeAutospacing="0" w:afterAutospacing="0"/>
              <w:jc w:val="center"/>
              <w:rPr>
                <w:rFonts w:ascii="Times New Roman" w:hAnsi="Times New Roman" w:cs="Times New Roman" w:eastAsia="Times New Roman"/>
                <w:sz w:val="24"/>
                <w:szCs w:val="24"/>
                <w:highlight w:val="yellow"/>
                <w:lang w:eastAsia="ru-RU"/>
              </w:rPr>
            </w:pPr>
          </w:p>
        </w:tc>
        <w:tc>
          <w:tcPr>
            <w:tcW w:w="778" w:type="dxa"/>
          </w:tcPr>
          <w:p>
            <w:pPr>
              <w:spacing w:lineRule="auto" w:line="240" w:after="0" w:beforeAutospacing="0" w:afterAutospacing="0"/>
              <w:jc w:val="center"/>
              <w:rPr>
                <w:rFonts w:ascii="Times New Roman" w:hAnsi="Times New Roman" w:cs="Times New Roman" w:eastAsia="Times New Roman"/>
                <w:sz w:val="24"/>
                <w:szCs w:val="24"/>
                <w:highlight w:val="yellow"/>
                <w:lang w:eastAsia="ru-RU"/>
              </w:rPr>
            </w:pPr>
          </w:p>
        </w:tc>
        <w:tc>
          <w:tcPr>
            <w:tcW w:w="923" w:type="dxa"/>
          </w:tcPr>
          <w:p>
            <w:pPr>
              <w:spacing w:lineRule="auto" w:line="240" w:after="0" w:beforeAutospacing="0" w:afterAutospacing="0"/>
              <w:jc w:val="center"/>
              <w:rPr>
                <w:rFonts w:ascii="Times New Roman" w:hAnsi="Times New Roman" w:cs="Times New Roman" w:eastAsia="Times New Roman"/>
                <w:sz w:val="24"/>
                <w:szCs w:val="24"/>
                <w:highlight w:val="yellow"/>
                <w:lang w:eastAsia="ru-RU"/>
              </w:rPr>
            </w:pPr>
            <w:r>
              <w:rPr>
                <w:rFonts w:ascii="Times New Roman" w:hAnsi="Times New Roman" w:cs="Times New Roman" w:eastAsia="Times New Roman"/>
                <w:sz w:val="24"/>
                <w:szCs w:val="24"/>
                <w:highlight w:val="yellow"/>
                <w:lang w:eastAsia="ru-RU"/>
              </w:rPr>
              <w:t>8,69</w:t>
            </w:r>
          </w:p>
        </w:tc>
      </w:tr>
      <w:tr>
        <w:trPr>
          <w:trHeight w:hRule="atLeast" w:val="615"/>
        </w:trPr>
        <w:tc>
          <w:tcPr>
            <w:tcW w:w="2972" w:type="dxa"/>
            <w:vAlign w:val="center"/>
            <w:hideMark/>
          </w:tcPr>
          <w:p>
            <w:pPr>
              <w:spacing w:lineRule="auto" w:line="240" w:after="0" w:beforeAutospacing="0" w:afterAutospacing="0"/>
              <w:rPr>
                <w:rFonts w:ascii="Times New Roman" w:hAnsi="Times New Roman" w:cs="Times New Roman" w:eastAsia="Times New Roman"/>
                <w:sz w:val="24"/>
                <w:szCs w:val="24"/>
                <w:highlight w:val="yellow"/>
                <w:lang w:eastAsia="ru-RU"/>
              </w:rPr>
            </w:pPr>
            <w:r>
              <w:rPr>
                <w:rFonts w:ascii="Times New Roman" w:hAnsi="Times New Roman" w:cs="Times New Roman" w:eastAsia="Times New Roman"/>
                <w:sz w:val="24"/>
                <w:szCs w:val="24"/>
                <w:highlight w:val="yellow"/>
                <w:lang w:eastAsia="ru-RU"/>
              </w:rPr>
              <w:t xml:space="preserve">Доля сельского хозяйства в ВВП, % </w:t>
            </w:r>
          </w:p>
        </w:tc>
        <w:tc>
          <w:tcPr>
            <w:tcW w:w="1116" w:type="dxa"/>
            <w:vAlign w:val="center"/>
          </w:tcPr>
          <w:p>
            <w:pPr>
              <w:spacing w:lineRule="auto" w:line="240" w:after="0" w:beforeAutospacing="0" w:afterAutospacing="0"/>
              <w:jc w:val="center"/>
              <w:rPr>
                <w:rFonts w:ascii="Times New Roman" w:hAnsi="Times New Roman" w:cs="Times New Roman" w:eastAsia="Times New Roman"/>
                <w:sz w:val="24"/>
                <w:szCs w:val="24"/>
                <w:highlight w:val="yellow"/>
                <w:lang w:eastAsia="ru-RU"/>
              </w:rPr>
            </w:pPr>
            <w:r>
              <w:rPr>
                <w:rFonts w:ascii="Times New Roman" w:hAnsi="Times New Roman" w:cs="Times New Roman" w:eastAsia="Times New Roman"/>
                <w:sz w:val="24"/>
                <w:szCs w:val="24"/>
                <w:highlight w:val="yellow"/>
                <w:lang w:eastAsia="ru-RU"/>
              </w:rPr>
              <w:t>18,36</w:t>
            </w:r>
          </w:p>
        </w:tc>
        <w:tc>
          <w:tcPr>
            <w:tcW w:w="1116" w:type="dxa"/>
            <w:vAlign w:val="center"/>
          </w:tcPr>
          <w:p>
            <w:pPr>
              <w:spacing w:lineRule="auto" w:line="240" w:after="0" w:beforeAutospacing="0" w:afterAutospacing="0"/>
              <w:jc w:val="center"/>
              <w:rPr>
                <w:rFonts w:ascii="Times New Roman" w:hAnsi="Times New Roman" w:cs="Times New Roman" w:eastAsia="Times New Roman"/>
                <w:sz w:val="24"/>
                <w:szCs w:val="24"/>
                <w:highlight w:val="yellow"/>
                <w:lang w:eastAsia="ru-RU"/>
              </w:rPr>
            </w:pPr>
            <w:r>
              <w:rPr>
                <w:rFonts w:ascii="Times New Roman" w:hAnsi="Times New Roman" w:cs="Times New Roman" w:eastAsia="Times New Roman"/>
                <w:sz w:val="24"/>
                <w:szCs w:val="24"/>
                <w:highlight w:val="yellow"/>
                <w:lang w:eastAsia="ru-RU"/>
              </w:rPr>
              <w:t>18,74</w:t>
            </w:r>
          </w:p>
        </w:tc>
        <w:tc>
          <w:tcPr>
            <w:tcW w:w="1116" w:type="dxa"/>
            <w:vAlign w:val="center"/>
          </w:tcPr>
          <w:p>
            <w:pPr>
              <w:spacing w:lineRule="auto" w:line="240" w:after="0" w:beforeAutospacing="0" w:afterAutospacing="0"/>
              <w:jc w:val="center"/>
              <w:rPr>
                <w:rFonts w:ascii="Times New Roman" w:hAnsi="Times New Roman" w:cs="Times New Roman" w:eastAsia="Times New Roman"/>
                <w:sz w:val="24"/>
                <w:szCs w:val="24"/>
                <w:highlight w:val="yellow"/>
                <w:lang w:eastAsia="ru-RU"/>
              </w:rPr>
            </w:pPr>
            <w:r>
              <w:rPr>
                <w:rFonts w:ascii="Times New Roman" w:hAnsi="Times New Roman" w:cs="Times New Roman" w:eastAsia="Times New Roman"/>
                <w:sz w:val="24"/>
                <w:szCs w:val="24"/>
                <w:highlight w:val="yellow"/>
                <w:lang w:eastAsia="ru-RU"/>
              </w:rPr>
              <w:t>20,67</w:t>
            </w:r>
          </w:p>
        </w:tc>
        <w:tc>
          <w:tcPr>
            <w:tcW w:w="1116" w:type="dxa"/>
            <w:vAlign w:val="center"/>
          </w:tcPr>
          <w:p>
            <w:pPr>
              <w:spacing w:lineRule="auto" w:line="240" w:after="0" w:beforeAutospacing="0" w:afterAutospacing="0"/>
              <w:jc w:val="center"/>
              <w:rPr>
                <w:rFonts w:ascii="Times New Roman" w:hAnsi="Times New Roman" w:cs="Times New Roman" w:eastAsia="Times New Roman"/>
                <w:sz w:val="24"/>
                <w:szCs w:val="24"/>
                <w:highlight w:val="yellow"/>
                <w:lang w:eastAsia="ru-RU"/>
              </w:rPr>
            </w:pPr>
            <w:r>
              <w:rPr>
                <w:rFonts w:ascii="Times New Roman" w:hAnsi="Times New Roman" w:cs="Times New Roman" w:eastAsia="Times New Roman"/>
                <w:sz w:val="24"/>
                <w:szCs w:val="24"/>
                <w:highlight w:val="yellow"/>
                <w:lang w:eastAsia="ru-RU"/>
              </w:rPr>
              <w:t>19,85</w:t>
            </w:r>
          </w:p>
        </w:tc>
        <w:tc>
          <w:tcPr>
            <w:tcW w:w="923" w:type="dxa"/>
            <w:noWrap/>
            <w:vAlign w:val="center"/>
          </w:tcPr>
          <w:p>
            <w:pPr>
              <w:spacing w:lineRule="auto" w:line="240" w:after="0" w:beforeAutospacing="0" w:afterAutospacing="0"/>
              <w:jc w:val="center"/>
              <w:rPr>
                <w:rFonts w:ascii="Times New Roman" w:hAnsi="Times New Roman" w:cs="Times New Roman" w:eastAsia="Times New Roman"/>
                <w:sz w:val="24"/>
                <w:szCs w:val="24"/>
                <w:highlight w:val="yellow"/>
                <w:lang w:eastAsia="ru-RU"/>
              </w:rPr>
            </w:pPr>
          </w:p>
        </w:tc>
        <w:tc>
          <w:tcPr>
            <w:tcW w:w="778" w:type="dxa"/>
          </w:tcPr>
          <w:p>
            <w:pPr>
              <w:spacing w:lineRule="auto" w:line="240" w:after="0" w:beforeAutospacing="0" w:afterAutospacing="0"/>
              <w:jc w:val="center"/>
              <w:rPr>
                <w:rFonts w:ascii="Times New Roman" w:hAnsi="Times New Roman" w:cs="Times New Roman" w:eastAsia="Times New Roman"/>
                <w:sz w:val="24"/>
                <w:szCs w:val="24"/>
                <w:highlight w:val="yellow"/>
                <w:lang w:eastAsia="ru-RU"/>
              </w:rPr>
            </w:pPr>
          </w:p>
        </w:tc>
        <w:tc>
          <w:tcPr>
            <w:tcW w:w="923" w:type="dxa"/>
          </w:tcPr>
          <w:p>
            <w:pPr>
              <w:spacing w:lineRule="auto" w:line="240" w:after="0" w:beforeAutospacing="0" w:afterAutospacing="0"/>
              <w:jc w:val="center"/>
              <w:rPr>
                <w:rFonts w:ascii="Times New Roman" w:hAnsi="Times New Roman" w:cs="Times New Roman" w:eastAsia="Times New Roman"/>
                <w:sz w:val="24"/>
                <w:szCs w:val="24"/>
                <w:highlight w:val="yellow"/>
                <w:lang w:eastAsia="ru-RU"/>
              </w:rPr>
            </w:pPr>
          </w:p>
        </w:tc>
      </w:tr>
      <w:tr>
        <w:trPr>
          <w:trHeight w:hRule="atLeast" w:val="615"/>
        </w:trPr>
        <w:tc>
          <w:tcPr>
            <w:tcW w:w="2972" w:type="dxa"/>
            <w:vAlign w:val="center"/>
            <w:hideMark/>
          </w:tcPr>
          <w:p>
            <w:pPr>
              <w:spacing w:lineRule="auto" w:line="240" w:after="0" w:beforeAutospacing="0" w:afterAutospacing="0"/>
              <w:rPr>
                <w:rFonts w:ascii="Times New Roman" w:hAnsi="Times New Roman" w:cs="Times New Roman" w:eastAsia="Times New Roman"/>
                <w:sz w:val="24"/>
                <w:szCs w:val="24"/>
                <w:highlight w:val="yellow"/>
                <w:lang w:eastAsia="ru-RU"/>
              </w:rPr>
            </w:pPr>
            <w:r>
              <w:rPr>
                <w:rFonts w:ascii="Times New Roman" w:hAnsi="Times New Roman" w:cs="Times New Roman" w:eastAsia="Times New Roman"/>
                <w:sz w:val="24"/>
                <w:szCs w:val="24"/>
                <w:highlight w:val="yellow"/>
                <w:lang w:eastAsia="ru-RU"/>
              </w:rPr>
              <w:t>Доля промышленности и строительства в ВВП, %</w:t>
            </w:r>
          </w:p>
        </w:tc>
        <w:tc>
          <w:tcPr>
            <w:tcW w:w="1116" w:type="dxa"/>
            <w:vAlign w:val="center"/>
          </w:tcPr>
          <w:p>
            <w:pPr>
              <w:spacing w:lineRule="auto" w:line="240" w:after="0" w:beforeAutospacing="0" w:afterAutospacing="0"/>
              <w:jc w:val="center"/>
              <w:rPr>
                <w:rFonts w:ascii="Times New Roman" w:hAnsi="Times New Roman" w:cs="Times New Roman" w:eastAsia="Times New Roman"/>
                <w:sz w:val="24"/>
                <w:szCs w:val="24"/>
                <w:highlight w:val="yellow"/>
                <w:lang w:eastAsia="ru-RU"/>
              </w:rPr>
            </w:pPr>
            <w:r>
              <w:rPr>
                <w:rFonts w:ascii="Times New Roman" w:hAnsi="Times New Roman" w:cs="Times New Roman" w:eastAsia="Times New Roman"/>
                <w:sz w:val="24"/>
                <w:szCs w:val="24"/>
                <w:highlight w:val="yellow"/>
                <w:lang w:eastAsia="ru-RU"/>
              </w:rPr>
              <w:t>19,53</w:t>
            </w:r>
          </w:p>
        </w:tc>
        <w:tc>
          <w:tcPr>
            <w:tcW w:w="1116" w:type="dxa"/>
            <w:vAlign w:val="center"/>
          </w:tcPr>
          <w:p>
            <w:pPr>
              <w:spacing w:lineRule="auto" w:line="240" w:after="0" w:beforeAutospacing="0" w:afterAutospacing="0"/>
              <w:jc w:val="center"/>
              <w:rPr>
                <w:rFonts w:ascii="Times New Roman" w:hAnsi="Times New Roman" w:cs="Times New Roman" w:eastAsia="Times New Roman"/>
                <w:sz w:val="24"/>
                <w:szCs w:val="24"/>
                <w:highlight w:val="yellow"/>
                <w:lang w:eastAsia="ru-RU"/>
              </w:rPr>
            </w:pPr>
            <w:r>
              <w:rPr>
                <w:rFonts w:ascii="Times New Roman" w:hAnsi="Times New Roman" w:cs="Times New Roman" w:eastAsia="Times New Roman"/>
                <w:sz w:val="24"/>
                <w:szCs w:val="24"/>
                <w:highlight w:val="yellow"/>
                <w:lang w:eastAsia="ru-RU"/>
              </w:rPr>
              <w:t>20,46</w:t>
            </w:r>
          </w:p>
        </w:tc>
        <w:tc>
          <w:tcPr>
            <w:tcW w:w="1116" w:type="dxa"/>
            <w:vAlign w:val="center"/>
          </w:tcPr>
          <w:p>
            <w:pPr>
              <w:spacing w:lineRule="auto" w:line="240" w:after="0" w:beforeAutospacing="0" w:afterAutospacing="0"/>
              <w:jc w:val="center"/>
              <w:rPr>
                <w:rFonts w:ascii="Times New Roman" w:hAnsi="Times New Roman" w:cs="Times New Roman" w:eastAsia="Times New Roman"/>
                <w:sz w:val="24"/>
                <w:szCs w:val="24"/>
                <w:highlight w:val="yellow"/>
                <w:lang w:eastAsia="ru-RU"/>
              </w:rPr>
            </w:pPr>
            <w:r>
              <w:rPr>
                <w:rFonts w:ascii="Times New Roman" w:hAnsi="Times New Roman" w:cs="Times New Roman" w:eastAsia="Times New Roman"/>
                <w:sz w:val="24"/>
                <w:szCs w:val="24"/>
                <w:highlight w:val="yellow"/>
                <w:lang w:eastAsia="ru-RU"/>
              </w:rPr>
              <w:t>21,19</w:t>
            </w:r>
          </w:p>
        </w:tc>
        <w:tc>
          <w:tcPr>
            <w:tcW w:w="1116" w:type="dxa"/>
            <w:vAlign w:val="center"/>
          </w:tcPr>
          <w:p>
            <w:pPr>
              <w:spacing w:lineRule="auto" w:line="240" w:after="0" w:beforeAutospacing="0" w:afterAutospacing="0"/>
              <w:jc w:val="center"/>
              <w:rPr>
                <w:rFonts w:ascii="Times New Roman" w:hAnsi="Times New Roman" w:cs="Times New Roman" w:eastAsia="Times New Roman"/>
                <w:sz w:val="24"/>
                <w:szCs w:val="24"/>
                <w:highlight w:val="yellow"/>
                <w:lang w:eastAsia="ru-RU"/>
              </w:rPr>
            </w:pPr>
            <w:r>
              <w:rPr>
                <w:rFonts w:ascii="Times New Roman" w:hAnsi="Times New Roman" w:cs="Times New Roman" w:eastAsia="Times New Roman"/>
                <w:sz w:val="24"/>
                <w:szCs w:val="24"/>
                <w:highlight w:val="yellow"/>
                <w:lang w:eastAsia="ru-RU"/>
              </w:rPr>
              <w:t>21,41</w:t>
            </w:r>
          </w:p>
        </w:tc>
        <w:tc>
          <w:tcPr>
            <w:tcW w:w="923" w:type="dxa"/>
            <w:noWrap/>
            <w:vAlign w:val="center"/>
          </w:tcPr>
          <w:p>
            <w:pPr>
              <w:spacing w:lineRule="auto" w:line="240" w:after="0" w:beforeAutospacing="0" w:afterAutospacing="0"/>
              <w:jc w:val="center"/>
              <w:rPr>
                <w:rFonts w:ascii="Times New Roman" w:hAnsi="Times New Roman" w:cs="Times New Roman" w:eastAsia="Times New Roman"/>
                <w:sz w:val="24"/>
                <w:szCs w:val="24"/>
                <w:highlight w:val="yellow"/>
                <w:lang w:eastAsia="ru-RU"/>
              </w:rPr>
            </w:pPr>
          </w:p>
        </w:tc>
        <w:tc>
          <w:tcPr>
            <w:tcW w:w="778" w:type="dxa"/>
          </w:tcPr>
          <w:p>
            <w:pPr>
              <w:spacing w:lineRule="auto" w:line="240" w:after="0" w:beforeAutospacing="0" w:afterAutospacing="0"/>
              <w:jc w:val="center"/>
              <w:rPr>
                <w:rFonts w:ascii="Times New Roman" w:hAnsi="Times New Roman" w:cs="Times New Roman" w:eastAsia="Times New Roman"/>
                <w:sz w:val="24"/>
                <w:szCs w:val="24"/>
                <w:highlight w:val="yellow"/>
                <w:lang w:eastAsia="ru-RU"/>
              </w:rPr>
            </w:pPr>
          </w:p>
        </w:tc>
        <w:tc>
          <w:tcPr>
            <w:tcW w:w="923" w:type="dxa"/>
          </w:tcPr>
          <w:p>
            <w:pPr>
              <w:spacing w:lineRule="auto" w:line="240" w:after="0" w:beforeAutospacing="0" w:afterAutospacing="0"/>
              <w:jc w:val="center"/>
              <w:rPr>
                <w:rFonts w:ascii="Times New Roman" w:hAnsi="Times New Roman" w:cs="Times New Roman" w:eastAsia="Times New Roman"/>
                <w:sz w:val="24"/>
                <w:szCs w:val="24"/>
                <w:highlight w:val="yellow"/>
                <w:lang w:eastAsia="ru-RU"/>
              </w:rPr>
            </w:pPr>
          </w:p>
        </w:tc>
      </w:tr>
      <w:tr>
        <w:trPr>
          <w:trHeight w:hRule="atLeast" w:val="315"/>
        </w:trPr>
        <w:tc>
          <w:tcPr>
            <w:tcW w:w="2972" w:type="dxa"/>
            <w:vAlign w:val="center"/>
            <w:hideMark/>
          </w:tcPr>
          <w:p>
            <w:pPr>
              <w:spacing w:lineRule="auto" w:line="240" w:after="0" w:beforeAutospacing="0" w:afterAutospacing="0"/>
              <w:rPr>
                <w:rFonts w:ascii="Times New Roman" w:hAnsi="Times New Roman" w:cs="Times New Roman" w:eastAsia="Times New Roman"/>
                <w:sz w:val="24"/>
                <w:szCs w:val="24"/>
                <w:highlight w:val="yellow"/>
                <w:lang w:eastAsia="ru-RU"/>
              </w:rPr>
            </w:pPr>
            <w:r>
              <w:rPr>
                <w:rFonts w:ascii="Times New Roman" w:hAnsi="Times New Roman" w:cs="Times New Roman" w:eastAsia="Times New Roman"/>
                <w:sz w:val="24"/>
                <w:szCs w:val="24"/>
                <w:highlight w:val="yellow"/>
                <w:lang w:eastAsia="ru-RU"/>
              </w:rPr>
              <w:t>Экспорт товаров и услуг, % от ВВП</w:t>
            </w:r>
          </w:p>
        </w:tc>
        <w:tc>
          <w:tcPr>
            <w:tcW w:w="1116" w:type="dxa"/>
            <w:vAlign w:val="center"/>
          </w:tcPr>
          <w:p>
            <w:pPr>
              <w:spacing w:lineRule="auto" w:line="240" w:after="0" w:beforeAutospacing="0" w:afterAutospacing="0"/>
              <w:jc w:val="center"/>
              <w:rPr>
                <w:rFonts w:ascii="Times New Roman" w:hAnsi="Times New Roman" w:cs="Times New Roman" w:eastAsia="Times New Roman"/>
                <w:sz w:val="24"/>
                <w:szCs w:val="24"/>
                <w:highlight w:val="yellow"/>
                <w:lang w:eastAsia="ru-RU"/>
              </w:rPr>
            </w:pPr>
            <w:r>
              <w:rPr>
                <w:rFonts w:ascii="Times New Roman" w:hAnsi="Times New Roman" w:cs="Times New Roman" w:eastAsia="Times New Roman"/>
                <w:sz w:val="24"/>
                <w:szCs w:val="24"/>
                <w:highlight w:val="yellow"/>
                <w:lang w:eastAsia="ru-RU"/>
              </w:rPr>
              <w:t>27,36</w:t>
            </w:r>
          </w:p>
        </w:tc>
        <w:tc>
          <w:tcPr>
            <w:tcW w:w="1116" w:type="dxa"/>
            <w:vAlign w:val="center"/>
          </w:tcPr>
          <w:p>
            <w:pPr>
              <w:spacing w:lineRule="auto" w:line="240" w:after="0" w:beforeAutospacing="0" w:afterAutospacing="0"/>
              <w:jc w:val="center"/>
              <w:rPr>
                <w:rFonts w:ascii="Times New Roman" w:hAnsi="Times New Roman" w:cs="Times New Roman" w:eastAsia="Times New Roman"/>
                <w:sz w:val="24"/>
                <w:szCs w:val="24"/>
                <w:highlight w:val="yellow"/>
                <w:lang w:eastAsia="ru-RU"/>
              </w:rPr>
            </w:pPr>
            <w:r>
              <w:rPr>
                <w:rFonts w:ascii="Times New Roman" w:hAnsi="Times New Roman" w:cs="Times New Roman" w:eastAsia="Times New Roman"/>
                <w:sz w:val="24"/>
                <w:szCs w:val="24"/>
                <w:highlight w:val="yellow"/>
                <w:lang w:eastAsia="ru-RU"/>
              </w:rPr>
              <w:t>24,92</w:t>
            </w:r>
          </w:p>
        </w:tc>
        <w:tc>
          <w:tcPr>
            <w:tcW w:w="1116" w:type="dxa"/>
            <w:vAlign w:val="center"/>
          </w:tcPr>
          <w:p>
            <w:pPr>
              <w:spacing w:lineRule="auto" w:line="240" w:after="0" w:beforeAutospacing="0" w:afterAutospacing="0"/>
              <w:jc w:val="center"/>
              <w:rPr>
                <w:rFonts w:ascii="Times New Roman" w:hAnsi="Times New Roman" w:cs="Times New Roman" w:eastAsia="Times New Roman"/>
                <w:sz w:val="24"/>
                <w:szCs w:val="24"/>
                <w:highlight w:val="yellow"/>
                <w:lang w:eastAsia="ru-RU"/>
              </w:rPr>
            </w:pPr>
            <w:r>
              <w:rPr>
                <w:rFonts w:ascii="Times New Roman" w:hAnsi="Times New Roman" w:cs="Times New Roman" w:eastAsia="Times New Roman"/>
                <w:sz w:val="24"/>
                <w:szCs w:val="24"/>
                <w:highlight w:val="yellow"/>
                <w:lang w:eastAsia="ru-RU"/>
              </w:rPr>
              <w:t>23,78</w:t>
            </w:r>
          </w:p>
        </w:tc>
        <w:tc>
          <w:tcPr>
            <w:tcW w:w="1116" w:type="dxa"/>
            <w:vAlign w:val="center"/>
          </w:tcPr>
          <w:p>
            <w:pPr>
              <w:spacing w:lineRule="auto" w:line="240" w:after="0" w:beforeAutospacing="0" w:afterAutospacing="0"/>
              <w:jc w:val="center"/>
              <w:rPr>
                <w:rFonts w:ascii="Times New Roman" w:hAnsi="Times New Roman" w:cs="Times New Roman" w:eastAsia="Times New Roman"/>
                <w:sz w:val="24"/>
                <w:szCs w:val="24"/>
                <w:highlight w:val="yellow"/>
                <w:lang w:eastAsia="ru-RU"/>
              </w:rPr>
            </w:pPr>
            <w:r>
              <w:rPr>
                <w:rFonts w:ascii="Times New Roman" w:hAnsi="Times New Roman" w:cs="Times New Roman" w:eastAsia="Times New Roman"/>
                <w:sz w:val="24"/>
                <w:szCs w:val="24"/>
                <w:highlight w:val="yellow"/>
                <w:lang w:eastAsia="ru-RU"/>
              </w:rPr>
              <w:t>22,96</w:t>
            </w:r>
          </w:p>
        </w:tc>
        <w:tc>
          <w:tcPr>
            <w:tcW w:w="923" w:type="dxa"/>
            <w:noWrap/>
            <w:vAlign w:val="center"/>
          </w:tcPr>
          <w:p>
            <w:pPr>
              <w:spacing w:lineRule="auto" w:line="240" w:after="0" w:beforeAutospacing="0" w:afterAutospacing="0"/>
              <w:jc w:val="center"/>
              <w:rPr>
                <w:rFonts w:ascii="Times New Roman" w:hAnsi="Times New Roman" w:cs="Times New Roman" w:eastAsia="Times New Roman"/>
                <w:sz w:val="24"/>
                <w:szCs w:val="24"/>
                <w:highlight w:val="yellow"/>
                <w:lang w:eastAsia="ru-RU"/>
              </w:rPr>
            </w:pPr>
          </w:p>
        </w:tc>
        <w:tc>
          <w:tcPr>
            <w:tcW w:w="778" w:type="dxa"/>
          </w:tcPr>
          <w:p>
            <w:pPr>
              <w:spacing w:lineRule="auto" w:line="240" w:after="0" w:beforeAutospacing="0" w:afterAutospacing="0"/>
              <w:jc w:val="center"/>
              <w:rPr>
                <w:rFonts w:ascii="Times New Roman" w:hAnsi="Times New Roman" w:cs="Times New Roman" w:eastAsia="Times New Roman"/>
                <w:sz w:val="24"/>
                <w:szCs w:val="24"/>
                <w:highlight w:val="yellow"/>
                <w:lang w:eastAsia="ru-RU"/>
              </w:rPr>
            </w:pPr>
          </w:p>
        </w:tc>
        <w:tc>
          <w:tcPr>
            <w:tcW w:w="923" w:type="dxa"/>
          </w:tcPr>
          <w:p>
            <w:pPr>
              <w:spacing w:lineRule="auto" w:line="240" w:after="0" w:beforeAutospacing="0" w:afterAutospacing="0"/>
              <w:jc w:val="center"/>
              <w:rPr>
                <w:rFonts w:ascii="Times New Roman" w:hAnsi="Times New Roman" w:cs="Times New Roman" w:eastAsia="Times New Roman"/>
                <w:sz w:val="24"/>
                <w:szCs w:val="24"/>
                <w:highlight w:val="yellow"/>
                <w:lang w:eastAsia="ru-RU"/>
              </w:rPr>
            </w:pPr>
          </w:p>
        </w:tc>
      </w:tr>
      <w:tr>
        <w:trPr>
          <w:trHeight w:hRule="atLeast" w:val="315"/>
        </w:trPr>
        <w:tc>
          <w:tcPr>
            <w:tcW w:w="2972" w:type="dxa"/>
            <w:vAlign w:val="center"/>
            <w:hideMark/>
          </w:tcPr>
          <w:p>
            <w:pPr>
              <w:spacing w:lineRule="auto" w:line="240" w:after="0" w:beforeAutospacing="0" w:afterAutospacing="0"/>
              <w:rPr>
                <w:rFonts w:ascii="Times New Roman" w:hAnsi="Times New Roman" w:cs="Times New Roman" w:eastAsia="Times New Roman"/>
                <w:sz w:val="24"/>
                <w:szCs w:val="24"/>
                <w:highlight w:val="yellow"/>
                <w:lang w:eastAsia="ru-RU"/>
              </w:rPr>
            </w:pPr>
            <w:r>
              <w:rPr>
                <w:rFonts w:ascii="Times New Roman" w:hAnsi="Times New Roman" w:cs="Times New Roman" w:eastAsia="Times New Roman"/>
                <w:sz w:val="24"/>
                <w:szCs w:val="24"/>
                <w:highlight w:val="yellow"/>
                <w:lang w:eastAsia="ru-RU"/>
              </w:rPr>
              <w:t>Импорт товаров и услуг, % от ВВП</w:t>
            </w:r>
          </w:p>
        </w:tc>
        <w:tc>
          <w:tcPr>
            <w:tcW w:w="1116" w:type="dxa"/>
            <w:vAlign w:val="center"/>
          </w:tcPr>
          <w:p>
            <w:pPr>
              <w:spacing w:lineRule="auto" w:line="240" w:after="0" w:beforeAutospacing="0" w:afterAutospacing="0"/>
              <w:jc w:val="center"/>
              <w:rPr>
                <w:rFonts w:ascii="Times New Roman" w:hAnsi="Times New Roman" w:cs="Times New Roman" w:eastAsia="Times New Roman"/>
                <w:sz w:val="24"/>
                <w:szCs w:val="24"/>
                <w:highlight w:val="yellow"/>
                <w:lang w:eastAsia="ru-RU"/>
              </w:rPr>
            </w:pPr>
            <w:r>
              <w:rPr>
                <w:rFonts w:ascii="Times New Roman" w:hAnsi="Times New Roman" w:cs="Times New Roman" w:eastAsia="Times New Roman"/>
                <w:sz w:val="24"/>
                <w:szCs w:val="24"/>
                <w:highlight w:val="yellow"/>
                <w:lang w:eastAsia="ru-RU"/>
              </w:rPr>
              <w:t>25,36</w:t>
            </w:r>
          </w:p>
        </w:tc>
        <w:tc>
          <w:tcPr>
            <w:tcW w:w="1116" w:type="dxa"/>
            <w:vAlign w:val="center"/>
          </w:tcPr>
          <w:p>
            <w:pPr>
              <w:spacing w:lineRule="auto" w:line="240" w:after="0" w:beforeAutospacing="0" w:afterAutospacing="0"/>
              <w:jc w:val="center"/>
              <w:rPr>
                <w:rFonts w:ascii="Times New Roman" w:hAnsi="Times New Roman" w:cs="Times New Roman" w:eastAsia="Times New Roman"/>
                <w:sz w:val="24"/>
                <w:szCs w:val="24"/>
                <w:highlight w:val="yellow"/>
                <w:lang w:eastAsia="ru-RU"/>
              </w:rPr>
            </w:pPr>
            <w:r>
              <w:rPr>
                <w:rFonts w:ascii="Times New Roman" w:hAnsi="Times New Roman" w:cs="Times New Roman" w:eastAsia="Times New Roman"/>
                <w:sz w:val="24"/>
                <w:szCs w:val="24"/>
                <w:highlight w:val="yellow"/>
                <w:lang w:eastAsia="ru-RU"/>
              </w:rPr>
              <w:t>23,62</w:t>
            </w:r>
          </w:p>
        </w:tc>
        <w:tc>
          <w:tcPr>
            <w:tcW w:w="1116" w:type="dxa"/>
            <w:vAlign w:val="center"/>
          </w:tcPr>
          <w:p>
            <w:pPr>
              <w:spacing w:lineRule="auto" w:line="240" w:after="0" w:beforeAutospacing="0" w:afterAutospacing="0"/>
              <w:jc w:val="center"/>
              <w:rPr>
                <w:rFonts w:ascii="Times New Roman" w:hAnsi="Times New Roman" w:cs="Times New Roman" w:eastAsia="Times New Roman"/>
                <w:sz w:val="24"/>
                <w:szCs w:val="24"/>
                <w:highlight w:val="yellow"/>
                <w:lang w:eastAsia="ru-RU"/>
              </w:rPr>
            </w:pPr>
            <w:r>
              <w:rPr>
                <w:rFonts w:ascii="Times New Roman" w:hAnsi="Times New Roman" w:cs="Times New Roman" w:eastAsia="Times New Roman"/>
                <w:sz w:val="24"/>
                <w:szCs w:val="24"/>
                <w:highlight w:val="yellow"/>
                <w:lang w:eastAsia="ru-RU"/>
              </w:rPr>
              <w:t>22,62</w:t>
            </w:r>
          </w:p>
        </w:tc>
        <w:tc>
          <w:tcPr>
            <w:tcW w:w="1116" w:type="dxa"/>
            <w:vAlign w:val="center"/>
          </w:tcPr>
          <w:p>
            <w:pPr>
              <w:spacing w:lineRule="auto" w:line="240" w:after="0" w:beforeAutospacing="0" w:afterAutospacing="0"/>
              <w:jc w:val="center"/>
              <w:rPr>
                <w:rFonts w:ascii="Times New Roman" w:hAnsi="Times New Roman" w:cs="Times New Roman" w:eastAsia="Times New Roman"/>
                <w:sz w:val="24"/>
                <w:szCs w:val="24"/>
                <w:highlight w:val="yellow"/>
                <w:lang w:eastAsia="ru-RU"/>
              </w:rPr>
            </w:pPr>
            <w:r>
              <w:rPr>
                <w:rFonts w:ascii="Times New Roman" w:hAnsi="Times New Roman" w:cs="Times New Roman" w:eastAsia="Times New Roman"/>
                <w:sz w:val="24"/>
                <w:szCs w:val="24"/>
                <w:highlight w:val="yellow"/>
                <w:lang w:eastAsia="ru-RU"/>
              </w:rPr>
              <w:t>22,76</w:t>
            </w:r>
          </w:p>
        </w:tc>
        <w:tc>
          <w:tcPr>
            <w:tcW w:w="923" w:type="dxa"/>
            <w:noWrap/>
            <w:vAlign w:val="center"/>
          </w:tcPr>
          <w:p>
            <w:pPr>
              <w:spacing w:lineRule="auto" w:line="240" w:after="0" w:beforeAutospacing="0" w:afterAutospacing="0"/>
              <w:jc w:val="center"/>
              <w:rPr>
                <w:rFonts w:ascii="Times New Roman" w:hAnsi="Times New Roman" w:cs="Times New Roman" w:eastAsia="Times New Roman"/>
                <w:sz w:val="24"/>
                <w:szCs w:val="24"/>
                <w:highlight w:val="yellow"/>
                <w:lang w:eastAsia="ru-RU"/>
              </w:rPr>
            </w:pPr>
          </w:p>
        </w:tc>
        <w:tc>
          <w:tcPr>
            <w:tcW w:w="778" w:type="dxa"/>
          </w:tcPr>
          <w:p>
            <w:pPr>
              <w:spacing w:lineRule="auto" w:line="240" w:after="0" w:beforeAutospacing="0" w:afterAutospacing="0"/>
              <w:jc w:val="center"/>
              <w:rPr>
                <w:rFonts w:ascii="Times New Roman" w:hAnsi="Times New Roman" w:cs="Times New Roman" w:eastAsia="Times New Roman"/>
                <w:sz w:val="24"/>
                <w:szCs w:val="24"/>
                <w:highlight w:val="yellow"/>
                <w:lang w:eastAsia="ru-RU"/>
              </w:rPr>
            </w:pPr>
          </w:p>
        </w:tc>
        <w:tc>
          <w:tcPr>
            <w:tcW w:w="923" w:type="dxa"/>
          </w:tcPr>
          <w:p>
            <w:pPr>
              <w:spacing w:lineRule="auto" w:line="240" w:after="0" w:beforeAutospacing="0" w:afterAutospacing="0"/>
              <w:jc w:val="center"/>
              <w:rPr>
                <w:rFonts w:ascii="Times New Roman" w:hAnsi="Times New Roman" w:cs="Times New Roman" w:eastAsia="Times New Roman"/>
                <w:sz w:val="24"/>
                <w:szCs w:val="24"/>
                <w:highlight w:val="yellow"/>
                <w:lang w:eastAsia="ru-RU"/>
              </w:rPr>
            </w:pPr>
          </w:p>
        </w:tc>
      </w:tr>
      <w:tr>
        <w:trPr>
          <w:trHeight w:hRule="atLeast" w:val="315"/>
        </w:trPr>
        <w:tc>
          <w:tcPr>
            <w:tcW w:w="2972" w:type="dxa"/>
            <w:vAlign w:val="center"/>
            <w:hideMark/>
          </w:tcPr>
          <w:p>
            <w:pPr>
              <w:spacing w:lineRule="auto" w:line="240" w:after="0" w:beforeAutospacing="0" w:afterAutospacing="0"/>
              <w:rPr>
                <w:rFonts w:ascii="Times New Roman" w:hAnsi="Times New Roman" w:cs="Times New Roman" w:eastAsia="Times New Roman"/>
                <w:sz w:val="24"/>
                <w:szCs w:val="24"/>
                <w:highlight w:val="yellow"/>
                <w:lang w:eastAsia="ru-RU"/>
              </w:rPr>
            </w:pPr>
            <w:r>
              <w:rPr>
                <w:rFonts w:ascii="Times New Roman" w:hAnsi="Times New Roman" w:cs="Times New Roman" w:eastAsia="Times New Roman"/>
                <w:sz w:val="24"/>
                <w:szCs w:val="24"/>
                <w:highlight w:val="yellow"/>
                <w:lang w:eastAsia="ru-RU"/>
              </w:rPr>
              <w:t>Доходы, за исключением грантов, % от ВВП</w:t>
            </w:r>
          </w:p>
        </w:tc>
        <w:tc>
          <w:tcPr>
            <w:tcW w:w="1116" w:type="dxa"/>
            <w:vAlign w:val="center"/>
          </w:tcPr>
          <w:p>
            <w:pPr>
              <w:spacing w:lineRule="auto" w:line="240" w:after="0" w:beforeAutospacing="0" w:afterAutospacing="0"/>
              <w:jc w:val="center"/>
              <w:rPr>
                <w:rFonts w:ascii="Times New Roman" w:hAnsi="Times New Roman" w:cs="Times New Roman" w:eastAsia="Times New Roman"/>
                <w:sz w:val="24"/>
                <w:szCs w:val="24"/>
                <w:highlight w:val="yellow"/>
                <w:lang w:eastAsia="ru-RU"/>
              </w:rPr>
            </w:pPr>
            <w:r>
              <w:rPr>
                <w:rFonts w:ascii="Times New Roman" w:hAnsi="Times New Roman" w:cs="Times New Roman" w:eastAsia="Times New Roman"/>
                <w:sz w:val="24"/>
                <w:szCs w:val="24"/>
                <w:highlight w:val="yellow"/>
                <w:lang w:eastAsia="ru-RU"/>
              </w:rPr>
              <w:t>12,16</w:t>
            </w:r>
          </w:p>
        </w:tc>
        <w:tc>
          <w:tcPr>
            <w:tcW w:w="1116" w:type="dxa"/>
            <w:vAlign w:val="center"/>
          </w:tcPr>
          <w:p>
            <w:pPr>
              <w:spacing w:lineRule="auto" w:line="240" w:after="0" w:beforeAutospacing="0" w:afterAutospacing="0"/>
              <w:jc w:val="center"/>
              <w:rPr>
                <w:rFonts w:ascii="Times New Roman" w:hAnsi="Times New Roman" w:cs="Times New Roman" w:eastAsia="Times New Roman"/>
                <w:sz w:val="24"/>
                <w:szCs w:val="24"/>
                <w:highlight w:val="yellow"/>
                <w:lang w:eastAsia="ru-RU"/>
              </w:rPr>
            </w:pPr>
            <w:r>
              <w:rPr>
                <w:rFonts w:ascii="Times New Roman" w:hAnsi="Times New Roman" w:cs="Times New Roman" w:eastAsia="Times New Roman"/>
                <w:sz w:val="24"/>
                <w:szCs w:val="24"/>
                <w:highlight w:val="yellow"/>
                <w:lang w:eastAsia="ru-RU"/>
              </w:rPr>
              <w:t>12,17</w:t>
            </w:r>
          </w:p>
        </w:tc>
        <w:tc>
          <w:tcPr>
            <w:tcW w:w="1116" w:type="dxa"/>
            <w:vAlign w:val="center"/>
          </w:tcPr>
          <w:p>
            <w:pPr>
              <w:spacing w:lineRule="auto" w:line="240" w:after="0" w:beforeAutospacing="0" w:afterAutospacing="0"/>
              <w:jc w:val="center"/>
              <w:rPr>
                <w:rFonts w:ascii="Times New Roman" w:hAnsi="Times New Roman" w:cs="Times New Roman" w:eastAsia="Times New Roman"/>
                <w:sz w:val="24"/>
                <w:szCs w:val="24"/>
                <w:highlight w:val="yellow"/>
                <w:lang w:eastAsia="ru-RU"/>
              </w:rPr>
            </w:pPr>
            <w:r>
              <w:rPr>
                <w:rFonts w:ascii="Times New Roman" w:hAnsi="Times New Roman" w:cs="Times New Roman" w:eastAsia="Times New Roman"/>
                <w:sz w:val="24"/>
                <w:szCs w:val="24"/>
                <w:highlight w:val="yellow"/>
                <w:lang w:eastAsia="ru-RU"/>
              </w:rPr>
              <w:t>12,34</w:t>
            </w:r>
          </w:p>
        </w:tc>
        <w:tc>
          <w:tcPr>
            <w:tcW w:w="1116" w:type="dxa"/>
            <w:vAlign w:val="center"/>
          </w:tcPr>
          <w:p>
            <w:pPr>
              <w:spacing w:lineRule="auto" w:line="240" w:after="0" w:beforeAutospacing="0" w:afterAutospacing="0"/>
              <w:jc w:val="center"/>
              <w:rPr>
                <w:rFonts w:ascii="Times New Roman" w:hAnsi="Times New Roman" w:cs="Times New Roman" w:eastAsia="Times New Roman"/>
                <w:sz w:val="24"/>
                <w:szCs w:val="24"/>
                <w:highlight w:val="yellow"/>
                <w:lang w:eastAsia="ru-RU"/>
              </w:rPr>
            </w:pPr>
            <w:r>
              <w:rPr>
                <w:rFonts w:ascii="Times New Roman" w:hAnsi="Times New Roman" w:cs="Times New Roman" w:eastAsia="Times New Roman"/>
                <w:sz w:val="24"/>
                <w:szCs w:val="24"/>
                <w:highlight w:val="yellow"/>
                <w:lang w:eastAsia="ru-RU"/>
              </w:rPr>
              <w:t>..</w:t>
            </w:r>
          </w:p>
        </w:tc>
        <w:tc>
          <w:tcPr>
            <w:tcW w:w="923" w:type="dxa"/>
            <w:noWrap/>
            <w:vAlign w:val="center"/>
          </w:tcPr>
          <w:p>
            <w:pPr>
              <w:spacing w:lineRule="auto" w:line="240" w:after="0" w:beforeAutospacing="0" w:afterAutospacing="0"/>
              <w:jc w:val="center"/>
              <w:rPr>
                <w:rFonts w:ascii="Times New Roman" w:hAnsi="Times New Roman" w:cs="Times New Roman" w:eastAsia="Times New Roman"/>
                <w:sz w:val="24"/>
                <w:szCs w:val="24"/>
                <w:highlight w:val="yellow"/>
                <w:lang w:eastAsia="ru-RU"/>
              </w:rPr>
            </w:pPr>
          </w:p>
        </w:tc>
        <w:tc>
          <w:tcPr>
            <w:tcW w:w="778" w:type="dxa"/>
          </w:tcPr>
          <w:p>
            <w:pPr>
              <w:spacing w:lineRule="auto" w:line="240" w:after="0" w:beforeAutospacing="0" w:afterAutospacing="0"/>
              <w:jc w:val="center"/>
              <w:rPr>
                <w:rFonts w:ascii="Times New Roman" w:hAnsi="Times New Roman" w:cs="Times New Roman" w:eastAsia="Times New Roman"/>
                <w:sz w:val="24"/>
                <w:szCs w:val="24"/>
                <w:highlight w:val="yellow"/>
                <w:lang w:eastAsia="ru-RU"/>
              </w:rPr>
            </w:pPr>
          </w:p>
        </w:tc>
        <w:tc>
          <w:tcPr>
            <w:tcW w:w="923" w:type="dxa"/>
          </w:tcPr>
          <w:p>
            <w:pPr>
              <w:spacing w:lineRule="auto" w:line="240" w:after="0" w:beforeAutospacing="0" w:afterAutospacing="0"/>
              <w:jc w:val="center"/>
              <w:rPr>
                <w:rFonts w:ascii="Times New Roman" w:hAnsi="Times New Roman" w:cs="Times New Roman" w:eastAsia="Times New Roman"/>
                <w:sz w:val="24"/>
                <w:szCs w:val="24"/>
                <w:highlight w:val="yellow"/>
                <w:lang w:eastAsia="ru-RU"/>
              </w:rPr>
            </w:pPr>
          </w:p>
        </w:tc>
      </w:tr>
      <w:tr>
        <w:trPr>
          <w:trHeight w:hRule="atLeast" w:val="315"/>
        </w:trPr>
        <w:tc>
          <w:tcPr>
            <w:tcW w:w="2972" w:type="dxa"/>
            <w:vAlign w:val="center"/>
            <w:hideMark/>
          </w:tcPr>
          <w:p>
            <w:pPr>
              <w:spacing w:lineRule="auto" w:line="240" w:after="0" w:beforeAutospacing="0" w:afterAutospacing="0"/>
              <w:rPr>
                <w:rFonts w:ascii="Times New Roman" w:hAnsi="Times New Roman" w:cs="Times New Roman" w:eastAsia="Times New Roman"/>
                <w:sz w:val="24"/>
                <w:szCs w:val="24"/>
                <w:highlight w:val="yellow"/>
                <w:lang w:eastAsia="ru-RU"/>
              </w:rPr>
            </w:pPr>
            <w:r>
              <w:rPr>
                <w:rFonts w:ascii="Times New Roman" w:hAnsi="Times New Roman" w:cs="Times New Roman" w:eastAsia="Times New Roman"/>
                <w:sz w:val="24"/>
                <w:szCs w:val="24"/>
                <w:highlight w:val="yellow"/>
                <w:lang w:eastAsia="ru-RU"/>
              </w:rPr>
              <w:t>Налоговые поступления, % от ВВП</w:t>
            </w:r>
          </w:p>
        </w:tc>
        <w:tc>
          <w:tcPr>
            <w:tcW w:w="1116" w:type="dxa"/>
            <w:vAlign w:val="center"/>
          </w:tcPr>
          <w:p>
            <w:pPr>
              <w:spacing w:lineRule="auto" w:line="240" w:after="0" w:beforeAutospacing="0" w:afterAutospacing="0"/>
              <w:jc w:val="center"/>
              <w:rPr>
                <w:rFonts w:ascii="Times New Roman" w:hAnsi="Times New Roman" w:cs="Times New Roman" w:eastAsia="Times New Roman"/>
                <w:sz w:val="24"/>
                <w:szCs w:val="24"/>
                <w:highlight w:val="yellow"/>
                <w:lang w:eastAsia="ru-RU"/>
              </w:rPr>
            </w:pPr>
            <w:r>
              <w:rPr>
                <w:rFonts w:ascii="Times New Roman" w:hAnsi="Times New Roman" w:cs="Times New Roman" w:eastAsia="Times New Roman"/>
                <w:sz w:val="24"/>
                <w:szCs w:val="24"/>
                <w:highlight w:val="yellow"/>
                <w:lang w:eastAsia="ru-RU"/>
              </w:rPr>
              <w:t>11,18</w:t>
            </w:r>
          </w:p>
        </w:tc>
        <w:tc>
          <w:tcPr>
            <w:tcW w:w="1116" w:type="dxa"/>
            <w:vAlign w:val="center"/>
          </w:tcPr>
          <w:p>
            <w:pPr>
              <w:spacing w:lineRule="auto" w:line="240" w:after="0" w:beforeAutospacing="0" w:afterAutospacing="0"/>
              <w:jc w:val="center"/>
              <w:rPr>
                <w:rFonts w:ascii="Times New Roman" w:hAnsi="Times New Roman" w:cs="Times New Roman" w:eastAsia="Times New Roman"/>
                <w:sz w:val="24"/>
                <w:szCs w:val="24"/>
                <w:highlight w:val="yellow"/>
                <w:lang w:eastAsia="ru-RU"/>
              </w:rPr>
            </w:pPr>
            <w:r>
              <w:rPr>
                <w:rFonts w:ascii="Times New Roman" w:hAnsi="Times New Roman" w:cs="Times New Roman" w:eastAsia="Times New Roman"/>
                <w:sz w:val="24"/>
                <w:szCs w:val="24"/>
                <w:highlight w:val="yellow"/>
                <w:lang w:eastAsia="ru-RU"/>
              </w:rPr>
              <w:t>11,97</w:t>
            </w:r>
          </w:p>
        </w:tc>
        <w:tc>
          <w:tcPr>
            <w:tcW w:w="1116" w:type="dxa"/>
            <w:vAlign w:val="center"/>
          </w:tcPr>
          <w:p>
            <w:pPr>
              <w:spacing w:lineRule="auto" w:line="240" w:after="0" w:beforeAutospacing="0" w:afterAutospacing="0"/>
              <w:jc w:val="center"/>
              <w:rPr>
                <w:rFonts w:ascii="Times New Roman" w:hAnsi="Times New Roman" w:cs="Times New Roman" w:eastAsia="Times New Roman"/>
                <w:sz w:val="24"/>
                <w:szCs w:val="24"/>
                <w:highlight w:val="yellow"/>
                <w:lang w:eastAsia="ru-RU"/>
              </w:rPr>
            </w:pPr>
            <w:r>
              <w:rPr>
                <w:rFonts w:ascii="Times New Roman" w:hAnsi="Times New Roman" w:cs="Times New Roman" w:eastAsia="Times New Roman"/>
                <w:sz w:val="24"/>
                <w:szCs w:val="24"/>
                <w:highlight w:val="yellow"/>
                <w:lang w:eastAsia="ru-RU"/>
              </w:rPr>
              <w:t>12,03</w:t>
            </w:r>
          </w:p>
        </w:tc>
        <w:tc>
          <w:tcPr>
            <w:tcW w:w="1116" w:type="dxa"/>
            <w:vAlign w:val="center"/>
          </w:tcPr>
          <w:p>
            <w:pPr>
              <w:spacing w:lineRule="auto" w:line="240" w:after="0" w:beforeAutospacing="0" w:afterAutospacing="0"/>
              <w:jc w:val="center"/>
              <w:rPr>
                <w:rFonts w:ascii="Times New Roman" w:hAnsi="Times New Roman" w:cs="Times New Roman" w:eastAsia="Times New Roman"/>
                <w:sz w:val="24"/>
                <w:szCs w:val="24"/>
                <w:highlight w:val="yellow"/>
                <w:lang w:eastAsia="ru-RU"/>
              </w:rPr>
            </w:pPr>
            <w:r>
              <w:rPr>
                <w:rFonts w:ascii="Times New Roman" w:hAnsi="Times New Roman" w:cs="Times New Roman" w:eastAsia="Times New Roman"/>
                <w:sz w:val="24"/>
                <w:szCs w:val="24"/>
                <w:highlight w:val="yellow"/>
                <w:lang w:eastAsia="ru-RU"/>
              </w:rPr>
              <w:t>..</w:t>
            </w:r>
          </w:p>
        </w:tc>
        <w:tc>
          <w:tcPr>
            <w:tcW w:w="923" w:type="dxa"/>
            <w:noWrap/>
            <w:vAlign w:val="center"/>
          </w:tcPr>
          <w:p>
            <w:pPr>
              <w:spacing w:lineRule="auto" w:line="240" w:after="0" w:beforeAutospacing="0" w:afterAutospacing="0"/>
              <w:jc w:val="center"/>
              <w:rPr>
                <w:rFonts w:ascii="Times New Roman" w:hAnsi="Times New Roman" w:cs="Times New Roman" w:eastAsia="Times New Roman"/>
                <w:sz w:val="24"/>
                <w:szCs w:val="24"/>
                <w:highlight w:val="yellow"/>
                <w:lang w:eastAsia="ru-RU"/>
              </w:rPr>
            </w:pPr>
          </w:p>
        </w:tc>
        <w:tc>
          <w:tcPr>
            <w:tcW w:w="778" w:type="dxa"/>
          </w:tcPr>
          <w:p>
            <w:pPr>
              <w:spacing w:lineRule="auto" w:line="240" w:after="0" w:beforeAutospacing="0" w:afterAutospacing="0"/>
              <w:jc w:val="center"/>
              <w:rPr>
                <w:rFonts w:ascii="Times New Roman" w:hAnsi="Times New Roman" w:cs="Times New Roman" w:eastAsia="Times New Roman"/>
                <w:sz w:val="24"/>
                <w:szCs w:val="24"/>
                <w:highlight w:val="yellow"/>
                <w:lang w:eastAsia="ru-RU"/>
              </w:rPr>
            </w:pPr>
          </w:p>
        </w:tc>
        <w:tc>
          <w:tcPr>
            <w:tcW w:w="923" w:type="dxa"/>
          </w:tcPr>
          <w:p>
            <w:pPr>
              <w:spacing w:lineRule="auto" w:line="240" w:after="0" w:beforeAutospacing="0" w:afterAutospacing="0"/>
              <w:jc w:val="center"/>
              <w:rPr>
                <w:rFonts w:ascii="Times New Roman" w:hAnsi="Times New Roman" w:cs="Times New Roman" w:eastAsia="Times New Roman"/>
                <w:sz w:val="24"/>
                <w:szCs w:val="24"/>
                <w:highlight w:val="yellow"/>
                <w:lang w:eastAsia="ru-RU"/>
              </w:rPr>
            </w:pPr>
          </w:p>
        </w:tc>
      </w:tr>
      <w:tr>
        <w:trPr>
          <w:trHeight w:hRule="atLeast" w:val="315"/>
        </w:trPr>
        <w:tc>
          <w:tcPr>
            <w:tcW w:w="2972" w:type="dxa"/>
            <w:vAlign w:val="center"/>
            <w:hideMark/>
          </w:tcPr>
          <w:p>
            <w:pPr>
              <w:spacing w:lineRule="auto" w:line="240" w:after="0" w:beforeAutospacing="0" w:afterAutospacing="0"/>
              <w:rPr>
                <w:rFonts w:ascii="Times New Roman" w:hAnsi="Times New Roman" w:cs="Times New Roman" w:eastAsia="Times New Roman"/>
                <w:sz w:val="24"/>
                <w:szCs w:val="24"/>
                <w:highlight w:val="yellow"/>
                <w:lang w:eastAsia="ru-RU"/>
              </w:rPr>
            </w:pPr>
            <w:r>
              <w:rPr>
                <w:rFonts w:ascii="Times New Roman" w:hAnsi="Times New Roman" w:cs="Times New Roman" w:eastAsia="Times New Roman"/>
                <w:sz w:val="24"/>
                <w:szCs w:val="24"/>
                <w:highlight w:val="yellow"/>
                <w:lang w:eastAsia="ru-RU"/>
              </w:rPr>
              <w:t>Военные расходы, % ВВП</w:t>
            </w:r>
          </w:p>
        </w:tc>
        <w:tc>
          <w:tcPr>
            <w:tcW w:w="1116" w:type="dxa"/>
            <w:vAlign w:val="center"/>
          </w:tcPr>
          <w:p>
            <w:pPr>
              <w:spacing w:lineRule="auto" w:line="240" w:after="0" w:beforeAutospacing="0" w:afterAutospacing="0"/>
              <w:jc w:val="center"/>
              <w:rPr>
                <w:rFonts w:ascii="Times New Roman" w:hAnsi="Times New Roman" w:cs="Times New Roman" w:eastAsia="Times New Roman"/>
                <w:sz w:val="24"/>
                <w:szCs w:val="24"/>
                <w:highlight w:val="yellow"/>
                <w:lang w:eastAsia="ru-RU"/>
              </w:rPr>
            </w:pPr>
            <w:r>
              <w:rPr>
                <w:rFonts w:ascii="Times New Roman" w:hAnsi="Times New Roman" w:cs="Times New Roman" w:eastAsia="Times New Roman"/>
                <w:sz w:val="24"/>
                <w:szCs w:val="24"/>
                <w:highlight w:val="yellow"/>
                <w:lang w:eastAsia="ru-RU"/>
              </w:rPr>
              <w:t>1,72</w:t>
            </w:r>
          </w:p>
        </w:tc>
        <w:tc>
          <w:tcPr>
            <w:tcW w:w="1116" w:type="dxa"/>
            <w:vAlign w:val="center"/>
          </w:tcPr>
          <w:p>
            <w:pPr>
              <w:spacing w:lineRule="auto" w:line="240" w:after="0" w:beforeAutospacing="0" w:afterAutospacing="0"/>
              <w:jc w:val="center"/>
              <w:rPr>
                <w:rFonts w:ascii="Times New Roman" w:hAnsi="Times New Roman" w:cs="Times New Roman" w:eastAsia="Times New Roman"/>
                <w:sz w:val="24"/>
                <w:szCs w:val="24"/>
                <w:highlight w:val="yellow"/>
                <w:lang w:eastAsia="ru-RU"/>
              </w:rPr>
            </w:pPr>
            <w:r>
              <w:rPr>
                <w:rFonts w:ascii="Times New Roman" w:hAnsi="Times New Roman" w:cs="Times New Roman" w:eastAsia="Times New Roman"/>
                <w:sz w:val="24"/>
                <w:szCs w:val="24"/>
                <w:highlight w:val="yellow"/>
                <w:lang w:eastAsia="ru-RU"/>
              </w:rPr>
              <w:t>1,33</w:t>
            </w:r>
          </w:p>
        </w:tc>
        <w:tc>
          <w:tcPr>
            <w:tcW w:w="1116" w:type="dxa"/>
            <w:vAlign w:val="center"/>
          </w:tcPr>
          <w:p>
            <w:pPr>
              <w:spacing w:lineRule="auto" w:line="240" w:after="0" w:beforeAutospacing="0" w:afterAutospacing="0"/>
              <w:jc w:val="center"/>
              <w:rPr>
                <w:rFonts w:ascii="Times New Roman" w:hAnsi="Times New Roman" w:cs="Times New Roman" w:eastAsia="Times New Roman"/>
                <w:sz w:val="24"/>
                <w:szCs w:val="24"/>
                <w:highlight w:val="yellow"/>
                <w:lang w:eastAsia="ru-RU"/>
              </w:rPr>
            </w:pPr>
            <w:r>
              <w:rPr>
                <w:rFonts w:ascii="Times New Roman" w:hAnsi="Times New Roman" w:cs="Times New Roman" w:eastAsia="Times New Roman"/>
                <w:sz w:val="24"/>
                <w:szCs w:val="24"/>
                <w:highlight w:val="yellow"/>
                <w:lang w:eastAsia="ru-RU"/>
              </w:rPr>
              <w:t>1,23</w:t>
            </w:r>
          </w:p>
        </w:tc>
        <w:tc>
          <w:tcPr>
            <w:tcW w:w="1116" w:type="dxa"/>
            <w:vAlign w:val="center"/>
          </w:tcPr>
          <w:p>
            <w:pPr>
              <w:spacing w:lineRule="auto" w:line="240" w:after="0" w:beforeAutospacing="0" w:afterAutospacing="0"/>
              <w:jc w:val="center"/>
              <w:rPr>
                <w:rFonts w:ascii="Times New Roman" w:hAnsi="Times New Roman" w:cs="Times New Roman" w:eastAsia="Times New Roman"/>
                <w:sz w:val="24"/>
                <w:szCs w:val="24"/>
                <w:highlight w:val="yellow"/>
                <w:lang w:eastAsia="ru-RU"/>
              </w:rPr>
            </w:pPr>
            <w:r>
              <w:rPr>
                <w:rFonts w:ascii="Times New Roman" w:hAnsi="Times New Roman" w:cs="Times New Roman" w:eastAsia="Times New Roman"/>
                <w:sz w:val="24"/>
                <w:szCs w:val="24"/>
                <w:highlight w:val="yellow"/>
                <w:lang w:eastAsia="ru-RU"/>
              </w:rPr>
              <w:t>1,25</w:t>
            </w:r>
          </w:p>
        </w:tc>
        <w:tc>
          <w:tcPr>
            <w:tcW w:w="923" w:type="dxa"/>
            <w:noWrap/>
            <w:vAlign w:val="center"/>
          </w:tcPr>
          <w:p>
            <w:pPr>
              <w:spacing w:lineRule="auto" w:line="240" w:after="0" w:beforeAutospacing="0" w:afterAutospacing="0"/>
              <w:jc w:val="center"/>
              <w:rPr>
                <w:rFonts w:ascii="Times New Roman" w:hAnsi="Times New Roman" w:cs="Times New Roman" w:eastAsia="Times New Roman"/>
                <w:sz w:val="24"/>
                <w:szCs w:val="24"/>
                <w:highlight w:val="yellow"/>
                <w:lang w:eastAsia="ru-RU"/>
              </w:rPr>
            </w:pPr>
          </w:p>
        </w:tc>
        <w:tc>
          <w:tcPr>
            <w:tcW w:w="778" w:type="dxa"/>
          </w:tcPr>
          <w:p>
            <w:pPr>
              <w:spacing w:lineRule="auto" w:line="240" w:after="0" w:beforeAutospacing="0" w:afterAutospacing="0"/>
              <w:jc w:val="center"/>
              <w:rPr>
                <w:rFonts w:ascii="Times New Roman" w:hAnsi="Times New Roman" w:cs="Times New Roman" w:eastAsia="Times New Roman"/>
                <w:sz w:val="24"/>
                <w:szCs w:val="24"/>
                <w:highlight w:val="yellow"/>
                <w:lang w:eastAsia="ru-RU"/>
              </w:rPr>
            </w:pPr>
          </w:p>
        </w:tc>
        <w:tc>
          <w:tcPr>
            <w:tcW w:w="923" w:type="dxa"/>
          </w:tcPr>
          <w:p>
            <w:pPr>
              <w:spacing w:lineRule="auto" w:line="240" w:after="0" w:beforeAutospacing="0" w:afterAutospacing="0"/>
              <w:jc w:val="center"/>
              <w:rPr>
                <w:rFonts w:ascii="Times New Roman" w:hAnsi="Times New Roman" w:cs="Times New Roman" w:eastAsia="Times New Roman"/>
                <w:sz w:val="24"/>
                <w:szCs w:val="24"/>
                <w:highlight w:val="yellow"/>
                <w:lang w:eastAsia="ru-RU"/>
              </w:rPr>
            </w:pPr>
          </w:p>
        </w:tc>
      </w:tr>
    </w:tbl>
    <w:p>
      <w:pPr>
        <w:pStyle w:val="P13"/>
        <w:spacing w:lineRule="auto" w:line="360" w:beforeAutospacing="0" w:afterAutospacing="0"/>
        <w:ind w:firstLine="709"/>
        <w:jc w:val="both"/>
        <w:rPr>
          <w:sz w:val="28"/>
          <w:szCs w:val="28"/>
          <w:highlight w:val="yellow"/>
          <w:lang w:val="ru-RU"/>
        </w:rPr>
      </w:pPr>
    </w:p>
    <w:p>
      <w:pPr>
        <w:pStyle w:val="P13"/>
        <w:spacing w:lineRule="auto" w:line="360" w:beforeAutospacing="0" w:afterAutospacing="0"/>
        <w:ind w:firstLine="709"/>
        <w:jc w:val="both"/>
        <w:rPr>
          <w:sz w:val="28"/>
          <w:szCs w:val="28"/>
          <w:highlight w:val="yellow"/>
          <w:lang w:val="ru-RU"/>
        </w:rPr>
      </w:pPr>
      <w:r>
        <w:rPr>
          <w:sz w:val="28"/>
          <w:szCs w:val="28"/>
          <w:highlight w:val="yellow"/>
          <w:lang w:val="ru-RU"/>
        </w:rPr>
        <w:t>Реализация Повестки дня на период до 2030 года и Повестки дня на период до 2063 года представляет собой огромную проблему с точки зрения ресурсов, масштабов и срочности. Существует призыв к продвижению адекватных политических решений и запуску эффективных практических действий на всех уровнях. Транснациональное управление также важно для продвижения адекватных политических решений и запуска эффективных практических действий на всех уровнях. Правительства сталкиваются с серьезными проблемами, в том числе с фискальными ограничениями, политическими разногласиями, неустойчивостью государства, коррупцией и институциональными неудачами. Эти ограничения указывают на необходимость активного участия гражданского общества, а также выступать за политические реформы и государственные ресурсы в поддержку повестки дня в области развития, что позволит высвобождать дополнительные ресурсы и расширять возможности для достижения реализации.</w:t>
      </w:r>
    </w:p>
    <w:p>
      <w:pPr>
        <w:pStyle w:val="P13"/>
        <w:spacing w:lineRule="auto" w:line="360" w:beforeAutospacing="0" w:afterAutospacing="0"/>
        <w:ind w:firstLine="709"/>
        <w:jc w:val="both"/>
        <w:rPr>
          <w:sz w:val="28"/>
          <w:szCs w:val="28"/>
          <w:highlight w:val="yellow"/>
          <w:lang w:val="ru-RU"/>
        </w:rPr>
      </w:pPr>
      <w:bookmarkStart w:id="14" w:name="_Hlk138263037"/>
      <w:r>
        <w:rPr>
          <w:sz w:val="28"/>
          <w:szCs w:val="28"/>
          <w:highlight w:val="yellow"/>
          <w:lang w:val="ru-RU"/>
        </w:rPr>
        <w:t>Следует отметить, что в Республике Кот-Д’Ивуар среднедушевой доход, рассчитанный по паритету покупательской способности, имеет устойчивые темпы роста, его показатель все еще не достигает 10 тыс. долл. на душу населения (рисунок 2.5). В этой связи проблема поиска финансовых средств для достижения ЦУР остается актуальной и ее решение невозможно без участия помощи международных организаций.</w:t>
      </w:r>
    </w:p>
    <w:p>
      <w:pPr>
        <w:spacing w:lineRule="auto" w:line="360" w:after="0" w:beforeAutospacing="0" w:afterAutospacing="0"/>
        <w:jc w:val="center"/>
        <w:rPr>
          <w:rFonts w:ascii="Times New Roman" w:hAnsi="Times New Roman" w:cs="Times New Roman"/>
          <w:sz w:val="28"/>
          <w:szCs w:val="28"/>
          <w:highlight w:val="yellow"/>
        </w:rPr>
      </w:pPr>
      <w:bookmarkEnd w:id="14"/>
      <w:r>
        <w:rPr>
          <w:noProof w:val="1"/>
          <w:highlight w:val="yellow"/>
          <w:lang w:eastAsia="ru-RU"/>
        </w:rPr>
        <w:drawing>
          <wp:inline xmlns:wp="http://schemas.openxmlformats.org/drawingml/2006/wordprocessingDrawing" distT="0" distB="0" distL="0" distR="0">
            <wp:extent cx="5794375" cy="2520315"/>
            <wp:effectExtent l="0" t="0" r="15875" b="13335"/>
            <wp:docPr id="2" name="Диаграмма 2"/>
            <wp:cNvGraphicFramePr/>
            <a:graphic xmlns:a="http://schemas.openxmlformats.org/drawingml/2006/main">
              <a:graphicData uri="http://schemas.openxmlformats.org/drawingml/2006/chart">
                <c:chart xmlns:c="http://schemas.openxmlformats.org/drawingml/2006/chart" r:id="RelChart2"/>
              </a:graphicData>
            </a:graphic>
          </wp:inline>
        </w:drawing>
      </w:r>
    </w:p>
    <w:p>
      <w:pPr>
        <w:spacing w:lineRule="auto" w:line="360" w:after="0" w:beforeAutospacing="0" w:afterAutospacing="0"/>
        <w:jc w:val="center"/>
        <w:rPr>
          <w:rFonts w:ascii="Times New Roman" w:hAnsi="Times New Roman" w:cs="Times New Roman"/>
          <w:sz w:val="28"/>
          <w:szCs w:val="28"/>
        </w:rPr>
      </w:pPr>
      <w:r>
        <w:rPr>
          <w:rFonts w:ascii="Times New Roman" w:hAnsi="Times New Roman" w:cs="Times New Roman"/>
          <w:sz w:val="28"/>
          <w:szCs w:val="28"/>
          <w:highlight w:val="yellow"/>
        </w:rPr>
        <w:t>Рисунок 2.5 – Динамика валового национального дохода (ВНД) в расчете на душу населения по ППС в Республике Кот-д’Ивуар, долл. Источник: составлено автором по: [178, 188]</w:t>
      </w:r>
    </w:p>
    <w:p>
      <w:pPr>
        <w:pStyle w:val="P13"/>
        <w:spacing w:lineRule="auto" w:line="360" w:beforeAutospacing="0" w:afterAutospacing="0"/>
        <w:ind w:firstLine="709"/>
        <w:jc w:val="both"/>
        <w:rPr>
          <w:color w:val="00B0F0"/>
          <w:sz w:val="28"/>
          <w:szCs w:val="28"/>
          <w:lang w:val="ru-RU"/>
        </w:rPr>
      </w:pPr>
    </w:p>
    <w:p>
      <w:pPr>
        <w:pStyle w:val="P13"/>
        <w:spacing w:lineRule="auto" w:line="360" w:beforeAutospacing="0" w:afterAutospacing="0"/>
        <w:ind w:firstLine="709"/>
        <w:jc w:val="both"/>
        <w:rPr>
          <w:color w:val="00B0F0"/>
          <w:sz w:val="28"/>
          <w:szCs w:val="28"/>
          <w:lang w:val="ru-RU"/>
        </w:rPr>
      </w:pPr>
      <w:r>
        <w:rPr>
          <w:noProof w:val="1"/>
          <w:lang w:val="ru-RU" w:eastAsia="ru-RU"/>
        </w:rPr>
        <w:drawing>
          <wp:inline xmlns:wp="http://schemas.openxmlformats.org/drawingml/2006/wordprocessingDrawing" distT="0" distB="0" distL="0" distR="0">
            <wp:extent cx="5111115" cy="2667000"/>
            <wp:effectExtent l="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png"/>
                    <pic:cNvPicPr/>
                  </pic:nvPicPr>
                  <pic:blipFill dpi="0">
                    <a:blip xmlns:r="http://schemas.openxmlformats.org/officeDocument/2006/relationships" r:embed="Relimage3"/>
                    <a:srcRect/>
                    <a:stretch>
                      <a:fillRect/>
                    </a:stretch>
                  </pic:blipFill>
                  <pic:spPr>
                    <a:xfrm>
                      <a:off x="0" y="0"/>
                      <a:ext cx="5116981" cy="2670155"/>
                    </a:xfrm>
                    <a:prstGeom prst="rect"/>
                  </pic:spPr>
                </pic:pic>
              </a:graphicData>
            </a:graphic>
          </wp:inline>
        </w:drawing>
      </w:r>
    </w:p>
    <w:p>
      <w:pPr>
        <w:spacing w:lineRule="auto" w:line="240" w:after="0" w:beforeAutospacing="0" w:afterAutospacing="0"/>
        <w:jc w:val="center"/>
      </w:pPr>
      <w:r>
        <w:rPr>
          <w:rFonts w:ascii="Times New Roman" w:hAnsi="Times New Roman"/>
          <w:i w:val="1"/>
          <w:color w:val="555555"/>
        </w:rPr>
        <w:t>Рисунок 2. Секторальная структура ВВП Кот-д'Ивуара: сравнение 2011 и 2025 гг.</w:t>
      </w:r>
      <w:r>
        <w:rPr>
          <w:rFonts w:ascii="Times New Roman" w:hAnsi="Times New Roman"/>
          <w:i w:val="1"/>
          <w:color w:val="555555"/>
        </w:rPr>
        <w:br w:type="textWrapping"/>
      </w:r>
      <w:r>
        <w:rPr>
          <w:rFonts w:ascii="Times New Roman" w:hAnsi="Times New Roman"/>
          <w:i w:val="1"/>
          <w:color w:val="555555"/>
        </w:rPr>
        <w:t>Примечание. Составлено автором по данным [7; 11].</w:t>
      </w:r>
    </w:p>
    <w:p>
      <w:pPr>
        <w:spacing w:lineRule="exact" w:line="440" w:after="0" w:beforeAutospacing="0" w:afterAutospacing="0"/>
        <w:ind w:firstLine="709"/>
        <w:jc w:val="both"/>
        <w:rPr>
          <w:rFonts w:ascii="Times New Roman" w:hAnsi="Times New Roman"/>
          <w:color w:val="FF0000"/>
          <w:sz w:val="28"/>
        </w:rPr>
      </w:pPr>
      <w:r>
        <w:rPr>
          <w:rFonts w:ascii="Times New Roman" w:hAnsi="Times New Roman"/>
          <w:color w:val="FF0000"/>
          <w:sz w:val="28"/>
        </w:rPr>
        <w:t xml:space="preserve">Рисунок 2 демонстрирует, что структурная трансформация экономики Кот-д'Ивуара в 2011–2025 гг. происходит, однако носит умеренный характер. Доля агропромышленного комплекса в ВВП сократилась с 26,8% до 21,3%, обрабатывающая промышленность выросла с 15,1% до 18,4%, финансовый сектор — с 10,7% до 12,4%. </w:t>
      </w:r>
    </w:p>
    <w:p>
      <w:pPr>
        <w:spacing w:lineRule="exact" w:line="440" w:after="0" w:beforeAutospacing="0" w:afterAutospacing="0"/>
        <w:ind w:firstLine="709"/>
        <w:jc w:val="both"/>
        <w:rPr>
          <w:color w:val="FF0000"/>
        </w:rPr>
      </w:pPr>
      <w:r>
        <w:rPr>
          <w:rFonts w:ascii="Times New Roman" w:hAnsi="Times New Roman"/>
          <w:color w:val="FF0000"/>
          <w:sz w:val="28"/>
        </w:rPr>
        <w:t>Вместе с тем для перехода к статусу страны со средним доходом выше среднего и реализации национальной стратегии «Эмержанс» этих темпов структурной трансформации явно недостаточно: необходим качественный скачок, а не постепенная эволюция.</w:t>
      </w:r>
    </w:p>
    <w:p>
      <w:pPr>
        <w:spacing w:lineRule="exact" w:line="440" w:after="0" w:beforeAutospacing="0" w:afterAutospacing="0"/>
        <w:jc w:val="both"/>
        <w:rPr>
          <w:color w:val="FF0000"/>
        </w:rPr>
      </w:pPr>
      <w:r>
        <w:rPr>
          <w:rFonts w:ascii="Times New Roman" w:hAnsi="Times New Roman"/>
          <w:color w:val="FF0000"/>
          <w:sz w:val="28"/>
        </w:rPr>
        <w:t>Таблица 1. Ключевые макроэкономические показатели Республики Кот-д'Ивуар (2011–2025 гг.)</w:t>
      </w:r>
    </w:p>
    <w:tbl>
      <w:tblPr>
        <w:tblStyle w:val="T3"/>
        <w:tblW w:w="0" w:type="auto"/>
        <w:jc w:val="center"/>
        <w:tblLook w:val="04A0"/>
      </w:tblPr>
      <w:tblGrid>
        <w:gridCol w:w="3685"/>
        <w:gridCol w:w="1077"/>
        <w:gridCol w:w="1077"/>
        <w:gridCol w:w="1077"/>
        <w:gridCol w:w="1077"/>
        <w:gridCol w:w="1077"/>
      </w:tblGrid>
      <w:tr>
        <w:trPr>
          <w:jc w:val="center"/>
        </w:trPr>
        <w:tc>
          <w:tcPr>
            <w:tcW w:w="3685" w:type="dxa"/>
            <w:shd w:val="clear" w:color="auto" w:fill="1A5276"/>
          </w:tcPr>
          <w:p>
            <w:pPr>
              <w:jc w:val="center"/>
              <w:rPr>
                <w:color w:val="FF0000"/>
              </w:rPr>
            </w:pPr>
            <w:r>
              <w:rPr>
                <w:rFonts w:ascii="Times New Roman" w:hAnsi="Times New Roman"/>
                <w:b w:val="1"/>
                <w:color w:val="FF0000"/>
                <w:sz w:val="20"/>
              </w:rPr>
              <w:t>Показатель</w:t>
            </w:r>
          </w:p>
        </w:tc>
        <w:tc>
          <w:tcPr>
            <w:tcW w:w="1077" w:type="dxa"/>
            <w:shd w:val="clear" w:color="auto" w:fill="1A5276"/>
          </w:tcPr>
          <w:p>
            <w:pPr>
              <w:jc w:val="center"/>
              <w:rPr>
                <w:color w:val="FF0000"/>
              </w:rPr>
            </w:pPr>
            <w:r>
              <w:rPr>
                <w:rFonts w:ascii="Times New Roman" w:hAnsi="Times New Roman"/>
                <w:b w:val="1"/>
                <w:color w:val="FF0000"/>
                <w:sz w:val="20"/>
              </w:rPr>
              <w:t>2011</w:t>
            </w:r>
          </w:p>
        </w:tc>
        <w:tc>
          <w:tcPr>
            <w:tcW w:w="1077" w:type="dxa"/>
            <w:shd w:val="clear" w:color="auto" w:fill="1A5276"/>
          </w:tcPr>
          <w:p>
            <w:pPr>
              <w:jc w:val="center"/>
              <w:rPr>
                <w:color w:val="FF0000"/>
              </w:rPr>
            </w:pPr>
            <w:r>
              <w:rPr>
                <w:rFonts w:ascii="Times New Roman" w:hAnsi="Times New Roman"/>
                <w:b w:val="1"/>
                <w:color w:val="FF0000"/>
                <w:sz w:val="20"/>
              </w:rPr>
              <w:t>2016</w:t>
            </w:r>
          </w:p>
        </w:tc>
        <w:tc>
          <w:tcPr>
            <w:tcW w:w="1077" w:type="dxa"/>
            <w:shd w:val="clear" w:color="auto" w:fill="1A5276"/>
          </w:tcPr>
          <w:p>
            <w:pPr>
              <w:jc w:val="center"/>
              <w:rPr>
                <w:color w:val="FF0000"/>
              </w:rPr>
            </w:pPr>
            <w:r>
              <w:rPr>
                <w:rFonts w:ascii="Times New Roman" w:hAnsi="Times New Roman"/>
                <w:b w:val="1"/>
                <w:color w:val="FF0000"/>
                <w:sz w:val="20"/>
              </w:rPr>
              <w:t>2020</w:t>
            </w:r>
          </w:p>
        </w:tc>
        <w:tc>
          <w:tcPr>
            <w:tcW w:w="1077" w:type="dxa"/>
            <w:shd w:val="clear" w:color="auto" w:fill="1A5276"/>
          </w:tcPr>
          <w:p>
            <w:pPr>
              <w:jc w:val="center"/>
              <w:rPr>
                <w:color w:val="FF0000"/>
              </w:rPr>
            </w:pPr>
            <w:r>
              <w:rPr>
                <w:rFonts w:ascii="Times New Roman" w:hAnsi="Times New Roman"/>
                <w:b w:val="1"/>
                <w:color w:val="FF0000"/>
                <w:sz w:val="20"/>
              </w:rPr>
              <w:t>2024</w:t>
            </w:r>
          </w:p>
        </w:tc>
        <w:tc>
          <w:tcPr>
            <w:tcW w:w="1077" w:type="dxa"/>
            <w:shd w:val="clear" w:color="auto" w:fill="1A5276"/>
          </w:tcPr>
          <w:p>
            <w:pPr>
              <w:jc w:val="center"/>
              <w:rPr>
                <w:color w:val="FF0000"/>
              </w:rPr>
            </w:pPr>
            <w:r>
              <w:rPr>
                <w:rFonts w:ascii="Times New Roman" w:hAnsi="Times New Roman"/>
                <w:b w:val="1"/>
                <w:color w:val="FF0000"/>
                <w:sz w:val="20"/>
              </w:rPr>
              <w:t>2025*</w:t>
            </w:r>
          </w:p>
        </w:tc>
      </w:tr>
      <w:tr>
        <w:trPr>
          <w:jc w:val="center"/>
        </w:trPr>
        <w:tc>
          <w:tcPr>
            <w:tcW w:w="3685" w:type="dxa"/>
            <w:shd w:val="clear" w:color="auto" w:fill="FFFFFF"/>
          </w:tcPr>
          <w:p>
            <w:pPr>
              <w:rPr>
                <w:color w:val="FF0000"/>
              </w:rPr>
            </w:pPr>
            <w:r>
              <w:rPr>
                <w:rFonts w:ascii="Times New Roman" w:hAnsi="Times New Roman"/>
                <w:color w:val="FF0000"/>
                <w:sz w:val="20"/>
              </w:rPr>
              <w:t>ВВП, трлн франков КФА</w:t>
            </w:r>
          </w:p>
        </w:tc>
        <w:tc>
          <w:tcPr>
            <w:tcW w:w="1077" w:type="dxa"/>
            <w:shd w:val="clear" w:color="auto" w:fill="FFFFFF"/>
          </w:tcPr>
          <w:p>
            <w:pPr>
              <w:jc w:val="center"/>
              <w:rPr>
                <w:color w:val="FF0000"/>
              </w:rPr>
            </w:pPr>
            <w:r>
              <w:rPr>
                <w:rFonts w:ascii="Times New Roman" w:hAnsi="Times New Roman"/>
                <w:color w:val="FF0000"/>
                <w:sz w:val="20"/>
              </w:rPr>
              <w:t>22,2</w:t>
            </w:r>
          </w:p>
        </w:tc>
        <w:tc>
          <w:tcPr>
            <w:tcW w:w="1077" w:type="dxa"/>
            <w:shd w:val="clear" w:color="auto" w:fill="FFFFFF"/>
          </w:tcPr>
          <w:p>
            <w:pPr>
              <w:jc w:val="center"/>
              <w:rPr>
                <w:color w:val="FF0000"/>
              </w:rPr>
            </w:pPr>
            <w:r>
              <w:rPr>
                <w:rFonts w:ascii="Times New Roman" w:hAnsi="Times New Roman"/>
                <w:color w:val="FF0000"/>
                <w:sz w:val="20"/>
              </w:rPr>
              <w:t>33,6</w:t>
            </w:r>
          </w:p>
        </w:tc>
        <w:tc>
          <w:tcPr>
            <w:tcW w:w="1077" w:type="dxa"/>
            <w:shd w:val="clear" w:color="auto" w:fill="FFFFFF"/>
          </w:tcPr>
          <w:p>
            <w:pPr>
              <w:jc w:val="center"/>
              <w:rPr>
                <w:color w:val="FF0000"/>
              </w:rPr>
            </w:pPr>
            <w:r>
              <w:rPr>
                <w:rFonts w:ascii="Times New Roman" w:hAnsi="Times New Roman"/>
                <w:color w:val="FF0000"/>
                <w:sz w:val="20"/>
              </w:rPr>
              <w:t>39,8</w:t>
            </w:r>
          </w:p>
        </w:tc>
        <w:tc>
          <w:tcPr>
            <w:tcW w:w="1077" w:type="dxa"/>
            <w:shd w:val="clear" w:color="auto" w:fill="FFFFFF"/>
          </w:tcPr>
          <w:p>
            <w:pPr>
              <w:jc w:val="center"/>
              <w:rPr>
                <w:color w:val="FF0000"/>
              </w:rPr>
            </w:pPr>
            <w:r>
              <w:rPr>
                <w:rFonts w:ascii="Times New Roman" w:hAnsi="Times New Roman"/>
                <w:color w:val="FF0000"/>
                <w:sz w:val="20"/>
              </w:rPr>
              <w:t>55,4</w:t>
            </w:r>
          </w:p>
        </w:tc>
        <w:tc>
          <w:tcPr>
            <w:tcW w:w="1077" w:type="dxa"/>
            <w:shd w:val="clear" w:color="auto" w:fill="FFFFFF"/>
          </w:tcPr>
          <w:p>
            <w:pPr>
              <w:jc w:val="center"/>
              <w:rPr>
                <w:color w:val="FF0000"/>
              </w:rPr>
            </w:pPr>
            <w:r>
              <w:rPr>
                <w:rFonts w:ascii="Times New Roman" w:hAnsi="Times New Roman"/>
                <w:color w:val="FF0000"/>
                <w:sz w:val="20"/>
              </w:rPr>
              <w:t>57,6</w:t>
            </w:r>
          </w:p>
        </w:tc>
      </w:tr>
      <w:tr>
        <w:trPr>
          <w:jc w:val="center"/>
        </w:trPr>
        <w:tc>
          <w:tcPr>
            <w:tcW w:w="3685" w:type="dxa"/>
            <w:shd w:val="clear" w:color="auto" w:fill="EBF5FB"/>
          </w:tcPr>
          <w:p>
            <w:pPr>
              <w:rPr>
                <w:color w:val="FF0000"/>
              </w:rPr>
            </w:pPr>
            <w:r>
              <w:rPr>
                <w:rFonts w:ascii="Times New Roman" w:hAnsi="Times New Roman"/>
                <w:color w:val="FF0000"/>
                <w:sz w:val="20"/>
              </w:rPr>
              <w:t>Темп роста ВВП, %</w:t>
            </w:r>
          </w:p>
        </w:tc>
        <w:tc>
          <w:tcPr>
            <w:tcW w:w="1077" w:type="dxa"/>
            <w:shd w:val="clear" w:color="auto" w:fill="EBF5FB"/>
          </w:tcPr>
          <w:p>
            <w:pPr>
              <w:jc w:val="center"/>
              <w:rPr>
                <w:color w:val="FF0000"/>
              </w:rPr>
            </w:pPr>
            <w:r>
              <w:rPr>
                <w:rFonts w:ascii="Times New Roman" w:hAnsi="Times New Roman"/>
                <w:color w:val="FF0000"/>
                <w:sz w:val="20"/>
              </w:rPr>
              <w:t>–6,6</w:t>
            </w:r>
          </w:p>
        </w:tc>
        <w:tc>
          <w:tcPr>
            <w:tcW w:w="1077" w:type="dxa"/>
            <w:shd w:val="clear" w:color="auto" w:fill="EBF5FB"/>
          </w:tcPr>
          <w:p>
            <w:pPr>
              <w:jc w:val="center"/>
              <w:rPr>
                <w:color w:val="FF0000"/>
              </w:rPr>
            </w:pPr>
            <w:r>
              <w:rPr>
                <w:rFonts w:ascii="Times New Roman" w:hAnsi="Times New Roman"/>
                <w:color w:val="FF0000"/>
                <w:sz w:val="20"/>
              </w:rPr>
              <w:t>6,0</w:t>
            </w:r>
          </w:p>
        </w:tc>
        <w:tc>
          <w:tcPr>
            <w:tcW w:w="1077" w:type="dxa"/>
            <w:shd w:val="clear" w:color="auto" w:fill="EBF5FB"/>
          </w:tcPr>
          <w:p>
            <w:pPr>
              <w:jc w:val="center"/>
              <w:rPr>
                <w:color w:val="FF0000"/>
              </w:rPr>
            </w:pPr>
            <w:r>
              <w:rPr>
                <w:rFonts w:ascii="Times New Roman" w:hAnsi="Times New Roman"/>
                <w:color w:val="FF0000"/>
                <w:sz w:val="20"/>
              </w:rPr>
              <w:t>–2,2</w:t>
            </w:r>
          </w:p>
        </w:tc>
        <w:tc>
          <w:tcPr>
            <w:tcW w:w="1077" w:type="dxa"/>
            <w:shd w:val="clear" w:color="auto" w:fill="EBF5FB"/>
          </w:tcPr>
          <w:p>
            <w:pPr>
              <w:jc w:val="center"/>
              <w:rPr>
                <w:color w:val="FF0000"/>
              </w:rPr>
            </w:pPr>
            <w:r>
              <w:rPr>
                <w:rFonts w:ascii="Times New Roman" w:hAnsi="Times New Roman"/>
                <w:color w:val="FF0000"/>
                <w:sz w:val="20"/>
              </w:rPr>
              <w:t>8,2</w:t>
            </w:r>
          </w:p>
        </w:tc>
        <w:tc>
          <w:tcPr>
            <w:tcW w:w="1077" w:type="dxa"/>
            <w:shd w:val="clear" w:color="auto" w:fill="EBF5FB"/>
          </w:tcPr>
          <w:p>
            <w:pPr>
              <w:jc w:val="center"/>
              <w:rPr>
                <w:color w:val="FF0000"/>
              </w:rPr>
            </w:pPr>
            <w:r>
              <w:rPr>
                <w:rFonts w:ascii="Times New Roman" w:hAnsi="Times New Roman"/>
                <w:color w:val="FF0000"/>
                <w:sz w:val="20"/>
              </w:rPr>
              <w:t>6,5</w:t>
            </w:r>
          </w:p>
        </w:tc>
      </w:tr>
      <w:tr>
        <w:trPr>
          <w:jc w:val="center"/>
        </w:trPr>
        <w:tc>
          <w:tcPr>
            <w:tcW w:w="3685" w:type="dxa"/>
            <w:shd w:val="clear" w:color="auto" w:fill="FFFFFF"/>
          </w:tcPr>
          <w:p>
            <w:pPr>
              <w:rPr>
                <w:color w:val="FF0000"/>
              </w:rPr>
            </w:pPr>
            <w:r>
              <w:rPr>
                <w:rFonts w:ascii="Times New Roman" w:hAnsi="Times New Roman"/>
                <w:color w:val="FF0000"/>
                <w:sz w:val="20"/>
              </w:rPr>
              <w:t>ВВП на душу населения, тыс. CFA</w:t>
            </w:r>
          </w:p>
        </w:tc>
        <w:tc>
          <w:tcPr>
            <w:tcW w:w="1077" w:type="dxa"/>
            <w:shd w:val="clear" w:color="auto" w:fill="FFFFFF"/>
          </w:tcPr>
          <w:p>
            <w:pPr>
              <w:jc w:val="center"/>
              <w:rPr>
                <w:color w:val="FF0000"/>
              </w:rPr>
            </w:pPr>
            <w:r>
              <w:rPr>
                <w:rFonts w:ascii="Times New Roman" w:hAnsi="Times New Roman"/>
                <w:color w:val="FF0000"/>
                <w:sz w:val="20"/>
              </w:rPr>
              <w:t>817</w:t>
            </w:r>
          </w:p>
        </w:tc>
        <w:tc>
          <w:tcPr>
            <w:tcW w:w="1077" w:type="dxa"/>
            <w:shd w:val="clear" w:color="auto" w:fill="FFFFFF"/>
          </w:tcPr>
          <w:p>
            <w:pPr>
              <w:jc w:val="center"/>
              <w:rPr>
                <w:color w:val="FF0000"/>
              </w:rPr>
            </w:pPr>
            <w:r>
              <w:rPr>
                <w:rFonts w:ascii="Times New Roman" w:hAnsi="Times New Roman"/>
                <w:color w:val="FF0000"/>
                <w:sz w:val="20"/>
              </w:rPr>
              <w:t>1 219</w:t>
            </w:r>
          </w:p>
        </w:tc>
        <w:tc>
          <w:tcPr>
            <w:tcW w:w="1077" w:type="dxa"/>
            <w:shd w:val="clear" w:color="auto" w:fill="FFFFFF"/>
          </w:tcPr>
          <w:p>
            <w:pPr>
              <w:jc w:val="center"/>
              <w:rPr>
                <w:color w:val="FF0000"/>
              </w:rPr>
            </w:pPr>
            <w:r>
              <w:rPr>
                <w:rFonts w:ascii="Times New Roman" w:hAnsi="Times New Roman"/>
                <w:color w:val="FF0000"/>
                <w:sz w:val="20"/>
              </w:rPr>
              <w:t>1 464</w:t>
            </w:r>
          </w:p>
        </w:tc>
        <w:tc>
          <w:tcPr>
            <w:tcW w:w="1077" w:type="dxa"/>
            <w:shd w:val="clear" w:color="auto" w:fill="FFFFFF"/>
          </w:tcPr>
          <w:p>
            <w:pPr>
              <w:jc w:val="center"/>
              <w:rPr>
                <w:color w:val="FF0000"/>
              </w:rPr>
            </w:pPr>
            <w:r>
              <w:rPr>
                <w:rFonts w:ascii="Times New Roman" w:hAnsi="Times New Roman"/>
                <w:color w:val="FF0000"/>
                <w:sz w:val="20"/>
              </w:rPr>
              <w:t>1 663</w:t>
            </w:r>
          </w:p>
        </w:tc>
        <w:tc>
          <w:tcPr>
            <w:tcW w:w="1077" w:type="dxa"/>
            <w:shd w:val="clear" w:color="auto" w:fill="FFFFFF"/>
          </w:tcPr>
          <w:p>
            <w:pPr>
              <w:jc w:val="center"/>
              <w:rPr>
                <w:color w:val="FF0000"/>
              </w:rPr>
            </w:pPr>
            <w:r>
              <w:rPr>
                <w:rFonts w:ascii="Times New Roman" w:hAnsi="Times New Roman"/>
                <w:color w:val="FF0000"/>
                <w:sz w:val="20"/>
              </w:rPr>
              <w:t>1 772</w:t>
            </w:r>
          </w:p>
        </w:tc>
      </w:tr>
      <w:tr>
        <w:trPr>
          <w:jc w:val="center"/>
        </w:trPr>
        <w:tc>
          <w:tcPr>
            <w:tcW w:w="3685" w:type="dxa"/>
            <w:shd w:val="clear" w:color="auto" w:fill="EBF5FB"/>
          </w:tcPr>
          <w:p>
            <w:pPr>
              <w:rPr>
                <w:color w:val="FF0000"/>
              </w:rPr>
            </w:pPr>
            <w:r>
              <w:rPr>
                <w:rFonts w:ascii="Times New Roman" w:hAnsi="Times New Roman"/>
                <w:color w:val="FF0000"/>
                <w:sz w:val="20"/>
              </w:rPr>
              <w:t>Инфляция, %</w:t>
            </w:r>
          </w:p>
        </w:tc>
        <w:tc>
          <w:tcPr>
            <w:tcW w:w="1077" w:type="dxa"/>
            <w:shd w:val="clear" w:color="auto" w:fill="EBF5FB"/>
          </w:tcPr>
          <w:p>
            <w:pPr>
              <w:jc w:val="center"/>
              <w:rPr>
                <w:color w:val="FF0000"/>
              </w:rPr>
            </w:pPr>
            <w:r>
              <w:rPr>
                <w:rFonts w:ascii="Times New Roman" w:hAnsi="Times New Roman"/>
                <w:color w:val="FF0000"/>
                <w:sz w:val="20"/>
              </w:rPr>
              <w:t>4,9</w:t>
            </w:r>
          </w:p>
        </w:tc>
        <w:tc>
          <w:tcPr>
            <w:tcW w:w="1077" w:type="dxa"/>
            <w:shd w:val="clear" w:color="auto" w:fill="EBF5FB"/>
          </w:tcPr>
          <w:p>
            <w:pPr>
              <w:jc w:val="center"/>
              <w:rPr>
                <w:color w:val="FF0000"/>
              </w:rPr>
            </w:pPr>
            <w:r>
              <w:rPr>
                <w:rFonts w:ascii="Times New Roman" w:hAnsi="Times New Roman"/>
                <w:color w:val="FF0000"/>
                <w:sz w:val="20"/>
              </w:rPr>
              <w:t>1,0</w:t>
            </w:r>
          </w:p>
        </w:tc>
        <w:tc>
          <w:tcPr>
            <w:tcW w:w="1077" w:type="dxa"/>
            <w:shd w:val="clear" w:color="auto" w:fill="EBF5FB"/>
          </w:tcPr>
          <w:p>
            <w:pPr>
              <w:jc w:val="center"/>
              <w:rPr>
                <w:color w:val="FF0000"/>
              </w:rPr>
            </w:pPr>
            <w:r>
              <w:rPr>
                <w:rFonts w:ascii="Times New Roman" w:hAnsi="Times New Roman"/>
                <w:color w:val="FF0000"/>
                <w:sz w:val="20"/>
              </w:rPr>
              <w:t>2,4</w:t>
            </w:r>
          </w:p>
        </w:tc>
        <w:tc>
          <w:tcPr>
            <w:tcW w:w="1077" w:type="dxa"/>
            <w:shd w:val="clear" w:color="auto" w:fill="EBF5FB"/>
          </w:tcPr>
          <w:p>
            <w:pPr>
              <w:jc w:val="center"/>
              <w:rPr>
                <w:color w:val="FF0000"/>
              </w:rPr>
            </w:pPr>
            <w:r>
              <w:rPr>
                <w:rFonts w:ascii="Times New Roman" w:hAnsi="Times New Roman"/>
                <w:color w:val="FF0000"/>
                <w:sz w:val="20"/>
              </w:rPr>
              <w:t>3,5</w:t>
            </w:r>
          </w:p>
        </w:tc>
        <w:tc>
          <w:tcPr>
            <w:tcW w:w="1077" w:type="dxa"/>
            <w:shd w:val="clear" w:color="auto" w:fill="EBF5FB"/>
          </w:tcPr>
          <w:p>
            <w:pPr>
              <w:jc w:val="center"/>
              <w:rPr>
                <w:color w:val="FF0000"/>
              </w:rPr>
            </w:pPr>
            <w:r>
              <w:rPr>
                <w:rFonts w:ascii="Times New Roman" w:hAnsi="Times New Roman"/>
                <w:color w:val="FF0000"/>
                <w:sz w:val="20"/>
              </w:rPr>
              <w:t>3,0</w:t>
            </w:r>
          </w:p>
        </w:tc>
      </w:tr>
      <w:tr>
        <w:trPr>
          <w:jc w:val="center"/>
        </w:trPr>
        <w:tc>
          <w:tcPr>
            <w:tcW w:w="3685" w:type="dxa"/>
            <w:shd w:val="clear" w:color="auto" w:fill="FFFFFF"/>
          </w:tcPr>
          <w:p>
            <w:pPr>
              <w:rPr>
                <w:color w:val="FF0000"/>
              </w:rPr>
            </w:pPr>
            <w:r>
              <w:rPr>
                <w:rFonts w:ascii="Times New Roman" w:hAnsi="Times New Roman"/>
                <w:color w:val="FF0000"/>
                <w:sz w:val="20"/>
              </w:rPr>
              <w:t>Инвестиции, % ВВП</w:t>
            </w:r>
          </w:p>
        </w:tc>
        <w:tc>
          <w:tcPr>
            <w:tcW w:w="1077" w:type="dxa"/>
            <w:shd w:val="clear" w:color="auto" w:fill="FFFFFF"/>
          </w:tcPr>
          <w:p>
            <w:pPr>
              <w:jc w:val="center"/>
              <w:rPr>
                <w:color w:val="FF0000"/>
              </w:rPr>
            </w:pPr>
            <w:r>
              <w:rPr>
                <w:rFonts w:ascii="Times New Roman" w:hAnsi="Times New Roman"/>
                <w:color w:val="FF0000"/>
                <w:sz w:val="20"/>
              </w:rPr>
              <w:t>14,1</w:t>
            </w:r>
          </w:p>
        </w:tc>
        <w:tc>
          <w:tcPr>
            <w:tcW w:w="1077" w:type="dxa"/>
            <w:shd w:val="clear" w:color="auto" w:fill="FFFFFF"/>
          </w:tcPr>
          <w:p>
            <w:pPr>
              <w:jc w:val="center"/>
              <w:rPr>
                <w:color w:val="FF0000"/>
              </w:rPr>
            </w:pPr>
            <w:r>
              <w:rPr>
                <w:rFonts w:ascii="Times New Roman" w:hAnsi="Times New Roman"/>
                <w:color w:val="FF0000"/>
                <w:sz w:val="20"/>
              </w:rPr>
              <w:t>18,9</w:t>
            </w:r>
          </w:p>
        </w:tc>
        <w:tc>
          <w:tcPr>
            <w:tcW w:w="1077" w:type="dxa"/>
            <w:shd w:val="clear" w:color="auto" w:fill="FFFFFF"/>
          </w:tcPr>
          <w:p>
            <w:pPr>
              <w:jc w:val="center"/>
              <w:rPr>
                <w:color w:val="FF0000"/>
              </w:rPr>
            </w:pPr>
            <w:r>
              <w:rPr>
                <w:rFonts w:ascii="Times New Roman" w:hAnsi="Times New Roman"/>
                <w:color w:val="FF0000"/>
                <w:sz w:val="20"/>
              </w:rPr>
              <w:t>19,8</w:t>
            </w:r>
          </w:p>
        </w:tc>
        <w:tc>
          <w:tcPr>
            <w:tcW w:w="1077" w:type="dxa"/>
            <w:shd w:val="clear" w:color="auto" w:fill="FFFFFF"/>
          </w:tcPr>
          <w:p>
            <w:pPr>
              <w:jc w:val="center"/>
              <w:rPr>
                <w:color w:val="FF0000"/>
              </w:rPr>
            </w:pPr>
            <w:r>
              <w:rPr>
                <w:rFonts w:ascii="Times New Roman" w:hAnsi="Times New Roman"/>
                <w:color w:val="FF0000"/>
                <w:sz w:val="20"/>
              </w:rPr>
              <w:t>23,1</w:t>
            </w:r>
          </w:p>
        </w:tc>
        <w:tc>
          <w:tcPr>
            <w:tcW w:w="1077" w:type="dxa"/>
            <w:shd w:val="clear" w:color="auto" w:fill="FFFFFF"/>
          </w:tcPr>
          <w:p>
            <w:pPr>
              <w:jc w:val="center"/>
              <w:rPr>
                <w:color w:val="FF0000"/>
              </w:rPr>
            </w:pPr>
            <w:r>
              <w:rPr>
                <w:rFonts w:ascii="Times New Roman" w:hAnsi="Times New Roman"/>
                <w:color w:val="FF0000"/>
                <w:sz w:val="20"/>
              </w:rPr>
              <w:t>23,7</w:t>
            </w:r>
          </w:p>
        </w:tc>
      </w:tr>
      <w:tr>
        <w:trPr>
          <w:jc w:val="center"/>
        </w:trPr>
        <w:tc>
          <w:tcPr>
            <w:tcW w:w="3685" w:type="dxa"/>
            <w:shd w:val="clear" w:color="auto" w:fill="EBF5FB"/>
          </w:tcPr>
          <w:p>
            <w:pPr>
              <w:rPr>
                <w:color w:val="FF0000"/>
              </w:rPr>
            </w:pPr>
            <w:r>
              <w:rPr>
                <w:rFonts w:ascii="Times New Roman" w:hAnsi="Times New Roman"/>
                <w:color w:val="FF0000"/>
                <w:sz w:val="20"/>
              </w:rPr>
              <w:t>Гос. долг, % ВВП</w:t>
            </w:r>
          </w:p>
        </w:tc>
        <w:tc>
          <w:tcPr>
            <w:tcW w:w="1077" w:type="dxa"/>
            <w:shd w:val="clear" w:color="auto" w:fill="EBF5FB"/>
          </w:tcPr>
          <w:p>
            <w:pPr>
              <w:jc w:val="center"/>
              <w:rPr>
                <w:color w:val="FF0000"/>
              </w:rPr>
            </w:pPr>
            <w:r>
              <w:rPr>
                <w:rFonts w:ascii="Times New Roman" w:hAnsi="Times New Roman"/>
                <w:color w:val="FF0000"/>
                <w:sz w:val="20"/>
              </w:rPr>
              <w:t>69,0</w:t>
            </w:r>
          </w:p>
        </w:tc>
        <w:tc>
          <w:tcPr>
            <w:tcW w:w="1077" w:type="dxa"/>
            <w:shd w:val="clear" w:color="auto" w:fill="EBF5FB"/>
          </w:tcPr>
          <w:p>
            <w:pPr>
              <w:jc w:val="center"/>
              <w:rPr>
                <w:color w:val="FF0000"/>
              </w:rPr>
            </w:pPr>
            <w:r>
              <w:rPr>
                <w:rFonts w:ascii="Times New Roman" w:hAnsi="Times New Roman"/>
                <w:color w:val="FF0000"/>
                <w:sz w:val="20"/>
              </w:rPr>
              <w:t>45,0</w:t>
            </w:r>
          </w:p>
        </w:tc>
        <w:tc>
          <w:tcPr>
            <w:tcW w:w="1077" w:type="dxa"/>
            <w:shd w:val="clear" w:color="auto" w:fill="EBF5FB"/>
          </w:tcPr>
          <w:p>
            <w:pPr>
              <w:jc w:val="center"/>
              <w:rPr>
                <w:color w:val="FF0000"/>
              </w:rPr>
            </w:pPr>
            <w:r>
              <w:rPr>
                <w:rFonts w:ascii="Times New Roman" w:hAnsi="Times New Roman"/>
                <w:color w:val="FF0000"/>
                <w:sz w:val="20"/>
              </w:rPr>
              <w:t>52,0</w:t>
            </w:r>
          </w:p>
        </w:tc>
        <w:tc>
          <w:tcPr>
            <w:tcW w:w="1077" w:type="dxa"/>
            <w:shd w:val="clear" w:color="auto" w:fill="EBF5FB"/>
          </w:tcPr>
          <w:p>
            <w:pPr>
              <w:jc w:val="center"/>
              <w:rPr>
                <w:color w:val="FF0000"/>
              </w:rPr>
            </w:pPr>
            <w:r>
              <w:rPr>
                <w:rFonts w:ascii="Times New Roman" w:hAnsi="Times New Roman"/>
                <w:color w:val="FF0000"/>
                <w:sz w:val="20"/>
              </w:rPr>
              <w:t>59,5</w:t>
            </w:r>
          </w:p>
        </w:tc>
        <w:tc>
          <w:tcPr>
            <w:tcW w:w="1077" w:type="dxa"/>
            <w:shd w:val="clear" w:color="auto" w:fill="EBF5FB"/>
          </w:tcPr>
          <w:p>
            <w:pPr>
              <w:jc w:val="center"/>
              <w:rPr>
                <w:color w:val="FF0000"/>
              </w:rPr>
            </w:pPr>
            <w:r>
              <w:rPr>
                <w:rFonts w:ascii="Times New Roman" w:hAnsi="Times New Roman"/>
                <w:color w:val="FF0000"/>
                <w:sz w:val="20"/>
              </w:rPr>
              <w:t>57,0</w:t>
            </w:r>
          </w:p>
        </w:tc>
      </w:tr>
      <w:tr>
        <w:trPr>
          <w:jc w:val="center"/>
        </w:trPr>
        <w:tc>
          <w:tcPr>
            <w:tcW w:w="3685" w:type="dxa"/>
            <w:shd w:val="clear" w:color="auto" w:fill="FFFFFF"/>
          </w:tcPr>
          <w:p>
            <w:pPr>
              <w:rPr>
                <w:color w:val="FF0000"/>
              </w:rPr>
            </w:pPr>
            <w:r>
              <w:rPr>
                <w:rFonts w:ascii="Times New Roman" w:hAnsi="Times New Roman"/>
                <w:color w:val="FF0000"/>
                <w:sz w:val="20"/>
              </w:rPr>
              <w:t>Доля сырьевого экспорта, % от всего экспорта</w:t>
            </w:r>
          </w:p>
        </w:tc>
        <w:tc>
          <w:tcPr>
            <w:tcW w:w="1077" w:type="dxa"/>
            <w:shd w:val="clear" w:color="auto" w:fill="FFFFFF"/>
          </w:tcPr>
          <w:p>
            <w:pPr>
              <w:jc w:val="center"/>
              <w:rPr>
                <w:color w:val="FF0000"/>
              </w:rPr>
            </w:pPr>
            <w:r>
              <w:rPr>
                <w:rFonts w:ascii="Times New Roman" w:hAnsi="Times New Roman"/>
                <w:color w:val="FF0000"/>
                <w:sz w:val="20"/>
              </w:rPr>
              <w:t>52</w:t>
            </w:r>
          </w:p>
        </w:tc>
        <w:tc>
          <w:tcPr>
            <w:tcW w:w="1077" w:type="dxa"/>
            <w:shd w:val="clear" w:color="auto" w:fill="FFFFFF"/>
          </w:tcPr>
          <w:p>
            <w:pPr>
              <w:jc w:val="center"/>
              <w:rPr>
                <w:color w:val="FF0000"/>
              </w:rPr>
            </w:pPr>
            <w:r>
              <w:rPr>
                <w:rFonts w:ascii="Times New Roman" w:hAnsi="Times New Roman"/>
                <w:color w:val="FF0000"/>
                <w:sz w:val="20"/>
              </w:rPr>
              <w:t>48</w:t>
            </w:r>
          </w:p>
        </w:tc>
        <w:tc>
          <w:tcPr>
            <w:tcW w:w="1077" w:type="dxa"/>
            <w:shd w:val="clear" w:color="auto" w:fill="FFFFFF"/>
          </w:tcPr>
          <w:p>
            <w:pPr>
              <w:jc w:val="center"/>
              <w:rPr>
                <w:color w:val="FF0000"/>
              </w:rPr>
            </w:pPr>
            <w:r>
              <w:rPr>
                <w:rFonts w:ascii="Times New Roman" w:hAnsi="Times New Roman"/>
                <w:color w:val="FF0000"/>
                <w:sz w:val="20"/>
              </w:rPr>
              <w:t>46</w:t>
            </w:r>
          </w:p>
        </w:tc>
        <w:tc>
          <w:tcPr>
            <w:tcW w:w="1077" w:type="dxa"/>
            <w:shd w:val="clear" w:color="auto" w:fill="FFFFFF"/>
          </w:tcPr>
          <w:p>
            <w:pPr>
              <w:jc w:val="center"/>
              <w:rPr>
                <w:color w:val="FF0000"/>
              </w:rPr>
            </w:pPr>
            <w:r>
              <w:rPr>
                <w:rFonts w:ascii="Times New Roman" w:hAnsi="Times New Roman"/>
                <w:color w:val="FF0000"/>
                <w:sz w:val="20"/>
              </w:rPr>
              <w:t>45</w:t>
            </w:r>
          </w:p>
        </w:tc>
        <w:tc>
          <w:tcPr>
            <w:tcW w:w="1077" w:type="dxa"/>
            <w:shd w:val="clear" w:color="auto" w:fill="FFFFFF"/>
          </w:tcPr>
          <w:p>
            <w:pPr>
              <w:jc w:val="center"/>
              <w:rPr>
                <w:color w:val="FF0000"/>
              </w:rPr>
            </w:pPr>
            <w:r>
              <w:rPr>
                <w:rFonts w:ascii="Times New Roman" w:hAnsi="Times New Roman"/>
                <w:color w:val="FF0000"/>
                <w:sz w:val="20"/>
              </w:rPr>
              <w:t>44</w:t>
            </w:r>
          </w:p>
        </w:tc>
      </w:tr>
    </w:tbl>
    <w:p>
      <w:pPr>
        <w:rPr>
          <w:color w:val="FF0000"/>
        </w:rPr>
      </w:pPr>
    </w:p>
    <w:p>
      <w:pPr>
        <w:spacing w:lineRule="exact" w:line="440" w:after="0" w:beforeAutospacing="0" w:afterAutospacing="0"/>
        <w:jc w:val="both"/>
        <w:rPr>
          <w:color w:val="FF0000"/>
        </w:rPr>
      </w:pPr>
      <w:r>
        <w:rPr>
          <w:rFonts w:ascii="Times New Roman" w:hAnsi="Times New Roman"/>
          <w:color w:val="FF0000"/>
          <w:sz w:val="28"/>
        </w:rPr>
        <w:t>*прогнозные данные.</w:t>
      </w:r>
      <w:r>
        <w:rPr>
          <w:rFonts w:ascii="Times New Roman" w:hAnsi="Times New Roman"/>
          <w:color w:val="FF0000"/>
          <w:sz w:val="28"/>
        </w:rPr>
        <w:br w:type="textWrapping"/>
      </w:r>
      <w:r>
        <w:rPr>
          <w:rFonts w:ascii="Times New Roman" w:hAnsi="Times New Roman"/>
          <w:color w:val="FF0000"/>
          <w:sz w:val="28"/>
        </w:rPr>
        <w:t>Источник: Министерство экономики и финансов Кот-д'Ивуара [7]; Африканский банк развития [11].</w:t>
      </w:r>
    </w:p>
    <w:p>
      <w:pPr>
        <w:pStyle w:val="P13"/>
        <w:spacing w:lineRule="auto" w:line="360" w:beforeAutospacing="0" w:afterAutospacing="0"/>
        <w:ind w:firstLine="709"/>
        <w:jc w:val="both"/>
        <w:rPr>
          <w:color w:val="00B0F0"/>
          <w:sz w:val="28"/>
          <w:szCs w:val="28"/>
          <w:lang w:val="ru-RU"/>
        </w:rPr>
      </w:pPr>
    </w:p>
    <w:p>
      <w:pPr>
        <w:pStyle w:val="P13"/>
        <w:spacing w:lineRule="auto" w:line="360" w:beforeAutospacing="0" w:afterAutospacing="0"/>
        <w:ind w:firstLine="709"/>
        <w:jc w:val="both"/>
        <w:rPr>
          <w:color w:val="00B0F0"/>
          <w:sz w:val="28"/>
          <w:szCs w:val="28"/>
          <w:lang w:val="ru-RU"/>
        </w:rPr>
      </w:pPr>
      <w:r>
        <w:rPr>
          <w:color w:val="00B0F0"/>
          <w:sz w:val="28"/>
          <w:szCs w:val="28"/>
          <w:lang w:val="ru-RU"/>
        </w:rPr>
        <w:t xml:space="preserve">Все что ниже относится устойчивому развитию, старая информация (желтым иже). Ее хотела заменить на  эти (красным ниже), что соответствует предложениям п. 1.4, но эти данные в динамике хотя бы 2020-2024 вряд ли найдутся:</w:t>
      </w:r>
    </w:p>
    <w:p>
      <w:pPr>
        <w:pStyle w:val="P30"/>
        <w:shd w:val="clear" w:fill="FFFFFF"/>
        <w:spacing w:lineRule="auto" w:line="360" w:before="0" w:after="0" w:beforeAutospacing="0" w:afterAutospacing="0"/>
        <w:ind w:firstLine="709"/>
        <w:jc w:val="both"/>
        <w:rPr>
          <w:rFonts w:eastAsiaTheme="majorEastAsia"/>
          <w:color w:val="FF0000"/>
          <w:sz w:val="28"/>
          <w:szCs w:val="28"/>
          <w:lang w:eastAsia="en-US"/>
        </w:rPr>
      </w:pPr>
      <w:r>
        <w:rPr>
          <w:rFonts w:eastAsiaTheme="majorEastAsia"/>
          <w:color w:val="FF0000"/>
          <w:sz w:val="28"/>
          <w:szCs w:val="28"/>
          <w:lang w:eastAsia="en-US"/>
        </w:rPr>
        <w:t xml:space="preserve">    Инновационная активность предприятий:</w:t>
      </w:r>
    </w:p>
    <w:p>
      <w:pPr>
        <w:pStyle w:val="P30"/>
        <w:shd w:val="clear" w:fill="FFFFFF"/>
        <w:spacing w:lineRule="auto" w:line="360" w:before="0" w:after="0" w:beforeAutospacing="0" w:afterAutospacing="0"/>
        <w:ind w:firstLine="709"/>
        <w:jc w:val="both"/>
        <w:rPr>
          <w:rFonts w:eastAsiaTheme="majorEastAsia"/>
          <w:color w:val="FF0000"/>
          <w:sz w:val="28"/>
          <w:szCs w:val="28"/>
          <w:lang w:eastAsia="en-US"/>
        </w:rPr>
      </w:pPr>
      <w:r>
        <w:rPr>
          <w:rFonts w:eastAsiaTheme="majorEastAsia"/>
          <w:color w:val="FF0000"/>
          <w:sz w:val="28"/>
          <w:szCs w:val="28"/>
          <w:lang w:eastAsia="en-US"/>
        </w:rPr>
        <w:t xml:space="preserve">    – доля предприятий, внедряющих новые продукты и процессы;</w:t>
      </w:r>
    </w:p>
    <w:p>
      <w:pPr>
        <w:pStyle w:val="P30"/>
        <w:shd w:val="clear" w:fill="FFFFFF"/>
        <w:spacing w:lineRule="auto" w:line="360" w:before="0" w:after="0" w:beforeAutospacing="0" w:afterAutospacing="0"/>
        <w:ind w:firstLine="709"/>
        <w:jc w:val="both"/>
        <w:rPr>
          <w:rFonts w:eastAsiaTheme="majorEastAsia"/>
          <w:color w:val="FF0000"/>
          <w:sz w:val="28"/>
          <w:szCs w:val="28"/>
          <w:lang w:eastAsia="en-US"/>
        </w:rPr>
      </w:pPr>
      <w:r>
        <w:rPr>
          <w:rFonts w:eastAsiaTheme="majorEastAsia"/>
          <w:color w:val="FF0000"/>
          <w:sz w:val="28"/>
          <w:szCs w:val="28"/>
          <w:lang w:eastAsia="en-US"/>
        </w:rPr>
        <w:t xml:space="preserve">    – расходы на НИОКР (при наличии данных);</w:t>
      </w:r>
    </w:p>
    <w:p>
      <w:pPr>
        <w:pStyle w:val="P30"/>
        <w:shd w:val="clear" w:fill="FFFFFF"/>
        <w:spacing w:lineRule="auto" w:line="360" w:before="0" w:after="0" w:beforeAutospacing="0" w:afterAutospacing="0"/>
        <w:ind w:firstLine="709"/>
        <w:jc w:val="both"/>
        <w:rPr>
          <w:rFonts w:eastAsiaTheme="majorEastAsia"/>
          <w:color w:val="FF0000"/>
          <w:sz w:val="28"/>
          <w:szCs w:val="28"/>
          <w:lang w:eastAsia="en-US"/>
        </w:rPr>
      </w:pPr>
      <w:r>
        <w:rPr>
          <w:rFonts w:eastAsiaTheme="majorEastAsia"/>
          <w:color w:val="FF0000"/>
          <w:sz w:val="28"/>
          <w:szCs w:val="28"/>
          <w:lang w:eastAsia="en-US"/>
        </w:rPr>
        <w:t xml:space="preserve">    – развитие предпринимательства в технологически ориентированных секторах.</w:t>
      </w:r>
    </w:p>
    <w:p>
      <w:pPr>
        <w:pStyle w:val="P30"/>
        <w:shd w:val="clear" w:fill="FFFFFF"/>
        <w:spacing w:lineRule="auto" w:line="360" w:before="0" w:after="0" w:beforeAutospacing="0" w:afterAutospacing="0"/>
        <w:ind w:firstLine="709"/>
        <w:jc w:val="both"/>
        <w:rPr>
          <w:rFonts w:eastAsiaTheme="majorEastAsia"/>
          <w:color w:val="FF0000"/>
          <w:sz w:val="28"/>
          <w:szCs w:val="28"/>
          <w:lang w:eastAsia="en-US"/>
        </w:rPr>
      </w:pPr>
      <w:r>
        <w:rPr>
          <w:rFonts w:eastAsiaTheme="majorEastAsia"/>
          <w:color w:val="FF0000"/>
          <w:sz w:val="28"/>
          <w:szCs w:val="28"/>
          <w:lang w:eastAsia="en-US"/>
        </w:rPr>
        <w:t xml:space="preserve">    Цифровая трансформация экономики:</w:t>
      </w:r>
    </w:p>
    <w:p>
      <w:pPr>
        <w:pStyle w:val="P30"/>
        <w:shd w:val="clear" w:fill="FFFFFF"/>
        <w:spacing w:lineRule="auto" w:line="360" w:before="0" w:after="0" w:beforeAutospacing="0" w:afterAutospacing="0"/>
        <w:ind w:firstLine="709"/>
        <w:jc w:val="both"/>
        <w:rPr>
          <w:rFonts w:eastAsiaTheme="majorEastAsia"/>
          <w:color w:val="FF0000"/>
          <w:sz w:val="28"/>
          <w:szCs w:val="28"/>
          <w:lang w:eastAsia="en-US"/>
        </w:rPr>
      </w:pPr>
      <w:r>
        <w:rPr>
          <w:rFonts w:eastAsiaTheme="majorEastAsia"/>
          <w:color w:val="FF0000"/>
          <w:sz w:val="28"/>
          <w:szCs w:val="28"/>
          <w:lang w:eastAsia="en-US"/>
        </w:rPr>
        <w:t xml:space="preserve">    – уровень интернет-проникновения;</w:t>
      </w:r>
    </w:p>
    <w:p>
      <w:pPr>
        <w:pStyle w:val="P30"/>
        <w:shd w:val="clear" w:fill="FFFFFF"/>
        <w:spacing w:lineRule="auto" w:line="360" w:before="0" w:after="0" w:beforeAutospacing="0" w:afterAutospacing="0"/>
        <w:ind w:firstLine="709"/>
        <w:jc w:val="both"/>
        <w:rPr>
          <w:rFonts w:eastAsiaTheme="majorEastAsia"/>
          <w:color w:val="FF0000"/>
          <w:sz w:val="28"/>
          <w:szCs w:val="28"/>
          <w:lang w:eastAsia="en-US"/>
        </w:rPr>
      </w:pPr>
      <w:r>
        <w:rPr>
          <w:rFonts w:eastAsiaTheme="majorEastAsia"/>
          <w:color w:val="FF0000"/>
          <w:sz w:val="28"/>
          <w:szCs w:val="28"/>
          <w:lang w:eastAsia="en-US"/>
        </w:rPr>
        <w:t xml:space="preserve">    – распространенность мобильных финансовых сервисов;</w:t>
      </w:r>
    </w:p>
    <w:p>
      <w:pPr>
        <w:pStyle w:val="P30"/>
        <w:shd w:val="clear" w:fill="FFFFFF"/>
        <w:spacing w:lineRule="auto" w:line="360" w:before="0" w:after="0" w:beforeAutospacing="0" w:afterAutospacing="0"/>
        <w:ind w:firstLine="709"/>
        <w:jc w:val="both"/>
        <w:rPr>
          <w:rFonts w:eastAsiaTheme="majorEastAsia"/>
          <w:color w:val="FF0000"/>
          <w:sz w:val="28"/>
          <w:szCs w:val="28"/>
          <w:lang w:eastAsia="en-US"/>
        </w:rPr>
      </w:pPr>
      <w:r>
        <w:rPr>
          <w:rFonts w:eastAsiaTheme="majorEastAsia"/>
          <w:color w:val="FF0000"/>
          <w:sz w:val="28"/>
          <w:szCs w:val="28"/>
          <w:lang w:eastAsia="en-US"/>
        </w:rPr>
        <w:t xml:space="preserve">    – цифровизация платежей и электронная коммерция.</w:t>
      </w:r>
    </w:p>
    <w:p>
      <w:pPr>
        <w:pStyle w:val="P30"/>
        <w:shd w:val="clear" w:fill="FFFFFF"/>
        <w:spacing w:lineRule="auto" w:line="360" w:before="0" w:after="0" w:beforeAutospacing="0" w:afterAutospacing="0"/>
        <w:ind w:firstLine="709"/>
        <w:jc w:val="both"/>
        <w:rPr>
          <w:rFonts w:eastAsiaTheme="majorEastAsia"/>
          <w:color w:val="FF0000"/>
          <w:sz w:val="28"/>
          <w:szCs w:val="28"/>
          <w:lang w:eastAsia="en-US"/>
        </w:rPr>
      </w:pPr>
      <w:r>
        <w:rPr>
          <w:rFonts w:eastAsiaTheme="majorEastAsia"/>
          <w:color w:val="FF0000"/>
          <w:sz w:val="28"/>
          <w:szCs w:val="28"/>
          <w:lang w:eastAsia="en-US"/>
        </w:rPr>
        <w:t xml:space="preserve">    Доступ к финансированию инноваций:</w:t>
      </w:r>
    </w:p>
    <w:p>
      <w:pPr>
        <w:pStyle w:val="P30"/>
        <w:shd w:val="clear" w:fill="FFFFFF"/>
        <w:spacing w:lineRule="auto" w:line="360" w:before="0" w:after="0" w:beforeAutospacing="0" w:afterAutospacing="0"/>
        <w:ind w:firstLine="709"/>
        <w:jc w:val="both"/>
        <w:rPr>
          <w:rFonts w:eastAsiaTheme="majorEastAsia"/>
          <w:color w:val="FF0000"/>
          <w:sz w:val="28"/>
          <w:szCs w:val="28"/>
          <w:lang w:eastAsia="en-US"/>
        </w:rPr>
      </w:pPr>
      <w:r>
        <w:rPr>
          <w:rFonts w:eastAsiaTheme="majorEastAsia"/>
          <w:color w:val="FF0000"/>
          <w:sz w:val="28"/>
          <w:szCs w:val="28"/>
          <w:lang w:eastAsia="en-US"/>
        </w:rPr>
        <w:t xml:space="preserve">    – объем кредитования МСП;</w:t>
      </w:r>
    </w:p>
    <w:p>
      <w:pPr>
        <w:pStyle w:val="P30"/>
        <w:shd w:val="clear" w:fill="FFFFFF"/>
        <w:spacing w:lineRule="auto" w:line="360" w:before="0" w:after="0" w:beforeAutospacing="0" w:afterAutospacing="0"/>
        <w:ind w:firstLine="709"/>
        <w:jc w:val="both"/>
        <w:rPr>
          <w:rFonts w:eastAsiaTheme="majorEastAsia"/>
          <w:color w:val="FF0000"/>
          <w:sz w:val="28"/>
          <w:szCs w:val="28"/>
          <w:lang w:eastAsia="en-US"/>
        </w:rPr>
      </w:pPr>
      <w:r>
        <w:rPr>
          <w:rFonts w:eastAsiaTheme="majorEastAsia"/>
          <w:color w:val="FF0000"/>
          <w:sz w:val="28"/>
          <w:szCs w:val="28"/>
          <w:lang w:eastAsia="en-US"/>
        </w:rPr>
        <w:t xml:space="preserve">    – развитие микрофинансовых инструментов;</w:t>
      </w:r>
    </w:p>
    <w:p>
      <w:pPr>
        <w:pStyle w:val="P30"/>
        <w:shd w:val="clear" w:fill="FFFFFF"/>
        <w:spacing w:lineRule="auto" w:line="360" w:before="0" w:after="0" w:beforeAutospacing="0" w:afterAutospacing="0"/>
        <w:ind w:firstLine="709"/>
        <w:jc w:val="both"/>
        <w:rPr>
          <w:rFonts w:eastAsiaTheme="majorEastAsia"/>
          <w:color w:val="FF0000"/>
          <w:sz w:val="28"/>
          <w:szCs w:val="28"/>
          <w:lang w:eastAsia="en-US"/>
        </w:rPr>
      </w:pPr>
      <w:r>
        <w:rPr>
          <w:rFonts w:eastAsiaTheme="majorEastAsia"/>
          <w:color w:val="FF0000"/>
          <w:sz w:val="28"/>
          <w:szCs w:val="28"/>
          <w:lang w:eastAsia="en-US"/>
        </w:rPr>
        <w:t xml:space="preserve">    – приток прямых иностранных инвестиций в инновационно ориентированные сектора.</w:t>
      </w:r>
    </w:p>
    <w:p>
      <w:pPr>
        <w:pStyle w:val="P30"/>
        <w:shd w:val="clear" w:fill="FFFFFF"/>
        <w:spacing w:lineRule="auto" w:line="360" w:before="0" w:after="0" w:beforeAutospacing="0" w:afterAutospacing="0"/>
        <w:ind w:firstLine="709"/>
        <w:jc w:val="both"/>
        <w:rPr>
          <w:rFonts w:eastAsiaTheme="majorEastAsia"/>
          <w:color w:val="FF0000"/>
          <w:sz w:val="28"/>
          <w:szCs w:val="28"/>
          <w:lang w:eastAsia="en-US"/>
        </w:rPr>
      </w:pPr>
      <w:r>
        <w:rPr>
          <w:rFonts w:eastAsiaTheme="majorEastAsia"/>
          <w:color w:val="FF0000"/>
          <w:sz w:val="28"/>
          <w:szCs w:val="28"/>
          <w:lang w:eastAsia="en-US"/>
        </w:rPr>
        <w:t xml:space="preserve">    Внешнеэкономическая активность:</w:t>
      </w:r>
    </w:p>
    <w:p>
      <w:pPr>
        <w:pStyle w:val="P30"/>
        <w:shd w:val="clear" w:fill="FFFFFF"/>
        <w:spacing w:lineRule="auto" w:line="360" w:before="0" w:after="0" w:beforeAutospacing="0" w:afterAutospacing="0"/>
        <w:ind w:firstLine="709"/>
        <w:jc w:val="both"/>
        <w:rPr>
          <w:rFonts w:eastAsiaTheme="majorEastAsia"/>
          <w:color w:val="FF0000"/>
          <w:sz w:val="28"/>
          <w:szCs w:val="28"/>
          <w:lang w:eastAsia="en-US"/>
        </w:rPr>
      </w:pPr>
      <w:r>
        <w:rPr>
          <w:rFonts w:eastAsiaTheme="majorEastAsia"/>
          <w:color w:val="FF0000"/>
          <w:sz w:val="28"/>
          <w:szCs w:val="28"/>
          <w:lang w:eastAsia="en-US"/>
        </w:rPr>
        <w:t xml:space="preserve">    – диверсификация экспорта;</w:t>
      </w:r>
    </w:p>
    <w:p>
      <w:pPr>
        <w:pStyle w:val="P30"/>
        <w:shd w:val="clear" w:fill="FFFFFF"/>
        <w:spacing w:lineRule="auto" w:line="360" w:before="0" w:after="0" w:beforeAutospacing="0" w:afterAutospacing="0"/>
        <w:ind w:firstLine="709"/>
        <w:jc w:val="both"/>
        <w:rPr>
          <w:rFonts w:eastAsiaTheme="majorEastAsia"/>
          <w:color w:val="FF0000"/>
          <w:sz w:val="28"/>
          <w:szCs w:val="28"/>
          <w:lang w:eastAsia="en-US"/>
        </w:rPr>
      </w:pPr>
      <w:r>
        <w:rPr>
          <w:rFonts w:eastAsiaTheme="majorEastAsia"/>
          <w:color w:val="FF0000"/>
          <w:sz w:val="28"/>
          <w:szCs w:val="28"/>
          <w:lang w:eastAsia="en-US"/>
        </w:rPr>
        <w:t xml:space="preserve">    – доля переработанной продукции;</w:t>
      </w:r>
    </w:p>
    <w:p>
      <w:pPr>
        <w:pStyle w:val="P30"/>
        <w:shd w:val="clear" w:fill="FFFFFF"/>
        <w:spacing w:lineRule="auto" w:line="360" w:before="0" w:after="0" w:beforeAutospacing="0" w:afterAutospacing="0"/>
        <w:ind w:firstLine="709"/>
        <w:jc w:val="both"/>
        <w:rPr>
          <w:rFonts w:eastAsiaTheme="majorEastAsia"/>
          <w:color w:val="FF0000"/>
          <w:sz w:val="28"/>
          <w:szCs w:val="28"/>
          <w:lang w:eastAsia="en-US"/>
        </w:rPr>
      </w:pPr>
      <w:r>
        <w:rPr>
          <w:rFonts w:eastAsiaTheme="majorEastAsia"/>
          <w:color w:val="FF0000"/>
          <w:sz w:val="28"/>
          <w:szCs w:val="28"/>
          <w:lang w:eastAsia="en-US"/>
        </w:rPr>
        <w:t xml:space="preserve">    – участие в региональных и глобальных цепочках создания стоимости.</w:t>
      </w:r>
    </w:p>
    <w:p>
      <w:pPr>
        <w:pStyle w:val="P30"/>
        <w:shd w:val="clear" w:fill="FFFFFF"/>
        <w:spacing w:lineRule="auto" w:line="360" w:before="0" w:after="0" w:beforeAutospacing="0" w:afterAutospacing="0"/>
        <w:ind w:firstLine="709"/>
        <w:jc w:val="both"/>
        <w:rPr>
          <w:rFonts w:eastAsiaTheme="majorEastAsia"/>
          <w:color w:val="FF0000"/>
          <w:sz w:val="28"/>
          <w:szCs w:val="28"/>
          <w:lang w:eastAsia="en-US"/>
        </w:rPr>
      </w:pPr>
      <w:r>
        <w:rPr>
          <w:rFonts w:eastAsiaTheme="majorEastAsia"/>
          <w:color w:val="FF0000"/>
          <w:sz w:val="28"/>
          <w:szCs w:val="28"/>
          <w:lang w:eastAsia="en-US"/>
        </w:rPr>
        <w:t>Данные показатели используются как наблюдаемые переменные для индикаторного анализа и последующего причинно-структурного моделирования.</w:t>
      </w:r>
    </w:p>
    <w:p>
      <w:pPr>
        <w:pStyle w:val="P30"/>
        <w:shd w:val="clear" w:fill="FFFFFF"/>
        <w:spacing w:lineRule="auto" w:line="360" w:before="0" w:after="0" w:beforeAutospacing="0" w:afterAutospacing="0"/>
        <w:ind w:firstLine="709"/>
        <w:jc w:val="both"/>
        <w:rPr>
          <w:rFonts w:eastAsiaTheme="majorEastAsia"/>
          <w:color w:val="FF0000"/>
          <w:sz w:val="28"/>
          <w:szCs w:val="28"/>
          <w:lang w:eastAsia="en-US"/>
        </w:rPr>
      </w:pPr>
      <w:r>
        <w:rPr>
          <w:rFonts w:eastAsiaTheme="majorEastAsia"/>
          <w:color w:val="FF0000"/>
          <w:sz w:val="28"/>
          <w:szCs w:val="28"/>
          <w:lang w:eastAsia="en-US"/>
        </w:rPr>
        <w:t>Инклюзивное измерение направлено на оценку степени вовлеченности экономических агентов и территорий в процессы экономического роста и инновационного развития. В рамках исследования инклюзивность рассматривается через следующие блоки.</w:t>
      </w:r>
    </w:p>
    <w:p>
      <w:pPr>
        <w:pStyle w:val="P30"/>
        <w:shd w:val="clear" w:fill="FFFFFF"/>
        <w:spacing w:lineRule="auto" w:line="360" w:before="0" w:after="0" w:beforeAutospacing="0" w:afterAutospacing="0"/>
        <w:ind w:firstLine="709"/>
        <w:jc w:val="both"/>
        <w:rPr>
          <w:rFonts w:eastAsiaTheme="majorEastAsia"/>
          <w:color w:val="FF0000"/>
          <w:sz w:val="28"/>
          <w:szCs w:val="28"/>
          <w:lang w:eastAsia="en-US"/>
        </w:rPr>
      </w:pPr>
      <w:r>
        <w:rPr>
          <w:rFonts w:eastAsiaTheme="majorEastAsia"/>
          <w:color w:val="FF0000"/>
          <w:sz w:val="28"/>
          <w:szCs w:val="28"/>
          <w:lang w:eastAsia="en-US"/>
        </w:rPr>
        <w:t xml:space="preserve">    Экономическая включенность населения и МСП:</w:t>
      </w:r>
    </w:p>
    <w:p>
      <w:pPr>
        <w:pStyle w:val="P30"/>
        <w:shd w:val="clear" w:fill="FFFFFF"/>
        <w:spacing w:lineRule="auto" w:line="360" w:before="0" w:after="0" w:beforeAutospacing="0" w:afterAutospacing="0"/>
        <w:ind w:firstLine="709"/>
        <w:jc w:val="both"/>
        <w:rPr>
          <w:rFonts w:eastAsiaTheme="majorEastAsia"/>
          <w:color w:val="FF0000"/>
          <w:sz w:val="28"/>
          <w:szCs w:val="28"/>
          <w:lang w:eastAsia="en-US"/>
        </w:rPr>
      </w:pPr>
      <w:r>
        <w:rPr>
          <w:rFonts w:eastAsiaTheme="majorEastAsia"/>
          <w:color w:val="FF0000"/>
          <w:sz w:val="28"/>
          <w:szCs w:val="28"/>
          <w:lang w:eastAsia="en-US"/>
        </w:rPr>
        <w:t xml:space="preserve">    – уровень занятости;</w:t>
      </w:r>
    </w:p>
    <w:p>
      <w:pPr>
        <w:pStyle w:val="P30"/>
        <w:shd w:val="clear" w:fill="FFFFFF"/>
        <w:spacing w:lineRule="auto" w:line="360" w:before="0" w:after="0" w:beforeAutospacing="0" w:afterAutospacing="0"/>
        <w:ind w:firstLine="709"/>
        <w:jc w:val="both"/>
        <w:rPr>
          <w:rFonts w:eastAsiaTheme="majorEastAsia"/>
          <w:color w:val="FF0000"/>
          <w:sz w:val="28"/>
          <w:szCs w:val="28"/>
          <w:lang w:eastAsia="en-US"/>
        </w:rPr>
      </w:pPr>
      <w:r>
        <w:rPr>
          <w:rFonts w:eastAsiaTheme="majorEastAsia"/>
          <w:color w:val="FF0000"/>
          <w:sz w:val="28"/>
          <w:szCs w:val="28"/>
          <w:lang w:eastAsia="en-US"/>
        </w:rPr>
        <w:t xml:space="preserve">    – доля самозанятых и микропредприятий;</w:t>
      </w:r>
    </w:p>
    <w:p>
      <w:pPr>
        <w:pStyle w:val="P30"/>
        <w:shd w:val="clear" w:fill="FFFFFF"/>
        <w:spacing w:lineRule="auto" w:line="360" w:before="0" w:after="0" w:beforeAutospacing="0" w:afterAutospacing="0"/>
        <w:ind w:firstLine="709"/>
        <w:jc w:val="both"/>
        <w:rPr>
          <w:rFonts w:eastAsiaTheme="majorEastAsia"/>
          <w:color w:val="FF0000"/>
          <w:sz w:val="28"/>
          <w:szCs w:val="28"/>
          <w:lang w:eastAsia="en-US"/>
        </w:rPr>
      </w:pPr>
      <w:r>
        <w:rPr>
          <w:rFonts w:eastAsiaTheme="majorEastAsia"/>
          <w:color w:val="FF0000"/>
          <w:sz w:val="28"/>
          <w:szCs w:val="28"/>
          <w:lang w:eastAsia="en-US"/>
        </w:rPr>
        <w:t xml:space="preserve">    – доступ к финансовым услугам;</w:t>
      </w:r>
    </w:p>
    <w:p>
      <w:pPr>
        <w:pStyle w:val="P30"/>
        <w:shd w:val="clear" w:fill="FFFFFF"/>
        <w:spacing w:lineRule="auto" w:line="360" w:before="0" w:after="0" w:beforeAutospacing="0" w:afterAutospacing="0"/>
        <w:ind w:firstLine="709"/>
        <w:jc w:val="both"/>
        <w:rPr>
          <w:rFonts w:eastAsiaTheme="majorEastAsia"/>
          <w:color w:val="FF0000"/>
          <w:sz w:val="28"/>
          <w:szCs w:val="28"/>
          <w:lang w:eastAsia="en-US"/>
        </w:rPr>
      </w:pPr>
      <w:r>
        <w:rPr>
          <w:rFonts w:eastAsiaTheme="majorEastAsia"/>
          <w:color w:val="FF0000"/>
          <w:sz w:val="28"/>
          <w:szCs w:val="28"/>
          <w:lang w:eastAsia="en-US"/>
        </w:rPr>
        <w:t xml:space="preserve">    – формализация хозяйственной деятельности.</w:t>
      </w:r>
    </w:p>
    <w:p>
      <w:pPr>
        <w:pStyle w:val="P30"/>
        <w:shd w:val="clear" w:fill="FFFFFF"/>
        <w:spacing w:lineRule="auto" w:line="360" w:before="0" w:after="0" w:beforeAutospacing="0" w:afterAutospacing="0"/>
        <w:ind w:firstLine="709"/>
        <w:jc w:val="both"/>
        <w:rPr>
          <w:rFonts w:eastAsiaTheme="majorEastAsia"/>
          <w:color w:val="FF0000"/>
          <w:sz w:val="28"/>
          <w:szCs w:val="28"/>
          <w:lang w:eastAsia="en-US"/>
        </w:rPr>
      </w:pPr>
      <w:r>
        <w:rPr>
          <w:rFonts w:eastAsiaTheme="majorEastAsia"/>
          <w:color w:val="FF0000"/>
          <w:sz w:val="28"/>
          <w:szCs w:val="28"/>
          <w:lang w:eastAsia="en-US"/>
        </w:rPr>
        <w:t xml:space="preserve">    Региональная вовлеченность:</w:t>
      </w:r>
    </w:p>
    <w:p>
      <w:pPr>
        <w:pStyle w:val="P30"/>
        <w:shd w:val="clear" w:fill="FFFFFF"/>
        <w:spacing w:lineRule="auto" w:line="360" w:before="0" w:after="0" w:beforeAutospacing="0" w:afterAutospacing="0"/>
        <w:ind w:firstLine="709"/>
        <w:jc w:val="both"/>
        <w:rPr>
          <w:rFonts w:eastAsiaTheme="majorEastAsia"/>
          <w:color w:val="FF0000"/>
          <w:sz w:val="28"/>
          <w:szCs w:val="28"/>
          <w:lang w:eastAsia="en-US"/>
        </w:rPr>
      </w:pPr>
      <w:r>
        <w:rPr>
          <w:rFonts w:eastAsiaTheme="majorEastAsia"/>
          <w:color w:val="FF0000"/>
          <w:sz w:val="28"/>
          <w:szCs w:val="28"/>
          <w:lang w:eastAsia="en-US"/>
        </w:rPr>
        <w:t xml:space="preserve">    – различия в уровне доходов между регионами;</w:t>
      </w:r>
    </w:p>
    <w:p>
      <w:pPr>
        <w:pStyle w:val="P30"/>
        <w:shd w:val="clear" w:fill="FFFFFF"/>
        <w:spacing w:lineRule="auto" w:line="360" w:before="0" w:after="0" w:beforeAutospacing="0" w:afterAutospacing="0"/>
        <w:ind w:firstLine="709"/>
        <w:jc w:val="both"/>
        <w:rPr>
          <w:rFonts w:eastAsiaTheme="majorEastAsia"/>
          <w:color w:val="FF0000"/>
          <w:sz w:val="28"/>
          <w:szCs w:val="28"/>
          <w:lang w:eastAsia="en-US"/>
        </w:rPr>
      </w:pPr>
      <w:r>
        <w:rPr>
          <w:rFonts w:eastAsiaTheme="majorEastAsia"/>
          <w:color w:val="FF0000"/>
          <w:sz w:val="28"/>
          <w:szCs w:val="28"/>
          <w:lang w:eastAsia="en-US"/>
        </w:rPr>
        <w:t xml:space="preserve">    – территориальная концентрация экономической активности;</w:t>
      </w:r>
    </w:p>
    <w:p>
      <w:pPr>
        <w:pStyle w:val="P30"/>
        <w:shd w:val="clear" w:fill="FFFFFF"/>
        <w:spacing w:lineRule="auto" w:line="360" w:before="0" w:after="0" w:beforeAutospacing="0" w:afterAutospacing="0"/>
        <w:ind w:firstLine="709"/>
        <w:jc w:val="both"/>
        <w:rPr>
          <w:rFonts w:eastAsiaTheme="majorEastAsia"/>
          <w:color w:val="FF0000"/>
          <w:sz w:val="28"/>
          <w:szCs w:val="28"/>
          <w:lang w:eastAsia="en-US"/>
        </w:rPr>
      </w:pPr>
      <w:r>
        <w:rPr>
          <w:rFonts w:eastAsiaTheme="majorEastAsia"/>
          <w:color w:val="FF0000"/>
          <w:sz w:val="28"/>
          <w:szCs w:val="28"/>
          <w:lang w:eastAsia="en-US"/>
        </w:rPr>
        <w:t xml:space="preserve">    – доступ к инфраструктуре.</w:t>
      </w:r>
    </w:p>
    <w:p>
      <w:pPr>
        <w:pStyle w:val="P30"/>
        <w:shd w:val="clear" w:fill="FFFFFF"/>
        <w:spacing w:lineRule="auto" w:line="360" w:before="0" w:after="0" w:beforeAutospacing="0" w:afterAutospacing="0"/>
        <w:ind w:firstLine="709"/>
        <w:jc w:val="both"/>
        <w:rPr>
          <w:rFonts w:eastAsiaTheme="majorEastAsia"/>
          <w:color w:val="FF0000"/>
          <w:sz w:val="28"/>
          <w:szCs w:val="28"/>
          <w:lang w:eastAsia="en-US"/>
        </w:rPr>
      </w:pPr>
      <w:r>
        <w:rPr>
          <w:rFonts w:eastAsiaTheme="majorEastAsia"/>
          <w:color w:val="FF0000"/>
          <w:sz w:val="28"/>
          <w:szCs w:val="28"/>
          <w:lang w:eastAsia="en-US"/>
        </w:rPr>
        <w:t xml:space="preserve">    Социальная устойчивость развития:</w:t>
      </w:r>
    </w:p>
    <w:p>
      <w:pPr>
        <w:pStyle w:val="P30"/>
        <w:shd w:val="clear" w:fill="FFFFFF"/>
        <w:spacing w:lineRule="auto" w:line="360" w:before="0" w:after="0" w:beforeAutospacing="0" w:afterAutospacing="0"/>
        <w:ind w:firstLine="709"/>
        <w:jc w:val="both"/>
        <w:rPr>
          <w:rFonts w:eastAsiaTheme="majorEastAsia"/>
          <w:color w:val="FF0000"/>
          <w:sz w:val="28"/>
          <w:szCs w:val="28"/>
          <w:lang w:eastAsia="en-US"/>
        </w:rPr>
      </w:pPr>
      <w:r>
        <w:rPr>
          <w:rFonts w:eastAsiaTheme="majorEastAsia"/>
          <w:color w:val="FF0000"/>
          <w:sz w:val="28"/>
          <w:szCs w:val="28"/>
          <w:lang w:eastAsia="en-US"/>
        </w:rPr>
        <w:t xml:space="preserve">    – уровень бедности;</w:t>
      </w:r>
    </w:p>
    <w:p>
      <w:pPr>
        <w:pStyle w:val="P30"/>
        <w:shd w:val="clear" w:fill="FFFFFF"/>
        <w:spacing w:lineRule="auto" w:line="360" w:before="0" w:after="0" w:beforeAutospacing="0" w:afterAutospacing="0"/>
        <w:ind w:firstLine="709"/>
        <w:jc w:val="both"/>
        <w:rPr>
          <w:rFonts w:eastAsiaTheme="majorEastAsia"/>
          <w:color w:val="FF0000"/>
          <w:sz w:val="28"/>
          <w:szCs w:val="28"/>
          <w:lang w:eastAsia="en-US"/>
        </w:rPr>
      </w:pPr>
      <w:r>
        <w:rPr>
          <w:rFonts w:eastAsiaTheme="majorEastAsia"/>
          <w:color w:val="FF0000"/>
          <w:sz w:val="28"/>
          <w:szCs w:val="28"/>
          <w:lang w:eastAsia="en-US"/>
        </w:rPr>
        <w:t xml:space="preserve">    – доступ к образованию и цифровым услугам;</w:t>
      </w:r>
    </w:p>
    <w:p>
      <w:pPr>
        <w:pStyle w:val="P30"/>
        <w:shd w:val="clear" w:fill="FFFFFF"/>
        <w:spacing w:lineRule="auto" w:line="360" w:before="0" w:after="0" w:beforeAutospacing="0" w:afterAutospacing="0"/>
        <w:ind w:firstLine="709"/>
        <w:jc w:val="both"/>
        <w:rPr>
          <w:rFonts w:eastAsiaTheme="majorEastAsia"/>
          <w:color w:val="FF0000"/>
          <w:sz w:val="28"/>
          <w:szCs w:val="28"/>
          <w:lang w:eastAsia="en-US"/>
        </w:rPr>
      </w:pPr>
      <w:r>
        <w:rPr>
          <w:rFonts w:eastAsiaTheme="majorEastAsia"/>
          <w:color w:val="FF0000"/>
          <w:sz w:val="28"/>
          <w:szCs w:val="28"/>
          <w:lang w:eastAsia="en-US"/>
        </w:rPr>
        <w:t xml:space="preserve">    – показатели гендерной и молодежной вовлеченности.</w:t>
      </w:r>
    </w:p>
    <w:p>
      <w:pPr>
        <w:pStyle w:val="P30"/>
        <w:widowControl w:val="0"/>
        <w:shd w:val="clear" w:fill="FFFFFF"/>
        <w:spacing w:lineRule="auto" w:line="360" w:before="0" w:after="0" w:beforeAutospacing="0" w:afterAutospacing="0"/>
        <w:ind w:firstLine="709"/>
        <w:jc w:val="both"/>
        <w:rPr>
          <w:rFonts w:eastAsiaTheme="majorEastAsia"/>
          <w:color w:val="FF0000"/>
          <w:sz w:val="28"/>
          <w:szCs w:val="28"/>
          <w:lang w:eastAsia="en-US"/>
        </w:rPr>
      </w:pPr>
      <w:r>
        <w:rPr>
          <w:rFonts w:eastAsiaTheme="majorEastAsia"/>
          <w:color w:val="FF0000"/>
          <w:sz w:val="28"/>
          <w:szCs w:val="28"/>
          <w:lang w:eastAsia="en-US"/>
        </w:rPr>
        <w:t>Особое внимание уделяется показателям финансовой и цифровой инклюзии, которые в условиях развивающихся стран выступают связующим звеном между инновационной активностью и социально-экономическими результатами.</w:t>
      </w:r>
    </w:p>
    <w:p>
      <w:pPr>
        <w:pStyle w:val="P13"/>
        <w:spacing w:lineRule="auto" w:line="360" w:beforeAutospacing="0" w:afterAutospacing="0"/>
        <w:ind w:firstLine="709"/>
        <w:jc w:val="both"/>
        <w:rPr>
          <w:color w:val="00B0F0"/>
          <w:sz w:val="28"/>
          <w:szCs w:val="28"/>
          <w:lang w:val="ru-RU"/>
        </w:rPr>
      </w:pPr>
    </w:p>
    <w:p>
      <w:pPr>
        <w:pStyle w:val="P13"/>
        <w:spacing w:lineRule="auto" w:line="360" w:beforeAutospacing="0" w:afterAutospacing="0"/>
        <w:ind w:firstLine="709"/>
        <w:jc w:val="both"/>
        <w:rPr>
          <w:sz w:val="28"/>
          <w:szCs w:val="28"/>
          <w:highlight w:val="yellow"/>
          <w:lang w:val="ru-RU"/>
        </w:rPr>
      </w:pPr>
      <w:r>
        <w:rPr>
          <w:sz w:val="28"/>
          <w:szCs w:val="28"/>
          <w:highlight w:val="yellow"/>
          <w:lang w:val="ru-RU"/>
        </w:rPr>
        <w:t>Точно так же сторонники транснационального управления утверждают, что коалиция и сотрудничество между государственными органами, бизнес-актерами и гражданским обществом повысят вероятность того, что они останутся в «безопасном рабочем пространстве для человечества», поскольку ожидаются новые механизмы сотрудничества. Требуется разработать более эффективные, действенные и инклюзивные меры реагирования на глобальные политические проблемы в соответствии с целями Повестки дня на период до 2030 года и Повестки дня на период до 2063 года.</w:t>
      </w:r>
    </w:p>
    <w:p>
      <w:pPr>
        <w:spacing w:lineRule="auto" w:line="360" w:after="0" w:beforeAutospacing="0" w:afterAutospacing="0"/>
        <w:ind w:firstLine="708"/>
        <w:jc w:val="both"/>
        <w:rPr>
          <w:rFonts w:ascii="Times New Roman" w:hAnsi="Times New Roman" w:cs="Times New Roman"/>
          <w:sz w:val="28"/>
          <w:szCs w:val="28"/>
          <w:highlight w:val="yellow"/>
        </w:rPr>
      </w:pPr>
      <w:r>
        <w:rPr>
          <w:rFonts w:ascii="Times New Roman" w:hAnsi="Times New Roman" w:cs="Times New Roman"/>
          <w:sz w:val="28"/>
          <w:szCs w:val="28"/>
          <w:highlight w:val="yellow"/>
        </w:rPr>
        <w:t>Актуальность данных выводов подтверждается данными, характеризующими доступ населения к чистым видам топлива и электроэнергии в Республике Кот-д’Ивуар. За последние 10 лет сельское население не получило доступ к качественной инфраструктуре водоснабжения и канализации, данный показатель остался на минимальном уровне 1,4 %, доступ к электричеству вырос с 34,3 % в 2013 году до 43,1 % в 2021 году. Если учесть, что почти 95 % городского населения имеет доступ к электричеству, а к коммунальным услугам 62,2 %, то можно сделать вывод о том, что разрыв в достижении ЦУР между урбанизированными и сельскими районами в Республике Кот-д’Ивуар растет (таблица 2.14).</w:t>
      </w:r>
    </w:p>
    <w:p>
      <w:pPr>
        <w:spacing w:lineRule="auto" w:line="360" w:after="0" w:beforeAutospacing="0" w:afterAutospacing="0"/>
        <w:ind w:firstLine="708"/>
        <w:jc w:val="both"/>
        <w:rPr>
          <w:rFonts w:ascii="Times New Roman" w:hAnsi="Times New Roman" w:cs="Times New Roman"/>
          <w:sz w:val="28"/>
          <w:szCs w:val="28"/>
          <w:highlight w:val="yellow"/>
        </w:rPr>
      </w:pPr>
    </w:p>
    <w:p>
      <w:pPr>
        <w:spacing w:lineRule="auto" w:line="360" w:after="0" w:beforeAutospacing="0" w:afterAutospacing="0"/>
        <w:ind w:firstLine="708"/>
        <w:jc w:val="both"/>
        <w:rPr>
          <w:rFonts w:ascii="Times New Roman" w:hAnsi="Times New Roman" w:cs="Times New Roman"/>
          <w:sz w:val="28"/>
          <w:szCs w:val="28"/>
          <w:highlight w:val="yellow"/>
        </w:rPr>
      </w:pPr>
      <w:r>
        <w:rPr>
          <w:rFonts w:ascii="Times New Roman" w:hAnsi="Times New Roman" w:cs="Times New Roman"/>
          <w:sz w:val="28"/>
          <w:szCs w:val="28"/>
          <w:highlight w:val="yellow"/>
        </w:rPr>
        <w:t xml:space="preserve">Таблица 2.14 – Динамика показателей, характеризующих </w:t>
      </w:r>
      <w:bookmarkStart w:id="15" w:name="_Hlk137629815"/>
      <w:r>
        <w:rPr>
          <w:rFonts w:ascii="Times New Roman" w:hAnsi="Times New Roman" w:cs="Times New Roman"/>
          <w:sz w:val="28"/>
          <w:szCs w:val="28"/>
          <w:highlight w:val="yellow"/>
        </w:rPr>
        <w:t xml:space="preserve">доступ населения к чистым видам топлива и электроэнергии в Республике </w:t>
      </w:r>
      <w:r>
        <w:rPr>
          <w:rFonts w:ascii="Times New Roman" w:hAnsi="Times New Roman" w:cs="Times New Roman"/>
          <w:sz w:val="28"/>
          <w:szCs w:val="28"/>
          <w:highlight w:val="yellow"/>
        </w:rPr>
        <w:br w:type="textWrapping"/>
      </w:r>
      <w:r>
        <w:rPr>
          <w:rFonts w:ascii="Times New Roman" w:hAnsi="Times New Roman" w:cs="Times New Roman"/>
          <w:sz w:val="28"/>
          <w:szCs w:val="28"/>
          <w:highlight w:val="yellow"/>
        </w:rPr>
        <w:t>Кот-д’Ивуар</w:t>
      </w:r>
      <w:bookmarkEnd w:id="15"/>
      <w:r>
        <w:rPr>
          <w:rFonts w:ascii="Times New Roman" w:hAnsi="Times New Roman" w:cs="Times New Roman"/>
          <w:sz w:val="28"/>
          <w:szCs w:val="28"/>
          <w:highlight w:val="yellow"/>
        </w:rPr>
        <w:t>, % населения Источник: составлено автором по: [178, 188]</w:t>
      </w:r>
    </w:p>
    <w:tbl>
      <w:tblPr>
        <w:tblW w:w="9615" w:type="dxa"/>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Look w:val="04A0"/>
      </w:tblPr>
      <w:tblGrid>
        <w:gridCol w:w="4815"/>
        <w:gridCol w:w="960"/>
        <w:gridCol w:w="960"/>
        <w:gridCol w:w="960"/>
        <w:gridCol w:w="960"/>
        <w:gridCol w:w="960"/>
      </w:tblGrid>
      <w:tr>
        <w:trPr>
          <w:trHeight w:hRule="atLeast" w:val="300"/>
        </w:trPr>
        <w:tc>
          <w:tcPr>
            <w:tcW w:w="4815" w:type="dxa"/>
            <w:noWrap/>
            <w:vAlign w:val="bottom"/>
            <w:hideMark/>
          </w:tcPr>
          <w:p>
            <w:pPr>
              <w:spacing w:lineRule="auto" w:line="240" w:after="0" w:beforeAutospacing="0" w:afterAutospacing="0"/>
              <w:rPr>
                <w:rFonts w:ascii="Times New Roman" w:hAnsi="Times New Roman" w:cs="Times New Roman" w:eastAsia="Times New Roman"/>
                <w:sz w:val="24"/>
                <w:szCs w:val="24"/>
                <w:highlight w:val="yellow"/>
                <w:lang w:eastAsia="ru-RU"/>
              </w:rPr>
            </w:pPr>
            <w:r>
              <w:rPr>
                <w:rFonts w:ascii="Times New Roman" w:hAnsi="Times New Roman" w:cs="Times New Roman" w:eastAsia="Times New Roman"/>
                <w:sz w:val="24"/>
                <w:szCs w:val="24"/>
                <w:highlight w:val="yellow"/>
                <w:lang w:eastAsia="ru-RU"/>
              </w:rPr>
              <w:t>Показатель</w:t>
            </w:r>
          </w:p>
        </w:tc>
        <w:tc>
          <w:tcPr>
            <w:tcW w:w="960" w:type="dxa"/>
            <w:noWrap/>
            <w:vAlign w:val="center"/>
            <w:hideMark/>
          </w:tcPr>
          <w:p>
            <w:pPr>
              <w:spacing w:lineRule="auto" w:line="240" w:after="0" w:beforeAutospacing="0" w:afterAutospacing="0"/>
              <w:jc w:val="center"/>
              <w:rPr>
                <w:rFonts w:ascii="Times New Roman" w:hAnsi="Times New Roman" w:cs="Times New Roman" w:eastAsia="Times New Roman"/>
                <w:sz w:val="24"/>
                <w:szCs w:val="24"/>
                <w:highlight w:val="yellow"/>
                <w:lang w:eastAsia="ru-RU"/>
              </w:rPr>
            </w:pPr>
            <w:r>
              <w:rPr>
                <w:rFonts w:ascii="Times New Roman" w:hAnsi="Times New Roman" w:cs="Times New Roman" w:eastAsia="Times New Roman"/>
                <w:sz w:val="24"/>
                <w:szCs w:val="24"/>
                <w:highlight w:val="yellow"/>
                <w:lang w:eastAsia="ru-RU"/>
              </w:rPr>
              <w:t>2013 г.</w:t>
            </w:r>
          </w:p>
        </w:tc>
        <w:tc>
          <w:tcPr>
            <w:tcW w:w="960" w:type="dxa"/>
            <w:noWrap/>
            <w:vAlign w:val="center"/>
            <w:hideMark/>
          </w:tcPr>
          <w:p>
            <w:pPr>
              <w:spacing w:lineRule="auto" w:line="240" w:after="0" w:beforeAutospacing="0" w:afterAutospacing="0"/>
              <w:jc w:val="center"/>
              <w:rPr>
                <w:rFonts w:ascii="Times New Roman" w:hAnsi="Times New Roman" w:cs="Times New Roman" w:eastAsia="Times New Roman"/>
                <w:sz w:val="24"/>
                <w:szCs w:val="24"/>
                <w:highlight w:val="yellow"/>
                <w:lang w:eastAsia="ru-RU"/>
              </w:rPr>
            </w:pPr>
            <w:r>
              <w:rPr>
                <w:rFonts w:ascii="Times New Roman" w:hAnsi="Times New Roman" w:cs="Times New Roman" w:eastAsia="Times New Roman"/>
                <w:sz w:val="24"/>
                <w:szCs w:val="24"/>
                <w:highlight w:val="yellow"/>
                <w:lang w:eastAsia="ru-RU"/>
              </w:rPr>
              <w:t>2015 г.</w:t>
            </w:r>
          </w:p>
        </w:tc>
        <w:tc>
          <w:tcPr>
            <w:tcW w:w="960" w:type="dxa"/>
            <w:noWrap/>
            <w:vAlign w:val="center"/>
            <w:hideMark/>
          </w:tcPr>
          <w:p>
            <w:pPr>
              <w:spacing w:lineRule="auto" w:line="240" w:after="0" w:beforeAutospacing="0" w:afterAutospacing="0"/>
              <w:jc w:val="center"/>
              <w:rPr>
                <w:rFonts w:ascii="Times New Roman" w:hAnsi="Times New Roman" w:cs="Times New Roman" w:eastAsia="Times New Roman"/>
                <w:sz w:val="24"/>
                <w:szCs w:val="24"/>
                <w:highlight w:val="yellow"/>
                <w:lang w:eastAsia="ru-RU"/>
              </w:rPr>
            </w:pPr>
            <w:r>
              <w:rPr>
                <w:rFonts w:ascii="Times New Roman" w:hAnsi="Times New Roman" w:cs="Times New Roman" w:eastAsia="Times New Roman"/>
                <w:sz w:val="24"/>
                <w:szCs w:val="24"/>
                <w:highlight w:val="yellow"/>
                <w:lang w:eastAsia="ru-RU"/>
              </w:rPr>
              <w:t>2017 г.</w:t>
            </w:r>
          </w:p>
        </w:tc>
        <w:tc>
          <w:tcPr>
            <w:tcW w:w="960" w:type="dxa"/>
            <w:noWrap/>
            <w:vAlign w:val="center"/>
            <w:hideMark/>
          </w:tcPr>
          <w:p>
            <w:pPr>
              <w:spacing w:lineRule="auto" w:line="240" w:after="0" w:beforeAutospacing="0" w:afterAutospacing="0"/>
              <w:jc w:val="center"/>
              <w:rPr>
                <w:rFonts w:ascii="Times New Roman" w:hAnsi="Times New Roman" w:cs="Times New Roman" w:eastAsia="Times New Roman"/>
                <w:sz w:val="24"/>
                <w:szCs w:val="24"/>
                <w:highlight w:val="yellow"/>
                <w:lang w:eastAsia="ru-RU"/>
              </w:rPr>
            </w:pPr>
            <w:r>
              <w:rPr>
                <w:rFonts w:ascii="Times New Roman" w:hAnsi="Times New Roman" w:cs="Times New Roman" w:eastAsia="Times New Roman"/>
                <w:sz w:val="24"/>
                <w:szCs w:val="24"/>
                <w:highlight w:val="yellow"/>
                <w:lang w:eastAsia="ru-RU"/>
              </w:rPr>
              <w:t>2019 г.</w:t>
            </w:r>
          </w:p>
        </w:tc>
        <w:tc>
          <w:tcPr>
            <w:tcW w:w="960" w:type="dxa"/>
            <w:noWrap/>
            <w:vAlign w:val="center"/>
            <w:hideMark/>
          </w:tcPr>
          <w:p>
            <w:pPr>
              <w:spacing w:lineRule="auto" w:line="240" w:after="0" w:beforeAutospacing="0" w:afterAutospacing="0"/>
              <w:jc w:val="center"/>
              <w:rPr>
                <w:rFonts w:ascii="Times New Roman" w:hAnsi="Times New Roman" w:cs="Times New Roman" w:eastAsia="Times New Roman"/>
                <w:sz w:val="24"/>
                <w:szCs w:val="24"/>
                <w:highlight w:val="yellow"/>
                <w:lang w:eastAsia="ru-RU"/>
              </w:rPr>
            </w:pPr>
            <w:r>
              <w:rPr>
                <w:rFonts w:ascii="Times New Roman" w:hAnsi="Times New Roman" w:cs="Times New Roman" w:eastAsia="Times New Roman"/>
                <w:sz w:val="24"/>
                <w:szCs w:val="24"/>
                <w:highlight w:val="yellow"/>
                <w:lang w:eastAsia="ru-RU"/>
              </w:rPr>
              <w:t>2021 г.</w:t>
            </w:r>
          </w:p>
        </w:tc>
      </w:tr>
      <w:tr>
        <w:trPr>
          <w:trHeight w:hRule="atLeast" w:val="615"/>
        </w:trPr>
        <w:tc>
          <w:tcPr>
            <w:tcW w:w="4815" w:type="dxa"/>
            <w:shd w:val="clear" w:color="000000" w:fill="FFFFFF"/>
            <w:vAlign w:val="center"/>
            <w:hideMark/>
          </w:tcPr>
          <w:p>
            <w:pPr>
              <w:spacing w:lineRule="auto" w:line="240" w:after="0" w:beforeAutospacing="0" w:afterAutospacing="0"/>
              <w:ind w:right="-105"/>
              <w:rPr>
                <w:rFonts w:ascii="Times New Roman" w:hAnsi="Times New Roman" w:cs="Times New Roman" w:eastAsia="Times New Roman"/>
                <w:sz w:val="24"/>
                <w:szCs w:val="24"/>
                <w:highlight w:val="yellow"/>
                <w:lang w:eastAsia="ru-RU"/>
              </w:rPr>
            </w:pPr>
            <w:r>
              <w:rPr>
                <w:rFonts w:ascii="Times New Roman" w:hAnsi="Times New Roman" w:cs="Times New Roman" w:eastAsia="Times New Roman"/>
                <w:sz w:val="24"/>
                <w:szCs w:val="24"/>
                <w:highlight w:val="yellow"/>
                <w:lang w:eastAsia="ru-RU"/>
              </w:rPr>
              <w:t xml:space="preserve">Доступ к чистым видам топлива и технологиям для приготовления пищи, всего </w:t>
            </w:r>
          </w:p>
        </w:tc>
        <w:tc>
          <w:tcPr>
            <w:tcW w:w="960" w:type="dxa"/>
            <w:shd w:val="clear" w:color="000000" w:fill="FFFFFF"/>
            <w:noWrap/>
            <w:vAlign w:val="center"/>
            <w:hideMark/>
          </w:tcPr>
          <w:p>
            <w:pPr>
              <w:spacing w:lineRule="auto" w:line="240" w:after="0" w:beforeAutospacing="0" w:afterAutospacing="0"/>
              <w:jc w:val="center"/>
              <w:rPr>
                <w:rFonts w:ascii="Times New Roman" w:hAnsi="Times New Roman" w:cs="Times New Roman" w:eastAsia="Times New Roman"/>
                <w:sz w:val="24"/>
                <w:szCs w:val="24"/>
                <w:highlight w:val="yellow"/>
                <w:lang w:eastAsia="ru-RU"/>
              </w:rPr>
            </w:pPr>
            <w:r>
              <w:rPr>
                <w:rFonts w:ascii="Times New Roman" w:hAnsi="Times New Roman" w:cs="Times New Roman" w:eastAsia="Times New Roman"/>
                <w:sz w:val="24"/>
                <w:szCs w:val="24"/>
                <w:highlight w:val="yellow"/>
                <w:lang w:eastAsia="ru-RU"/>
              </w:rPr>
              <w:t>20,60</w:t>
            </w:r>
          </w:p>
        </w:tc>
        <w:tc>
          <w:tcPr>
            <w:tcW w:w="960" w:type="dxa"/>
            <w:shd w:val="clear" w:color="000000" w:fill="FFFFFF"/>
            <w:noWrap/>
            <w:vAlign w:val="center"/>
            <w:hideMark/>
          </w:tcPr>
          <w:p>
            <w:pPr>
              <w:spacing w:lineRule="auto" w:line="240" w:after="0" w:beforeAutospacing="0" w:afterAutospacing="0"/>
              <w:jc w:val="center"/>
              <w:rPr>
                <w:rFonts w:ascii="Times New Roman" w:hAnsi="Times New Roman" w:cs="Times New Roman" w:eastAsia="Times New Roman"/>
                <w:sz w:val="24"/>
                <w:szCs w:val="24"/>
                <w:highlight w:val="yellow"/>
                <w:lang w:eastAsia="ru-RU"/>
              </w:rPr>
            </w:pPr>
            <w:r>
              <w:rPr>
                <w:rFonts w:ascii="Times New Roman" w:hAnsi="Times New Roman" w:cs="Times New Roman" w:eastAsia="Times New Roman"/>
                <w:sz w:val="24"/>
                <w:szCs w:val="24"/>
                <w:highlight w:val="yellow"/>
                <w:lang w:eastAsia="ru-RU"/>
              </w:rPr>
              <w:t>23,10</w:t>
            </w:r>
          </w:p>
        </w:tc>
        <w:tc>
          <w:tcPr>
            <w:tcW w:w="960" w:type="dxa"/>
            <w:shd w:val="clear" w:color="000000" w:fill="FFFFFF"/>
            <w:noWrap/>
            <w:vAlign w:val="center"/>
            <w:hideMark/>
          </w:tcPr>
          <w:p>
            <w:pPr>
              <w:spacing w:lineRule="auto" w:line="240" w:after="0" w:beforeAutospacing="0" w:afterAutospacing="0"/>
              <w:jc w:val="center"/>
              <w:rPr>
                <w:rFonts w:ascii="Times New Roman" w:hAnsi="Times New Roman" w:cs="Times New Roman" w:eastAsia="Times New Roman"/>
                <w:sz w:val="24"/>
                <w:szCs w:val="24"/>
                <w:highlight w:val="yellow"/>
                <w:lang w:eastAsia="ru-RU"/>
              </w:rPr>
            </w:pPr>
            <w:r>
              <w:rPr>
                <w:rFonts w:ascii="Times New Roman" w:hAnsi="Times New Roman" w:cs="Times New Roman" w:eastAsia="Times New Roman"/>
                <w:sz w:val="24"/>
                <w:szCs w:val="24"/>
                <w:highlight w:val="yellow"/>
                <w:lang w:eastAsia="ru-RU"/>
              </w:rPr>
              <w:t>26,55</w:t>
            </w:r>
          </w:p>
        </w:tc>
        <w:tc>
          <w:tcPr>
            <w:tcW w:w="960" w:type="dxa"/>
            <w:shd w:val="clear" w:color="000000" w:fill="FFFFFF"/>
            <w:noWrap/>
            <w:vAlign w:val="center"/>
            <w:hideMark/>
          </w:tcPr>
          <w:p>
            <w:pPr>
              <w:spacing w:lineRule="auto" w:line="240" w:after="0" w:beforeAutospacing="0" w:afterAutospacing="0"/>
              <w:jc w:val="center"/>
              <w:rPr>
                <w:rFonts w:ascii="Times New Roman" w:hAnsi="Times New Roman" w:cs="Times New Roman" w:eastAsia="Times New Roman"/>
                <w:sz w:val="24"/>
                <w:szCs w:val="24"/>
                <w:highlight w:val="yellow"/>
                <w:lang w:eastAsia="ru-RU"/>
              </w:rPr>
            </w:pPr>
            <w:r>
              <w:rPr>
                <w:rFonts w:ascii="Times New Roman" w:hAnsi="Times New Roman" w:cs="Times New Roman" w:eastAsia="Times New Roman"/>
                <w:sz w:val="24"/>
                <w:szCs w:val="24"/>
                <w:highlight w:val="yellow"/>
                <w:lang w:eastAsia="ru-RU"/>
              </w:rPr>
              <w:t>30,30</w:t>
            </w:r>
          </w:p>
        </w:tc>
        <w:tc>
          <w:tcPr>
            <w:tcW w:w="960" w:type="dxa"/>
            <w:shd w:val="clear" w:color="000000" w:fill="FFFFFF"/>
            <w:noWrap/>
            <w:vAlign w:val="center"/>
            <w:hideMark/>
          </w:tcPr>
          <w:p>
            <w:pPr>
              <w:spacing w:lineRule="auto" w:line="240" w:after="0" w:beforeAutospacing="0" w:afterAutospacing="0"/>
              <w:jc w:val="center"/>
              <w:rPr>
                <w:rFonts w:ascii="Times New Roman" w:hAnsi="Times New Roman" w:cs="Times New Roman" w:eastAsia="Times New Roman"/>
                <w:sz w:val="24"/>
                <w:szCs w:val="24"/>
                <w:highlight w:val="yellow"/>
                <w:lang w:eastAsia="ru-RU"/>
              </w:rPr>
            </w:pPr>
            <w:r>
              <w:rPr>
                <w:rFonts w:ascii="Times New Roman" w:hAnsi="Times New Roman" w:cs="Times New Roman" w:eastAsia="Times New Roman"/>
                <w:sz w:val="24"/>
                <w:szCs w:val="24"/>
                <w:highlight w:val="yellow"/>
                <w:lang w:eastAsia="ru-RU"/>
              </w:rPr>
              <w:t>31,80</w:t>
            </w:r>
          </w:p>
        </w:tc>
      </w:tr>
      <w:tr>
        <w:trPr>
          <w:trHeight w:hRule="atLeast" w:val="531"/>
        </w:trPr>
        <w:tc>
          <w:tcPr>
            <w:tcW w:w="4815" w:type="dxa"/>
            <w:shd w:val="clear" w:color="000000" w:fill="FFFFFF"/>
            <w:vAlign w:val="center"/>
            <w:hideMark/>
          </w:tcPr>
          <w:p>
            <w:pPr>
              <w:spacing w:lineRule="auto" w:line="240" w:after="0" w:beforeAutospacing="0" w:afterAutospacing="0"/>
              <w:ind w:right="-105"/>
              <w:rPr>
                <w:rFonts w:ascii="Times New Roman" w:hAnsi="Times New Roman" w:cs="Times New Roman" w:eastAsia="Times New Roman"/>
                <w:sz w:val="24"/>
                <w:szCs w:val="24"/>
                <w:highlight w:val="yellow"/>
                <w:lang w:eastAsia="ru-RU"/>
              </w:rPr>
            </w:pPr>
            <w:r>
              <w:rPr>
                <w:rFonts w:ascii="Times New Roman" w:hAnsi="Times New Roman" w:cs="Times New Roman" w:eastAsia="Times New Roman"/>
                <w:sz w:val="24"/>
                <w:szCs w:val="24"/>
                <w:highlight w:val="yellow"/>
                <w:lang w:eastAsia="ru-RU"/>
              </w:rPr>
              <w:t xml:space="preserve">Доступ к чистым видам топлива и технологиям, сельское население </w:t>
            </w:r>
          </w:p>
        </w:tc>
        <w:tc>
          <w:tcPr>
            <w:tcW w:w="960" w:type="dxa"/>
            <w:shd w:val="clear" w:color="000000" w:fill="FFFFFF"/>
            <w:noWrap/>
            <w:vAlign w:val="center"/>
            <w:hideMark/>
          </w:tcPr>
          <w:p>
            <w:pPr>
              <w:spacing w:lineRule="auto" w:line="240" w:after="0" w:beforeAutospacing="0" w:afterAutospacing="0"/>
              <w:jc w:val="center"/>
              <w:rPr>
                <w:rFonts w:ascii="Times New Roman" w:hAnsi="Times New Roman" w:cs="Times New Roman" w:eastAsia="Times New Roman"/>
                <w:sz w:val="24"/>
                <w:szCs w:val="24"/>
                <w:highlight w:val="yellow"/>
                <w:lang w:eastAsia="ru-RU"/>
              </w:rPr>
            </w:pPr>
            <w:r>
              <w:rPr>
                <w:rFonts w:ascii="Times New Roman" w:hAnsi="Times New Roman" w:cs="Times New Roman" w:eastAsia="Times New Roman"/>
                <w:sz w:val="24"/>
                <w:szCs w:val="24"/>
                <w:highlight w:val="yellow"/>
                <w:lang w:eastAsia="ru-RU"/>
              </w:rPr>
              <w:t>1,40</w:t>
            </w:r>
          </w:p>
        </w:tc>
        <w:tc>
          <w:tcPr>
            <w:tcW w:w="960" w:type="dxa"/>
            <w:shd w:val="clear" w:color="000000" w:fill="FFFFFF"/>
            <w:noWrap/>
            <w:vAlign w:val="center"/>
            <w:hideMark/>
          </w:tcPr>
          <w:p>
            <w:pPr>
              <w:spacing w:lineRule="auto" w:line="240" w:after="0" w:beforeAutospacing="0" w:afterAutospacing="0"/>
              <w:jc w:val="center"/>
              <w:rPr>
                <w:rFonts w:ascii="Times New Roman" w:hAnsi="Times New Roman" w:cs="Times New Roman" w:eastAsia="Times New Roman"/>
                <w:sz w:val="24"/>
                <w:szCs w:val="24"/>
                <w:highlight w:val="yellow"/>
                <w:lang w:eastAsia="ru-RU"/>
              </w:rPr>
            </w:pPr>
            <w:r>
              <w:rPr>
                <w:rFonts w:ascii="Times New Roman" w:hAnsi="Times New Roman" w:cs="Times New Roman" w:eastAsia="Times New Roman"/>
                <w:sz w:val="24"/>
                <w:szCs w:val="24"/>
                <w:highlight w:val="yellow"/>
                <w:lang w:eastAsia="ru-RU"/>
              </w:rPr>
              <w:t>1,30</w:t>
            </w:r>
          </w:p>
        </w:tc>
        <w:tc>
          <w:tcPr>
            <w:tcW w:w="960" w:type="dxa"/>
            <w:shd w:val="clear" w:color="000000" w:fill="FFFFFF"/>
            <w:noWrap/>
            <w:vAlign w:val="center"/>
            <w:hideMark/>
          </w:tcPr>
          <w:p>
            <w:pPr>
              <w:spacing w:lineRule="auto" w:line="240" w:after="0" w:beforeAutospacing="0" w:afterAutospacing="0"/>
              <w:jc w:val="center"/>
              <w:rPr>
                <w:rFonts w:ascii="Times New Roman" w:hAnsi="Times New Roman" w:cs="Times New Roman" w:eastAsia="Times New Roman"/>
                <w:sz w:val="24"/>
                <w:szCs w:val="24"/>
                <w:highlight w:val="yellow"/>
                <w:lang w:eastAsia="ru-RU"/>
              </w:rPr>
            </w:pPr>
            <w:r>
              <w:rPr>
                <w:rFonts w:ascii="Times New Roman" w:hAnsi="Times New Roman" w:cs="Times New Roman" w:eastAsia="Times New Roman"/>
                <w:sz w:val="24"/>
                <w:szCs w:val="24"/>
                <w:highlight w:val="yellow"/>
                <w:lang w:eastAsia="ru-RU"/>
              </w:rPr>
              <w:t>1,35</w:t>
            </w:r>
          </w:p>
        </w:tc>
        <w:tc>
          <w:tcPr>
            <w:tcW w:w="960" w:type="dxa"/>
            <w:shd w:val="clear" w:color="000000" w:fill="FFFFFF"/>
            <w:noWrap/>
            <w:vAlign w:val="center"/>
            <w:hideMark/>
          </w:tcPr>
          <w:p>
            <w:pPr>
              <w:spacing w:lineRule="auto" w:line="240" w:after="0" w:beforeAutospacing="0" w:afterAutospacing="0"/>
              <w:jc w:val="center"/>
              <w:rPr>
                <w:rFonts w:ascii="Times New Roman" w:hAnsi="Times New Roman" w:cs="Times New Roman" w:eastAsia="Times New Roman"/>
                <w:sz w:val="24"/>
                <w:szCs w:val="24"/>
                <w:highlight w:val="yellow"/>
                <w:lang w:eastAsia="ru-RU"/>
              </w:rPr>
            </w:pPr>
            <w:r>
              <w:rPr>
                <w:rFonts w:ascii="Times New Roman" w:hAnsi="Times New Roman" w:cs="Times New Roman" w:eastAsia="Times New Roman"/>
                <w:sz w:val="24"/>
                <w:szCs w:val="24"/>
                <w:highlight w:val="yellow"/>
                <w:lang w:eastAsia="ru-RU"/>
              </w:rPr>
              <w:t>1,40</w:t>
            </w:r>
          </w:p>
        </w:tc>
        <w:tc>
          <w:tcPr>
            <w:tcW w:w="960" w:type="dxa"/>
            <w:shd w:val="clear" w:color="000000" w:fill="FFFFFF"/>
            <w:noWrap/>
            <w:vAlign w:val="center"/>
            <w:hideMark/>
          </w:tcPr>
          <w:p>
            <w:pPr>
              <w:spacing w:lineRule="auto" w:line="240" w:after="0" w:beforeAutospacing="0" w:afterAutospacing="0"/>
              <w:jc w:val="center"/>
              <w:rPr>
                <w:rFonts w:ascii="Times New Roman" w:hAnsi="Times New Roman" w:cs="Times New Roman" w:eastAsia="Times New Roman"/>
                <w:sz w:val="24"/>
                <w:szCs w:val="24"/>
                <w:highlight w:val="yellow"/>
                <w:lang w:eastAsia="ru-RU"/>
              </w:rPr>
            </w:pPr>
            <w:r>
              <w:rPr>
                <w:rFonts w:ascii="Times New Roman" w:hAnsi="Times New Roman" w:cs="Times New Roman" w:eastAsia="Times New Roman"/>
                <w:sz w:val="24"/>
                <w:szCs w:val="24"/>
                <w:highlight w:val="yellow"/>
                <w:lang w:eastAsia="ru-RU"/>
              </w:rPr>
              <w:t>1,40</w:t>
            </w:r>
          </w:p>
        </w:tc>
      </w:tr>
      <w:tr>
        <w:trPr>
          <w:trHeight w:hRule="atLeast" w:val="525"/>
        </w:trPr>
        <w:tc>
          <w:tcPr>
            <w:tcW w:w="4815" w:type="dxa"/>
            <w:shd w:val="clear" w:color="000000" w:fill="FFFFFF"/>
            <w:vAlign w:val="center"/>
            <w:hideMark/>
          </w:tcPr>
          <w:p>
            <w:pPr>
              <w:spacing w:lineRule="auto" w:line="240" w:after="0" w:beforeAutospacing="0" w:afterAutospacing="0"/>
              <w:ind w:right="-105"/>
              <w:rPr>
                <w:rFonts w:ascii="Times New Roman" w:hAnsi="Times New Roman" w:cs="Times New Roman" w:eastAsia="Times New Roman"/>
                <w:sz w:val="24"/>
                <w:szCs w:val="24"/>
                <w:highlight w:val="yellow"/>
                <w:lang w:eastAsia="ru-RU"/>
              </w:rPr>
            </w:pPr>
            <w:r>
              <w:rPr>
                <w:rFonts w:ascii="Times New Roman" w:hAnsi="Times New Roman" w:cs="Times New Roman" w:eastAsia="Times New Roman"/>
                <w:sz w:val="24"/>
                <w:szCs w:val="24"/>
                <w:highlight w:val="yellow"/>
                <w:lang w:eastAsia="ru-RU"/>
              </w:rPr>
              <w:t xml:space="preserve">Доступ к чистым видам топлива и технологиям, городское население </w:t>
            </w:r>
          </w:p>
        </w:tc>
        <w:tc>
          <w:tcPr>
            <w:tcW w:w="960" w:type="dxa"/>
            <w:shd w:val="clear" w:color="000000" w:fill="FFFFFF"/>
            <w:noWrap/>
            <w:vAlign w:val="center"/>
            <w:hideMark/>
          </w:tcPr>
          <w:p>
            <w:pPr>
              <w:spacing w:lineRule="auto" w:line="240" w:after="0" w:beforeAutospacing="0" w:afterAutospacing="0"/>
              <w:jc w:val="center"/>
              <w:rPr>
                <w:rFonts w:ascii="Times New Roman" w:hAnsi="Times New Roman" w:cs="Times New Roman" w:eastAsia="Times New Roman"/>
                <w:sz w:val="24"/>
                <w:szCs w:val="24"/>
                <w:highlight w:val="yellow"/>
                <w:lang w:eastAsia="ru-RU"/>
              </w:rPr>
            </w:pPr>
            <w:r>
              <w:rPr>
                <w:rFonts w:ascii="Times New Roman" w:hAnsi="Times New Roman" w:cs="Times New Roman" w:eastAsia="Times New Roman"/>
                <w:sz w:val="24"/>
                <w:szCs w:val="24"/>
                <w:highlight w:val="yellow"/>
                <w:lang w:eastAsia="ru-RU"/>
              </w:rPr>
              <w:t>41,25</w:t>
            </w:r>
          </w:p>
        </w:tc>
        <w:tc>
          <w:tcPr>
            <w:tcW w:w="960" w:type="dxa"/>
            <w:shd w:val="clear" w:color="000000" w:fill="FFFFFF"/>
            <w:noWrap/>
            <w:vAlign w:val="center"/>
            <w:hideMark/>
          </w:tcPr>
          <w:p>
            <w:pPr>
              <w:spacing w:lineRule="auto" w:line="240" w:after="0" w:beforeAutospacing="0" w:afterAutospacing="0"/>
              <w:jc w:val="center"/>
              <w:rPr>
                <w:rFonts w:ascii="Times New Roman" w:hAnsi="Times New Roman" w:cs="Times New Roman" w:eastAsia="Times New Roman"/>
                <w:sz w:val="24"/>
                <w:szCs w:val="24"/>
                <w:highlight w:val="yellow"/>
                <w:lang w:eastAsia="ru-RU"/>
              </w:rPr>
            </w:pPr>
            <w:r>
              <w:rPr>
                <w:rFonts w:ascii="Times New Roman" w:hAnsi="Times New Roman" w:cs="Times New Roman" w:eastAsia="Times New Roman"/>
                <w:sz w:val="24"/>
                <w:szCs w:val="24"/>
                <w:highlight w:val="yellow"/>
                <w:lang w:eastAsia="ru-RU"/>
              </w:rPr>
              <w:t>46,70</w:t>
            </w:r>
          </w:p>
        </w:tc>
        <w:tc>
          <w:tcPr>
            <w:tcW w:w="960" w:type="dxa"/>
            <w:shd w:val="clear" w:color="000000" w:fill="FFFFFF"/>
            <w:noWrap/>
            <w:vAlign w:val="center"/>
            <w:hideMark/>
          </w:tcPr>
          <w:p>
            <w:pPr>
              <w:spacing w:lineRule="auto" w:line="240" w:after="0" w:beforeAutospacing="0" w:afterAutospacing="0"/>
              <w:jc w:val="center"/>
              <w:rPr>
                <w:rFonts w:ascii="Times New Roman" w:hAnsi="Times New Roman" w:cs="Times New Roman" w:eastAsia="Times New Roman"/>
                <w:sz w:val="24"/>
                <w:szCs w:val="24"/>
                <w:highlight w:val="yellow"/>
                <w:lang w:eastAsia="ru-RU"/>
              </w:rPr>
            </w:pPr>
            <w:r>
              <w:rPr>
                <w:rFonts w:ascii="Times New Roman" w:hAnsi="Times New Roman" w:cs="Times New Roman" w:eastAsia="Times New Roman"/>
                <w:sz w:val="24"/>
                <w:szCs w:val="24"/>
                <w:highlight w:val="yellow"/>
                <w:lang w:eastAsia="ru-RU"/>
              </w:rPr>
              <w:t>52,60</w:t>
            </w:r>
          </w:p>
        </w:tc>
        <w:tc>
          <w:tcPr>
            <w:tcW w:w="960" w:type="dxa"/>
            <w:shd w:val="clear" w:color="000000" w:fill="FFFFFF"/>
            <w:noWrap/>
            <w:vAlign w:val="center"/>
            <w:hideMark/>
          </w:tcPr>
          <w:p>
            <w:pPr>
              <w:spacing w:lineRule="auto" w:line="240" w:after="0" w:beforeAutospacing="0" w:afterAutospacing="0"/>
              <w:jc w:val="center"/>
              <w:rPr>
                <w:rFonts w:ascii="Times New Roman" w:hAnsi="Times New Roman" w:cs="Times New Roman" w:eastAsia="Times New Roman"/>
                <w:sz w:val="24"/>
                <w:szCs w:val="24"/>
                <w:highlight w:val="yellow"/>
                <w:lang w:eastAsia="ru-RU"/>
              </w:rPr>
            </w:pPr>
            <w:r>
              <w:rPr>
                <w:rFonts w:ascii="Times New Roman" w:hAnsi="Times New Roman" w:cs="Times New Roman" w:eastAsia="Times New Roman"/>
                <w:sz w:val="24"/>
                <w:szCs w:val="24"/>
                <w:highlight w:val="yellow"/>
                <w:lang w:eastAsia="ru-RU"/>
              </w:rPr>
              <w:t>58,90</w:t>
            </w:r>
          </w:p>
        </w:tc>
        <w:tc>
          <w:tcPr>
            <w:tcW w:w="960" w:type="dxa"/>
            <w:shd w:val="clear" w:color="000000" w:fill="FFFFFF"/>
            <w:noWrap/>
            <w:vAlign w:val="center"/>
            <w:hideMark/>
          </w:tcPr>
          <w:p>
            <w:pPr>
              <w:spacing w:lineRule="auto" w:line="240" w:after="0" w:beforeAutospacing="0" w:afterAutospacing="0"/>
              <w:jc w:val="center"/>
              <w:rPr>
                <w:rFonts w:ascii="Times New Roman" w:hAnsi="Times New Roman" w:cs="Times New Roman" w:eastAsia="Times New Roman"/>
                <w:sz w:val="24"/>
                <w:szCs w:val="24"/>
                <w:highlight w:val="yellow"/>
                <w:lang w:eastAsia="ru-RU"/>
              </w:rPr>
            </w:pPr>
            <w:r>
              <w:rPr>
                <w:rFonts w:ascii="Times New Roman" w:hAnsi="Times New Roman" w:cs="Times New Roman" w:eastAsia="Times New Roman"/>
                <w:sz w:val="24"/>
                <w:szCs w:val="24"/>
                <w:highlight w:val="yellow"/>
                <w:lang w:eastAsia="ru-RU"/>
              </w:rPr>
              <w:t>62,20</w:t>
            </w:r>
          </w:p>
        </w:tc>
      </w:tr>
      <w:tr>
        <w:trPr>
          <w:trHeight w:hRule="atLeast" w:val="315"/>
        </w:trPr>
        <w:tc>
          <w:tcPr>
            <w:tcW w:w="4815" w:type="dxa"/>
            <w:shd w:val="clear" w:color="000000" w:fill="FFFFFF"/>
            <w:vAlign w:val="center"/>
            <w:hideMark/>
          </w:tcPr>
          <w:p>
            <w:pPr>
              <w:spacing w:lineRule="auto" w:line="240" w:after="0" w:beforeAutospacing="0" w:afterAutospacing="0"/>
              <w:ind w:right="-105"/>
              <w:rPr>
                <w:rFonts w:ascii="Times New Roman" w:hAnsi="Times New Roman" w:cs="Times New Roman" w:eastAsia="Times New Roman"/>
                <w:sz w:val="24"/>
                <w:szCs w:val="24"/>
                <w:highlight w:val="yellow"/>
                <w:lang w:eastAsia="ru-RU"/>
              </w:rPr>
            </w:pPr>
            <w:r>
              <w:rPr>
                <w:rFonts w:ascii="Times New Roman" w:hAnsi="Times New Roman" w:cs="Times New Roman" w:eastAsia="Times New Roman"/>
                <w:sz w:val="24"/>
                <w:szCs w:val="24"/>
                <w:highlight w:val="yellow"/>
                <w:lang w:val="en-US" w:eastAsia="ru-RU"/>
              </w:rPr>
              <w:t>Доступ</w:t>
            </w:r>
            <w:r>
              <w:rPr>
                <w:rFonts w:ascii="Times New Roman" w:hAnsi="Times New Roman" w:cs="Times New Roman" w:eastAsia="Times New Roman"/>
                <w:sz w:val="24"/>
                <w:szCs w:val="24"/>
                <w:highlight w:val="yellow"/>
                <w:lang w:eastAsia="ru-RU"/>
              </w:rPr>
              <w:t xml:space="preserve"> </w:t>
            </w:r>
            <w:r>
              <w:rPr>
                <w:rFonts w:ascii="Times New Roman" w:hAnsi="Times New Roman" w:cs="Times New Roman" w:eastAsia="Times New Roman"/>
                <w:sz w:val="24"/>
                <w:szCs w:val="24"/>
                <w:highlight w:val="yellow"/>
                <w:lang w:val="en-US" w:eastAsia="ru-RU"/>
              </w:rPr>
              <w:t>к электричеству</w:t>
            </w:r>
            <w:r>
              <w:rPr>
                <w:rFonts w:ascii="Times New Roman" w:hAnsi="Times New Roman" w:cs="Times New Roman" w:eastAsia="Times New Roman"/>
                <w:sz w:val="24"/>
                <w:szCs w:val="24"/>
                <w:highlight w:val="yellow"/>
                <w:lang w:eastAsia="ru-RU"/>
              </w:rPr>
              <w:t>, всего</w:t>
            </w:r>
            <w:r>
              <w:rPr>
                <w:rFonts w:ascii="Times New Roman" w:hAnsi="Times New Roman" w:cs="Times New Roman" w:eastAsia="Times New Roman"/>
                <w:sz w:val="24"/>
                <w:szCs w:val="24"/>
                <w:highlight w:val="yellow"/>
                <w:lang w:val="en-US" w:eastAsia="ru-RU"/>
              </w:rPr>
              <w:t xml:space="preserve"> </w:t>
            </w:r>
          </w:p>
        </w:tc>
        <w:tc>
          <w:tcPr>
            <w:tcW w:w="960" w:type="dxa"/>
            <w:shd w:val="clear" w:color="000000" w:fill="FFFFFF"/>
            <w:noWrap/>
            <w:vAlign w:val="center"/>
            <w:hideMark/>
          </w:tcPr>
          <w:p>
            <w:pPr>
              <w:spacing w:lineRule="auto" w:line="240" w:after="0" w:beforeAutospacing="0" w:afterAutospacing="0"/>
              <w:jc w:val="center"/>
              <w:rPr>
                <w:rFonts w:ascii="Times New Roman" w:hAnsi="Times New Roman" w:cs="Times New Roman" w:eastAsia="Times New Roman"/>
                <w:sz w:val="24"/>
                <w:szCs w:val="24"/>
                <w:highlight w:val="yellow"/>
                <w:lang w:eastAsia="ru-RU"/>
              </w:rPr>
            </w:pPr>
            <w:r>
              <w:rPr>
                <w:rFonts w:ascii="Times New Roman" w:hAnsi="Times New Roman" w:cs="Times New Roman" w:eastAsia="Times New Roman"/>
                <w:sz w:val="24"/>
                <w:szCs w:val="24"/>
                <w:highlight w:val="yellow"/>
                <w:lang w:eastAsia="ru-RU"/>
              </w:rPr>
              <w:t>61,36</w:t>
            </w:r>
          </w:p>
        </w:tc>
        <w:tc>
          <w:tcPr>
            <w:tcW w:w="960" w:type="dxa"/>
            <w:shd w:val="clear" w:color="000000" w:fill="FFFFFF"/>
            <w:noWrap/>
            <w:vAlign w:val="center"/>
            <w:hideMark/>
          </w:tcPr>
          <w:p>
            <w:pPr>
              <w:spacing w:lineRule="auto" w:line="240" w:after="0" w:beforeAutospacing="0" w:afterAutospacing="0"/>
              <w:jc w:val="center"/>
              <w:rPr>
                <w:rFonts w:ascii="Times New Roman" w:hAnsi="Times New Roman" w:cs="Times New Roman" w:eastAsia="Times New Roman"/>
                <w:sz w:val="24"/>
                <w:szCs w:val="24"/>
                <w:highlight w:val="yellow"/>
                <w:lang w:eastAsia="ru-RU"/>
              </w:rPr>
            </w:pPr>
            <w:r>
              <w:rPr>
                <w:rFonts w:ascii="Times New Roman" w:hAnsi="Times New Roman" w:cs="Times New Roman" w:eastAsia="Times New Roman"/>
                <w:sz w:val="24"/>
                <w:szCs w:val="24"/>
                <w:highlight w:val="yellow"/>
                <w:lang w:eastAsia="ru-RU"/>
              </w:rPr>
              <w:t>62,60</w:t>
            </w:r>
          </w:p>
        </w:tc>
        <w:tc>
          <w:tcPr>
            <w:tcW w:w="960" w:type="dxa"/>
            <w:shd w:val="clear" w:color="000000" w:fill="FFFFFF"/>
            <w:noWrap/>
            <w:vAlign w:val="center"/>
            <w:hideMark/>
          </w:tcPr>
          <w:p>
            <w:pPr>
              <w:spacing w:lineRule="auto" w:line="240" w:after="0" w:beforeAutospacing="0" w:afterAutospacing="0"/>
              <w:jc w:val="center"/>
              <w:rPr>
                <w:rFonts w:ascii="Times New Roman" w:hAnsi="Times New Roman" w:cs="Times New Roman" w:eastAsia="Times New Roman"/>
                <w:sz w:val="24"/>
                <w:szCs w:val="24"/>
                <w:highlight w:val="yellow"/>
                <w:lang w:eastAsia="ru-RU"/>
              </w:rPr>
            </w:pPr>
            <w:r>
              <w:rPr>
                <w:rFonts w:ascii="Times New Roman" w:hAnsi="Times New Roman" w:cs="Times New Roman" w:eastAsia="Times New Roman"/>
                <w:sz w:val="24"/>
                <w:szCs w:val="24"/>
                <w:highlight w:val="yellow"/>
                <w:lang w:eastAsia="ru-RU"/>
              </w:rPr>
              <w:t>65,60</w:t>
            </w:r>
          </w:p>
        </w:tc>
        <w:tc>
          <w:tcPr>
            <w:tcW w:w="960" w:type="dxa"/>
            <w:shd w:val="clear" w:color="000000" w:fill="FFFFFF"/>
            <w:noWrap/>
            <w:vAlign w:val="center"/>
            <w:hideMark/>
          </w:tcPr>
          <w:p>
            <w:pPr>
              <w:spacing w:lineRule="auto" w:line="240" w:after="0" w:beforeAutospacing="0" w:afterAutospacing="0"/>
              <w:jc w:val="center"/>
              <w:rPr>
                <w:rFonts w:ascii="Times New Roman" w:hAnsi="Times New Roman" w:cs="Times New Roman" w:eastAsia="Times New Roman"/>
                <w:sz w:val="24"/>
                <w:szCs w:val="24"/>
                <w:highlight w:val="yellow"/>
                <w:lang w:eastAsia="ru-RU"/>
              </w:rPr>
            </w:pPr>
            <w:r>
              <w:rPr>
                <w:rFonts w:ascii="Times New Roman" w:hAnsi="Times New Roman" w:cs="Times New Roman" w:eastAsia="Times New Roman"/>
                <w:sz w:val="24"/>
                <w:szCs w:val="24"/>
                <w:highlight w:val="yellow"/>
                <w:lang w:eastAsia="ru-RU"/>
              </w:rPr>
              <w:t>68,46</w:t>
            </w:r>
          </w:p>
        </w:tc>
        <w:tc>
          <w:tcPr>
            <w:tcW w:w="960" w:type="dxa"/>
            <w:shd w:val="clear" w:color="000000" w:fill="FFFFFF"/>
            <w:noWrap/>
            <w:vAlign w:val="center"/>
            <w:hideMark/>
          </w:tcPr>
          <w:p>
            <w:pPr>
              <w:spacing w:lineRule="auto" w:line="240" w:after="0" w:beforeAutospacing="0" w:afterAutospacing="0"/>
              <w:jc w:val="center"/>
              <w:rPr>
                <w:rFonts w:ascii="Times New Roman" w:hAnsi="Times New Roman" w:cs="Times New Roman" w:eastAsia="Times New Roman"/>
                <w:sz w:val="24"/>
                <w:szCs w:val="24"/>
                <w:highlight w:val="yellow"/>
                <w:lang w:eastAsia="ru-RU"/>
              </w:rPr>
            </w:pPr>
            <w:r>
              <w:rPr>
                <w:rFonts w:ascii="Times New Roman" w:hAnsi="Times New Roman" w:cs="Times New Roman" w:eastAsia="Times New Roman"/>
                <w:sz w:val="24"/>
                <w:szCs w:val="24"/>
                <w:highlight w:val="yellow"/>
                <w:lang w:eastAsia="ru-RU"/>
              </w:rPr>
              <w:t>69,68</w:t>
            </w:r>
          </w:p>
        </w:tc>
      </w:tr>
      <w:tr>
        <w:trPr>
          <w:trHeight w:hRule="atLeast" w:val="395"/>
        </w:trPr>
        <w:tc>
          <w:tcPr>
            <w:tcW w:w="4815" w:type="dxa"/>
            <w:shd w:val="clear" w:color="000000" w:fill="FFFFFF"/>
            <w:vAlign w:val="center"/>
            <w:hideMark/>
          </w:tcPr>
          <w:p>
            <w:pPr>
              <w:spacing w:lineRule="auto" w:line="240" w:after="0" w:beforeAutospacing="0" w:afterAutospacing="0"/>
              <w:ind w:right="-105"/>
              <w:rPr>
                <w:rFonts w:ascii="Times New Roman" w:hAnsi="Times New Roman" w:cs="Times New Roman" w:eastAsia="Times New Roman"/>
                <w:sz w:val="24"/>
                <w:szCs w:val="24"/>
                <w:highlight w:val="yellow"/>
                <w:lang w:eastAsia="ru-RU"/>
              </w:rPr>
            </w:pPr>
            <w:r>
              <w:rPr>
                <w:rFonts w:ascii="Times New Roman" w:hAnsi="Times New Roman" w:cs="Times New Roman" w:eastAsia="Times New Roman"/>
                <w:sz w:val="24"/>
                <w:szCs w:val="24"/>
                <w:highlight w:val="yellow"/>
                <w:lang w:eastAsia="ru-RU"/>
              </w:rPr>
              <w:t xml:space="preserve">Доступ к электричеству, сельское население </w:t>
            </w:r>
          </w:p>
        </w:tc>
        <w:tc>
          <w:tcPr>
            <w:tcW w:w="960" w:type="dxa"/>
            <w:shd w:val="clear" w:color="000000" w:fill="FFFFFF"/>
            <w:noWrap/>
            <w:vAlign w:val="center"/>
            <w:hideMark/>
          </w:tcPr>
          <w:p>
            <w:pPr>
              <w:spacing w:lineRule="auto" w:line="240" w:after="0" w:beforeAutospacing="0" w:afterAutospacing="0"/>
              <w:jc w:val="center"/>
              <w:rPr>
                <w:rFonts w:ascii="Times New Roman" w:hAnsi="Times New Roman" w:cs="Times New Roman" w:eastAsia="Times New Roman"/>
                <w:sz w:val="24"/>
                <w:szCs w:val="24"/>
                <w:highlight w:val="yellow"/>
                <w:lang w:eastAsia="ru-RU"/>
              </w:rPr>
            </w:pPr>
            <w:r>
              <w:rPr>
                <w:rFonts w:ascii="Times New Roman" w:hAnsi="Times New Roman" w:cs="Times New Roman" w:eastAsia="Times New Roman"/>
                <w:sz w:val="24"/>
                <w:szCs w:val="24"/>
                <w:highlight w:val="yellow"/>
                <w:lang w:eastAsia="ru-RU"/>
              </w:rPr>
              <w:t>34,32</w:t>
            </w:r>
          </w:p>
        </w:tc>
        <w:tc>
          <w:tcPr>
            <w:tcW w:w="960" w:type="dxa"/>
            <w:shd w:val="clear" w:color="000000" w:fill="FFFFFF"/>
            <w:noWrap/>
            <w:vAlign w:val="center"/>
            <w:hideMark/>
          </w:tcPr>
          <w:p>
            <w:pPr>
              <w:spacing w:lineRule="auto" w:line="240" w:after="0" w:beforeAutospacing="0" w:afterAutospacing="0"/>
              <w:jc w:val="center"/>
              <w:rPr>
                <w:rFonts w:ascii="Times New Roman" w:hAnsi="Times New Roman" w:cs="Times New Roman" w:eastAsia="Times New Roman"/>
                <w:sz w:val="24"/>
                <w:szCs w:val="24"/>
                <w:highlight w:val="yellow"/>
                <w:lang w:eastAsia="ru-RU"/>
              </w:rPr>
            </w:pPr>
            <w:r>
              <w:rPr>
                <w:rFonts w:ascii="Times New Roman" w:hAnsi="Times New Roman" w:cs="Times New Roman" w:eastAsia="Times New Roman"/>
                <w:sz w:val="24"/>
                <w:szCs w:val="24"/>
                <w:highlight w:val="yellow"/>
                <w:lang w:eastAsia="ru-RU"/>
              </w:rPr>
              <w:t>39,23</w:t>
            </w:r>
          </w:p>
        </w:tc>
        <w:tc>
          <w:tcPr>
            <w:tcW w:w="960" w:type="dxa"/>
            <w:shd w:val="clear" w:color="000000" w:fill="FFFFFF"/>
            <w:noWrap/>
            <w:vAlign w:val="center"/>
            <w:hideMark/>
          </w:tcPr>
          <w:p>
            <w:pPr>
              <w:spacing w:lineRule="auto" w:line="240" w:after="0" w:beforeAutospacing="0" w:afterAutospacing="0"/>
              <w:jc w:val="center"/>
              <w:rPr>
                <w:rFonts w:ascii="Times New Roman" w:hAnsi="Times New Roman" w:cs="Times New Roman" w:eastAsia="Times New Roman"/>
                <w:sz w:val="24"/>
                <w:szCs w:val="24"/>
                <w:highlight w:val="yellow"/>
                <w:lang w:eastAsia="ru-RU"/>
              </w:rPr>
            </w:pPr>
            <w:r>
              <w:rPr>
                <w:rFonts w:ascii="Times New Roman" w:hAnsi="Times New Roman" w:cs="Times New Roman" w:eastAsia="Times New Roman"/>
                <w:sz w:val="24"/>
                <w:szCs w:val="24"/>
                <w:highlight w:val="yellow"/>
                <w:lang w:eastAsia="ru-RU"/>
              </w:rPr>
              <w:t>38,28</w:t>
            </w:r>
          </w:p>
        </w:tc>
        <w:tc>
          <w:tcPr>
            <w:tcW w:w="960" w:type="dxa"/>
            <w:shd w:val="clear" w:color="000000" w:fill="FFFFFF"/>
            <w:noWrap/>
            <w:vAlign w:val="center"/>
            <w:hideMark/>
          </w:tcPr>
          <w:p>
            <w:pPr>
              <w:spacing w:lineRule="auto" w:line="240" w:after="0" w:beforeAutospacing="0" w:afterAutospacing="0"/>
              <w:jc w:val="center"/>
              <w:rPr>
                <w:rFonts w:ascii="Times New Roman" w:hAnsi="Times New Roman" w:cs="Times New Roman" w:eastAsia="Times New Roman"/>
                <w:sz w:val="24"/>
                <w:szCs w:val="24"/>
                <w:highlight w:val="yellow"/>
                <w:lang w:eastAsia="ru-RU"/>
              </w:rPr>
            </w:pPr>
            <w:r>
              <w:rPr>
                <w:rFonts w:ascii="Times New Roman" w:hAnsi="Times New Roman" w:cs="Times New Roman" w:eastAsia="Times New Roman"/>
                <w:sz w:val="24"/>
                <w:szCs w:val="24"/>
                <w:highlight w:val="yellow"/>
                <w:lang w:eastAsia="ru-RU"/>
              </w:rPr>
              <w:t>41,79</w:t>
            </w:r>
          </w:p>
        </w:tc>
        <w:tc>
          <w:tcPr>
            <w:tcW w:w="960" w:type="dxa"/>
            <w:shd w:val="clear" w:color="000000" w:fill="FFFFFF"/>
            <w:noWrap/>
            <w:vAlign w:val="center"/>
            <w:hideMark/>
          </w:tcPr>
          <w:p>
            <w:pPr>
              <w:spacing w:lineRule="auto" w:line="240" w:after="0" w:beforeAutospacing="0" w:afterAutospacing="0"/>
              <w:jc w:val="center"/>
              <w:rPr>
                <w:rFonts w:ascii="Times New Roman" w:hAnsi="Times New Roman" w:cs="Times New Roman" w:eastAsia="Times New Roman"/>
                <w:sz w:val="24"/>
                <w:szCs w:val="24"/>
                <w:highlight w:val="yellow"/>
                <w:lang w:eastAsia="ru-RU"/>
              </w:rPr>
            </w:pPr>
            <w:r>
              <w:rPr>
                <w:rFonts w:ascii="Times New Roman" w:hAnsi="Times New Roman" w:cs="Times New Roman" w:eastAsia="Times New Roman"/>
                <w:sz w:val="24"/>
                <w:szCs w:val="24"/>
                <w:highlight w:val="yellow"/>
                <w:lang w:eastAsia="ru-RU"/>
              </w:rPr>
              <w:t>43,14</w:t>
            </w:r>
          </w:p>
        </w:tc>
      </w:tr>
      <w:tr>
        <w:trPr>
          <w:trHeight w:hRule="atLeast" w:val="346"/>
        </w:trPr>
        <w:tc>
          <w:tcPr>
            <w:tcW w:w="4815" w:type="dxa"/>
            <w:shd w:val="clear" w:color="000000" w:fill="FFFFFF"/>
            <w:vAlign w:val="center"/>
            <w:hideMark/>
          </w:tcPr>
          <w:p>
            <w:pPr>
              <w:spacing w:lineRule="auto" w:line="240" w:after="0" w:beforeAutospacing="0" w:afterAutospacing="0"/>
              <w:ind w:right="-105"/>
              <w:rPr>
                <w:rFonts w:ascii="Times New Roman" w:hAnsi="Times New Roman" w:cs="Times New Roman" w:eastAsia="Times New Roman"/>
                <w:sz w:val="24"/>
                <w:szCs w:val="24"/>
                <w:highlight w:val="yellow"/>
                <w:lang w:eastAsia="ru-RU"/>
              </w:rPr>
            </w:pPr>
            <w:r>
              <w:rPr>
                <w:rFonts w:ascii="Times New Roman" w:hAnsi="Times New Roman" w:cs="Times New Roman" w:eastAsia="Times New Roman"/>
                <w:sz w:val="24"/>
                <w:szCs w:val="24"/>
                <w:highlight w:val="yellow"/>
                <w:lang w:eastAsia="ru-RU"/>
              </w:rPr>
              <w:t xml:space="preserve">Доступ к электричеству, городское население </w:t>
            </w:r>
          </w:p>
        </w:tc>
        <w:tc>
          <w:tcPr>
            <w:tcW w:w="960" w:type="dxa"/>
            <w:shd w:val="clear" w:color="000000" w:fill="FFFFFF"/>
            <w:noWrap/>
            <w:vAlign w:val="center"/>
            <w:hideMark/>
          </w:tcPr>
          <w:p>
            <w:pPr>
              <w:spacing w:lineRule="auto" w:line="240" w:after="0" w:beforeAutospacing="0" w:afterAutospacing="0"/>
              <w:jc w:val="center"/>
              <w:rPr>
                <w:rFonts w:ascii="Times New Roman" w:hAnsi="Times New Roman" w:cs="Times New Roman" w:eastAsia="Times New Roman"/>
                <w:sz w:val="24"/>
                <w:szCs w:val="24"/>
                <w:highlight w:val="yellow"/>
                <w:lang w:eastAsia="ru-RU"/>
              </w:rPr>
            </w:pPr>
            <w:r>
              <w:rPr>
                <w:rFonts w:ascii="Times New Roman" w:hAnsi="Times New Roman" w:cs="Times New Roman" w:eastAsia="Times New Roman"/>
                <w:sz w:val="24"/>
                <w:szCs w:val="24"/>
                <w:highlight w:val="yellow"/>
                <w:lang w:eastAsia="ru-RU"/>
              </w:rPr>
              <w:t>89,97</w:t>
            </w:r>
          </w:p>
        </w:tc>
        <w:tc>
          <w:tcPr>
            <w:tcW w:w="960" w:type="dxa"/>
            <w:shd w:val="clear" w:color="000000" w:fill="FFFFFF"/>
            <w:noWrap/>
            <w:vAlign w:val="center"/>
            <w:hideMark/>
          </w:tcPr>
          <w:p>
            <w:pPr>
              <w:spacing w:lineRule="auto" w:line="240" w:after="0" w:beforeAutospacing="0" w:afterAutospacing="0"/>
              <w:jc w:val="center"/>
              <w:rPr>
                <w:rFonts w:ascii="Times New Roman" w:hAnsi="Times New Roman" w:cs="Times New Roman" w:eastAsia="Times New Roman"/>
                <w:sz w:val="24"/>
                <w:szCs w:val="24"/>
                <w:highlight w:val="yellow"/>
                <w:lang w:eastAsia="ru-RU"/>
              </w:rPr>
            </w:pPr>
            <w:r>
              <w:rPr>
                <w:rFonts w:ascii="Times New Roman" w:hAnsi="Times New Roman" w:cs="Times New Roman" w:eastAsia="Times New Roman"/>
                <w:sz w:val="24"/>
                <w:szCs w:val="24"/>
                <w:highlight w:val="yellow"/>
                <w:lang w:eastAsia="ru-RU"/>
              </w:rPr>
              <w:t>86,50</w:t>
            </w:r>
          </w:p>
        </w:tc>
        <w:tc>
          <w:tcPr>
            <w:tcW w:w="960" w:type="dxa"/>
            <w:shd w:val="clear" w:color="000000" w:fill="FFFFFF"/>
            <w:noWrap/>
            <w:vAlign w:val="center"/>
            <w:hideMark/>
          </w:tcPr>
          <w:p>
            <w:pPr>
              <w:spacing w:lineRule="auto" w:line="240" w:after="0" w:beforeAutospacing="0" w:afterAutospacing="0"/>
              <w:jc w:val="center"/>
              <w:rPr>
                <w:rFonts w:ascii="Times New Roman" w:hAnsi="Times New Roman" w:cs="Times New Roman" w:eastAsia="Times New Roman"/>
                <w:sz w:val="24"/>
                <w:szCs w:val="24"/>
                <w:highlight w:val="yellow"/>
                <w:lang w:eastAsia="ru-RU"/>
              </w:rPr>
            </w:pPr>
            <w:r>
              <w:rPr>
                <w:rFonts w:ascii="Times New Roman" w:hAnsi="Times New Roman" w:cs="Times New Roman" w:eastAsia="Times New Roman"/>
                <w:sz w:val="24"/>
                <w:szCs w:val="24"/>
                <w:highlight w:val="yellow"/>
                <w:lang w:eastAsia="ru-RU"/>
              </w:rPr>
              <w:t>92,57</w:t>
            </w:r>
          </w:p>
        </w:tc>
        <w:tc>
          <w:tcPr>
            <w:tcW w:w="960" w:type="dxa"/>
            <w:shd w:val="clear" w:color="000000" w:fill="FFFFFF"/>
            <w:noWrap/>
            <w:vAlign w:val="center"/>
            <w:hideMark/>
          </w:tcPr>
          <w:p>
            <w:pPr>
              <w:spacing w:lineRule="auto" w:line="240" w:after="0" w:beforeAutospacing="0" w:afterAutospacing="0"/>
              <w:jc w:val="center"/>
              <w:rPr>
                <w:rFonts w:ascii="Times New Roman" w:hAnsi="Times New Roman" w:cs="Times New Roman" w:eastAsia="Times New Roman"/>
                <w:sz w:val="24"/>
                <w:szCs w:val="24"/>
                <w:highlight w:val="yellow"/>
                <w:lang w:eastAsia="ru-RU"/>
              </w:rPr>
            </w:pPr>
            <w:r>
              <w:rPr>
                <w:rFonts w:ascii="Times New Roman" w:hAnsi="Times New Roman" w:cs="Times New Roman" w:eastAsia="Times New Roman"/>
                <w:sz w:val="24"/>
                <w:szCs w:val="24"/>
                <w:highlight w:val="yellow"/>
                <w:lang w:eastAsia="ru-RU"/>
              </w:rPr>
              <w:t>93,84</w:t>
            </w:r>
          </w:p>
        </w:tc>
        <w:tc>
          <w:tcPr>
            <w:tcW w:w="960" w:type="dxa"/>
            <w:shd w:val="clear" w:color="000000" w:fill="FFFFFF"/>
            <w:noWrap/>
            <w:vAlign w:val="center"/>
            <w:hideMark/>
          </w:tcPr>
          <w:p>
            <w:pPr>
              <w:spacing w:lineRule="auto" w:line="240" w:after="0" w:beforeAutospacing="0" w:afterAutospacing="0"/>
              <w:jc w:val="center"/>
              <w:rPr>
                <w:rFonts w:ascii="Times New Roman" w:hAnsi="Times New Roman" w:cs="Times New Roman" w:eastAsia="Times New Roman"/>
                <w:sz w:val="24"/>
                <w:szCs w:val="24"/>
                <w:highlight w:val="yellow"/>
                <w:lang w:eastAsia="ru-RU"/>
              </w:rPr>
            </w:pPr>
            <w:r>
              <w:rPr>
                <w:rFonts w:ascii="Times New Roman" w:hAnsi="Times New Roman" w:cs="Times New Roman" w:eastAsia="Times New Roman"/>
                <w:sz w:val="24"/>
                <w:szCs w:val="24"/>
                <w:highlight w:val="yellow"/>
                <w:lang w:eastAsia="ru-RU"/>
              </w:rPr>
              <w:t>94,47</w:t>
            </w:r>
          </w:p>
        </w:tc>
      </w:tr>
    </w:tbl>
    <w:p>
      <w:pPr>
        <w:spacing w:lineRule="auto" w:line="360" w:after="0" w:beforeAutospacing="0" w:afterAutospacing="0"/>
        <w:ind w:firstLine="708"/>
        <w:jc w:val="both"/>
        <w:rPr>
          <w:rFonts w:ascii="Times New Roman" w:hAnsi="Times New Roman" w:cs="Times New Roman"/>
          <w:sz w:val="28"/>
          <w:szCs w:val="28"/>
          <w:highlight w:val="yellow"/>
        </w:rPr>
      </w:pPr>
    </w:p>
    <w:p>
      <w:pPr>
        <w:spacing w:lineRule="auto" w:line="360" w:after="0" w:beforeAutospacing="0" w:afterAutospacing="0"/>
        <w:ind w:firstLine="708"/>
        <w:jc w:val="both"/>
        <w:rPr>
          <w:rFonts w:ascii="Times New Roman" w:hAnsi="Times New Roman" w:cs="Times New Roman"/>
          <w:sz w:val="28"/>
          <w:szCs w:val="28"/>
          <w:highlight w:val="yellow"/>
        </w:rPr>
      </w:pPr>
      <w:r>
        <w:rPr>
          <w:rFonts w:ascii="Times New Roman" w:hAnsi="Times New Roman" w:cs="Times New Roman"/>
          <w:sz w:val="28"/>
          <w:szCs w:val="28"/>
          <w:highlight w:val="yellow"/>
        </w:rPr>
        <w:t>Данные выводы подтверждает и анализ динамики предоставления базовых санитарных услуг в Республике Кот-д’Ивуар. Как видно из рисунка 2.6, темпы роста значительно уступают темпам роста ВВП, поэтому говорить о том, что обеспечение высоких и стабильных темпов экономического роста является главным фактором устойчивого развития нельзя.</w:t>
      </w:r>
    </w:p>
    <w:p>
      <w:pPr>
        <w:spacing w:lineRule="auto" w:line="360" w:after="0" w:beforeAutospacing="0" w:afterAutospacing="0"/>
        <w:jc w:val="center"/>
        <w:rPr>
          <w:rFonts w:ascii="Times New Roman" w:hAnsi="Times New Roman" w:cs="Times New Roman"/>
          <w:sz w:val="28"/>
          <w:szCs w:val="28"/>
          <w:highlight w:val="yellow"/>
        </w:rPr>
      </w:pPr>
      <w:r>
        <w:rPr>
          <w:noProof w:val="1"/>
          <w:highlight w:val="yellow"/>
          <w:lang w:eastAsia="ru-RU"/>
        </w:rPr>
        <w:drawing>
          <wp:inline xmlns:wp="http://schemas.openxmlformats.org/drawingml/2006/wordprocessingDrawing" distT="0" distB="0" distL="0" distR="0">
            <wp:extent cx="5756275" cy="1709420"/>
            <wp:effectExtent l="0" t="0" r="15875" b="5080"/>
            <wp:docPr id="600" name="Диаграмма 600"/>
            <wp:cNvGraphicFramePr/>
            <a:graphic xmlns:a="http://schemas.openxmlformats.org/drawingml/2006/main">
              <a:graphicData uri="http://schemas.openxmlformats.org/drawingml/2006/chart">
                <c:chart xmlns:c="http://schemas.openxmlformats.org/drawingml/2006/chart" r:id="RelChart3"/>
              </a:graphicData>
            </a:graphic>
          </wp:inline>
        </w:drawing>
      </w:r>
    </w:p>
    <w:p>
      <w:pPr>
        <w:spacing w:lineRule="auto" w:line="360" w:after="0" w:beforeAutospacing="0" w:afterAutospacing="0"/>
        <w:jc w:val="center"/>
        <w:rPr>
          <w:rFonts w:ascii="Times New Roman" w:hAnsi="Times New Roman" w:cs="Times New Roman"/>
          <w:sz w:val="28"/>
          <w:szCs w:val="28"/>
          <w:highlight w:val="yellow"/>
        </w:rPr>
      </w:pPr>
      <w:r>
        <w:rPr>
          <w:rFonts w:ascii="Times New Roman" w:hAnsi="Times New Roman" w:cs="Times New Roman"/>
          <w:sz w:val="28"/>
          <w:szCs w:val="28"/>
          <w:highlight w:val="yellow"/>
        </w:rPr>
        <w:t xml:space="preserve">Рисунок 2.6 – </w:t>
      </w:r>
      <w:bookmarkStart w:id="16" w:name="_Hlk137630161"/>
      <w:r>
        <w:rPr>
          <w:rFonts w:ascii="Times New Roman" w:hAnsi="Times New Roman" w:cs="Times New Roman"/>
          <w:sz w:val="28"/>
          <w:szCs w:val="28"/>
          <w:highlight w:val="yellow"/>
        </w:rPr>
        <w:t>Динамика предоставления базовых санитарных услуг в Республике Кот-д’Ивуар</w:t>
      </w:r>
      <w:bookmarkEnd w:id="16"/>
      <w:r>
        <w:rPr>
          <w:rFonts w:ascii="Times New Roman" w:hAnsi="Times New Roman" w:cs="Times New Roman"/>
          <w:sz w:val="28"/>
          <w:szCs w:val="28"/>
          <w:highlight w:val="yellow"/>
        </w:rPr>
        <w:t>, % населения Источник: составлено автором по: [178, 188]</w:t>
      </w:r>
    </w:p>
    <w:p>
      <w:pPr>
        <w:spacing w:lineRule="auto" w:line="360" w:after="0" w:beforeAutospacing="0" w:afterAutospacing="0"/>
        <w:ind w:firstLine="708"/>
        <w:jc w:val="both"/>
        <w:rPr>
          <w:rFonts w:ascii="Times New Roman" w:hAnsi="Times New Roman" w:cs="Times New Roman"/>
          <w:sz w:val="28"/>
          <w:szCs w:val="28"/>
          <w:highlight w:val="yellow"/>
        </w:rPr>
      </w:pPr>
    </w:p>
    <w:p>
      <w:pPr>
        <w:spacing w:lineRule="auto" w:line="360" w:after="0" w:beforeAutospacing="0" w:afterAutospacing="0"/>
        <w:ind w:firstLine="708"/>
        <w:jc w:val="both"/>
        <w:rPr>
          <w:rFonts w:ascii="Times New Roman" w:hAnsi="Times New Roman" w:cs="Times New Roman"/>
          <w:sz w:val="28"/>
          <w:szCs w:val="28"/>
          <w:highlight w:val="yellow"/>
        </w:rPr>
      </w:pPr>
      <w:r>
        <w:rPr>
          <w:rFonts w:ascii="Times New Roman" w:hAnsi="Times New Roman" w:cs="Times New Roman"/>
          <w:sz w:val="28"/>
          <w:szCs w:val="28"/>
          <w:highlight w:val="yellow"/>
        </w:rPr>
        <w:t>При этом по отдельным ключевым показателям, таким как предоставления услуг питьевого водоснабжения ситуация в Республике Кот-Д’Ивуар практически не меняется. Только около 17 % сельского населения в 2021 году имеют доступ к чистой питьевой воде, более того, данный показатель немного снизился, так как в 2013 году составлял 18,3 %. За анализируемый период удельный вес городского населения также колебался на уровне около 56 % (рисунок 2.7).</w:t>
      </w:r>
    </w:p>
    <w:p>
      <w:pPr>
        <w:spacing w:lineRule="auto" w:line="360" w:after="0" w:beforeAutospacing="0" w:afterAutospacing="0"/>
        <w:jc w:val="center"/>
        <w:rPr>
          <w:rFonts w:ascii="Times New Roman" w:hAnsi="Times New Roman" w:cs="Times New Roman"/>
          <w:sz w:val="28"/>
          <w:szCs w:val="28"/>
          <w:highlight w:val="yellow"/>
        </w:rPr>
      </w:pPr>
      <w:r>
        <w:rPr>
          <w:noProof w:val="1"/>
          <w:highlight w:val="yellow"/>
          <w:lang w:eastAsia="ru-RU"/>
        </w:rPr>
        <w:drawing>
          <wp:inline xmlns:wp="http://schemas.openxmlformats.org/drawingml/2006/wordprocessingDrawing" distT="0" distB="0" distL="0" distR="0">
            <wp:extent cx="5943600" cy="2476500"/>
            <wp:effectExtent l="0" t="0" r="0" b="0"/>
            <wp:docPr id="601" name="Диаграмма 601"/>
            <wp:cNvGraphicFramePr/>
            <a:graphic xmlns:a="http://schemas.openxmlformats.org/drawingml/2006/main">
              <a:graphicData uri="http://schemas.openxmlformats.org/drawingml/2006/chart">
                <c:chart xmlns:c="http://schemas.openxmlformats.org/drawingml/2006/chart" r:id="RelChart4"/>
              </a:graphicData>
            </a:graphic>
          </wp:inline>
        </w:drawing>
      </w:r>
      <w:r>
        <w:rPr>
          <w:rFonts w:ascii="Times New Roman" w:hAnsi="Times New Roman" w:cs="Times New Roman"/>
          <w:sz w:val="28"/>
          <w:szCs w:val="28"/>
          <w:highlight w:val="yellow"/>
        </w:rPr>
        <w:t xml:space="preserve"> </w:t>
      </w:r>
    </w:p>
    <w:p>
      <w:pPr>
        <w:spacing w:lineRule="auto" w:line="360" w:after="0" w:beforeAutospacing="0" w:afterAutospacing="0"/>
        <w:jc w:val="center"/>
        <w:rPr>
          <w:rFonts w:ascii="Times New Roman" w:hAnsi="Times New Roman" w:cs="Times New Roman"/>
          <w:sz w:val="28"/>
          <w:szCs w:val="28"/>
          <w:highlight w:val="yellow"/>
        </w:rPr>
      </w:pPr>
      <w:r>
        <w:rPr>
          <w:rFonts w:ascii="Times New Roman" w:hAnsi="Times New Roman" w:cs="Times New Roman"/>
          <w:sz w:val="28"/>
          <w:szCs w:val="28"/>
          <w:highlight w:val="yellow"/>
        </w:rPr>
        <w:t xml:space="preserve">Рисунок – Динамика </w:t>
      </w:r>
      <w:bookmarkStart w:id="17" w:name="_Hlk137630323"/>
      <w:r>
        <w:rPr>
          <w:rFonts w:ascii="Times New Roman" w:hAnsi="Times New Roman" w:cs="Times New Roman"/>
          <w:sz w:val="28"/>
          <w:szCs w:val="28"/>
          <w:highlight w:val="yellow"/>
        </w:rPr>
        <w:t xml:space="preserve">предоставления услуг питьевого водоснабжения </w:t>
      </w:r>
      <w:bookmarkEnd w:id="17"/>
      <w:r>
        <w:rPr>
          <w:rFonts w:ascii="Times New Roman" w:hAnsi="Times New Roman" w:cs="Times New Roman"/>
          <w:sz w:val="28"/>
          <w:szCs w:val="28"/>
          <w:highlight w:val="yellow"/>
        </w:rPr>
        <w:t>в Республике Кот-д’Ивуар, % Источник: составлено автором по: [178, 188]</w:t>
      </w:r>
    </w:p>
    <w:p>
      <w:pPr>
        <w:spacing w:lineRule="auto" w:line="360" w:after="0" w:beforeAutospacing="0" w:afterAutospacing="0"/>
        <w:jc w:val="center"/>
        <w:rPr>
          <w:rFonts w:ascii="Times New Roman" w:hAnsi="Times New Roman" w:cs="Times New Roman"/>
          <w:sz w:val="28"/>
          <w:szCs w:val="28"/>
          <w:highlight w:val="yellow"/>
        </w:rPr>
      </w:pPr>
    </w:p>
    <w:p>
      <w:pPr>
        <w:spacing w:lineRule="auto" w:line="360" w:after="0" w:beforeAutospacing="0" w:afterAutospacing="0"/>
        <w:ind w:firstLine="708"/>
        <w:jc w:val="both"/>
        <w:rPr>
          <w:rFonts w:ascii="Times New Roman" w:hAnsi="Times New Roman" w:cs="Times New Roman"/>
          <w:sz w:val="28"/>
          <w:szCs w:val="28"/>
          <w:highlight w:val="yellow"/>
        </w:rPr>
      </w:pPr>
      <w:r>
        <w:rPr>
          <w:rFonts w:ascii="Times New Roman" w:hAnsi="Times New Roman" w:cs="Times New Roman"/>
          <w:sz w:val="28"/>
          <w:szCs w:val="28"/>
          <w:highlight w:val="yellow"/>
        </w:rPr>
        <w:t>Если рассмотреть дифференциацию доступа населения Республики Кот-Д’Ивуар к социальным услугам в разрезе уровня доходов, то видно следующее. Охват программами социального страхования даже среди физических лиц с высокими доходами в 2021 году не превышал 15 %, а среди беднейших и наименее социально защищенных слоев населения составлял всего лишь5,6 % (рисунок 2.8). При этом, что касается реализации программ социальной защиты населения Республики Кот-д’Ивуар, то удельный вес беднейших слоев населения, охваченных помощью в 2021 году, составил 38,8 % (рисунок 2.9). Значение данного показателя находится на удовлетворительном уровне. Однако, следует отметить, что такое значение связано, прежде всего, со значительными объемами адресной финансовой помощи со стороны международных организаций, которая касается преимущественно сельского населения.</w:t>
      </w:r>
    </w:p>
    <w:p>
      <w:pPr>
        <w:spacing w:lineRule="auto" w:line="360" w:after="0" w:beforeAutospacing="0" w:afterAutospacing="0"/>
        <w:jc w:val="center"/>
        <w:rPr>
          <w:rFonts w:ascii="Times New Roman" w:hAnsi="Times New Roman" w:cs="Times New Roman"/>
          <w:sz w:val="28"/>
          <w:szCs w:val="28"/>
          <w:highlight w:val="yellow"/>
        </w:rPr>
      </w:pPr>
    </w:p>
    <w:p>
      <w:pPr>
        <w:jc w:val="center"/>
        <w:rPr>
          <w:rFonts w:ascii="Times New Roman" w:hAnsi="Times New Roman" w:cs="Times New Roman"/>
          <w:sz w:val="28"/>
          <w:szCs w:val="28"/>
          <w:highlight w:val="yellow"/>
        </w:rPr>
      </w:pPr>
      <w:r>
        <w:rPr>
          <w:noProof w:val="1"/>
          <w:highlight w:val="yellow"/>
          <w:lang w:eastAsia="ru-RU"/>
        </w:rPr>
        <w:drawing>
          <wp:inline xmlns:wp="http://schemas.openxmlformats.org/drawingml/2006/wordprocessingDrawing" distT="0" distB="0" distL="0" distR="0">
            <wp:extent cx="5533390" cy="1464310"/>
            <wp:effectExtent l="0" t="0" r="10160" b="2540"/>
            <wp:docPr id="17" name="Диаграмма 17"/>
            <wp:cNvGraphicFramePr/>
            <a:graphic xmlns:a="http://schemas.openxmlformats.org/drawingml/2006/main">
              <a:graphicData uri="http://schemas.openxmlformats.org/drawingml/2006/chart">
                <c:chart xmlns:c="http://schemas.openxmlformats.org/drawingml/2006/chart" r:id="RelChart5"/>
              </a:graphicData>
            </a:graphic>
          </wp:inline>
        </w:drawing>
      </w:r>
    </w:p>
    <w:p>
      <w:pPr>
        <w:spacing w:lineRule="auto" w:line="360" w:after="0" w:beforeAutospacing="0" w:afterAutospacing="0"/>
        <w:jc w:val="center"/>
        <w:rPr>
          <w:rFonts w:ascii="Times New Roman" w:hAnsi="Times New Roman" w:cs="Times New Roman"/>
          <w:sz w:val="28"/>
          <w:szCs w:val="28"/>
          <w:highlight w:val="yellow"/>
        </w:rPr>
      </w:pPr>
      <w:r>
        <w:rPr>
          <w:rFonts w:ascii="Times New Roman" w:hAnsi="Times New Roman" w:cs="Times New Roman"/>
          <w:sz w:val="28"/>
          <w:szCs w:val="28"/>
          <w:highlight w:val="yellow"/>
        </w:rPr>
        <w:t xml:space="preserve">Рисунок 2.8 – </w:t>
      </w:r>
      <w:bookmarkStart w:id="18" w:name="_Hlk137630766"/>
      <w:r>
        <w:rPr>
          <w:rFonts w:ascii="Times New Roman" w:hAnsi="Times New Roman" w:cs="Times New Roman"/>
          <w:sz w:val="28"/>
          <w:szCs w:val="28"/>
          <w:highlight w:val="yellow"/>
        </w:rPr>
        <w:t xml:space="preserve">Охват программами социального страхования </w:t>
      </w:r>
      <w:bookmarkEnd w:id="18"/>
      <w:r>
        <w:rPr>
          <w:rFonts w:ascii="Times New Roman" w:hAnsi="Times New Roman" w:cs="Times New Roman"/>
          <w:sz w:val="28"/>
          <w:szCs w:val="28"/>
          <w:highlight w:val="yellow"/>
        </w:rPr>
        <w:t>населения Республики Кот-д’Ивуар в 2021 г., % Источник: составлено автором по: [178, 188]</w:t>
      </w:r>
    </w:p>
    <w:p>
      <w:pPr>
        <w:spacing w:lineRule="auto" w:line="360" w:after="0" w:beforeAutospacing="0" w:afterAutospacing="0"/>
        <w:ind w:firstLine="708"/>
        <w:jc w:val="both"/>
        <w:rPr>
          <w:rFonts w:ascii="Times New Roman" w:hAnsi="Times New Roman" w:cs="Times New Roman"/>
          <w:sz w:val="28"/>
          <w:szCs w:val="28"/>
          <w:highlight w:val="yellow"/>
        </w:rPr>
      </w:pPr>
    </w:p>
    <w:p>
      <w:pPr>
        <w:spacing w:lineRule="auto" w:line="360" w:after="0" w:beforeAutospacing="0" w:afterAutospacing="0"/>
        <w:ind w:firstLine="708"/>
        <w:jc w:val="both"/>
        <w:rPr>
          <w:rFonts w:ascii="Times New Roman" w:hAnsi="Times New Roman" w:cs="Times New Roman"/>
          <w:sz w:val="28"/>
          <w:szCs w:val="28"/>
          <w:highlight w:val="yellow"/>
        </w:rPr>
      </w:pPr>
      <w:r>
        <w:rPr>
          <w:rFonts w:ascii="Times New Roman" w:hAnsi="Times New Roman" w:cs="Times New Roman"/>
          <w:sz w:val="28"/>
          <w:szCs w:val="28"/>
          <w:highlight w:val="yellow"/>
        </w:rPr>
        <w:t>Мы считаем, что если ситуация не изменится, то охват программами социальной защиты населения Республики Кот-д’Ивуар не изменится. В этой связи необходимо, чтобы органы государственной власти ускорили построение эффективной системы государственной социальной поддержки, чтобы рост объемов выделяемых бюджетных средств на решение социальных проблем также сопровождался ростом эффективности их расходования.</w:t>
      </w:r>
    </w:p>
    <w:p>
      <w:pPr>
        <w:spacing w:lineRule="auto" w:line="360" w:after="0" w:beforeAutospacing="0" w:afterAutospacing="0"/>
        <w:jc w:val="center"/>
        <w:rPr>
          <w:rFonts w:ascii="Times New Roman" w:hAnsi="Times New Roman" w:cs="Times New Roman"/>
          <w:sz w:val="28"/>
          <w:szCs w:val="28"/>
          <w:highlight w:val="yellow"/>
        </w:rPr>
      </w:pPr>
    </w:p>
    <w:p>
      <w:pPr>
        <w:jc w:val="center"/>
        <w:rPr>
          <w:rFonts w:ascii="Times New Roman" w:hAnsi="Times New Roman" w:cs="Times New Roman"/>
          <w:sz w:val="28"/>
          <w:szCs w:val="28"/>
          <w:highlight w:val="yellow"/>
        </w:rPr>
      </w:pPr>
      <w:r>
        <w:rPr>
          <w:noProof w:val="1"/>
          <w:highlight w:val="yellow"/>
          <w:lang w:eastAsia="ru-RU"/>
        </w:rPr>
        <w:drawing>
          <wp:inline xmlns:wp="http://schemas.openxmlformats.org/drawingml/2006/wordprocessingDrawing" distT="0" distB="0" distL="0" distR="0">
            <wp:extent cx="5533390" cy="1294130"/>
            <wp:effectExtent l="0" t="0" r="10160" b="1270"/>
            <wp:docPr id="18" name="Диаграмма 18"/>
            <wp:cNvGraphicFramePr/>
            <a:graphic xmlns:a="http://schemas.openxmlformats.org/drawingml/2006/main">
              <a:graphicData uri="http://schemas.openxmlformats.org/drawingml/2006/chart">
                <c:chart xmlns:c="http://schemas.openxmlformats.org/drawingml/2006/chart" r:id="RelChart6"/>
              </a:graphicData>
            </a:graphic>
          </wp:inline>
        </w:drawing>
      </w:r>
    </w:p>
    <w:p>
      <w:pPr>
        <w:spacing w:lineRule="auto" w:line="360" w:after="0" w:beforeAutospacing="0" w:afterAutospacing="0"/>
        <w:jc w:val="center"/>
        <w:rPr>
          <w:rFonts w:ascii="Times New Roman" w:hAnsi="Times New Roman" w:cs="Times New Roman"/>
          <w:sz w:val="28"/>
          <w:szCs w:val="28"/>
          <w:highlight w:val="yellow"/>
        </w:rPr>
      </w:pPr>
      <w:r>
        <w:rPr>
          <w:rFonts w:ascii="Times New Roman" w:hAnsi="Times New Roman" w:cs="Times New Roman"/>
          <w:sz w:val="28"/>
          <w:szCs w:val="28"/>
          <w:highlight w:val="yellow"/>
        </w:rPr>
        <w:t xml:space="preserve">Рисунок 2.9 – Охват </w:t>
      </w:r>
      <w:bookmarkStart w:id="19" w:name="_Hlk137631196"/>
      <w:r>
        <w:rPr>
          <w:rFonts w:ascii="Times New Roman" w:hAnsi="Times New Roman" w:cs="Times New Roman"/>
          <w:sz w:val="28"/>
          <w:szCs w:val="28"/>
          <w:highlight w:val="yellow"/>
        </w:rPr>
        <w:t xml:space="preserve">программами </w:t>
      </w:r>
      <w:bookmarkStart w:id="20" w:name="_Hlk137630949"/>
      <w:r>
        <w:rPr>
          <w:rFonts w:ascii="Times New Roman" w:hAnsi="Times New Roman" w:cs="Times New Roman"/>
          <w:sz w:val="28"/>
          <w:szCs w:val="28"/>
          <w:highlight w:val="yellow"/>
        </w:rPr>
        <w:t xml:space="preserve">социальной защиты населения Республики Кот-д’Ивуар </w:t>
      </w:r>
      <w:bookmarkEnd w:id="19"/>
      <w:bookmarkEnd w:id="20"/>
      <w:r>
        <w:rPr>
          <w:rFonts w:ascii="Times New Roman" w:hAnsi="Times New Roman" w:cs="Times New Roman"/>
          <w:sz w:val="28"/>
          <w:szCs w:val="28"/>
          <w:highlight w:val="yellow"/>
        </w:rPr>
        <w:t>в 2021 г., % Источник: составлено автором по: [178, 188]</w:t>
      </w:r>
    </w:p>
    <w:p>
      <w:pPr>
        <w:spacing w:lineRule="auto" w:line="360" w:after="0" w:beforeAutospacing="0" w:afterAutospacing="0"/>
        <w:ind w:firstLine="708"/>
        <w:jc w:val="both"/>
        <w:rPr>
          <w:rFonts w:ascii="Times New Roman" w:hAnsi="Times New Roman" w:cs="Times New Roman"/>
          <w:sz w:val="28"/>
          <w:szCs w:val="28"/>
          <w:highlight w:val="yellow"/>
        </w:rPr>
      </w:pPr>
    </w:p>
    <w:p>
      <w:pPr>
        <w:spacing w:lineRule="auto" w:line="360" w:after="0" w:beforeAutospacing="0" w:afterAutospacing="0"/>
        <w:ind w:firstLine="708"/>
        <w:jc w:val="both"/>
        <w:rPr>
          <w:rFonts w:ascii="Times New Roman" w:hAnsi="Times New Roman" w:cs="Times New Roman"/>
          <w:sz w:val="28"/>
          <w:szCs w:val="28"/>
          <w:highlight w:val="yellow"/>
        </w:rPr>
      </w:pPr>
      <w:r>
        <w:rPr>
          <w:rFonts w:ascii="Times New Roman" w:hAnsi="Times New Roman" w:cs="Times New Roman"/>
          <w:sz w:val="28"/>
          <w:szCs w:val="28"/>
          <w:highlight w:val="yellow"/>
        </w:rPr>
        <w:t xml:space="preserve">Как результат индекс человеческого капитала населения Республики Кот-Д’Ивуар не превышает 40 %. Данное значение является верхней границей для мужчин и достигнуто в 2021 году (рисунок 2.10). Следует отметить, что темпы роста индекса человеческого капитала для женщин превышают аналогичный показатель для мужчин. В связи с этим к 2021 году нижняя граница данного показателя для женщин практически сравнялась с аналогичным показателем для мужчин. </w:t>
      </w:r>
    </w:p>
    <w:p>
      <w:pPr>
        <w:jc w:val="center"/>
        <w:rPr>
          <w:rFonts w:ascii="Times New Roman" w:hAnsi="Times New Roman" w:cs="Times New Roman"/>
          <w:sz w:val="28"/>
          <w:szCs w:val="28"/>
          <w:highlight w:val="yellow"/>
        </w:rPr>
      </w:pPr>
      <w:r>
        <w:rPr>
          <w:noProof w:val="1"/>
          <w:highlight w:val="yellow"/>
          <w:lang w:eastAsia="ru-RU"/>
        </w:rPr>
        <w:drawing>
          <wp:inline xmlns:wp="http://schemas.openxmlformats.org/drawingml/2006/wordprocessingDrawing" distT="0" distB="0" distL="0" distR="0">
            <wp:extent cx="5870575" cy="2371725"/>
            <wp:effectExtent l="0" t="0" r="15875" b="9525"/>
            <wp:docPr id="20" name="Диаграмма 20"/>
            <wp:cNvGraphicFramePr/>
            <a:graphic xmlns:a="http://schemas.openxmlformats.org/drawingml/2006/main">
              <a:graphicData uri="http://schemas.openxmlformats.org/drawingml/2006/chart">
                <c:chart xmlns:c="http://schemas.openxmlformats.org/drawingml/2006/chart" r:id="RelChart7"/>
              </a:graphicData>
            </a:graphic>
          </wp:inline>
        </w:drawing>
      </w:r>
    </w:p>
    <w:p>
      <w:pPr>
        <w:spacing w:lineRule="auto" w:line="360" w:after="0" w:beforeAutospacing="0" w:afterAutospacing="0"/>
        <w:jc w:val="center"/>
        <w:rPr>
          <w:rFonts w:ascii="Times New Roman" w:hAnsi="Times New Roman" w:cs="Times New Roman"/>
          <w:sz w:val="28"/>
          <w:szCs w:val="28"/>
          <w:highlight w:val="yellow"/>
        </w:rPr>
      </w:pPr>
      <w:r>
        <w:rPr>
          <w:rFonts w:ascii="Times New Roman" w:hAnsi="Times New Roman" w:cs="Times New Roman"/>
          <w:sz w:val="28"/>
          <w:szCs w:val="28"/>
          <w:highlight w:val="yellow"/>
        </w:rPr>
        <w:t>Рисунок 2.10 – Индекс человеческого капитала в Республике Кот-д’Ивуар, ед. Источник: составлено автором по: [178, 188]</w:t>
      </w:r>
    </w:p>
    <w:p>
      <w:pPr>
        <w:spacing w:lineRule="auto" w:line="360" w:after="0" w:beforeAutospacing="0" w:afterAutospacing="0"/>
        <w:jc w:val="center"/>
        <w:rPr>
          <w:rFonts w:ascii="Times New Roman" w:hAnsi="Times New Roman" w:cs="Times New Roman"/>
          <w:sz w:val="28"/>
          <w:szCs w:val="28"/>
          <w:highlight w:val="yellow"/>
        </w:rPr>
      </w:pPr>
    </w:p>
    <w:p>
      <w:pPr>
        <w:spacing w:lineRule="auto" w:line="360" w:after="0" w:beforeAutospacing="0" w:afterAutospacing="0"/>
        <w:ind w:firstLine="708"/>
        <w:jc w:val="both"/>
        <w:rPr>
          <w:rFonts w:ascii="Times New Roman" w:hAnsi="Times New Roman" w:cs="Times New Roman"/>
          <w:sz w:val="28"/>
          <w:szCs w:val="28"/>
          <w:highlight w:val="yellow"/>
        </w:rPr>
      </w:pPr>
      <w:r>
        <w:rPr>
          <w:rFonts w:ascii="Times New Roman" w:hAnsi="Times New Roman" w:cs="Times New Roman"/>
          <w:sz w:val="28"/>
          <w:szCs w:val="28"/>
          <w:highlight w:val="yellow"/>
        </w:rPr>
        <w:t xml:space="preserve">Основана причина этого связана с ростом охвата девочек начальным образованием в сельских районах, а также ростом качества медицинской помощи бри беременности и родах. Это подтверждают данные по динамике смертности детей до 5 лет (рисунок 2.11). Если в 2012 году для мальчиков и девочек данный показатель составлял 110,4 и 89,9 смертей на 1000 рождений соответственно, то к 2021 году наблюдалось синхронное снижение почти на 20 %. Данная положительная динамика, на наш взгляд, связана с множеством факторов, а не только улучшением медицинского обслуживания. Прежде всего сократилась смертность от малярии и других эпидемий, хороший результат дала программа ООН по пропагандированию соблюдения гигиены. Однако, несмотря на наличие положительной и устойчивой динамики, в настоящее время уровень детской смертности в Республике Кот-Д’Ивуар остается на критически высоком уровне и значительно превышает среднемировой уровень. Также следует учитывать, что дальнейшее снижение детской смертности связано с расширением доли населения, особенно в сельских территориям, имеющего доступ к электроэнергии, чистой воде и канализации.  </w:t>
      </w:r>
    </w:p>
    <w:p>
      <w:pPr>
        <w:tabs>
          <w:tab w:val="left" w:pos="3922" w:leader="none"/>
        </w:tabs>
        <w:spacing w:lineRule="auto" w:line="360" w:after="0" w:beforeAutospacing="0" w:afterAutospacing="0"/>
        <w:jc w:val="center"/>
        <w:rPr>
          <w:noProof w:val="1"/>
          <w:highlight w:val="yellow"/>
        </w:rPr>
      </w:pPr>
      <w:r>
        <w:rPr>
          <w:noProof w:val="1"/>
          <w:highlight w:val="yellow"/>
          <w:lang w:eastAsia="ru-RU"/>
        </w:rPr>
        <w:drawing>
          <wp:inline xmlns:wp="http://schemas.openxmlformats.org/drawingml/2006/wordprocessingDrawing" distT="0" distB="0" distL="0" distR="0">
            <wp:extent cx="5984240" cy="2463165"/>
            <wp:effectExtent l="0" t="0" r="16510" b="13335"/>
            <wp:docPr id="602" name="Диаграмма 602"/>
            <wp:cNvGraphicFramePr/>
            <a:graphic xmlns:a="http://schemas.openxmlformats.org/drawingml/2006/main">
              <a:graphicData uri="http://schemas.openxmlformats.org/drawingml/2006/chart">
                <c:chart xmlns:c="http://schemas.openxmlformats.org/drawingml/2006/chart" r:id="RelChart8"/>
              </a:graphicData>
            </a:graphic>
          </wp:inline>
        </w:drawing>
      </w:r>
    </w:p>
    <w:p>
      <w:pPr>
        <w:spacing w:lineRule="auto" w:line="360" w:after="0" w:beforeAutospacing="0" w:afterAutospacing="0"/>
        <w:jc w:val="center"/>
        <w:rPr>
          <w:rFonts w:ascii="Times New Roman" w:hAnsi="Times New Roman" w:cs="Times New Roman"/>
          <w:sz w:val="28"/>
          <w:szCs w:val="28"/>
          <w:highlight w:val="yellow"/>
        </w:rPr>
      </w:pPr>
      <w:r>
        <w:rPr>
          <w:rFonts w:ascii="Times New Roman" w:hAnsi="Times New Roman" w:cs="Times New Roman"/>
          <w:sz w:val="28"/>
          <w:szCs w:val="28"/>
          <w:highlight w:val="yellow"/>
        </w:rPr>
        <w:t>Рисунок 2.11 – Динамика смертности детей до 5 лет в Республике Кот-д’Ивуар, ед. на 1000 рождений Источник: составлено автором по: [178, 188]</w:t>
      </w:r>
    </w:p>
    <w:p>
      <w:pPr>
        <w:spacing w:lineRule="auto" w:line="360" w:after="0" w:beforeAutospacing="0" w:afterAutospacing="0"/>
        <w:jc w:val="center"/>
        <w:rPr>
          <w:rFonts w:ascii="Times New Roman" w:hAnsi="Times New Roman" w:cs="Times New Roman"/>
          <w:sz w:val="28"/>
          <w:szCs w:val="28"/>
          <w:highlight w:val="yellow"/>
        </w:rPr>
      </w:pPr>
    </w:p>
    <w:p>
      <w:pPr>
        <w:spacing w:lineRule="auto" w:line="360" w:after="0" w:beforeAutospacing="0" w:afterAutospacing="0"/>
        <w:ind w:firstLine="708"/>
        <w:jc w:val="both"/>
        <w:rPr>
          <w:rFonts w:ascii="Times New Roman" w:hAnsi="Times New Roman" w:cs="Times New Roman"/>
          <w:sz w:val="28"/>
          <w:szCs w:val="28"/>
          <w:highlight w:val="yellow"/>
        </w:rPr>
      </w:pPr>
      <w:r>
        <w:rPr>
          <w:rFonts w:ascii="Times New Roman" w:hAnsi="Times New Roman" w:cs="Times New Roman"/>
          <w:sz w:val="28"/>
          <w:szCs w:val="28"/>
          <w:highlight w:val="yellow"/>
        </w:rPr>
        <w:t xml:space="preserve">Рассматривая еще один показатель, который косвенно свидетельствует о комплексном достижении ЦУР, а именно, среднюю продолжительность жизни следует отметить, что начиная с 2018 года значение данного показателя практически перестало расти и стабилизировалось на уровне 60,5 лет для женщин и 57 лет для мужчин (рисунок 2.12). </w:t>
      </w:r>
    </w:p>
    <w:p>
      <w:pPr>
        <w:tabs>
          <w:tab w:val="left" w:pos="3503" w:leader="none"/>
        </w:tabs>
        <w:spacing w:lineRule="auto" w:line="360" w:after="0" w:beforeAutospacing="0" w:afterAutospacing="0"/>
        <w:jc w:val="center"/>
        <w:rPr>
          <w:noProof w:val="1"/>
          <w:highlight w:val="yellow"/>
        </w:rPr>
      </w:pPr>
      <w:r>
        <w:rPr>
          <w:noProof w:val="1"/>
          <w:highlight w:val="yellow"/>
          <w:lang w:eastAsia="ru-RU"/>
        </w:rPr>
        <w:drawing>
          <wp:inline xmlns:wp="http://schemas.openxmlformats.org/drawingml/2006/wordprocessingDrawing" distT="0" distB="0" distL="0" distR="0">
            <wp:extent cx="5752465" cy="2743200"/>
            <wp:effectExtent l="0" t="0" r="635" b="0"/>
            <wp:docPr id="11" name="Диаграмма 11"/>
            <wp:cNvGraphicFramePr/>
            <a:graphic xmlns:a="http://schemas.openxmlformats.org/drawingml/2006/main">
              <a:graphicData uri="http://schemas.openxmlformats.org/drawingml/2006/chart">
                <c:chart xmlns:c="http://schemas.openxmlformats.org/drawingml/2006/chart" r:id="RelChart9"/>
              </a:graphicData>
            </a:graphic>
          </wp:inline>
        </w:drawing>
      </w:r>
    </w:p>
    <w:p>
      <w:pPr>
        <w:tabs>
          <w:tab w:val="left" w:pos="3503" w:leader="none"/>
        </w:tabs>
        <w:spacing w:lineRule="auto" w:line="360" w:after="0" w:beforeAutospacing="0" w:afterAutospacing="0"/>
        <w:jc w:val="center"/>
        <w:rPr>
          <w:rFonts w:ascii="Times New Roman" w:hAnsi="Times New Roman" w:cs="Times New Roman"/>
          <w:sz w:val="28"/>
          <w:szCs w:val="28"/>
          <w:highlight w:val="yellow"/>
        </w:rPr>
      </w:pPr>
      <w:r>
        <w:rPr>
          <w:rFonts w:ascii="Times New Roman" w:hAnsi="Times New Roman" w:cs="Times New Roman"/>
          <w:sz w:val="28"/>
          <w:szCs w:val="28"/>
          <w:highlight w:val="yellow"/>
        </w:rPr>
        <w:t>Рисунок 2.12 – Динамика ожидаемой продолжительности жизни в Республике Кот-д’Ивуар, лет Источник: составлено автором по: [178, 188]</w:t>
      </w:r>
    </w:p>
    <w:p>
      <w:pPr>
        <w:spacing w:lineRule="auto" w:line="360" w:after="0" w:beforeAutospacing="0" w:afterAutospacing="0"/>
        <w:rPr>
          <w:rFonts w:ascii="Times New Roman" w:hAnsi="Times New Roman" w:cs="Times New Roman"/>
          <w:sz w:val="28"/>
          <w:szCs w:val="28"/>
          <w:highlight w:val="yellow"/>
        </w:rPr>
      </w:pPr>
    </w:p>
    <w:p>
      <w:pPr>
        <w:spacing w:lineRule="auto" w:line="360" w:after="0" w:beforeAutospacing="0" w:afterAutospacing="0"/>
        <w:ind w:firstLine="708"/>
        <w:jc w:val="both"/>
        <w:rPr>
          <w:rFonts w:ascii="Times New Roman" w:hAnsi="Times New Roman" w:cs="Times New Roman"/>
          <w:sz w:val="28"/>
          <w:szCs w:val="28"/>
          <w:highlight w:val="yellow"/>
        </w:rPr>
      </w:pPr>
      <w:bookmarkStart w:id="21" w:name="_Hlk138263156"/>
      <w:r>
        <w:rPr>
          <w:rFonts w:ascii="Times New Roman" w:hAnsi="Times New Roman" w:cs="Times New Roman"/>
          <w:sz w:val="28"/>
          <w:szCs w:val="28"/>
          <w:highlight w:val="yellow"/>
        </w:rPr>
        <w:t xml:space="preserve">Такая динамика, на наш взгляд, связана с рассмотренными выше причинами. Начиная с 2012 года в достижении ЦУР основную роль играла помощь от международных организаций, селективный характер которой позволял решать конкретные проблемы, связанные с устойчивым развитием. Однако ее масштабы не позволяют в полной мере способствовать формированию траектории инклюзивного роста для Республики Кот-Д’Ивуар, поэтому в последние пять лет на первый план выходят действия правительства Республики и региональных органов власти. </w:t>
      </w:r>
    </w:p>
    <w:p>
      <w:pPr>
        <w:spacing w:lineRule="auto" w:line="360" w:after="0" w:beforeAutospacing="0" w:afterAutospacing="0"/>
        <w:ind w:firstLine="708"/>
        <w:jc w:val="both"/>
        <w:rPr>
          <w:rFonts w:ascii="Times New Roman" w:hAnsi="Times New Roman" w:cs="Times New Roman"/>
          <w:sz w:val="28"/>
          <w:szCs w:val="28"/>
          <w:highlight w:val="yellow"/>
        </w:rPr>
      </w:pPr>
      <w:r>
        <w:rPr>
          <w:rFonts w:ascii="Times New Roman" w:hAnsi="Times New Roman" w:cs="Times New Roman"/>
          <w:sz w:val="28"/>
          <w:szCs w:val="28"/>
          <w:highlight w:val="yellow"/>
        </w:rPr>
        <w:t xml:space="preserve">В качестве примера успешного достижения ЦУР в Республике Кот-Д’Ивуар можно рассмотреть охват детей начальный образованием. Как видно из рисунка 2.13 еще в 2012 году около 35 % девочек и 30 % мальчиков не посещали начальную школу, а уже к 2018 году их доля сократилась до 10 % и 3,5 % соответственно. В 2020 году практически 100 % мальчиков посещали начальную школу, но уже в 2021 году показатель откатился на уровень 2018 года. </w:t>
      </w:r>
    </w:p>
    <w:p>
      <w:pPr>
        <w:spacing w:lineRule="auto" w:line="360" w:after="0" w:beforeAutospacing="0" w:afterAutospacing="0"/>
        <w:ind w:firstLine="709"/>
        <w:jc w:val="both"/>
        <w:rPr>
          <w:rFonts w:ascii="Times New Roman" w:hAnsi="Times New Roman" w:cs="Times New Roman"/>
          <w:sz w:val="28"/>
          <w:szCs w:val="28"/>
          <w:highlight w:val="yellow"/>
        </w:rPr>
      </w:pPr>
      <w:bookmarkEnd w:id="21"/>
      <w:r>
        <w:rPr>
          <w:rFonts w:ascii="Times New Roman" w:hAnsi="Times New Roman" w:cs="Times New Roman"/>
          <w:sz w:val="28"/>
          <w:szCs w:val="28"/>
          <w:highlight w:val="yellow"/>
        </w:rPr>
        <w:t>Аналогичная положительная динамика наблюдается по динамике численности населения, окончившей неполную среднюю школу в Республике Кот-д’Ивуар. Доля населения в возрасте от 15 до 24 лет росла начиная с 2012 года как для мужчин, так и для женщин и достигла к 2021 году 65 % для мужчин и 58,5 % для женщин. Если учесть тот факт, что доступ к образованию является одним из основополагающих условий для формирования траектории устойчивого инклюзивного роста и достижения ЦУР, то можно говорить о том, что в случае, если такая положительная динамика в Республике Кот-д’Ивуар сохранится, то это позволит косвенно способствовать достижению других ЦУР.</w:t>
      </w:r>
    </w:p>
    <w:p>
      <w:pPr>
        <w:spacing w:lineRule="auto" w:line="360" w:after="0" w:beforeAutospacing="0" w:afterAutospacing="0"/>
        <w:rPr>
          <w:rFonts w:ascii="Times New Roman" w:hAnsi="Times New Roman" w:cs="Times New Roman"/>
          <w:sz w:val="28"/>
          <w:szCs w:val="28"/>
          <w:highlight w:val="yellow"/>
        </w:rPr>
      </w:pPr>
      <w:r>
        <w:rPr>
          <w:noProof w:val="1"/>
          <w:highlight w:val="yellow"/>
          <w:lang w:eastAsia="ru-RU"/>
        </w:rPr>
        <w:drawing>
          <wp:inline xmlns:wp="http://schemas.openxmlformats.org/drawingml/2006/wordprocessingDrawing" distT="0" distB="0" distL="0" distR="0">
            <wp:extent cx="5793105" cy="2480310"/>
            <wp:effectExtent l="0" t="0" r="17145" b="15240"/>
            <wp:docPr id="603" name="Диаграмма 603"/>
            <wp:cNvGraphicFramePr/>
            <a:graphic xmlns:a="http://schemas.openxmlformats.org/drawingml/2006/main">
              <a:graphicData uri="http://schemas.openxmlformats.org/drawingml/2006/chart">
                <c:chart xmlns:c="http://schemas.openxmlformats.org/drawingml/2006/chart" r:id="RelChart10"/>
              </a:graphicData>
            </a:graphic>
          </wp:inline>
        </w:drawing>
      </w:r>
    </w:p>
    <w:p>
      <w:pPr>
        <w:spacing w:lineRule="auto" w:line="360" w:after="0" w:beforeAutospacing="0" w:afterAutospacing="0"/>
        <w:jc w:val="center"/>
        <w:rPr>
          <w:rFonts w:ascii="Times New Roman" w:hAnsi="Times New Roman" w:cs="Times New Roman"/>
          <w:sz w:val="28"/>
          <w:szCs w:val="28"/>
          <w:highlight w:val="yellow"/>
        </w:rPr>
      </w:pPr>
      <w:r>
        <w:rPr>
          <w:rFonts w:ascii="Times New Roman" w:hAnsi="Times New Roman" w:cs="Times New Roman"/>
          <w:sz w:val="28"/>
          <w:szCs w:val="28"/>
          <w:highlight w:val="yellow"/>
        </w:rPr>
        <w:t>Рисунок 2.13 – Динамика количества детей, не посещающих начальную школу в Республике Кот-д’Ивуар, % от общего числа младших школьников Источник: составлено автором по: [178, 188]</w:t>
      </w:r>
    </w:p>
    <w:p>
      <w:pPr>
        <w:tabs>
          <w:tab w:val="left" w:pos="3503" w:leader="none"/>
        </w:tabs>
        <w:spacing w:lineRule="auto" w:line="360" w:after="0" w:beforeAutospacing="0" w:afterAutospacing="0"/>
        <w:jc w:val="center"/>
        <w:rPr>
          <w:rFonts w:ascii="Times New Roman" w:hAnsi="Times New Roman" w:cs="Times New Roman"/>
          <w:sz w:val="28"/>
          <w:szCs w:val="28"/>
          <w:highlight w:val="yellow"/>
        </w:rPr>
      </w:pPr>
    </w:p>
    <w:p>
      <w:pPr>
        <w:tabs>
          <w:tab w:val="left" w:pos="709" w:leader="none"/>
        </w:tabs>
        <w:spacing w:lineRule="auto" w:line="360" w:after="0" w:beforeAutospacing="0" w:afterAutospacing="0"/>
        <w:jc w:val="both"/>
        <w:rPr>
          <w:rFonts w:ascii="Times New Roman" w:hAnsi="Times New Roman" w:cs="Times New Roman"/>
          <w:sz w:val="28"/>
          <w:szCs w:val="28"/>
          <w:highlight w:val="yellow"/>
        </w:rPr>
      </w:pPr>
      <w:r>
        <w:rPr>
          <w:rFonts w:ascii="Times New Roman" w:hAnsi="Times New Roman" w:cs="Times New Roman"/>
          <w:sz w:val="28"/>
          <w:szCs w:val="28"/>
          <w:highlight w:val="yellow"/>
        </w:rPr>
        <w:tab/>
        <w:t>Также следует отметить по-прежнему невысокое значение данного показателя по сравнению со среднемировым показателем, хотя на африканском континенте Республика Кот-д’Ивуар входит в первую десятку стран (рисунок 2.14).</w:t>
      </w:r>
    </w:p>
    <w:p>
      <w:pPr>
        <w:tabs>
          <w:tab w:val="left" w:pos="3503" w:leader="none"/>
        </w:tabs>
        <w:jc w:val="center"/>
        <w:rPr>
          <w:noProof w:val="1"/>
          <w:highlight w:val="yellow"/>
        </w:rPr>
      </w:pPr>
      <w:r>
        <w:rPr>
          <w:noProof w:val="1"/>
          <w:highlight w:val="yellow"/>
          <w:lang w:eastAsia="ru-RU"/>
        </w:rPr>
        <w:drawing>
          <wp:inline xmlns:wp="http://schemas.openxmlformats.org/drawingml/2006/wordprocessingDrawing" distT="0" distB="0" distL="0" distR="0">
            <wp:extent cx="5911215" cy="2281555"/>
            <wp:effectExtent l="0" t="0" r="13335" b="4445"/>
            <wp:docPr id="604" name="Диаграмма 604"/>
            <wp:cNvGraphicFramePr/>
            <a:graphic xmlns:a="http://schemas.openxmlformats.org/drawingml/2006/main">
              <a:graphicData uri="http://schemas.openxmlformats.org/drawingml/2006/chart">
                <c:chart xmlns:c="http://schemas.openxmlformats.org/drawingml/2006/chart" r:id="RelChart11"/>
              </a:graphicData>
            </a:graphic>
          </wp:inline>
        </w:drawing>
      </w:r>
    </w:p>
    <w:p>
      <w:pPr>
        <w:tabs>
          <w:tab w:val="left" w:pos="3922" w:leader="none"/>
        </w:tabs>
        <w:spacing w:lineRule="auto" w:line="360" w:after="0" w:beforeAutospacing="0" w:afterAutospacing="0"/>
        <w:jc w:val="center"/>
        <w:rPr>
          <w:rFonts w:ascii="Times New Roman" w:hAnsi="Times New Roman" w:cs="Times New Roman"/>
          <w:sz w:val="28"/>
          <w:szCs w:val="28"/>
          <w:highlight w:val="yellow"/>
        </w:rPr>
      </w:pPr>
      <w:r>
        <w:rPr>
          <w:rFonts w:ascii="Times New Roman" w:hAnsi="Times New Roman" w:cs="Times New Roman"/>
          <w:sz w:val="28"/>
          <w:szCs w:val="28"/>
          <w:highlight w:val="yellow"/>
        </w:rPr>
        <w:t xml:space="preserve">Рисунок 2.14 – </w:t>
      </w:r>
      <w:bookmarkStart w:id="22" w:name="_Hlk137636655"/>
      <w:r>
        <w:rPr>
          <w:rFonts w:ascii="Times New Roman" w:hAnsi="Times New Roman" w:cs="Times New Roman"/>
          <w:sz w:val="28"/>
          <w:szCs w:val="28"/>
          <w:highlight w:val="yellow"/>
        </w:rPr>
        <w:t>Динамика численности населения, окончившей неполную среднюю школу в Республике Кот-д’Ивуар</w:t>
      </w:r>
      <w:bookmarkEnd w:id="22"/>
      <w:r>
        <w:rPr>
          <w:rFonts w:ascii="Times New Roman" w:hAnsi="Times New Roman" w:cs="Times New Roman"/>
          <w:sz w:val="28"/>
          <w:szCs w:val="28"/>
          <w:highlight w:val="yellow"/>
        </w:rPr>
        <w:t>, % Источник: составлено автором по: [178, 188]</w:t>
      </w:r>
    </w:p>
    <w:p>
      <w:pPr>
        <w:spacing w:lineRule="auto" w:line="360" w:after="0" w:beforeAutospacing="0" w:afterAutospacing="0"/>
        <w:ind w:firstLine="708"/>
        <w:jc w:val="both"/>
        <w:rPr>
          <w:rFonts w:ascii="Times New Roman" w:hAnsi="Times New Roman" w:cs="Times New Roman"/>
          <w:sz w:val="28"/>
          <w:szCs w:val="28"/>
          <w:highlight w:val="yellow"/>
        </w:rPr>
      </w:pPr>
      <w:r>
        <w:rPr>
          <w:rFonts w:ascii="Times New Roman" w:hAnsi="Times New Roman" w:cs="Times New Roman"/>
          <w:sz w:val="28"/>
          <w:szCs w:val="28"/>
          <w:highlight w:val="yellow"/>
        </w:rPr>
        <w:t>В качестве итога анализа развития образовательного процесса в Республике Кот-Д’Ивуар рассмотрим показатель уровня грамотности взрослого населения. К 2021 году он составил около 90 %, в два раза выше значения 2012 года (рисунок 2.15). При этом практически была ликвидирована разница в уровне образования среди мужчин и женщин. Если в 2012 году только около 30 % женщин были грамотными и около 50 % мужчин, то в 2021 году эти показатели практически сравнялись. Таким образом, можно сделать вывод о том, что достижение ЦУР, связанное с доступом к образованию, также косвенно способствует достижению ЦУР, связанной с обеспечением гендерного равенства. У образованных женщин появляется больше возможностей найти квалифицированную работу и в перспективе занять руководящие посты.</w:t>
      </w:r>
    </w:p>
    <w:p>
      <w:pPr>
        <w:jc w:val="center"/>
        <w:rPr>
          <w:rFonts w:ascii="Times New Roman" w:hAnsi="Times New Roman" w:cs="Times New Roman"/>
          <w:sz w:val="28"/>
          <w:szCs w:val="28"/>
          <w:highlight w:val="yellow"/>
        </w:rPr>
      </w:pPr>
      <w:r>
        <w:rPr>
          <w:noProof w:val="1"/>
          <w:highlight w:val="yellow"/>
          <w:lang w:eastAsia="ru-RU"/>
        </w:rPr>
        <w:drawing>
          <wp:inline xmlns:wp="http://schemas.openxmlformats.org/drawingml/2006/wordprocessingDrawing" distT="0" distB="0" distL="0" distR="0">
            <wp:extent cx="5932170" cy="3145790"/>
            <wp:effectExtent l="0" t="0" r="11430" b="16510"/>
            <wp:docPr id="21" name="Диаграмма 21"/>
            <wp:cNvGraphicFramePr/>
            <a:graphic xmlns:a="http://schemas.openxmlformats.org/drawingml/2006/main">
              <a:graphicData uri="http://schemas.openxmlformats.org/drawingml/2006/chart">
                <c:chart xmlns:c="http://schemas.openxmlformats.org/drawingml/2006/chart" r:id="RelChart12"/>
              </a:graphicData>
            </a:graphic>
          </wp:inline>
        </w:drawing>
      </w:r>
    </w:p>
    <w:p>
      <w:pPr>
        <w:spacing w:lineRule="auto" w:line="360" w:after="0" w:beforeAutospacing="0" w:afterAutospacing="0"/>
        <w:jc w:val="center"/>
        <w:rPr>
          <w:rFonts w:ascii="Times New Roman" w:hAnsi="Times New Roman" w:cs="Times New Roman"/>
          <w:sz w:val="28"/>
          <w:szCs w:val="28"/>
          <w:highlight w:val="yellow"/>
        </w:rPr>
      </w:pPr>
      <w:r>
        <w:rPr>
          <w:rFonts w:ascii="Times New Roman" w:hAnsi="Times New Roman" w:cs="Times New Roman"/>
          <w:sz w:val="28"/>
          <w:szCs w:val="28"/>
          <w:highlight w:val="yellow"/>
        </w:rPr>
        <w:t xml:space="preserve">Рисунок 2.15 – Динамика </w:t>
      </w:r>
      <w:bookmarkStart w:id="23" w:name="_Hlk137637128"/>
      <w:r>
        <w:rPr>
          <w:rFonts w:ascii="Times New Roman" w:hAnsi="Times New Roman" w:cs="Times New Roman"/>
          <w:sz w:val="28"/>
          <w:szCs w:val="28"/>
          <w:highlight w:val="yellow"/>
        </w:rPr>
        <w:t xml:space="preserve">уровня грамотности взрослого населения </w:t>
      </w:r>
      <w:bookmarkEnd w:id="23"/>
      <w:r>
        <w:rPr>
          <w:rFonts w:ascii="Times New Roman" w:hAnsi="Times New Roman" w:cs="Times New Roman"/>
          <w:sz w:val="28"/>
          <w:szCs w:val="28"/>
          <w:highlight w:val="yellow"/>
        </w:rPr>
        <w:t>в Республике Кот-д’Ивуар, % Источник: составлено автором по: [178, 188]</w:t>
      </w:r>
    </w:p>
    <w:p>
      <w:pPr>
        <w:jc w:val="center"/>
        <w:rPr>
          <w:rFonts w:ascii="Times New Roman" w:hAnsi="Times New Roman" w:cs="Times New Roman"/>
          <w:sz w:val="28"/>
          <w:szCs w:val="28"/>
          <w:highlight w:val="yellow"/>
        </w:rPr>
      </w:pPr>
    </w:p>
    <w:p>
      <w:pPr>
        <w:spacing w:lineRule="auto" w:line="360" w:after="0" w:beforeAutospacing="0" w:afterAutospacing="0"/>
        <w:ind w:firstLine="709"/>
        <w:jc w:val="both"/>
        <w:rPr>
          <w:rFonts w:ascii="Times New Roman" w:hAnsi="Times New Roman" w:cs="Times New Roman"/>
          <w:sz w:val="28"/>
          <w:szCs w:val="28"/>
          <w:highlight w:val="yellow"/>
        </w:rPr>
      </w:pPr>
      <w:r>
        <w:rPr>
          <w:rFonts w:ascii="Times New Roman" w:hAnsi="Times New Roman" w:cs="Times New Roman"/>
          <w:sz w:val="28"/>
          <w:szCs w:val="28"/>
          <w:highlight w:val="yellow"/>
        </w:rPr>
        <w:t>Как показали результаты проведенного анализа практически по всем показателям, характеризующих достижение ЦУР в Республике Кот-д’Ивуар наблюдается высокий уровень их диверсификации в урбанизированных и сельских районах страны. Актуальность данной проблемы также возрастает если учесть тот факт, что доля занятых в сельском хозяйстве в 2021 составила около 40 %, что на 6,5 % ниже уровня 2014 года (рисунок 2.16). Следует отметить, что среди мужчин в 2021 году значение данного показателя было выше по сравнению с женщинами на 15 %. А если учесть тот факт, что на долю агропромышленного комплекса в структуре ВРП Республики Кот-д’Ивуар приходится около 20 %, то можно сделать вывод о высокой трудоемкости данного сектора, что связано, прежде всего, с развитием экстенсивных, а не интенсивных технологий сельскохозяйственного производства.</w:t>
      </w:r>
    </w:p>
    <w:p>
      <w:pPr>
        <w:spacing w:lineRule="auto" w:line="360" w:after="0" w:beforeAutospacing="0" w:afterAutospacing="0"/>
        <w:jc w:val="center"/>
        <w:rPr>
          <w:noProof w:val="1"/>
          <w:highlight w:val="yellow"/>
        </w:rPr>
      </w:pPr>
      <w:r>
        <w:rPr>
          <w:noProof w:val="1"/>
          <w:highlight w:val="yellow"/>
          <w:lang w:eastAsia="ru-RU"/>
        </w:rPr>
        <w:drawing>
          <wp:inline xmlns:wp="http://schemas.openxmlformats.org/drawingml/2006/wordprocessingDrawing" distT="0" distB="0" distL="0" distR="0">
            <wp:extent cx="5991225" cy="2694940"/>
            <wp:effectExtent l="0" t="0" r="9525" b="10160"/>
            <wp:docPr id="605" name="Диаграмма 605"/>
            <wp:cNvGraphicFramePr/>
            <a:graphic xmlns:a="http://schemas.openxmlformats.org/drawingml/2006/main">
              <a:graphicData uri="http://schemas.openxmlformats.org/drawingml/2006/chart">
                <c:chart xmlns:c="http://schemas.openxmlformats.org/drawingml/2006/chart" r:id="RelChart13"/>
              </a:graphicData>
            </a:graphic>
          </wp:inline>
        </w:drawing>
      </w:r>
    </w:p>
    <w:p>
      <w:pPr>
        <w:spacing w:lineRule="auto" w:line="360" w:after="0" w:beforeAutospacing="0" w:afterAutospacing="0"/>
        <w:jc w:val="center"/>
        <w:rPr>
          <w:rFonts w:ascii="Times New Roman" w:hAnsi="Times New Roman" w:cs="Times New Roman"/>
          <w:sz w:val="28"/>
          <w:szCs w:val="28"/>
          <w:highlight w:val="yellow"/>
        </w:rPr>
      </w:pPr>
      <w:r>
        <w:rPr>
          <w:rFonts w:ascii="Times New Roman" w:hAnsi="Times New Roman" w:cs="Times New Roman"/>
          <w:sz w:val="28"/>
          <w:szCs w:val="28"/>
          <w:highlight w:val="yellow"/>
        </w:rPr>
        <w:tab/>
        <w:t>Рисунок 2.16 – Динамика и структура занятости в сельском хозяйстве Республики Кот-д’Ивуар, % Источник: составлено автором по: [178, 188]</w:t>
      </w:r>
    </w:p>
    <w:p>
      <w:pPr>
        <w:spacing w:lineRule="auto" w:line="360" w:after="0" w:beforeAutospacing="0" w:afterAutospacing="0"/>
        <w:jc w:val="center"/>
        <w:rPr>
          <w:rFonts w:ascii="Times New Roman" w:hAnsi="Times New Roman" w:cs="Times New Roman"/>
          <w:sz w:val="28"/>
          <w:szCs w:val="28"/>
          <w:highlight w:val="yellow"/>
        </w:rPr>
      </w:pPr>
    </w:p>
    <w:p>
      <w:pPr>
        <w:spacing w:lineRule="auto" w:line="360" w:after="0" w:beforeAutospacing="0" w:afterAutospacing="0"/>
        <w:ind w:firstLine="708"/>
        <w:jc w:val="both"/>
        <w:rPr>
          <w:rFonts w:ascii="Times New Roman" w:hAnsi="Times New Roman" w:cs="Times New Roman"/>
          <w:sz w:val="28"/>
          <w:szCs w:val="28"/>
          <w:highlight w:val="yellow"/>
        </w:rPr>
      </w:pPr>
      <w:r>
        <w:rPr>
          <w:rFonts w:ascii="Times New Roman" w:hAnsi="Times New Roman" w:cs="Times New Roman"/>
          <w:sz w:val="28"/>
          <w:szCs w:val="28"/>
          <w:highlight w:val="yellow"/>
        </w:rPr>
        <w:t xml:space="preserve">Если рассмотреть динамику и структуру занятости в промышленности Республики Кот-д’Ивуар, то ситуация будет зеркальной по сравнению с агропромышленным комплексом. Как видно из рисунка 2.17 за анализируемый период был зафиксирован незначительный рост с 11,8 % до 12,3 %. При этом весь рост пришелся на рост занятости среди мужчин, тогда как среди женщин наблюдался небольшой спад. Производительность труда в промышленности гораздо выше, чем в сельском хозяйстве, так как несмотря на то, что доля занятых в промышленности не превышает 15 %, в структуре ВВП удельный вес промышленного комплекса составляет около 20 %. В целом можно сделать вывод, что несмотря на взятый в Республике Кот-д’Ивуар курс на индустриализацию, агропромышленный комплекс продолжает играть ведущую не только экономическую, но и социальную роль, так как обеспечивает практически половину всей занятости в стране.  </w:t>
      </w:r>
    </w:p>
    <w:p>
      <w:pPr>
        <w:spacing w:lineRule="auto" w:line="360" w:after="0" w:beforeAutospacing="0" w:afterAutospacing="0"/>
        <w:jc w:val="center"/>
        <w:rPr>
          <w:rFonts w:ascii="Times New Roman" w:hAnsi="Times New Roman" w:cs="Times New Roman"/>
          <w:sz w:val="28"/>
          <w:szCs w:val="28"/>
          <w:highlight w:val="yellow"/>
        </w:rPr>
      </w:pPr>
      <w:r>
        <w:rPr>
          <w:noProof w:val="1"/>
          <w:highlight w:val="yellow"/>
          <w:lang w:eastAsia="ru-RU"/>
        </w:rPr>
        <w:drawing>
          <wp:inline xmlns:wp="http://schemas.openxmlformats.org/drawingml/2006/wordprocessingDrawing" distT="0" distB="0" distL="0" distR="0">
            <wp:extent cx="5929630" cy="2743200"/>
            <wp:effectExtent l="0" t="0" r="13970" b="0"/>
            <wp:docPr id="606" name="Диаграмма 606"/>
            <wp:cNvGraphicFramePr/>
            <a:graphic xmlns:a="http://schemas.openxmlformats.org/drawingml/2006/main">
              <a:graphicData uri="http://schemas.openxmlformats.org/drawingml/2006/chart">
                <c:chart xmlns:c="http://schemas.openxmlformats.org/drawingml/2006/chart" r:id="RelChart14"/>
              </a:graphicData>
            </a:graphic>
          </wp:inline>
        </w:drawing>
      </w:r>
    </w:p>
    <w:p>
      <w:pPr>
        <w:spacing w:lineRule="auto" w:line="360" w:after="0" w:beforeAutospacing="0" w:afterAutospacing="0"/>
        <w:jc w:val="center"/>
        <w:rPr>
          <w:rFonts w:ascii="Times New Roman" w:hAnsi="Times New Roman" w:cs="Times New Roman"/>
          <w:sz w:val="28"/>
          <w:szCs w:val="28"/>
          <w:highlight w:val="yellow"/>
        </w:rPr>
      </w:pPr>
      <w:r>
        <w:rPr>
          <w:rFonts w:ascii="Times New Roman" w:hAnsi="Times New Roman" w:cs="Times New Roman"/>
          <w:sz w:val="28"/>
          <w:szCs w:val="28"/>
          <w:highlight w:val="yellow"/>
        </w:rPr>
        <w:t xml:space="preserve">Рисунок 2.17 – </w:t>
      </w:r>
      <w:bookmarkStart w:id="24" w:name="_Hlk137729710"/>
      <w:r>
        <w:rPr>
          <w:rFonts w:ascii="Times New Roman" w:hAnsi="Times New Roman" w:cs="Times New Roman"/>
          <w:sz w:val="28"/>
          <w:szCs w:val="28"/>
          <w:highlight w:val="yellow"/>
        </w:rPr>
        <w:t>Динамика и структура занятости в промышленности Республики Кот-д’Ивуар</w:t>
      </w:r>
      <w:bookmarkEnd w:id="24"/>
      <w:r>
        <w:rPr>
          <w:rFonts w:ascii="Times New Roman" w:hAnsi="Times New Roman" w:cs="Times New Roman"/>
          <w:sz w:val="28"/>
          <w:szCs w:val="28"/>
          <w:highlight w:val="yellow"/>
        </w:rPr>
        <w:t>, % Источник: составлено автором по: [178, 188]</w:t>
      </w:r>
    </w:p>
    <w:p>
      <w:pPr>
        <w:spacing w:lineRule="auto" w:line="360" w:after="0" w:beforeAutospacing="0" w:afterAutospacing="0"/>
        <w:jc w:val="center"/>
        <w:rPr>
          <w:rFonts w:ascii="Times New Roman" w:hAnsi="Times New Roman" w:cs="Times New Roman"/>
          <w:sz w:val="28"/>
          <w:szCs w:val="28"/>
          <w:highlight w:val="yellow"/>
        </w:rPr>
      </w:pPr>
    </w:p>
    <w:p>
      <w:pPr>
        <w:spacing w:lineRule="auto" w:line="360" w:after="0" w:beforeAutospacing="0" w:afterAutospacing="0"/>
        <w:ind w:firstLine="709"/>
        <w:jc w:val="both"/>
        <w:rPr>
          <w:highlight w:val="yellow"/>
        </w:rPr>
      </w:pPr>
      <w:r>
        <w:rPr>
          <w:rFonts w:ascii="Times New Roman" w:hAnsi="Times New Roman" w:cs="Times New Roman"/>
          <w:sz w:val="28"/>
          <w:szCs w:val="28"/>
          <w:highlight w:val="yellow"/>
        </w:rPr>
        <w:t>Число абонентов сотовой связи в Республике Кот-д’Ивуар выросло с показателя 80 человек в расчете на 100 человек населения в 2012 году до 160 в 2021 году. Таким образом можно говорить о том, что в стране имеется развитая телекоммуникационная инфраструктура, которая будет в среднесрочной и долгосрочной перспективе содействовать достижению ЦУР (рисунок 2.18).</w:t>
      </w:r>
    </w:p>
    <w:p>
      <w:pPr>
        <w:spacing w:lineRule="auto" w:line="360" w:after="0" w:beforeAutospacing="0" w:afterAutospacing="0"/>
        <w:jc w:val="center"/>
        <w:rPr>
          <w:rFonts w:ascii="Times New Roman" w:hAnsi="Times New Roman" w:cs="Times New Roman"/>
          <w:sz w:val="28"/>
          <w:szCs w:val="28"/>
          <w:highlight w:val="yellow"/>
        </w:rPr>
      </w:pPr>
      <w:r>
        <w:rPr>
          <w:noProof w:val="1"/>
          <w:highlight w:val="yellow"/>
          <w:lang w:eastAsia="ru-RU"/>
        </w:rPr>
        <w:drawing>
          <wp:inline xmlns:wp="http://schemas.openxmlformats.org/drawingml/2006/wordprocessingDrawing" distT="0" distB="0" distL="0" distR="0">
            <wp:extent cx="5800090" cy="2244725"/>
            <wp:effectExtent l="0" t="0" r="10160" b="3175"/>
            <wp:docPr id="607" name="Диаграмма 607"/>
            <wp:cNvGraphicFramePr/>
            <a:graphic xmlns:a="http://schemas.openxmlformats.org/drawingml/2006/main">
              <a:graphicData uri="http://schemas.openxmlformats.org/drawingml/2006/chart">
                <c:chart xmlns:c="http://schemas.openxmlformats.org/drawingml/2006/chart" r:id="RelChart15"/>
              </a:graphicData>
            </a:graphic>
          </wp:inline>
        </w:drawing>
      </w:r>
    </w:p>
    <w:p>
      <w:pPr>
        <w:spacing w:lineRule="auto" w:line="360" w:after="0" w:beforeAutospacing="0" w:afterAutospacing="0"/>
        <w:jc w:val="center"/>
        <w:rPr>
          <w:rFonts w:ascii="Times New Roman" w:hAnsi="Times New Roman" w:cs="Times New Roman"/>
          <w:sz w:val="28"/>
          <w:szCs w:val="28"/>
          <w:highlight w:val="yellow"/>
        </w:rPr>
      </w:pPr>
      <w:r>
        <w:rPr>
          <w:rFonts w:ascii="Times New Roman" w:hAnsi="Times New Roman" w:cs="Times New Roman"/>
          <w:sz w:val="28"/>
          <w:szCs w:val="28"/>
          <w:highlight w:val="yellow"/>
        </w:rPr>
        <w:t xml:space="preserve">Рисунок 2.18 – Динамика абонентов мобильной сотовой связи в Республике </w:t>
      </w:r>
      <w:r>
        <w:rPr>
          <w:rFonts w:ascii="Times New Roman" w:hAnsi="Times New Roman" w:cs="Times New Roman"/>
          <w:sz w:val="28"/>
          <w:szCs w:val="28"/>
          <w:highlight w:val="yellow"/>
        </w:rPr>
        <w:br w:type="textWrapping"/>
      </w:r>
      <w:r>
        <w:rPr>
          <w:rFonts w:ascii="Times New Roman" w:hAnsi="Times New Roman" w:cs="Times New Roman"/>
          <w:sz w:val="28"/>
          <w:szCs w:val="28"/>
          <w:highlight w:val="yellow"/>
        </w:rPr>
        <w:t>Кот-д’Ивуар, ед. на 100 человек Источник: составлено автором по: [178, 188]</w:t>
      </w:r>
    </w:p>
    <w:p>
      <w:pPr>
        <w:tabs>
          <w:tab w:val="left" w:pos="709" w:leader="none"/>
        </w:tabs>
        <w:spacing w:lineRule="auto" w:line="360" w:after="0" w:beforeAutospacing="0" w:afterAutospacing="0"/>
        <w:jc w:val="both"/>
        <w:rPr>
          <w:rFonts w:ascii="Times New Roman" w:hAnsi="Times New Roman" w:cs="Times New Roman"/>
          <w:sz w:val="28"/>
          <w:szCs w:val="28"/>
          <w:highlight w:val="yellow"/>
        </w:rPr>
      </w:pPr>
      <w:r>
        <w:rPr>
          <w:rFonts w:ascii="Times New Roman" w:hAnsi="Times New Roman" w:cs="Times New Roman"/>
          <w:sz w:val="28"/>
          <w:szCs w:val="28"/>
          <w:highlight w:val="yellow"/>
        </w:rPr>
        <w:tab/>
      </w:r>
    </w:p>
    <w:p>
      <w:pPr>
        <w:tabs>
          <w:tab w:val="left" w:pos="709" w:leader="none"/>
        </w:tabs>
        <w:spacing w:lineRule="auto" w:line="360" w:after="0" w:beforeAutospacing="0" w:afterAutospacing="0"/>
        <w:jc w:val="both"/>
        <w:rPr>
          <w:rFonts w:ascii="Times New Roman" w:hAnsi="Times New Roman" w:cs="Times New Roman"/>
          <w:sz w:val="28"/>
          <w:szCs w:val="28"/>
          <w:highlight w:val="yellow"/>
        </w:rPr>
      </w:pPr>
      <w:r>
        <w:rPr>
          <w:rFonts w:ascii="Times New Roman" w:hAnsi="Times New Roman" w:cs="Times New Roman"/>
          <w:sz w:val="28"/>
          <w:szCs w:val="28"/>
          <w:highlight w:val="yellow"/>
        </w:rPr>
        <w:tab/>
        <w:t>Однако, рассматривая развитие информационно-телекоммуникационных технологий в Республике Кот-д’Ивуар, следует отметить, что ситуация с распространенностью интернета не такая благоприятная, как с сотовой связью. Доступ к широкополосному интернету в стране в 2021 году имело всего лишь 1,3 % населения, это в ш</w:t>
        <w:tab/>
        <w:t>есть раз выше уровня 2021 года, но весь этот рост можно объяснить эффектом низкой базы (рисунок 2.19). Значение данного показателя не только уступает среднемировому уровню, но и отстает от многих наименее развитых стран. Если учесть тот факт, что наличие высокоскоростного интернета и его широкая распространенность является необходимым условием для достижения ЦУР, то необходимо повысить темпы роста данного показателя хотя бы в крупнейших городах Республики Кот-д’Ивуар.</w:t>
      </w:r>
    </w:p>
    <w:p>
      <w:pPr>
        <w:tabs>
          <w:tab w:val="left" w:pos="709" w:leader="none"/>
        </w:tabs>
        <w:spacing w:lineRule="auto" w:line="360" w:after="0" w:beforeAutospacing="0" w:afterAutospacing="0"/>
        <w:jc w:val="both"/>
        <w:rPr>
          <w:highlight w:val="yellow"/>
        </w:rPr>
      </w:pPr>
      <w:r>
        <w:rPr>
          <w:rFonts w:ascii="Times New Roman" w:hAnsi="Times New Roman" w:cs="Times New Roman"/>
          <w:sz w:val="28"/>
          <w:szCs w:val="28"/>
          <w:highlight w:val="yellow"/>
        </w:rPr>
        <w:tab/>
        <w:t>Несмотря на то, что почти 100 % населения Республики Кот-д’Ивуар имеют доступ к сотовой связи, доля населения пользующего Интернетом в 2021 году составила около 35 % (рисунок 2.20). При этом необходимо отметить, что наблюдается крайне негативная тенденция по снижению данного показателя начиная с 2017 года, тогда как во всем мире наблюдаются устойчивые темпы его роста. В результате максимальный рост, который наблюдался с 2015 года по 2017 год был нивелирован последующим снижением, поэтому начиная с 2016 года роста не наблюдается.</w:t>
      </w:r>
    </w:p>
    <w:p>
      <w:pPr>
        <w:spacing w:lineRule="auto" w:line="360" w:after="0" w:beforeAutospacing="0" w:afterAutospacing="0"/>
        <w:jc w:val="center"/>
        <w:rPr>
          <w:rFonts w:ascii="Times New Roman" w:hAnsi="Times New Roman" w:cs="Times New Roman"/>
          <w:sz w:val="28"/>
          <w:szCs w:val="28"/>
          <w:highlight w:val="yellow"/>
        </w:rPr>
      </w:pPr>
      <w:r>
        <w:rPr>
          <w:noProof w:val="1"/>
          <w:highlight w:val="yellow"/>
          <w:lang w:eastAsia="ru-RU"/>
        </w:rPr>
        <w:drawing>
          <wp:inline xmlns:wp="http://schemas.openxmlformats.org/drawingml/2006/wordprocessingDrawing" distT="0" distB="0" distL="0" distR="0">
            <wp:extent cx="5868035" cy="2319655"/>
            <wp:effectExtent l="0" t="0" r="18415" b="4445"/>
            <wp:docPr id="608" name="Диаграмма 608"/>
            <wp:cNvGraphicFramePr/>
            <a:graphic xmlns:a="http://schemas.openxmlformats.org/drawingml/2006/main">
              <a:graphicData uri="http://schemas.openxmlformats.org/drawingml/2006/chart">
                <c:chart xmlns:c="http://schemas.openxmlformats.org/drawingml/2006/chart" r:id="RelChart16"/>
              </a:graphicData>
            </a:graphic>
          </wp:inline>
        </w:drawing>
      </w:r>
    </w:p>
    <w:p>
      <w:pPr>
        <w:tabs>
          <w:tab w:val="left" w:pos="3503" w:leader="none"/>
        </w:tabs>
        <w:spacing w:lineRule="auto" w:line="360" w:after="0" w:beforeAutospacing="0" w:afterAutospacing="0"/>
        <w:jc w:val="center"/>
        <w:rPr>
          <w:rFonts w:ascii="Times New Roman" w:hAnsi="Times New Roman" w:cs="Times New Roman"/>
          <w:sz w:val="28"/>
          <w:szCs w:val="28"/>
          <w:highlight w:val="yellow"/>
        </w:rPr>
      </w:pPr>
      <w:r>
        <w:rPr>
          <w:rFonts w:ascii="Times New Roman" w:hAnsi="Times New Roman" w:cs="Times New Roman"/>
          <w:sz w:val="28"/>
          <w:szCs w:val="28"/>
          <w:highlight w:val="yellow"/>
        </w:rPr>
        <w:t>Рисунок 2.19 – Динамика подписки на фиксированный широкополосный доступ в Республике Кот-д’Ивуар, ед. на 100 человек Источник: составлено автором по: [178, 188]</w:t>
      </w:r>
    </w:p>
    <w:p>
      <w:pPr>
        <w:tabs>
          <w:tab w:val="left" w:pos="3503" w:leader="none"/>
        </w:tabs>
        <w:spacing w:lineRule="auto" w:line="360" w:after="0" w:beforeAutospacing="0" w:afterAutospacing="0"/>
        <w:jc w:val="center"/>
        <w:rPr>
          <w:rFonts w:ascii="Times New Roman" w:hAnsi="Times New Roman" w:cs="Times New Roman"/>
          <w:sz w:val="28"/>
          <w:szCs w:val="28"/>
          <w:highlight w:val="yellow"/>
        </w:rPr>
      </w:pPr>
    </w:p>
    <w:p>
      <w:pPr>
        <w:tabs>
          <w:tab w:val="left" w:pos="3503" w:leader="none"/>
        </w:tabs>
        <w:spacing w:lineRule="auto" w:line="360" w:after="0" w:beforeAutospacing="0" w:afterAutospacing="0"/>
        <w:jc w:val="center"/>
        <w:rPr>
          <w:rFonts w:ascii="Times New Roman" w:hAnsi="Times New Roman" w:cs="Times New Roman"/>
          <w:sz w:val="28"/>
          <w:szCs w:val="28"/>
          <w:highlight w:val="yellow"/>
        </w:rPr>
      </w:pPr>
      <w:r>
        <w:rPr>
          <w:noProof w:val="1"/>
          <w:highlight w:val="yellow"/>
          <w:lang w:eastAsia="ru-RU"/>
        </w:rPr>
        <w:drawing>
          <wp:inline xmlns:wp="http://schemas.openxmlformats.org/drawingml/2006/wordprocessingDrawing" distT="0" distB="0" distL="0" distR="0">
            <wp:extent cx="5847715" cy="2272030"/>
            <wp:effectExtent l="0" t="0" r="635" b="13970"/>
            <wp:docPr id="10" name="Диаграмма 10"/>
            <wp:cNvGraphicFramePr/>
            <a:graphic xmlns:a="http://schemas.openxmlformats.org/drawingml/2006/main">
              <a:graphicData uri="http://schemas.openxmlformats.org/drawingml/2006/chart">
                <c:chart xmlns:c="http://schemas.openxmlformats.org/drawingml/2006/chart" r:id="RelChart17"/>
              </a:graphicData>
            </a:graphic>
          </wp:inline>
        </w:drawing>
      </w:r>
    </w:p>
    <w:p>
      <w:pPr>
        <w:tabs>
          <w:tab w:val="left" w:pos="3503" w:leader="none"/>
        </w:tabs>
        <w:spacing w:lineRule="auto" w:line="360" w:after="0" w:beforeAutospacing="0" w:afterAutospacing="0"/>
        <w:jc w:val="center"/>
        <w:rPr>
          <w:rFonts w:ascii="Times New Roman" w:hAnsi="Times New Roman" w:cs="Times New Roman"/>
          <w:sz w:val="28"/>
          <w:szCs w:val="28"/>
          <w:highlight w:val="yellow"/>
        </w:rPr>
      </w:pPr>
      <w:r>
        <w:rPr>
          <w:rFonts w:ascii="Times New Roman" w:hAnsi="Times New Roman" w:cs="Times New Roman"/>
          <w:sz w:val="28"/>
          <w:szCs w:val="28"/>
          <w:highlight w:val="yellow"/>
        </w:rPr>
        <w:t>Рисунок 2.20 – Динамика численности населения, пользующаяся Интернетом в Республике Кот-д’Ивуар, % Источник: составлено автором по: [178, 188]</w:t>
      </w:r>
    </w:p>
    <w:p>
      <w:pPr>
        <w:spacing w:lineRule="auto" w:line="360" w:after="0" w:beforeAutospacing="0" w:afterAutospacing="0"/>
        <w:jc w:val="center"/>
        <w:rPr>
          <w:rFonts w:ascii="Times New Roman" w:hAnsi="Times New Roman" w:cs="Times New Roman"/>
          <w:sz w:val="28"/>
          <w:szCs w:val="28"/>
          <w:highlight w:val="yellow"/>
        </w:rPr>
      </w:pPr>
    </w:p>
    <w:p>
      <w:pPr>
        <w:spacing w:lineRule="auto" w:line="360" w:after="0" w:beforeAutospacing="0" w:afterAutospacing="0"/>
        <w:ind w:firstLine="708"/>
        <w:jc w:val="both"/>
        <w:rPr>
          <w:rFonts w:ascii="Times New Roman" w:hAnsi="Times New Roman" w:cs="Times New Roman"/>
          <w:sz w:val="28"/>
          <w:szCs w:val="28"/>
          <w:highlight w:val="yellow"/>
        </w:rPr>
      </w:pPr>
      <w:r>
        <w:rPr>
          <w:rFonts w:ascii="Times New Roman" w:hAnsi="Times New Roman" w:cs="Times New Roman"/>
          <w:sz w:val="28"/>
          <w:szCs w:val="28"/>
          <w:highlight w:val="yellow"/>
        </w:rPr>
        <w:t>Подводя промежуточный итог по оценке инклюзивности развития Республики Кот-д’Ивуар и оценке перспектив достижения ЦУР до 2030 года, рассмотрим динамику бедности в стране (рисунок 2.21). Как видно, еще в 2015 году уровень крайней нищеты (доход менее 3,65 доллара на 1 человека в день) составлял более 60 %, а доля населения, которая жила на 6,85 доллара в день приближалась к 90 %. В 2021 годы значение данного показателя сократилось, соответственно, до 40 % и 73 %. Таким образом можно говорить о значительном прогрессе в решении проблемы борьбы с бедностью. Однако следует учитывать, что полное искоренение крайней нищеты в соответствии с ЦУР является для Республики Кот-д’Ивуар довольно амбициозной задачей, решение которой требует повышение эффективности системы государственного регулирования, а также построения прозрачной системы расходования бюджетных средств.</w:t>
      </w:r>
    </w:p>
    <w:p>
      <w:pPr>
        <w:spacing w:lineRule="auto" w:line="360" w:after="0" w:beforeAutospacing="0" w:afterAutospacing="0"/>
        <w:jc w:val="center"/>
        <w:rPr>
          <w:noProof w:val="1"/>
          <w:highlight w:val="yellow"/>
        </w:rPr>
      </w:pPr>
      <w:r>
        <w:rPr>
          <w:noProof w:val="1"/>
          <w:highlight w:val="yellow"/>
          <w:lang w:eastAsia="ru-RU"/>
        </w:rPr>
        <w:drawing>
          <wp:inline xmlns:wp="http://schemas.openxmlformats.org/drawingml/2006/wordprocessingDrawing" distT="0" distB="0" distL="0" distR="0">
            <wp:extent cx="6000750" cy="2442845"/>
            <wp:effectExtent l="0" t="0" r="0" b="14605"/>
            <wp:docPr id="23" name="Диаграмма 23"/>
            <wp:cNvGraphicFramePr/>
            <a:graphic xmlns:a="http://schemas.openxmlformats.org/drawingml/2006/main">
              <a:graphicData uri="http://schemas.openxmlformats.org/drawingml/2006/chart">
                <c:chart xmlns:c="http://schemas.openxmlformats.org/drawingml/2006/chart" r:id="RelChart18"/>
              </a:graphicData>
            </a:graphic>
          </wp:inline>
        </w:drawing>
      </w:r>
    </w:p>
    <w:p>
      <w:pPr>
        <w:spacing w:lineRule="auto" w:line="360" w:after="0" w:beforeAutospacing="0" w:afterAutospacing="0"/>
        <w:jc w:val="center"/>
        <w:rPr>
          <w:rFonts w:ascii="Times New Roman" w:hAnsi="Times New Roman" w:cs="Times New Roman"/>
          <w:sz w:val="28"/>
          <w:szCs w:val="28"/>
          <w:highlight w:val="yellow"/>
        </w:rPr>
      </w:pPr>
      <w:r>
        <w:rPr>
          <w:rFonts w:ascii="Times New Roman" w:hAnsi="Times New Roman" w:cs="Times New Roman"/>
          <w:sz w:val="28"/>
          <w:szCs w:val="28"/>
          <w:highlight w:val="yellow"/>
        </w:rPr>
        <w:t>Рисунок 2.21 – Динамика бедности населения в Республике Кот-д’Ивуар, % Источник: составлено автором по: [178, 188]</w:t>
      </w:r>
    </w:p>
    <w:p>
      <w:pPr>
        <w:spacing w:lineRule="auto" w:line="360" w:after="0" w:beforeAutospacing="0" w:afterAutospacing="0"/>
        <w:jc w:val="center"/>
        <w:rPr>
          <w:rFonts w:ascii="Times New Roman" w:hAnsi="Times New Roman" w:cs="Times New Roman"/>
          <w:sz w:val="28"/>
          <w:szCs w:val="28"/>
          <w:highlight w:val="yellow"/>
        </w:rPr>
      </w:pPr>
    </w:p>
    <w:p>
      <w:pPr>
        <w:pStyle w:val="P13"/>
        <w:spacing w:lineRule="auto" w:line="360" w:beforeAutospacing="0" w:afterAutospacing="0"/>
        <w:ind w:firstLine="709"/>
        <w:jc w:val="both"/>
        <w:rPr>
          <w:sz w:val="28"/>
          <w:szCs w:val="28"/>
          <w:lang w:val="ru-RU"/>
        </w:rPr>
      </w:pPr>
      <w:r>
        <w:rPr>
          <w:sz w:val="28"/>
          <w:szCs w:val="28"/>
          <w:highlight w:val="yellow"/>
          <w:lang w:val="ru-RU"/>
        </w:rPr>
        <w:t>Хотя концепция транснационального управления и институтов обладает потенциалом для решения сложных проблем устойчивого развития, они еще не полностью реализовали свой потенциал. Для достижения этого необходимо ответить на вопрос доверия, достоверности и легитимности, учитывая растущее число и разнообразие транснациональных организаций, занимающихся вопросами устойчивого развития. Необходимо изучить роль доверия, авторитета и легитимности, а также то, как транснациональные институты могут достичь их в достижении как Повестки дня на период до 2030 года, так и Повестки дня на период до 2063 года, других программ развития и общего качества жизни в Африке.</w:t>
      </w:r>
    </w:p>
    <w:p>
      <w:pPr>
        <w:spacing w:lineRule="auto" w:line="360" w:after="0" w:beforeAutospacing="0" w:afterAutospacing="0"/>
        <w:ind w:firstLine="709"/>
        <w:jc w:val="both"/>
        <w:rPr>
          <w:rFonts w:ascii="Times New Roman" w:hAnsi="Times New Roman" w:cs="Times New Roman"/>
          <w:color w:val="FF0000"/>
          <w:sz w:val="28"/>
          <w:szCs w:val="28"/>
        </w:rPr>
      </w:pPr>
      <w:r>
        <w:rPr>
          <w:rFonts w:ascii="Times New Roman" w:hAnsi="Times New Roman" w:cs="Times New Roman"/>
          <w:color w:val="FF0000"/>
          <w:sz w:val="28"/>
          <w:szCs w:val="28"/>
        </w:rPr>
        <w:t xml:space="preserve">Республика Кот-д'Ивуар демонстрирует впечатляющую динамику цифровизации, создавая комплексную экосистему государственных электронных услуг, развивая передовую телекоммуникационную инфраструктуру и внедряя международные лучшие практики (прежде всего эстонскую модель). </w:t>
      </w:r>
    </w:p>
    <w:p>
      <w:pPr>
        <w:spacing w:lineRule="auto" w:line="360" w:after="0" w:beforeAutospacing="0" w:afterAutospacing="0"/>
        <w:ind w:firstLine="709"/>
        <w:jc w:val="both"/>
        <w:rPr>
          <w:rFonts w:ascii="Times New Roman" w:hAnsi="Times New Roman" w:cs="Times New Roman"/>
          <w:color w:val="FF0000"/>
          <w:sz w:val="28"/>
          <w:szCs w:val="28"/>
        </w:rPr>
      </w:pPr>
      <w:r>
        <w:rPr>
          <w:rFonts w:ascii="Times New Roman" w:hAnsi="Times New Roman" w:cs="Times New Roman"/>
          <w:color w:val="FF0000"/>
          <w:sz w:val="28"/>
          <w:szCs w:val="28"/>
        </w:rPr>
        <w:t>Амбициозная цель «нулевого использования бумаги» к 2030 году и удвоение вклада цифровой экономики в ВВП свидетельствуют о стратегической приоритетности цифровой трансформации для экономического развития страны.</w:t>
      </w:r>
    </w:p>
    <w:p>
      <w:pPr>
        <w:spacing w:lineRule="auto" w:line="360" w:after="0" w:beforeAutospacing="0" w:afterAutospacing="0"/>
        <w:ind w:firstLine="709"/>
        <w:jc w:val="both"/>
        <w:rPr>
          <w:rFonts w:ascii="Times New Roman" w:hAnsi="Times New Roman" w:cs="Times New Roman"/>
          <w:color w:val="FF0000"/>
          <w:sz w:val="28"/>
          <w:szCs w:val="28"/>
        </w:rPr>
      </w:pPr>
      <w:r>
        <w:rPr>
          <w:rFonts w:ascii="Times New Roman" w:hAnsi="Times New Roman" w:cs="Times New Roman"/>
          <w:color w:val="FF0000"/>
          <w:sz w:val="28"/>
          <w:szCs w:val="28"/>
        </w:rPr>
        <w:t>Показатели успеха цифровизации и вызовы.</w:t>
      </w:r>
    </w:p>
    <w:p>
      <w:pPr>
        <w:spacing w:lineRule="auto" w:line="360" w:after="0" w:beforeAutospacing="0" w:afterAutospacing="0"/>
        <w:ind w:firstLine="709"/>
        <w:jc w:val="both"/>
        <w:rPr>
          <w:rFonts w:ascii="Times New Roman" w:hAnsi="Times New Roman" w:cs="Times New Roman"/>
          <w:color w:val="FF0000"/>
          <w:sz w:val="28"/>
          <w:szCs w:val="28"/>
        </w:rPr>
      </w:pPr>
      <w:r>
        <w:rPr>
          <w:rFonts w:ascii="Times New Roman" w:hAnsi="Times New Roman" w:cs="Times New Roman"/>
          <w:color w:val="FF0000"/>
          <w:sz w:val="28"/>
          <w:szCs w:val="28"/>
        </w:rPr>
        <w:t>Достижения.</w:t>
      </w:r>
    </w:p>
    <w:p>
      <w:pPr>
        <w:spacing w:lineRule="auto" w:line="360" w:after="0" w:beforeAutospacing="0" w:afterAutospacing="0"/>
        <w:ind w:firstLine="709"/>
        <w:jc w:val="both"/>
        <w:rPr>
          <w:rFonts w:ascii="Times New Roman" w:hAnsi="Times New Roman" w:cs="Times New Roman"/>
          <w:color w:val="FF0000"/>
          <w:sz w:val="28"/>
          <w:szCs w:val="28"/>
        </w:rPr>
      </w:pPr>
      <w:r>
        <w:rPr>
          <w:rFonts w:ascii="Times New Roman" w:hAnsi="Times New Roman" w:cs="Times New Roman"/>
          <w:color w:val="FF0000"/>
          <w:sz w:val="28"/>
          <w:szCs w:val="28"/>
        </w:rPr>
        <w:t>Индекс развития ИКТ 2024: 65,3 из 100 (ITU).</w:t>
      </w:r>
    </w:p>
    <w:p>
      <w:pPr>
        <w:spacing w:lineRule="auto" w:line="360" w:after="0" w:beforeAutospacing="0" w:afterAutospacing="0"/>
        <w:ind w:firstLine="709"/>
        <w:jc w:val="both"/>
        <w:rPr>
          <w:rFonts w:ascii="Times New Roman" w:hAnsi="Times New Roman" w:cs="Times New Roman"/>
          <w:color w:val="FF0000"/>
          <w:sz w:val="28"/>
          <w:szCs w:val="28"/>
        </w:rPr>
      </w:pPr>
      <w:r>
        <w:rPr>
          <w:rFonts w:ascii="Times New Roman" w:hAnsi="Times New Roman" w:cs="Times New Roman"/>
          <w:color w:val="FF0000"/>
          <w:sz w:val="28"/>
          <w:szCs w:val="28"/>
        </w:rPr>
        <w:t>Индекс онлайн-администрации: вырос с 0,5467 в 2022 до 0,5587 в 2024.</w:t>
      </w:r>
    </w:p>
    <w:p>
      <w:pPr>
        <w:spacing w:lineRule="auto" w:line="360" w:after="0" w:beforeAutospacing="0" w:afterAutospacing="0"/>
        <w:ind w:firstLine="709"/>
        <w:jc w:val="both"/>
        <w:rPr>
          <w:rFonts w:ascii="Times New Roman" w:hAnsi="Times New Roman" w:cs="Times New Roman"/>
          <w:color w:val="FF0000"/>
          <w:sz w:val="28"/>
          <w:szCs w:val="28"/>
        </w:rPr>
      </w:pPr>
      <w:r>
        <w:rPr>
          <w:rFonts w:ascii="Times New Roman" w:hAnsi="Times New Roman" w:cs="Times New Roman"/>
          <w:color w:val="FF0000"/>
          <w:sz w:val="28"/>
          <w:szCs w:val="28"/>
        </w:rPr>
        <w:t>Третье место в Африке по развитию оптоволоконной сети (2024).</w:t>
      </w:r>
    </w:p>
    <w:p>
      <w:pPr>
        <w:spacing w:lineRule="auto" w:line="360" w:after="0" w:beforeAutospacing="0" w:afterAutospacing="0"/>
        <w:ind w:firstLine="709"/>
        <w:jc w:val="both"/>
        <w:rPr>
          <w:rFonts w:ascii="Times New Roman" w:hAnsi="Times New Roman" w:cs="Times New Roman"/>
          <w:color w:val="FF0000"/>
          <w:sz w:val="28"/>
          <w:szCs w:val="28"/>
        </w:rPr>
      </w:pPr>
      <w:r>
        <w:rPr>
          <w:rFonts w:ascii="Times New Roman" w:hAnsi="Times New Roman" w:cs="Times New Roman"/>
          <w:color w:val="FF0000"/>
          <w:sz w:val="28"/>
          <w:szCs w:val="28"/>
        </w:rPr>
        <w:t>Покрытие 4G достигло 94,88% населения (конец 2024).</w:t>
      </w:r>
    </w:p>
    <w:p>
      <w:pPr>
        <w:spacing w:lineRule="auto" w:line="360" w:after="0" w:beforeAutospacing="0" w:afterAutospacing="0"/>
        <w:ind w:firstLine="709"/>
        <w:jc w:val="both"/>
        <w:rPr>
          <w:rFonts w:ascii="Times New Roman" w:hAnsi="Times New Roman" w:cs="Times New Roman"/>
          <w:color w:val="FF0000"/>
          <w:sz w:val="28"/>
          <w:szCs w:val="28"/>
        </w:rPr>
      </w:pPr>
      <w:r>
        <w:rPr>
          <w:rFonts w:ascii="Times New Roman" w:hAnsi="Times New Roman" w:cs="Times New Roman"/>
          <w:color w:val="FF0000"/>
          <w:sz w:val="28"/>
          <w:szCs w:val="28"/>
        </w:rPr>
        <w:t>Сохраняющиеся вызовы (проблемы).</w:t>
      </w:r>
    </w:p>
    <w:p>
      <w:pPr>
        <w:spacing w:lineRule="auto" w:line="360" w:after="0" w:beforeAutospacing="0" w:afterAutospacing="0"/>
        <w:ind w:firstLine="709"/>
        <w:jc w:val="both"/>
        <w:rPr>
          <w:rFonts w:ascii="Times New Roman" w:hAnsi="Times New Roman" w:cs="Times New Roman"/>
          <w:color w:val="FF0000"/>
          <w:sz w:val="28"/>
          <w:szCs w:val="28"/>
        </w:rPr>
      </w:pPr>
      <w:r>
        <w:rPr>
          <w:rFonts w:ascii="Times New Roman" w:hAnsi="Times New Roman" w:cs="Times New Roman"/>
          <w:color w:val="FF0000"/>
          <w:sz w:val="28"/>
          <w:szCs w:val="28"/>
        </w:rPr>
        <w:t>61,6% населения все еще остается без доступа к интернету (2024).</w:t>
      </w:r>
    </w:p>
    <w:p>
      <w:pPr>
        <w:spacing w:lineRule="auto" w:line="360" w:after="0" w:beforeAutospacing="0" w:afterAutospacing="0"/>
        <w:ind w:firstLine="709"/>
        <w:jc w:val="both"/>
        <w:rPr>
          <w:rFonts w:ascii="Times New Roman" w:hAnsi="Times New Roman" w:cs="Times New Roman"/>
          <w:color w:val="FF0000"/>
          <w:sz w:val="28"/>
          <w:szCs w:val="28"/>
        </w:rPr>
      </w:pPr>
      <w:r>
        <w:rPr>
          <w:rFonts w:ascii="Times New Roman" w:hAnsi="Times New Roman" w:cs="Times New Roman"/>
          <w:color w:val="FF0000"/>
          <w:sz w:val="28"/>
          <w:szCs w:val="28"/>
        </w:rPr>
        <w:t>26% домохозяйств не имели доступа к интернету в 2023 году.</w:t>
      </w:r>
    </w:p>
    <w:p>
      <w:pPr>
        <w:spacing w:lineRule="auto" w:line="360" w:after="0" w:beforeAutospacing="0" w:afterAutospacing="0"/>
        <w:ind w:firstLine="709"/>
        <w:jc w:val="both"/>
        <w:rPr>
          <w:rFonts w:ascii="Times New Roman" w:hAnsi="Times New Roman" w:cs="Times New Roman"/>
          <w:color w:val="FF0000"/>
          <w:sz w:val="28"/>
          <w:szCs w:val="28"/>
        </w:rPr>
      </w:pPr>
      <w:r>
        <w:rPr>
          <w:rFonts w:ascii="Times New Roman" w:hAnsi="Times New Roman" w:cs="Times New Roman"/>
          <w:color w:val="FF0000"/>
          <w:sz w:val="28"/>
          <w:szCs w:val="28"/>
        </w:rPr>
        <w:t>Ограниченные цифровые компетенции населения.</w:t>
      </w:r>
    </w:p>
    <w:p>
      <w:pPr>
        <w:spacing w:lineRule="auto" w:line="360" w:after="0" w:beforeAutospacing="0" w:afterAutospacing="0"/>
        <w:ind w:firstLine="709"/>
        <w:jc w:val="both"/>
        <w:rPr>
          <w:rFonts w:ascii="Times New Roman" w:hAnsi="Times New Roman" w:cs="Times New Roman"/>
          <w:color w:val="FF0000"/>
          <w:sz w:val="28"/>
          <w:szCs w:val="28"/>
        </w:rPr>
      </w:pPr>
      <w:r>
        <w:rPr>
          <w:rFonts w:ascii="Times New Roman" w:hAnsi="Times New Roman" w:cs="Times New Roman"/>
          <w:color w:val="FF0000"/>
          <w:sz w:val="28"/>
          <w:szCs w:val="28"/>
        </w:rPr>
        <w:t>Дефицит компьютерной инфраструктуры в сельских районах.</w:t>
      </w:r>
    </w:p>
    <w:p>
      <w:pPr>
        <w:spacing w:lineRule="auto" w:line="360" w:after="0" w:beforeAutospacing="0" w:afterAutospacing="0"/>
        <w:ind w:firstLine="709"/>
        <w:jc w:val="both"/>
        <w:rPr>
          <w:rFonts w:ascii="Times New Roman" w:hAnsi="Times New Roman" w:cs="Times New Roman"/>
          <w:color w:val="FF0000"/>
          <w:sz w:val="28"/>
          <w:szCs w:val="28"/>
        </w:rPr>
      </w:pPr>
    </w:p>
    <w:p>
      <w:pPr>
        <w:spacing w:lineRule="auto" w:line="360" w:after="0" w:beforeAutospacing="0" w:afterAutospacing="0"/>
        <w:ind w:firstLine="709"/>
        <w:jc w:val="both"/>
        <w:rPr>
          <w:rFonts w:ascii="Times New Roman" w:hAnsi="Times New Roman" w:cs="Times New Roman"/>
          <w:color w:val="FF0000"/>
          <w:sz w:val="28"/>
          <w:szCs w:val="28"/>
        </w:rPr>
      </w:pPr>
      <w:r>
        <w:rPr>
          <w:rFonts w:ascii="Times New Roman" w:hAnsi="Times New Roman" w:cs="Times New Roman"/>
          <w:color w:val="FF0000"/>
          <w:sz w:val="28"/>
          <w:szCs w:val="28"/>
        </w:rPr>
        <w:t>2. Партнерства и международная поддержка цифровизации республики.</w:t>
      </w:r>
    </w:p>
    <w:p>
      <w:pPr>
        <w:spacing w:lineRule="auto" w:line="360" w:after="0" w:beforeAutospacing="0" w:afterAutospacing="0"/>
        <w:ind w:firstLine="709"/>
        <w:jc w:val="both"/>
        <w:rPr>
          <w:rFonts w:ascii="Times New Roman" w:hAnsi="Times New Roman" w:cs="Times New Roman"/>
          <w:color w:val="FF0000"/>
          <w:sz w:val="28"/>
          <w:szCs w:val="28"/>
        </w:rPr>
      </w:pPr>
      <w:r>
        <w:rPr>
          <w:rFonts w:ascii="Times New Roman" w:hAnsi="Times New Roman" w:cs="Times New Roman"/>
          <w:color w:val="FF0000"/>
          <w:sz w:val="28"/>
          <w:szCs w:val="28"/>
        </w:rPr>
        <w:t>Эстонская модель цифрового управления.</w:t>
      </w:r>
    </w:p>
    <w:p>
      <w:pPr>
        <w:spacing w:lineRule="auto" w:line="360" w:after="0" w:beforeAutospacing="0" w:afterAutospacing="0"/>
        <w:ind w:firstLine="709"/>
        <w:jc w:val="both"/>
        <w:rPr>
          <w:rFonts w:ascii="Times New Roman" w:hAnsi="Times New Roman" w:cs="Times New Roman"/>
          <w:color w:val="FF0000"/>
          <w:sz w:val="28"/>
          <w:szCs w:val="28"/>
        </w:rPr>
      </w:pPr>
      <w:r>
        <w:rPr>
          <w:rFonts w:ascii="Times New Roman" w:hAnsi="Times New Roman" w:cs="Times New Roman"/>
          <w:color w:val="FF0000"/>
          <w:sz w:val="28"/>
          <w:szCs w:val="28"/>
        </w:rPr>
        <w:t>Кот-д'Ивуар активно сотрудничает с Эстонией — мировым лидером электронного правительства:</w:t>
      </w:r>
    </w:p>
    <w:p>
      <w:pPr>
        <w:spacing w:lineRule="auto" w:line="360" w:after="0" w:beforeAutospacing="0" w:afterAutospacing="0"/>
        <w:ind w:firstLine="709"/>
        <w:jc w:val="both"/>
        <w:rPr>
          <w:rFonts w:ascii="Times New Roman" w:hAnsi="Times New Roman" w:cs="Times New Roman"/>
          <w:color w:val="FF0000"/>
          <w:sz w:val="28"/>
          <w:szCs w:val="28"/>
        </w:rPr>
      </w:pPr>
      <w:r>
        <w:rPr>
          <w:rFonts w:ascii="Times New Roman" w:hAnsi="Times New Roman" w:cs="Times New Roman"/>
          <w:color w:val="FF0000"/>
          <w:sz w:val="28"/>
          <w:szCs w:val="28"/>
        </w:rPr>
        <w:t></w:t>
        <w:tab/>
        <w:t>Контракт с эстонской компанией Cybernetica на развертывание платформы UXP (387 350 евро);</w:t>
      </w:r>
    </w:p>
    <w:p>
      <w:pPr>
        <w:spacing w:lineRule="auto" w:line="360" w:after="0" w:beforeAutospacing="0" w:afterAutospacing="0"/>
        <w:ind w:firstLine="709"/>
        <w:jc w:val="both"/>
        <w:rPr>
          <w:rFonts w:ascii="Times New Roman" w:hAnsi="Times New Roman" w:cs="Times New Roman"/>
          <w:color w:val="FF0000"/>
          <w:sz w:val="28"/>
          <w:szCs w:val="28"/>
        </w:rPr>
      </w:pPr>
      <w:r>
        <w:rPr>
          <w:rFonts w:ascii="Times New Roman" w:hAnsi="Times New Roman" w:cs="Times New Roman"/>
          <w:color w:val="FF0000"/>
          <w:sz w:val="28"/>
          <w:szCs w:val="28"/>
        </w:rPr>
        <w:t></w:t>
        <w:tab/>
        <w:t>Поддержка эстонского кабинета Digital Nation в разработке цифровой дорожной карты 2022 года;</w:t>
      </w:r>
    </w:p>
    <w:p>
      <w:pPr>
        <w:spacing w:lineRule="auto" w:line="360" w:after="0" w:beforeAutospacing="0" w:afterAutospacing="0"/>
        <w:ind w:firstLine="709"/>
        <w:jc w:val="both"/>
        <w:rPr>
          <w:rFonts w:ascii="Times New Roman" w:hAnsi="Times New Roman" w:cs="Times New Roman"/>
          <w:color w:val="FF0000"/>
          <w:sz w:val="28"/>
          <w:szCs w:val="28"/>
        </w:rPr>
      </w:pPr>
      <w:r>
        <w:rPr>
          <w:rFonts w:ascii="Times New Roman" w:hAnsi="Times New Roman" w:cs="Times New Roman"/>
          <w:color w:val="FF0000"/>
          <w:sz w:val="28"/>
          <w:szCs w:val="28"/>
        </w:rPr>
        <w:t></w:t>
        <w:tab/>
        <w:t>Платформа UXP основана на эстонской технологии X-Road, используемой более чем в 14 странах мира.</w:t>
      </w:r>
    </w:p>
    <w:p>
      <w:pPr>
        <w:spacing w:lineRule="auto" w:line="360" w:after="0" w:beforeAutospacing="0" w:afterAutospacing="0"/>
        <w:ind w:firstLine="709"/>
        <w:jc w:val="both"/>
        <w:rPr>
          <w:rFonts w:ascii="Times New Roman" w:hAnsi="Times New Roman" w:cs="Times New Roman"/>
          <w:color w:val="FF0000"/>
          <w:sz w:val="28"/>
          <w:szCs w:val="28"/>
        </w:rPr>
      </w:pPr>
      <w:r>
        <w:rPr>
          <w:rFonts w:ascii="Times New Roman" w:hAnsi="Times New Roman" w:cs="Times New Roman"/>
          <w:color w:val="FF0000"/>
          <w:sz w:val="28"/>
          <w:szCs w:val="28"/>
        </w:rPr>
        <w:t>Международные партнеры</w:t>
      </w:r>
    </w:p>
    <w:p>
      <w:pPr>
        <w:spacing w:lineRule="auto" w:line="360" w:after="0" w:beforeAutospacing="0" w:afterAutospacing="0"/>
        <w:ind w:firstLine="709"/>
        <w:jc w:val="both"/>
        <w:rPr>
          <w:rFonts w:ascii="Times New Roman" w:hAnsi="Times New Roman" w:cs="Times New Roman"/>
          <w:color w:val="FF0000"/>
          <w:sz w:val="28"/>
          <w:szCs w:val="28"/>
        </w:rPr>
      </w:pPr>
      <w:r>
        <w:rPr>
          <w:rFonts w:ascii="Times New Roman" w:hAnsi="Times New Roman" w:cs="Times New Roman"/>
          <w:color w:val="FF0000"/>
          <w:sz w:val="28"/>
          <w:szCs w:val="28"/>
        </w:rPr>
        <w:t></w:t>
        <w:tab/>
        <w:t>Африканский банк развития (АБР): финансирование PARAE;</w:t>
      </w:r>
    </w:p>
    <w:p>
      <w:pPr>
        <w:spacing w:lineRule="auto" w:line="360" w:after="0" w:beforeAutospacing="0" w:afterAutospacing="0"/>
        <w:ind w:firstLine="709"/>
        <w:jc w:val="both"/>
        <w:rPr>
          <w:rFonts w:ascii="Times New Roman" w:hAnsi="Times New Roman" w:cs="Times New Roman"/>
          <w:color w:val="FF0000"/>
          <w:sz w:val="28"/>
          <w:szCs w:val="28"/>
          <w:lang w:val="en-US"/>
        </w:rPr>
      </w:pPr>
      <w:r>
        <w:rPr>
          <w:rFonts w:ascii="Times New Roman" w:hAnsi="Times New Roman" w:cs="Times New Roman"/>
          <w:color w:val="FF0000"/>
          <w:sz w:val="28"/>
          <w:szCs w:val="28"/>
        </w:rPr>
        <w:t></w:t>
      </w:r>
      <w:r>
        <w:rPr>
          <w:rFonts w:ascii="Times New Roman" w:hAnsi="Times New Roman" w:cs="Times New Roman"/>
          <w:color w:val="FF0000"/>
          <w:sz w:val="28"/>
          <w:szCs w:val="28"/>
          <w:lang w:val="en-US"/>
        </w:rPr>
        <w:tab/>
      </w:r>
      <w:r>
        <w:rPr>
          <w:rFonts w:ascii="Times New Roman" w:hAnsi="Times New Roman" w:cs="Times New Roman"/>
          <w:color w:val="FF0000"/>
          <w:sz w:val="28"/>
          <w:szCs w:val="28"/>
        </w:rPr>
        <w:t>ПРООН</w:t>
      </w:r>
      <w:r>
        <w:rPr>
          <w:rFonts w:ascii="Times New Roman" w:hAnsi="Times New Roman" w:cs="Times New Roman"/>
          <w:color w:val="FF0000"/>
          <w:sz w:val="28"/>
          <w:szCs w:val="28"/>
          <w:lang w:val="en-US"/>
        </w:rPr>
        <w:t xml:space="preserve">: </w:t>
      </w:r>
      <w:r>
        <w:rPr>
          <w:rFonts w:ascii="Times New Roman" w:hAnsi="Times New Roman" w:cs="Times New Roman"/>
          <w:color w:val="FF0000"/>
          <w:sz w:val="28"/>
          <w:szCs w:val="28"/>
        </w:rPr>
        <w:t>проект</w:t>
      </w:r>
      <w:r>
        <w:rPr>
          <w:rFonts w:ascii="Times New Roman" w:hAnsi="Times New Roman" w:cs="Times New Roman"/>
          <w:color w:val="FF0000"/>
          <w:sz w:val="28"/>
          <w:szCs w:val="28"/>
          <w:lang w:val="en-US"/>
        </w:rPr>
        <w:t xml:space="preserve"> Digital Readiness Assessment (DRA) </w:t>
      </w:r>
      <w:r>
        <w:rPr>
          <w:rFonts w:ascii="Times New Roman" w:hAnsi="Times New Roman" w:cs="Times New Roman"/>
          <w:color w:val="FF0000"/>
          <w:sz w:val="28"/>
          <w:szCs w:val="28"/>
        </w:rPr>
        <w:t>и</w:t>
      </w:r>
      <w:r>
        <w:rPr>
          <w:rFonts w:ascii="Times New Roman" w:hAnsi="Times New Roman" w:cs="Times New Roman"/>
          <w:color w:val="FF0000"/>
          <w:sz w:val="28"/>
          <w:szCs w:val="28"/>
          <w:lang w:val="en-US"/>
        </w:rPr>
        <w:t xml:space="preserve"> Digital Flagship for West Africa;</w:t>
      </w:r>
    </w:p>
    <w:p>
      <w:pPr>
        <w:spacing w:lineRule="auto" w:line="360" w:after="0" w:beforeAutospacing="0" w:afterAutospacing="0"/>
        <w:ind w:firstLine="709"/>
        <w:jc w:val="both"/>
        <w:rPr>
          <w:rFonts w:ascii="Times New Roman" w:hAnsi="Times New Roman" w:cs="Times New Roman"/>
          <w:color w:val="FF0000"/>
          <w:sz w:val="28"/>
          <w:szCs w:val="28"/>
        </w:rPr>
      </w:pPr>
      <w:r>
        <w:rPr>
          <w:rFonts w:ascii="Times New Roman" w:hAnsi="Times New Roman" w:cs="Times New Roman"/>
          <w:color w:val="FF0000"/>
          <w:sz w:val="28"/>
          <w:szCs w:val="28"/>
        </w:rPr>
        <w:t></w:t>
        <w:tab/>
        <w:t>Посольство Италии: финансирование проектов цифровой инфраструктуры в сельских районах;</w:t>
      </w:r>
    </w:p>
    <w:p>
      <w:pPr>
        <w:spacing w:lineRule="auto" w:line="360" w:after="0" w:beforeAutospacing="0" w:afterAutospacing="0"/>
        <w:ind w:firstLine="709"/>
        <w:jc w:val="both"/>
        <w:rPr>
          <w:rFonts w:ascii="Times New Roman" w:hAnsi="Times New Roman" w:cs="Times New Roman"/>
          <w:color w:val="FF0000"/>
          <w:sz w:val="28"/>
          <w:szCs w:val="28"/>
        </w:rPr>
      </w:pPr>
      <w:r>
        <w:rPr>
          <w:rFonts w:ascii="Times New Roman" w:hAnsi="Times New Roman" w:cs="Times New Roman"/>
          <w:color w:val="FF0000"/>
          <w:sz w:val="28"/>
          <w:szCs w:val="28"/>
        </w:rPr>
        <w:t></w:t>
        <w:tab/>
        <w:t>Всемирный банк: оценки экономического эффекта цифровизации.</w:t>
      </w:r>
    </w:p>
    <w:p>
      <w:pPr>
        <w:spacing w:lineRule="auto" w:line="360" w:after="0" w:beforeAutospacing="0" w:afterAutospacing="0"/>
        <w:ind w:firstLine="709"/>
        <w:jc w:val="both"/>
        <w:rPr>
          <w:rFonts w:ascii="Times New Roman" w:hAnsi="Times New Roman" w:cs="Times New Roman"/>
          <w:color w:val="FF0000"/>
          <w:sz w:val="28"/>
          <w:szCs w:val="28"/>
        </w:rPr>
      </w:pPr>
    </w:p>
    <w:p>
      <w:pPr>
        <w:spacing w:lineRule="auto" w:line="360" w:after="0" w:beforeAutospacing="0" w:afterAutospacing="0"/>
        <w:ind w:firstLine="709"/>
        <w:jc w:val="both"/>
        <w:rPr>
          <w:rFonts w:ascii="Times New Roman" w:hAnsi="Times New Roman" w:cs="Times New Roman"/>
          <w:color w:val="FF0000"/>
          <w:sz w:val="28"/>
          <w:szCs w:val="28"/>
        </w:rPr>
      </w:pPr>
      <w:r>
        <w:rPr>
          <w:rFonts w:ascii="Times New Roman" w:hAnsi="Times New Roman" w:cs="Times New Roman"/>
          <w:color w:val="FF0000"/>
          <w:sz w:val="28"/>
          <w:szCs w:val="28"/>
        </w:rPr>
        <w:t>3. Стратегические цели и инвестиции республики.</w:t>
      </w:r>
    </w:p>
    <w:p>
      <w:pPr>
        <w:spacing w:lineRule="auto" w:line="360" w:after="0" w:beforeAutospacing="0" w:afterAutospacing="0"/>
        <w:ind w:firstLine="709"/>
        <w:jc w:val="both"/>
        <w:rPr>
          <w:rFonts w:ascii="Times New Roman" w:hAnsi="Times New Roman" w:cs="Times New Roman"/>
          <w:color w:val="FF0000"/>
          <w:sz w:val="28"/>
          <w:szCs w:val="28"/>
        </w:rPr>
      </w:pPr>
      <w:r>
        <w:rPr>
          <w:rFonts w:ascii="Times New Roman" w:hAnsi="Times New Roman" w:cs="Times New Roman"/>
          <w:color w:val="FF0000"/>
          <w:sz w:val="28"/>
          <w:szCs w:val="28"/>
        </w:rPr>
        <w:t>Национальная стратегия цифрового развития (2021–2025).</w:t>
      </w:r>
    </w:p>
    <w:p>
      <w:pPr>
        <w:spacing w:lineRule="auto" w:line="360" w:after="0" w:beforeAutospacing="0" w:afterAutospacing="0"/>
        <w:ind w:firstLine="709"/>
        <w:jc w:val="both"/>
        <w:rPr>
          <w:rFonts w:ascii="Times New Roman" w:hAnsi="Times New Roman" w:cs="Times New Roman"/>
          <w:color w:val="FF0000"/>
          <w:sz w:val="28"/>
          <w:szCs w:val="28"/>
        </w:rPr>
      </w:pPr>
      <w:r>
        <w:rPr>
          <w:rFonts w:ascii="Times New Roman" w:hAnsi="Times New Roman" w:cs="Times New Roman"/>
          <w:color w:val="FF0000"/>
          <w:sz w:val="28"/>
          <w:szCs w:val="28"/>
        </w:rPr>
        <w:t>Семь стратегических столпов трансформации республики:</w:t>
      </w:r>
    </w:p>
    <w:p>
      <w:pPr>
        <w:spacing w:lineRule="auto" w:line="360" w:after="0" w:beforeAutospacing="0" w:afterAutospacing="0"/>
        <w:ind w:firstLine="709"/>
        <w:jc w:val="both"/>
        <w:rPr>
          <w:rFonts w:ascii="Times New Roman" w:hAnsi="Times New Roman" w:cs="Times New Roman"/>
          <w:color w:val="FF0000"/>
          <w:sz w:val="28"/>
          <w:szCs w:val="28"/>
        </w:rPr>
      </w:pPr>
      <w:r>
        <w:rPr>
          <w:rFonts w:ascii="Times New Roman" w:hAnsi="Times New Roman" w:cs="Times New Roman"/>
          <w:color w:val="FF0000"/>
          <w:sz w:val="28"/>
          <w:szCs w:val="28"/>
        </w:rPr>
        <w:t>1.</w:t>
        <w:tab/>
        <w:t>Цифровая инфраструктура (развертывание оптоволокна, дата-центры, 5G);</w:t>
      </w:r>
    </w:p>
    <w:p>
      <w:pPr>
        <w:spacing w:lineRule="auto" w:line="360" w:after="0" w:beforeAutospacing="0" w:afterAutospacing="0"/>
        <w:ind w:firstLine="709"/>
        <w:jc w:val="both"/>
        <w:rPr>
          <w:rFonts w:ascii="Times New Roman" w:hAnsi="Times New Roman" w:cs="Times New Roman"/>
          <w:color w:val="FF0000"/>
          <w:sz w:val="28"/>
          <w:szCs w:val="28"/>
        </w:rPr>
      </w:pPr>
      <w:r>
        <w:rPr>
          <w:rFonts w:ascii="Times New Roman" w:hAnsi="Times New Roman" w:cs="Times New Roman"/>
          <w:color w:val="FF0000"/>
          <w:sz w:val="28"/>
          <w:szCs w:val="28"/>
        </w:rPr>
        <w:t>2.</w:t>
        <w:tab/>
        <w:t>Цифровые услуги (электронное правительство, цифровые платформы);</w:t>
      </w:r>
    </w:p>
    <w:p>
      <w:pPr>
        <w:spacing w:lineRule="auto" w:line="360" w:after="0" w:beforeAutospacing="0" w:afterAutospacing="0"/>
        <w:ind w:firstLine="709"/>
        <w:jc w:val="both"/>
        <w:rPr>
          <w:rFonts w:ascii="Times New Roman" w:hAnsi="Times New Roman" w:cs="Times New Roman"/>
          <w:color w:val="FF0000"/>
          <w:sz w:val="28"/>
          <w:szCs w:val="28"/>
        </w:rPr>
      </w:pPr>
      <w:r>
        <w:rPr>
          <w:rFonts w:ascii="Times New Roman" w:hAnsi="Times New Roman" w:cs="Times New Roman"/>
          <w:color w:val="FF0000"/>
          <w:sz w:val="28"/>
          <w:szCs w:val="28"/>
        </w:rPr>
        <w:t>3.</w:t>
        <w:tab/>
        <w:t>Цифровые финансовые услуги (мобильные платежи, финтех);</w:t>
      </w:r>
    </w:p>
    <w:p>
      <w:pPr>
        <w:spacing w:lineRule="auto" w:line="360" w:after="0" w:beforeAutospacing="0" w:afterAutospacing="0"/>
        <w:ind w:firstLine="709"/>
        <w:jc w:val="both"/>
        <w:rPr>
          <w:rFonts w:ascii="Times New Roman" w:hAnsi="Times New Roman" w:cs="Times New Roman"/>
          <w:color w:val="FF0000"/>
          <w:sz w:val="28"/>
          <w:szCs w:val="28"/>
        </w:rPr>
      </w:pPr>
      <w:r>
        <w:rPr>
          <w:rFonts w:ascii="Times New Roman" w:hAnsi="Times New Roman" w:cs="Times New Roman"/>
          <w:color w:val="FF0000"/>
          <w:sz w:val="28"/>
          <w:szCs w:val="28"/>
        </w:rPr>
        <w:t>4.</w:t>
        <w:tab/>
        <w:t>Цифровые навыки (обучение госслужащих и молодежи);</w:t>
      </w:r>
    </w:p>
    <w:p>
      <w:pPr>
        <w:spacing w:lineRule="auto" w:line="360" w:after="0" w:beforeAutospacing="0" w:afterAutospacing="0"/>
        <w:ind w:firstLine="709"/>
        <w:jc w:val="both"/>
        <w:rPr>
          <w:rFonts w:ascii="Times New Roman" w:hAnsi="Times New Roman" w:cs="Times New Roman"/>
          <w:color w:val="FF0000"/>
          <w:sz w:val="28"/>
          <w:szCs w:val="28"/>
        </w:rPr>
      </w:pPr>
      <w:r>
        <w:rPr>
          <w:rFonts w:ascii="Times New Roman" w:hAnsi="Times New Roman" w:cs="Times New Roman"/>
          <w:color w:val="FF0000"/>
          <w:sz w:val="28"/>
          <w:szCs w:val="28"/>
        </w:rPr>
        <w:t>5.</w:t>
        <w:tab/>
        <w:t>Цифровая бизнес-среда (стартап-экосистема);</w:t>
      </w:r>
    </w:p>
    <w:p>
      <w:pPr>
        <w:spacing w:lineRule="auto" w:line="360" w:after="0" w:beforeAutospacing="0" w:afterAutospacing="0"/>
        <w:ind w:firstLine="709"/>
        <w:jc w:val="both"/>
        <w:rPr>
          <w:rFonts w:ascii="Times New Roman" w:hAnsi="Times New Roman" w:cs="Times New Roman"/>
          <w:color w:val="FF0000"/>
          <w:sz w:val="28"/>
          <w:szCs w:val="28"/>
        </w:rPr>
      </w:pPr>
      <w:r>
        <w:rPr>
          <w:rFonts w:ascii="Times New Roman" w:hAnsi="Times New Roman" w:cs="Times New Roman"/>
          <w:color w:val="FF0000"/>
          <w:sz w:val="28"/>
          <w:szCs w:val="28"/>
        </w:rPr>
        <w:t>6.</w:t>
        <w:tab/>
        <w:t>Инновации (лаборатории ИИ, инкубаторы);</w:t>
      </w:r>
    </w:p>
    <w:p>
      <w:pPr>
        <w:spacing w:lineRule="auto" w:line="360" w:after="0" w:beforeAutospacing="0" w:afterAutospacing="0"/>
        <w:ind w:firstLine="709"/>
        <w:jc w:val="both"/>
        <w:rPr>
          <w:rFonts w:ascii="Times New Roman" w:hAnsi="Times New Roman" w:cs="Times New Roman"/>
          <w:color w:val="FF0000"/>
          <w:sz w:val="28"/>
          <w:szCs w:val="28"/>
        </w:rPr>
      </w:pPr>
      <w:r>
        <w:rPr>
          <w:rFonts w:ascii="Times New Roman" w:hAnsi="Times New Roman" w:cs="Times New Roman"/>
          <w:color w:val="FF0000"/>
          <w:sz w:val="28"/>
          <w:szCs w:val="28"/>
        </w:rPr>
        <w:t>7.</w:t>
        <w:tab/>
        <w:t>Кибербезопасность и доверие (защита данных, SOC).</w:t>
      </w:r>
    </w:p>
    <w:p>
      <w:pPr>
        <w:spacing w:lineRule="auto" w:line="360" w:after="0" w:beforeAutospacing="0" w:afterAutospacing="0"/>
        <w:ind w:firstLine="709"/>
        <w:jc w:val="both"/>
        <w:rPr>
          <w:rFonts w:ascii="Times New Roman" w:hAnsi="Times New Roman" w:cs="Times New Roman"/>
          <w:color w:val="FF0000"/>
          <w:sz w:val="28"/>
          <w:szCs w:val="28"/>
        </w:rPr>
      </w:pPr>
    </w:p>
    <w:p>
      <w:pPr>
        <w:spacing w:lineRule="auto" w:line="360" w:after="0" w:beforeAutospacing="0" w:afterAutospacing="0"/>
        <w:ind w:firstLine="709"/>
        <w:jc w:val="both"/>
        <w:rPr>
          <w:rFonts w:ascii="Times New Roman" w:hAnsi="Times New Roman" w:cs="Times New Roman"/>
          <w:color w:val="FF0000"/>
          <w:sz w:val="28"/>
          <w:szCs w:val="28"/>
        </w:rPr>
      </w:pPr>
      <w:r>
        <w:rPr>
          <w:rFonts w:ascii="Times New Roman" w:hAnsi="Times New Roman" w:cs="Times New Roman"/>
          <w:color w:val="FF0000"/>
          <w:sz w:val="28"/>
          <w:szCs w:val="28"/>
        </w:rPr>
        <w:t>Инвестиции в трансформацию республики:</w:t>
      </w:r>
    </w:p>
    <w:p>
      <w:pPr>
        <w:spacing w:lineRule="auto" w:line="360" w:after="0" w:beforeAutospacing="0" w:afterAutospacing="0"/>
        <w:ind w:firstLine="709"/>
        <w:jc w:val="both"/>
        <w:rPr>
          <w:rFonts w:ascii="Times New Roman" w:hAnsi="Times New Roman" w:cs="Times New Roman"/>
          <w:color w:val="FF0000"/>
          <w:sz w:val="28"/>
          <w:szCs w:val="28"/>
        </w:rPr>
      </w:pPr>
      <w:r>
        <w:rPr>
          <w:rFonts w:ascii="Times New Roman" w:hAnsi="Times New Roman" w:cs="Times New Roman"/>
          <w:color w:val="FF0000"/>
          <w:sz w:val="28"/>
          <w:szCs w:val="28"/>
        </w:rPr>
        <w:t>2021–2025: 32 реформы с инвестициями 3,3 миллиарда долларов США.</w:t>
      </w:r>
    </w:p>
    <w:p>
      <w:pPr>
        <w:spacing w:lineRule="auto" w:line="360" w:after="0" w:beforeAutospacing="0" w:afterAutospacing="0"/>
        <w:ind w:firstLine="709"/>
        <w:jc w:val="both"/>
        <w:rPr>
          <w:rFonts w:ascii="Times New Roman" w:hAnsi="Times New Roman" w:cs="Times New Roman"/>
          <w:color w:val="FF0000"/>
          <w:sz w:val="28"/>
          <w:szCs w:val="28"/>
        </w:rPr>
      </w:pPr>
      <w:r>
        <w:rPr>
          <w:rFonts w:ascii="Times New Roman" w:hAnsi="Times New Roman" w:cs="Times New Roman"/>
          <w:color w:val="FF0000"/>
          <w:sz w:val="28"/>
          <w:szCs w:val="28"/>
        </w:rPr>
        <w:t>Бюджет 2024 года: 55,6 миллиарда франков КФА.</w:t>
      </w:r>
    </w:p>
    <w:p>
      <w:pPr>
        <w:spacing w:lineRule="auto" w:line="360" w:after="0" w:beforeAutospacing="0" w:afterAutospacing="0"/>
        <w:ind w:firstLine="709"/>
        <w:jc w:val="both"/>
        <w:rPr>
          <w:rFonts w:ascii="Times New Roman" w:hAnsi="Times New Roman" w:cs="Times New Roman"/>
          <w:color w:val="FF0000"/>
          <w:sz w:val="28"/>
          <w:szCs w:val="28"/>
        </w:rPr>
      </w:pPr>
      <w:r>
        <w:rPr>
          <w:rFonts w:ascii="Times New Roman" w:hAnsi="Times New Roman" w:cs="Times New Roman"/>
          <w:color w:val="FF0000"/>
          <w:sz w:val="28"/>
          <w:szCs w:val="28"/>
        </w:rPr>
        <w:t>Бюджет 2025 года: 60,78 миллиарда франков КФА (~96,8 млн долларов).</w:t>
      </w:r>
    </w:p>
    <w:p>
      <w:pPr>
        <w:spacing w:lineRule="auto" w:line="360" w:after="0" w:beforeAutospacing="0" w:afterAutospacing="0"/>
        <w:ind w:firstLine="709"/>
        <w:jc w:val="both"/>
        <w:rPr>
          <w:rFonts w:ascii="Times New Roman" w:hAnsi="Times New Roman" w:cs="Times New Roman"/>
          <w:color w:val="FF0000"/>
          <w:sz w:val="28"/>
          <w:szCs w:val="28"/>
        </w:rPr>
      </w:pPr>
      <w:r>
        <w:rPr>
          <w:rFonts w:ascii="Times New Roman" w:hAnsi="Times New Roman" w:cs="Times New Roman"/>
          <w:color w:val="FF0000"/>
          <w:sz w:val="28"/>
          <w:szCs w:val="28"/>
        </w:rPr>
        <w:t>Ожидаемый эффект:</w:t>
      </w:r>
    </w:p>
    <w:p>
      <w:pPr>
        <w:spacing w:lineRule="auto" w:line="360" w:after="0" w:beforeAutospacing="0" w:afterAutospacing="0"/>
        <w:ind w:firstLine="709"/>
        <w:jc w:val="both"/>
        <w:rPr>
          <w:rFonts w:ascii="Times New Roman" w:hAnsi="Times New Roman" w:cs="Times New Roman"/>
          <w:color w:val="FF0000"/>
          <w:sz w:val="28"/>
          <w:szCs w:val="28"/>
        </w:rPr>
      </w:pPr>
      <w:r>
        <w:rPr>
          <w:rFonts w:ascii="Times New Roman" w:hAnsi="Times New Roman" w:cs="Times New Roman"/>
          <w:color w:val="FF0000"/>
          <w:sz w:val="28"/>
          <w:szCs w:val="28"/>
        </w:rPr>
        <w:t>1.</w:t>
        <w:tab/>
        <w:t>Цифровая трансформация увеличит ВВП на 6–7 процентных пунктов;</w:t>
      </w:r>
    </w:p>
    <w:p>
      <w:pPr>
        <w:spacing w:lineRule="auto" w:line="360" w:after="0" w:beforeAutospacing="0" w:afterAutospacing="0"/>
        <w:ind w:firstLine="709"/>
        <w:jc w:val="both"/>
        <w:rPr>
          <w:rFonts w:ascii="Times New Roman" w:hAnsi="Times New Roman" w:cs="Times New Roman"/>
          <w:color w:val="FF0000"/>
          <w:sz w:val="28"/>
          <w:szCs w:val="28"/>
        </w:rPr>
      </w:pPr>
      <w:r>
        <w:rPr>
          <w:rFonts w:ascii="Times New Roman" w:hAnsi="Times New Roman" w:cs="Times New Roman"/>
          <w:color w:val="FF0000"/>
          <w:sz w:val="28"/>
          <w:szCs w:val="28"/>
        </w:rPr>
        <w:t>2.</w:t>
        <w:tab/>
        <w:t>По оценкам Всемирного банка, цифровая экономика внесет более 5,5 миллиарда долларов в ВВП к 2025 году и свыше 20 миллиардов долларов к 2050 году.</w:t>
      </w:r>
    </w:p>
    <w:p>
      <w:pPr>
        <w:spacing w:lineRule="auto" w:line="360" w:after="0" w:beforeAutospacing="0" w:afterAutospacing="0"/>
        <w:ind w:firstLine="709"/>
        <w:jc w:val="both"/>
        <w:rPr>
          <w:rFonts w:ascii="Times New Roman" w:hAnsi="Times New Roman" w:cs="Times New Roman"/>
          <w:color w:val="FF0000"/>
          <w:sz w:val="28"/>
          <w:szCs w:val="28"/>
        </w:rPr>
      </w:pPr>
    </w:p>
    <w:p>
      <w:pPr>
        <w:spacing w:lineRule="auto" w:line="360" w:after="0" w:beforeAutospacing="0" w:afterAutospacing="0"/>
        <w:ind w:firstLine="709"/>
        <w:jc w:val="both"/>
        <w:rPr>
          <w:rFonts w:ascii="Times New Roman" w:hAnsi="Times New Roman" w:cs="Times New Roman"/>
          <w:color w:val="FF0000"/>
          <w:sz w:val="28"/>
          <w:szCs w:val="28"/>
        </w:rPr>
      </w:pPr>
      <w:r>
        <w:rPr>
          <w:rFonts w:ascii="Times New Roman" w:hAnsi="Times New Roman" w:cs="Times New Roman"/>
          <w:color w:val="FF0000"/>
          <w:sz w:val="28"/>
          <w:szCs w:val="28"/>
        </w:rPr>
        <w:t>Стратегия ИИ и управления данными (2025).</w:t>
      </w:r>
    </w:p>
    <w:p>
      <w:pPr>
        <w:spacing w:lineRule="auto" w:line="360" w:after="0" w:beforeAutospacing="0" w:afterAutospacing="0"/>
        <w:ind w:firstLine="709"/>
        <w:jc w:val="both"/>
        <w:rPr>
          <w:rFonts w:ascii="Times New Roman" w:hAnsi="Times New Roman" w:cs="Times New Roman"/>
          <w:color w:val="FF0000"/>
          <w:sz w:val="28"/>
          <w:szCs w:val="28"/>
        </w:rPr>
      </w:pPr>
      <w:r>
        <w:rPr>
          <w:rFonts w:ascii="Times New Roman" w:hAnsi="Times New Roman" w:cs="Times New Roman"/>
          <w:color w:val="FF0000"/>
          <w:sz w:val="28"/>
          <w:szCs w:val="28"/>
        </w:rPr>
        <w:t>Представлена 13 марта 2025 года вместе с запуском PARAE.</w:t>
      </w:r>
    </w:p>
    <w:p>
      <w:pPr>
        <w:spacing w:lineRule="auto" w:line="360" w:after="0" w:beforeAutospacing="0" w:afterAutospacing="0"/>
        <w:ind w:firstLine="709"/>
        <w:jc w:val="both"/>
        <w:rPr>
          <w:rFonts w:ascii="Times New Roman" w:hAnsi="Times New Roman" w:cs="Times New Roman"/>
          <w:color w:val="FF0000"/>
          <w:sz w:val="28"/>
          <w:szCs w:val="28"/>
        </w:rPr>
      </w:pPr>
      <w:r>
        <w:rPr>
          <w:rFonts w:ascii="Times New Roman" w:hAnsi="Times New Roman" w:cs="Times New Roman"/>
          <w:color w:val="FF0000"/>
          <w:sz w:val="28"/>
          <w:szCs w:val="28"/>
        </w:rPr>
        <w:t>Основные направления:</w:t>
      </w:r>
    </w:p>
    <w:p>
      <w:pPr>
        <w:spacing w:lineRule="auto" w:line="360" w:after="0" w:beforeAutospacing="0" w:afterAutospacing="0"/>
        <w:ind w:firstLine="709"/>
        <w:jc w:val="both"/>
        <w:rPr>
          <w:rFonts w:ascii="Times New Roman" w:hAnsi="Times New Roman" w:cs="Times New Roman"/>
          <w:color w:val="FF0000"/>
          <w:sz w:val="28"/>
          <w:szCs w:val="28"/>
        </w:rPr>
      </w:pPr>
      <w:r>
        <w:rPr>
          <w:rFonts w:ascii="Times New Roman" w:hAnsi="Times New Roman" w:cs="Times New Roman"/>
          <w:color w:val="FF0000"/>
          <w:sz w:val="28"/>
          <w:szCs w:val="28"/>
        </w:rPr>
        <w:t></w:t>
        <w:tab/>
        <w:t>Создание Лаборатории искусственного интеллекта в Городе инноваций и культуры.</w:t>
      </w:r>
    </w:p>
    <w:p>
      <w:pPr>
        <w:spacing w:lineRule="auto" w:line="360" w:after="0" w:beforeAutospacing="0" w:afterAutospacing="0"/>
        <w:ind w:firstLine="709"/>
        <w:jc w:val="both"/>
        <w:rPr>
          <w:rFonts w:ascii="Times New Roman" w:hAnsi="Times New Roman" w:cs="Times New Roman"/>
          <w:color w:val="FF0000"/>
          <w:sz w:val="28"/>
          <w:szCs w:val="28"/>
        </w:rPr>
      </w:pPr>
      <w:r>
        <w:rPr>
          <w:rFonts w:ascii="Times New Roman" w:hAnsi="Times New Roman" w:cs="Times New Roman"/>
          <w:color w:val="FF0000"/>
          <w:sz w:val="28"/>
          <w:szCs w:val="28"/>
        </w:rPr>
        <w:t></w:t>
        <w:tab/>
        <w:t>Развитие национальной стратегии управления данными.</w:t>
      </w:r>
    </w:p>
    <w:p>
      <w:pPr>
        <w:spacing w:lineRule="auto" w:line="360" w:after="0" w:beforeAutospacing="0" w:afterAutospacing="0"/>
        <w:ind w:firstLine="709"/>
        <w:jc w:val="both"/>
        <w:rPr>
          <w:rFonts w:ascii="Times New Roman" w:hAnsi="Times New Roman" w:cs="Times New Roman"/>
          <w:color w:val="FF0000"/>
          <w:sz w:val="28"/>
          <w:szCs w:val="28"/>
        </w:rPr>
      </w:pPr>
      <w:r>
        <w:rPr>
          <w:rFonts w:ascii="Times New Roman" w:hAnsi="Times New Roman" w:cs="Times New Roman"/>
          <w:color w:val="FF0000"/>
          <w:sz w:val="28"/>
          <w:szCs w:val="28"/>
        </w:rPr>
        <w:t></w:t>
        <w:tab/>
        <w:t>Поддержка цифрового предпринимательства через Фонд инноваций Кот-д'Ивуара.</w:t>
      </w:r>
    </w:p>
    <w:p>
      <w:pPr>
        <w:spacing w:lineRule="auto" w:line="360" w:after="0" w:beforeAutospacing="0" w:afterAutospacing="0"/>
        <w:ind w:firstLine="709"/>
        <w:jc w:val="both"/>
        <w:rPr>
          <w:rFonts w:ascii="Times New Roman" w:hAnsi="Times New Roman" w:cs="Times New Roman"/>
          <w:color w:val="FF0000"/>
          <w:sz w:val="28"/>
          <w:szCs w:val="28"/>
        </w:rPr>
      </w:pPr>
    </w:p>
    <w:p>
      <w:pPr>
        <w:spacing w:lineRule="auto" w:line="360" w:after="0" w:beforeAutospacing="0" w:afterAutospacing="0"/>
        <w:ind w:firstLine="709"/>
        <w:jc w:val="both"/>
        <w:rPr>
          <w:rFonts w:ascii="Times New Roman" w:hAnsi="Times New Roman" w:cs="Times New Roman"/>
          <w:color w:val="FF0000"/>
          <w:sz w:val="28"/>
          <w:szCs w:val="28"/>
        </w:rPr>
      </w:pPr>
      <w:r>
        <w:rPr>
          <w:rFonts w:ascii="Times New Roman" w:hAnsi="Times New Roman" w:cs="Times New Roman"/>
          <w:color w:val="FF0000"/>
          <w:sz w:val="28"/>
          <w:szCs w:val="28"/>
        </w:rPr>
        <w:t>4. Картирование цифровых услуг (2025) республики.</w:t>
      </w:r>
    </w:p>
    <w:p>
      <w:pPr>
        <w:spacing w:lineRule="auto" w:line="360" w:after="0" w:beforeAutospacing="0" w:afterAutospacing="0"/>
        <w:ind w:firstLine="709"/>
        <w:jc w:val="both"/>
        <w:rPr>
          <w:rFonts w:ascii="Times New Roman" w:hAnsi="Times New Roman" w:cs="Times New Roman"/>
          <w:color w:val="FF0000"/>
          <w:sz w:val="28"/>
          <w:szCs w:val="28"/>
        </w:rPr>
      </w:pPr>
      <w:r>
        <w:rPr>
          <w:rFonts w:ascii="Times New Roman" w:hAnsi="Times New Roman" w:cs="Times New Roman"/>
          <w:color w:val="FF0000"/>
          <w:sz w:val="28"/>
          <w:szCs w:val="28"/>
        </w:rPr>
        <w:t>В октябре 2025 года правительство завершило картирование цифровых государственных услуг, выявив 232 цифровые платформы в рамках проекта Digital Acceleration Project (PADCI).</w:t>
      </w:r>
    </w:p>
    <w:p>
      <w:pPr>
        <w:spacing w:lineRule="auto" w:line="360" w:after="0" w:beforeAutospacing="0" w:afterAutospacing="0"/>
        <w:ind w:firstLine="709"/>
        <w:jc w:val="both"/>
        <w:rPr>
          <w:rFonts w:ascii="Times New Roman" w:hAnsi="Times New Roman" w:cs="Times New Roman"/>
          <w:color w:val="FF0000"/>
          <w:sz w:val="28"/>
          <w:szCs w:val="28"/>
        </w:rPr>
      </w:pPr>
      <w:r>
        <w:rPr>
          <w:rFonts w:ascii="Times New Roman" w:hAnsi="Times New Roman" w:cs="Times New Roman"/>
          <w:color w:val="FF0000"/>
          <w:sz w:val="28"/>
          <w:szCs w:val="28"/>
        </w:rPr>
        <w:t>Классификация по типам услуг:</w:t>
      </w:r>
    </w:p>
    <w:p>
      <w:pPr>
        <w:spacing w:lineRule="auto" w:line="360" w:after="0" w:beforeAutospacing="0" w:afterAutospacing="0"/>
        <w:ind w:firstLine="709"/>
        <w:jc w:val="both"/>
        <w:rPr>
          <w:rFonts w:ascii="Times New Roman" w:hAnsi="Times New Roman" w:cs="Times New Roman"/>
          <w:color w:val="FF0000"/>
          <w:sz w:val="28"/>
          <w:szCs w:val="28"/>
        </w:rPr>
      </w:pPr>
      <w:r>
        <w:rPr>
          <w:rFonts w:ascii="Times New Roman" w:hAnsi="Times New Roman" w:cs="Times New Roman"/>
          <w:color w:val="FF0000"/>
          <w:sz w:val="28"/>
          <w:szCs w:val="28"/>
        </w:rPr>
        <w:t>1.</w:t>
        <w:tab/>
        <w:t>Информационные (informational);</w:t>
      </w:r>
    </w:p>
    <w:p>
      <w:pPr>
        <w:spacing w:lineRule="auto" w:line="360" w:after="0" w:beforeAutospacing="0" w:afterAutospacing="0"/>
        <w:ind w:firstLine="709"/>
        <w:jc w:val="both"/>
        <w:rPr>
          <w:rFonts w:ascii="Times New Roman" w:hAnsi="Times New Roman" w:cs="Times New Roman"/>
          <w:color w:val="FF0000"/>
          <w:sz w:val="28"/>
          <w:szCs w:val="28"/>
        </w:rPr>
      </w:pPr>
      <w:r>
        <w:rPr>
          <w:rFonts w:ascii="Times New Roman" w:hAnsi="Times New Roman" w:cs="Times New Roman"/>
          <w:color w:val="FF0000"/>
          <w:sz w:val="28"/>
          <w:szCs w:val="28"/>
        </w:rPr>
        <w:t>2.</w:t>
        <w:tab/>
        <w:t>Полу-транзакционные (semi-transactional);</w:t>
      </w:r>
    </w:p>
    <w:p>
      <w:pPr>
        <w:spacing w:lineRule="auto" w:line="360" w:after="0" w:beforeAutospacing="0" w:afterAutospacing="0"/>
        <w:ind w:firstLine="709"/>
        <w:jc w:val="both"/>
        <w:rPr>
          <w:rFonts w:ascii="Times New Roman" w:hAnsi="Times New Roman" w:cs="Times New Roman"/>
          <w:color w:val="FF0000"/>
          <w:sz w:val="28"/>
          <w:szCs w:val="28"/>
        </w:rPr>
      </w:pPr>
      <w:r>
        <w:rPr>
          <w:rFonts w:ascii="Times New Roman" w:hAnsi="Times New Roman" w:cs="Times New Roman"/>
          <w:color w:val="FF0000"/>
          <w:sz w:val="28"/>
          <w:szCs w:val="28"/>
        </w:rPr>
        <w:t>3.</w:t>
        <w:tab/>
        <w:t>Транзакционные (transactional);</w:t>
      </w:r>
    </w:p>
    <w:p>
      <w:pPr>
        <w:spacing w:lineRule="auto" w:line="360" w:after="0" w:beforeAutospacing="0" w:afterAutospacing="0"/>
        <w:ind w:firstLine="709"/>
        <w:jc w:val="both"/>
        <w:rPr>
          <w:rFonts w:ascii="Times New Roman" w:hAnsi="Times New Roman" w:cs="Times New Roman"/>
          <w:color w:val="FF0000"/>
          <w:sz w:val="28"/>
          <w:szCs w:val="28"/>
        </w:rPr>
      </w:pPr>
      <w:r>
        <w:rPr>
          <w:rFonts w:ascii="Times New Roman" w:hAnsi="Times New Roman" w:cs="Times New Roman"/>
          <w:color w:val="FF0000"/>
          <w:sz w:val="28"/>
          <w:szCs w:val="28"/>
        </w:rPr>
        <w:t>4.</w:t>
        <w:tab/>
        <w:t>Интегрированные (integrated);</w:t>
      </w:r>
    </w:p>
    <w:p>
      <w:pPr>
        <w:spacing w:lineRule="auto" w:line="360" w:after="0" w:beforeAutospacing="0" w:afterAutospacing="0"/>
        <w:ind w:firstLine="709"/>
        <w:jc w:val="both"/>
        <w:rPr>
          <w:rFonts w:ascii="Times New Roman" w:hAnsi="Times New Roman" w:cs="Times New Roman"/>
          <w:color w:val="FF0000"/>
          <w:sz w:val="28"/>
          <w:szCs w:val="28"/>
        </w:rPr>
      </w:pPr>
      <w:r>
        <w:rPr>
          <w:rFonts w:ascii="Times New Roman" w:hAnsi="Times New Roman" w:cs="Times New Roman"/>
          <w:color w:val="FF0000"/>
          <w:sz w:val="28"/>
          <w:szCs w:val="28"/>
        </w:rPr>
        <w:t>Приоритетные секторы цифровизации:</w:t>
      </w:r>
    </w:p>
    <w:p>
      <w:pPr>
        <w:spacing w:lineRule="auto" w:line="360" w:after="0" w:beforeAutospacing="0" w:afterAutospacing="0"/>
        <w:ind w:firstLine="709"/>
        <w:jc w:val="both"/>
        <w:rPr>
          <w:rFonts w:ascii="Times New Roman" w:hAnsi="Times New Roman" w:cs="Times New Roman"/>
          <w:color w:val="FF0000"/>
          <w:sz w:val="28"/>
          <w:szCs w:val="28"/>
        </w:rPr>
      </w:pPr>
      <w:r>
        <w:rPr>
          <w:rFonts w:ascii="Times New Roman" w:hAnsi="Times New Roman" w:cs="Times New Roman"/>
          <w:color w:val="FF0000"/>
          <w:sz w:val="28"/>
          <w:szCs w:val="28"/>
        </w:rPr>
        <w:t>5.</w:t>
        <w:tab/>
        <w:t>Гражданское состояние</w:t>
      </w:r>
    </w:p>
    <w:p>
      <w:pPr>
        <w:spacing w:lineRule="auto" w:line="360" w:after="0" w:beforeAutospacing="0" w:afterAutospacing="0"/>
        <w:ind w:firstLine="709"/>
        <w:jc w:val="both"/>
        <w:rPr>
          <w:rFonts w:ascii="Times New Roman" w:hAnsi="Times New Roman" w:cs="Times New Roman"/>
          <w:color w:val="FF0000"/>
          <w:sz w:val="28"/>
          <w:szCs w:val="28"/>
        </w:rPr>
      </w:pPr>
      <w:r>
        <w:rPr>
          <w:rFonts w:ascii="Times New Roman" w:hAnsi="Times New Roman" w:cs="Times New Roman"/>
          <w:color w:val="FF0000"/>
          <w:sz w:val="28"/>
          <w:szCs w:val="28"/>
        </w:rPr>
        <w:t>6.</w:t>
        <w:tab/>
        <w:t>Правосудие</w:t>
      </w:r>
    </w:p>
    <w:p>
      <w:pPr>
        <w:spacing w:lineRule="auto" w:line="360" w:after="0" w:beforeAutospacing="0" w:afterAutospacing="0"/>
        <w:ind w:firstLine="709"/>
        <w:jc w:val="both"/>
        <w:rPr>
          <w:rFonts w:ascii="Times New Roman" w:hAnsi="Times New Roman" w:cs="Times New Roman"/>
          <w:color w:val="FF0000"/>
          <w:sz w:val="28"/>
          <w:szCs w:val="28"/>
        </w:rPr>
      </w:pPr>
      <w:r>
        <w:rPr>
          <w:rFonts w:ascii="Times New Roman" w:hAnsi="Times New Roman" w:cs="Times New Roman"/>
          <w:color w:val="FF0000"/>
          <w:sz w:val="28"/>
          <w:szCs w:val="28"/>
        </w:rPr>
        <w:t>7.</w:t>
        <w:tab/>
        <w:t>Образование</w:t>
      </w:r>
    </w:p>
    <w:p>
      <w:pPr>
        <w:spacing w:lineRule="auto" w:line="360" w:after="0" w:beforeAutospacing="0" w:afterAutospacing="0"/>
        <w:ind w:firstLine="709"/>
        <w:jc w:val="both"/>
        <w:rPr>
          <w:rFonts w:ascii="Times New Roman" w:hAnsi="Times New Roman" w:cs="Times New Roman"/>
          <w:color w:val="FF0000"/>
          <w:sz w:val="28"/>
          <w:szCs w:val="28"/>
        </w:rPr>
      </w:pPr>
      <w:r>
        <w:rPr>
          <w:rFonts w:ascii="Times New Roman" w:hAnsi="Times New Roman" w:cs="Times New Roman"/>
          <w:color w:val="FF0000"/>
          <w:sz w:val="28"/>
          <w:szCs w:val="28"/>
        </w:rPr>
        <w:t>8.</w:t>
        <w:tab/>
        <w:t>Здравоохранение</w:t>
      </w:r>
    </w:p>
    <w:p>
      <w:pPr>
        <w:spacing w:lineRule="auto" w:line="360" w:after="0" w:beforeAutospacing="0" w:afterAutospacing="0"/>
        <w:ind w:firstLine="709"/>
        <w:jc w:val="both"/>
        <w:rPr>
          <w:rFonts w:ascii="Times New Roman" w:hAnsi="Times New Roman" w:cs="Times New Roman"/>
          <w:color w:val="FF0000"/>
          <w:sz w:val="28"/>
          <w:szCs w:val="28"/>
        </w:rPr>
      </w:pPr>
      <w:r>
        <w:rPr>
          <w:rFonts w:ascii="Times New Roman" w:hAnsi="Times New Roman" w:cs="Times New Roman"/>
          <w:color w:val="FF0000"/>
          <w:sz w:val="28"/>
          <w:szCs w:val="28"/>
        </w:rPr>
        <w:t>9.</w:t>
        <w:tab/>
        <w:t>Государственное управление</w:t>
      </w:r>
    </w:p>
    <w:p>
      <w:pPr>
        <w:spacing w:lineRule="auto" w:line="360" w:after="0" w:beforeAutospacing="0" w:afterAutospacing="0"/>
        <w:ind w:firstLine="709"/>
        <w:jc w:val="both"/>
        <w:rPr>
          <w:rFonts w:ascii="Times New Roman" w:hAnsi="Times New Roman" w:cs="Times New Roman"/>
          <w:color w:val="FF0000"/>
          <w:sz w:val="28"/>
          <w:szCs w:val="28"/>
        </w:rPr>
      </w:pPr>
      <w:r>
        <w:rPr>
          <w:rFonts w:ascii="Times New Roman" w:hAnsi="Times New Roman" w:cs="Times New Roman"/>
          <w:color w:val="FF0000"/>
          <w:sz w:val="28"/>
          <w:szCs w:val="28"/>
        </w:rPr>
        <w:t>10.</w:t>
        <w:tab/>
        <w:t>Сельское хозяйство.</w:t>
      </w:r>
    </w:p>
    <w:p>
      <w:pPr>
        <w:spacing w:lineRule="auto" w:line="360" w:after="0" w:beforeAutospacing="0" w:afterAutospacing="0"/>
        <w:ind w:firstLine="709"/>
        <w:jc w:val="both"/>
        <w:rPr>
          <w:rFonts w:ascii="Times New Roman" w:hAnsi="Times New Roman" w:cs="Times New Roman"/>
          <w:color w:val="FF0000"/>
          <w:sz w:val="28"/>
          <w:szCs w:val="28"/>
        </w:rPr>
      </w:pPr>
    </w:p>
    <w:p>
      <w:pPr>
        <w:spacing w:lineRule="auto" w:line="360" w:after="0" w:beforeAutospacing="0" w:afterAutospacing="0"/>
        <w:ind w:firstLine="709"/>
        <w:jc w:val="both"/>
        <w:rPr>
          <w:rFonts w:ascii="Times New Roman" w:hAnsi="Times New Roman" w:cs="Times New Roman"/>
          <w:color w:val="FF0000"/>
          <w:sz w:val="28"/>
          <w:szCs w:val="28"/>
        </w:rPr>
      </w:pPr>
      <w:r>
        <w:rPr>
          <w:rFonts w:ascii="Times New Roman" w:hAnsi="Times New Roman" w:cs="Times New Roman"/>
          <w:color w:val="FF0000"/>
          <w:sz w:val="28"/>
          <w:szCs w:val="28"/>
        </w:rPr>
        <w:t>5. Проект PARAE (2025–2030) республики.</w:t>
      </w:r>
    </w:p>
    <w:p>
      <w:pPr>
        <w:spacing w:lineRule="auto" w:line="360" w:after="0" w:beforeAutospacing="0" w:afterAutospacing="0"/>
        <w:ind w:firstLine="709"/>
        <w:jc w:val="both"/>
        <w:rPr>
          <w:rFonts w:ascii="Times New Roman" w:hAnsi="Times New Roman" w:cs="Times New Roman"/>
          <w:color w:val="FF0000"/>
          <w:sz w:val="28"/>
          <w:szCs w:val="28"/>
        </w:rPr>
      </w:pPr>
      <w:r>
        <w:rPr>
          <w:rFonts w:ascii="Times New Roman" w:hAnsi="Times New Roman" w:cs="Times New Roman"/>
          <w:color w:val="FF0000"/>
          <w:sz w:val="28"/>
          <w:szCs w:val="28"/>
        </w:rPr>
        <w:t>Проект поддержки укрепления электронной администрации (Projet d'Appui au Renforcement de l'Administration Électronique, PARAE) — ключевая инициатива для модернизации государственного управления. Официально запущен 13 марта 2025 года премьер-министром Робертом Бегре Мамбе.</w:t>
      </w:r>
    </w:p>
    <w:p>
      <w:pPr>
        <w:spacing w:lineRule="auto" w:line="360" w:after="0" w:beforeAutospacing="0" w:afterAutospacing="0"/>
        <w:ind w:firstLine="709"/>
        <w:jc w:val="both"/>
        <w:rPr>
          <w:rFonts w:ascii="Times New Roman" w:hAnsi="Times New Roman" w:cs="Times New Roman"/>
          <w:color w:val="FF0000"/>
          <w:sz w:val="28"/>
          <w:szCs w:val="28"/>
        </w:rPr>
      </w:pPr>
      <w:r>
        <w:rPr>
          <w:rFonts w:ascii="Times New Roman" w:hAnsi="Times New Roman" w:cs="Times New Roman"/>
          <w:color w:val="FF0000"/>
          <w:sz w:val="28"/>
          <w:szCs w:val="28"/>
        </w:rPr>
        <w:t>Финансирование Проекта PARAE состоит:</w:t>
      </w:r>
    </w:p>
    <w:p>
      <w:pPr>
        <w:spacing w:lineRule="auto" w:line="360" w:after="0" w:beforeAutospacing="0" w:afterAutospacing="0"/>
        <w:ind w:firstLine="709"/>
        <w:jc w:val="both"/>
        <w:rPr>
          <w:rFonts w:ascii="Times New Roman" w:hAnsi="Times New Roman" w:cs="Times New Roman"/>
          <w:color w:val="FF0000"/>
          <w:sz w:val="28"/>
          <w:szCs w:val="28"/>
        </w:rPr>
      </w:pPr>
      <w:r>
        <w:rPr>
          <w:rFonts w:ascii="Times New Roman" w:hAnsi="Times New Roman" w:cs="Times New Roman"/>
          <w:color w:val="FF0000"/>
          <w:sz w:val="28"/>
          <w:szCs w:val="28"/>
        </w:rPr>
        <w:t></w:t>
        <w:tab/>
        <w:t>Общий бюджет: 59,7 миллиарда франков КФА (~80 млн долларов).</w:t>
      </w:r>
    </w:p>
    <w:p>
      <w:pPr>
        <w:spacing w:lineRule="auto" w:line="360" w:after="0" w:beforeAutospacing="0" w:afterAutospacing="0"/>
        <w:ind w:firstLine="709"/>
        <w:jc w:val="both"/>
        <w:rPr>
          <w:rFonts w:ascii="Times New Roman" w:hAnsi="Times New Roman" w:cs="Times New Roman"/>
          <w:color w:val="FF0000"/>
          <w:sz w:val="28"/>
          <w:szCs w:val="28"/>
        </w:rPr>
      </w:pPr>
      <w:r>
        <w:rPr>
          <w:rFonts w:ascii="Times New Roman" w:hAnsi="Times New Roman" w:cs="Times New Roman"/>
          <w:color w:val="FF0000"/>
          <w:sz w:val="28"/>
          <w:szCs w:val="28"/>
        </w:rPr>
        <w:t></w:t>
        <w:tab/>
        <w:t>Из них 49,2 миллиарда — кредит Африканского банка развития (АБР).</w:t>
      </w:r>
    </w:p>
    <w:p>
      <w:pPr>
        <w:spacing w:lineRule="auto" w:line="360" w:after="0" w:beforeAutospacing="0" w:afterAutospacing="0"/>
        <w:ind w:firstLine="709"/>
        <w:jc w:val="both"/>
        <w:rPr>
          <w:rFonts w:ascii="Times New Roman" w:hAnsi="Times New Roman" w:cs="Times New Roman"/>
          <w:color w:val="FF0000"/>
          <w:sz w:val="28"/>
          <w:szCs w:val="28"/>
        </w:rPr>
      </w:pPr>
      <w:r>
        <w:rPr>
          <w:rFonts w:ascii="Times New Roman" w:hAnsi="Times New Roman" w:cs="Times New Roman"/>
          <w:color w:val="FF0000"/>
          <w:sz w:val="28"/>
          <w:szCs w:val="28"/>
        </w:rPr>
        <w:t></w:t>
        <w:tab/>
        <w:t>10,5 миллиарда — вклад правительства Кот-д'Ивуара.</w:t>
      </w:r>
    </w:p>
    <w:p>
      <w:pPr>
        <w:spacing w:lineRule="auto" w:line="360" w:after="0" w:beforeAutospacing="0" w:afterAutospacing="0"/>
        <w:ind w:firstLine="709"/>
        <w:jc w:val="both"/>
        <w:rPr>
          <w:rFonts w:ascii="Times New Roman" w:hAnsi="Times New Roman" w:cs="Times New Roman"/>
          <w:color w:val="FF0000"/>
          <w:sz w:val="28"/>
          <w:szCs w:val="28"/>
        </w:rPr>
      </w:pPr>
      <w:r>
        <w:rPr>
          <w:rFonts w:ascii="Times New Roman" w:hAnsi="Times New Roman" w:cs="Times New Roman"/>
          <w:color w:val="FF0000"/>
          <w:sz w:val="28"/>
          <w:szCs w:val="28"/>
        </w:rPr>
        <w:t>Основные направления:</w:t>
      </w:r>
    </w:p>
    <w:p>
      <w:pPr>
        <w:spacing w:lineRule="auto" w:line="360" w:after="0" w:beforeAutospacing="0" w:afterAutospacing="0"/>
        <w:ind w:firstLine="709"/>
        <w:jc w:val="both"/>
        <w:rPr>
          <w:rFonts w:ascii="Times New Roman" w:hAnsi="Times New Roman" w:cs="Times New Roman"/>
          <w:color w:val="FF0000"/>
          <w:sz w:val="28"/>
          <w:szCs w:val="28"/>
        </w:rPr>
      </w:pPr>
      <w:r>
        <w:rPr>
          <w:rFonts w:ascii="Times New Roman" w:hAnsi="Times New Roman" w:cs="Times New Roman"/>
          <w:color w:val="FF0000"/>
          <w:sz w:val="28"/>
          <w:szCs w:val="28"/>
        </w:rPr>
        <w:t>1.</w:t>
        <w:tab/>
        <w:t>Модернизация государственных услуг через цифровизацию;</w:t>
      </w:r>
    </w:p>
    <w:p>
      <w:pPr>
        <w:spacing w:lineRule="auto" w:line="360" w:after="0" w:beforeAutospacing="0" w:afterAutospacing="0"/>
        <w:ind w:firstLine="709"/>
        <w:jc w:val="both"/>
        <w:rPr>
          <w:rFonts w:ascii="Times New Roman" w:hAnsi="Times New Roman" w:cs="Times New Roman"/>
          <w:color w:val="FF0000"/>
          <w:sz w:val="28"/>
          <w:szCs w:val="28"/>
        </w:rPr>
      </w:pPr>
      <w:r>
        <w:rPr>
          <w:rFonts w:ascii="Times New Roman" w:hAnsi="Times New Roman" w:cs="Times New Roman"/>
          <w:color w:val="FF0000"/>
          <w:sz w:val="28"/>
          <w:szCs w:val="28"/>
        </w:rPr>
        <w:t>2.</w:t>
        <w:tab/>
        <w:t>Улучшение интероперабельности правительственных систем;</w:t>
      </w:r>
    </w:p>
    <w:p>
      <w:pPr>
        <w:spacing w:lineRule="auto" w:line="360" w:after="0" w:beforeAutospacing="0" w:afterAutospacing="0"/>
        <w:ind w:firstLine="709"/>
        <w:jc w:val="both"/>
        <w:rPr>
          <w:rFonts w:ascii="Times New Roman" w:hAnsi="Times New Roman" w:cs="Times New Roman"/>
          <w:color w:val="FF0000"/>
          <w:sz w:val="28"/>
          <w:szCs w:val="28"/>
        </w:rPr>
      </w:pPr>
      <w:r>
        <w:rPr>
          <w:rFonts w:ascii="Times New Roman" w:hAnsi="Times New Roman" w:cs="Times New Roman"/>
          <w:color w:val="FF0000"/>
          <w:sz w:val="28"/>
          <w:szCs w:val="28"/>
        </w:rPr>
        <w:t>3.</w:t>
        <w:tab/>
        <w:t>Укрепление кибербезопасности (создание SOC — Security Operations Centre);</w:t>
      </w:r>
    </w:p>
    <w:p>
      <w:pPr>
        <w:spacing w:lineRule="auto" w:line="360" w:after="0" w:beforeAutospacing="0" w:afterAutospacing="0"/>
        <w:ind w:firstLine="709"/>
        <w:jc w:val="both"/>
        <w:rPr>
          <w:rFonts w:ascii="Times New Roman" w:hAnsi="Times New Roman" w:cs="Times New Roman"/>
          <w:color w:val="FF0000"/>
          <w:sz w:val="28"/>
          <w:szCs w:val="28"/>
        </w:rPr>
      </w:pPr>
      <w:r>
        <w:rPr>
          <w:rFonts w:ascii="Times New Roman" w:hAnsi="Times New Roman" w:cs="Times New Roman"/>
          <w:color w:val="FF0000"/>
          <w:sz w:val="28"/>
          <w:szCs w:val="28"/>
        </w:rPr>
        <w:t>4.</w:t>
        <w:tab/>
        <w:t>Создание экологически чистого правительственного дата-центра;</w:t>
      </w:r>
    </w:p>
    <w:p>
      <w:pPr>
        <w:spacing w:lineRule="auto" w:line="360" w:after="0" w:beforeAutospacing="0" w:afterAutospacing="0"/>
        <w:ind w:firstLine="709"/>
        <w:jc w:val="both"/>
        <w:rPr>
          <w:rFonts w:ascii="Times New Roman" w:hAnsi="Times New Roman" w:cs="Times New Roman"/>
          <w:color w:val="FF0000"/>
          <w:sz w:val="28"/>
          <w:szCs w:val="28"/>
        </w:rPr>
      </w:pPr>
      <w:r>
        <w:rPr>
          <w:rFonts w:ascii="Times New Roman" w:hAnsi="Times New Roman" w:cs="Times New Roman"/>
          <w:color w:val="FF0000"/>
          <w:sz w:val="28"/>
          <w:szCs w:val="28"/>
        </w:rPr>
        <w:t>5.</w:t>
        <w:tab/>
        <w:t>Развертывание Integrated Administration Network (IAN) — интегрированной сети администрации.</w:t>
      </w:r>
    </w:p>
    <w:p>
      <w:pPr>
        <w:spacing w:lineRule="auto" w:line="360" w:after="0" w:beforeAutospacing="0" w:afterAutospacing="0"/>
        <w:ind w:firstLine="709"/>
        <w:jc w:val="both"/>
        <w:rPr>
          <w:rFonts w:ascii="Times New Roman" w:hAnsi="Times New Roman" w:cs="Times New Roman"/>
          <w:color w:val="FF0000"/>
          <w:sz w:val="28"/>
          <w:szCs w:val="28"/>
        </w:rPr>
      </w:pPr>
      <w:r>
        <w:rPr>
          <w:rFonts w:ascii="Times New Roman" w:hAnsi="Times New Roman" w:cs="Times New Roman"/>
          <w:color w:val="FF0000"/>
          <w:sz w:val="28"/>
          <w:szCs w:val="28"/>
        </w:rPr>
        <w:t>Цели Проекта PARAE.</w:t>
      </w:r>
    </w:p>
    <w:p>
      <w:pPr>
        <w:spacing w:lineRule="auto" w:line="360" w:after="0" w:beforeAutospacing="0" w:afterAutospacing="0"/>
        <w:ind w:firstLine="709"/>
        <w:jc w:val="both"/>
        <w:rPr>
          <w:rFonts w:ascii="Times New Roman" w:hAnsi="Times New Roman" w:cs="Times New Roman"/>
          <w:color w:val="FF0000"/>
          <w:sz w:val="28"/>
          <w:szCs w:val="28"/>
        </w:rPr>
      </w:pPr>
      <w:r>
        <w:rPr>
          <w:rFonts w:ascii="Times New Roman" w:hAnsi="Times New Roman" w:cs="Times New Roman"/>
          <w:color w:val="FF0000"/>
          <w:sz w:val="28"/>
          <w:szCs w:val="28"/>
        </w:rPr>
        <w:t>1.</w:t>
        <w:tab/>
        <w:t>Цифровизация основных административных процедур к 2027–2028 годам.</w:t>
      </w:r>
    </w:p>
    <w:p>
      <w:pPr>
        <w:spacing w:lineRule="auto" w:line="360" w:after="0" w:beforeAutospacing="0" w:afterAutospacing="0"/>
        <w:ind w:firstLine="709"/>
        <w:jc w:val="both"/>
        <w:rPr>
          <w:rFonts w:ascii="Times New Roman" w:hAnsi="Times New Roman" w:cs="Times New Roman"/>
          <w:color w:val="FF0000"/>
          <w:sz w:val="28"/>
          <w:szCs w:val="28"/>
        </w:rPr>
      </w:pPr>
      <w:r>
        <w:rPr>
          <w:rFonts w:ascii="Times New Roman" w:hAnsi="Times New Roman" w:cs="Times New Roman"/>
          <w:color w:val="FF0000"/>
          <w:sz w:val="28"/>
          <w:szCs w:val="28"/>
        </w:rPr>
        <w:t>2.</w:t>
        <w:tab/>
        <w:t>Сокращение физических перемещений граждан для получения услуг.</w:t>
      </w:r>
    </w:p>
    <w:p>
      <w:pPr>
        <w:spacing w:lineRule="auto" w:line="360" w:after="0" w:beforeAutospacing="0" w:afterAutospacing="0"/>
        <w:ind w:firstLine="709"/>
        <w:jc w:val="both"/>
        <w:rPr>
          <w:rFonts w:ascii="Times New Roman" w:hAnsi="Times New Roman" w:cs="Times New Roman"/>
          <w:color w:val="FF0000"/>
          <w:sz w:val="28"/>
          <w:szCs w:val="28"/>
        </w:rPr>
      </w:pPr>
      <w:r>
        <w:rPr>
          <w:rFonts w:ascii="Times New Roman" w:hAnsi="Times New Roman" w:cs="Times New Roman"/>
          <w:color w:val="FF0000"/>
          <w:sz w:val="28"/>
          <w:szCs w:val="28"/>
        </w:rPr>
        <w:t>3.</w:t>
        <w:tab/>
        <w:t>Достижение статуса «нулевого использования бумаги» к 2030 году.</w:t>
      </w:r>
    </w:p>
    <w:p>
      <w:pPr>
        <w:spacing w:lineRule="auto" w:line="360" w:after="0" w:beforeAutospacing="0" w:afterAutospacing="0"/>
        <w:ind w:firstLine="709"/>
        <w:jc w:val="both"/>
        <w:rPr>
          <w:rFonts w:ascii="Times New Roman" w:hAnsi="Times New Roman" w:cs="Times New Roman"/>
          <w:color w:val="FF0000"/>
          <w:sz w:val="28"/>
          <w:szCs w:val="28"/>
        </w:rPr>
      </w:pPr>
    </w:p>
    <w:p>
      <w:pPr>
        <w:spacing w:lineRule="auto" w:line="360" w:after="0" w:beforeAutospacing="0" w:afterAutospacing="0"/>
        <w:ind w:firstLine="709"/>
        <w:jc w:val="both"/>
        <w:rPr>
          <w:rFonts w:ascii="Times New Roman" w:hAnsi="Times New Roman" w:cs="Times New Roman"/>
          <w:color w:val="FF0000"/>
          <w:sz w:val="28"/>
          <w:szCs w:val="28"/>
        </w:rPr>
      </w:pPr>
      <w:r>
        <w:rPr>
          <w:rFonts w:ascii="Times New Roman" w:hAnsi="Times New Roman" w:cs="Times New Roman"/>
          <w:color w:val="FF0000"/>
          <w:sz w:val="28"/>
          <w:szCs w:val="28"/>
        </w:rPr>
        <w:t>6. Цифровые платформы и базы данных правительства республики.</w:t>
      </w:r>
    </w:p>
    <w:p>
      <w:pPr>
        <w:spacing w:lineRule="auto" w:line="360" w:after="0" w:beforeAutospacing="0" w:afterAutospacing="0"/>
        <w:ind w:firstLine="709"/>
        <w:jc w:val="both"/>
        <w:rPr>
          <w:rFonts w:ascii="Times New Roman" w:hAnsi="Times New Roman" w:cs="Times New Roman"/>
          <w:color w:val="FF0000"/>
          <w:sz w:val="28"/>
          <w:szCs w:val="28"/>
        </w:rPr>
      </w:pPr>
      <w:r>
        <w:rPr>
          <w:rFonts w:ascii="Times New Roman" w:hAnsi="Times New Roman" w:cs="Times New Roman"/>
          <w:color w:val="FF0000"/>
          <w:sz w:val="28"/>
          <w:szCs w:val="28"/>
        </w:rPr>
        <w:t>Правительство Кот-д'Ивуара к 2025 году развернуло комплексную экосистему цифровых платформ для модернизации государственного управления и услуг.</w:t>
      </w:r>
    </w:p>
    <w:p>
      <w:pPr>
        <w:spacing w:lineRule="auto" w:line="360" w:after="0" w:beforeAutospacing="0" w:afterAutospacing="0"/>
        <w:ind w:firstLine="709"/>
        <w:jc w:val="both"/>
        <w:rPr>
          <w:rFonts w:ascii="Times New Roman" w:hAnsi="Times New Roman" w:cs="Times New Roman"/>
          <w:color w:val="FF0000"/>
          <w:sz w:val="28"/>
          <w:szCs w:val="28"/>
        </w:rPr>
      </w:pPr>
      <w:r>
        <w:rPr>
          <w:rFonts w:ascii="Times New Roman" w:hAnsi="Times New Roman" w:cs="Times New Roman"/>
          <w:color w:val="FF0000"/>
          <w:sz w:val="28"/>
          <w:szCs w:val="28"/>
        </w:rPr>
        <w:t>1. Платформа межведомственной интеграции UXP (2025).</w:t>
      </w:r>
    </w:p>
    <w:p>
      <w:pPr>
        <w:spacing w:lineRule="auto" w:line="360" w:after="0" w:beforeAutospacing="0" w:afterAutospacing="0"/>
        <w:ind w:firstLine="709"/>
        <w:jc w:val="both"/>
        <w:rPr>
          <w:rFonts w:ascii="Times New Roman" w:hAnsi="Times New Roman" w:cs="Times New Roman"/>
          <w:color w:val="FF0000"/>
          <w:sz w:val="28"/>
          <w:szCs w:val="28"/>
        </w:rPr>
      </w:pPr>
      <w:r>
        <w:rPr>
          <w:rFonts w:ascii="Times New Roman" w:hAnsi="Times New Roman" w:cs="Times New Roman"/>
          <w:color w:val="FF0000"/>
          <w:sz w:val="28"/>
          <w:szCs w:val="28"/>
        </w:rPr>
        <w:t>Запущена 25 сентября 2025 года министром цифровой трансформации Ибрагимом Калилем Конате.</w:t>
      </w:r>
    </w:p>
    <w:p>
      <w:pPr>
        <w:spacing w:lineRule="auto" w:line="360" w:after="0" w:beforeAutospacing="0" w:afterAutospacing="0"/>
        <w:ind w:firstLine="709"/>
        <w:jc w:val="both"/>
        <w:rPr>
          <w:rFonts w:ascii="Times New Roman" w:hAnsi="Times New Roman" w:cs="Times New Roman"/>
          <w:color w:val="FF0000"/>
          <w:sz w:val="28"/>
          <w:szCs w:val="28"/>
        </w:rPr>
      </w:pPr>
      <w:r>
        <w:rPr>
          <w:rFonts w:ascii="Times New Roman" w:hAnsi="Times New Roman" w:cs="Times New Roman"/>
          <w:color w:val="FF0000"/>
          <w:sz w:val="28"/>
          <w:szCs w:val="28"/>
        </w:rPr>
        <w:t>Характеристики:</w:t>
      </w:r>
    </w:p>
    <w:p>
      <w:pPr>
        <w:spacing w:lineRule="auto" w:line="360" w:after="0" w:beforeAutospacing="0" w:afterAutospacing="0"/>
        <w:ind w:firstLine="709"/>
        <w:jc w:val="both"/>
        <w:rPr>
          <w:rFonts w:ascii="Times New Roman" w:hAnsi="Times New Roman" w:cs="Times New Roman"/>
          <w:color w:val="FF0000"/>
          <w:sz w:val="28"/>
          <w:szCs w:val="28"/>
        </w:rPr>
      </w:pPr>
      <w:r>
        <w:rPr>
          <w:rFonts w:ascii="Times New Roman" w:hAnsi="Times New Roman" w:cs="Times New Roman"/>
          <w:color w:val="FF0000"/>
          <w:sz w:val="28"/>
          <w:szCs w:val="28"/>
        </w:rPr>
        <w:t>Разработана эстонской компанией Cybernetica (та же технология, что и X-Road в Эстонии).</w:t>
      </w:r>
    </w:p>
    <w:p>
      <w:pPr>
        <w:spacing w:lineRule="auto" w:line="360" w:after="0" w:beforeAutospacing="0" w:afterAutospacing="0"/>
        <w:ind w:firstLine="709"/>
        <w:jc w:val="both"/>
        <w:rPr>
          <w:rFonts w:ascii="Times New Roman" w:hAnsi="Times New Roman" w:cs="Times New Roman"/>
          <w:color w:val="FF0000"/>
          <w:sz w:val="28"/>
          <w:szCs w:val="28"/>
        </w:rPr>
      </w:pPr>
      <w:r>
        <w:rPr>
          <w:rFonts w:ascii="Times New Roman" w:hAnsi="Times New Roman" w:cs="Times New Roman"/>
          <w:color w:val="FF0000"/>
          <w:sz w:val="28"/>
          <w:szCs w:val="28"/>
        </w:rPr>
        <w:t>Обеспечивает безопасный обмен данными в реальном времени между государственными ведомствами.</w:t>
      </w:r>
    </w:p>
    <w:p>
      <w:pPr>
        <w:spacing w:lineRule="auto" w:line="360" w:after="0" w:beforeAutospacing="0" w:afterAutospacing="0"/>
        <w:ind w:firstLine="709"/>
        <w:jc w:val="both"/>
        <w:rPr>
          <w:rFonts w:ascii="Times New Roman" w:hAnsi="Times New Roman" w:cs="Times New Roman"/>
          <w:color w:val="FF0000"/>
          <w:sz w:val="28"/>
          <w:szCs w:val="28"/>
        </w:rPr>
      </w:pPr>
      <w:r>
        <w:rPr>
          <w:rFonts w:ascii="Times New Roman" w:hAnsi="Times New Roman" w:cs="Times New Roman"/>
          <w:color w:val="FF0000"/>
          <w:sz w:val="28"/>
          <w:szCs w:val="28"/>
        </w:rPr>
        <w:t>Открытый исходный код и адаптируемая архитектура.</w:t>
      </w:r>
    </w:p>
    <w:p>
      <w:pPr>
        <w:spacing w:lineRule="auto" w:line="360" w:after="0" w:beforeAutospacing="0" w:afterAutospacing="0"/>
        <w:ind w:firstLine="709"/>
        <w:jc w:val="both"/>
        <w:rPr>
          <w:rFonts w:ascii="Times New Roman" w:hAnsi="Times New Roman" w:cs="Times New Roman"/>
          <w:color w:val="FF0000"/>
          <w:sz w:val="28"/>
          <w:szCs w:val="28"/>
        </w:rPr>
      </w:pPr>
      <w:r>
        <w:rPr>
          <w:rFonts w:ascii="Times New Roman" w:hAnsi="Times New Roman" w:cs="Times New Roman"/>
          <w:color w:val="FF0000"/>
          <w:sz w:val="28"/>
          <w:szCs w:val="28"/>
        </w:rPr>
        <w:t>Итог платформы: Граждане больше не должны предоставлять одни и те же документы разным ведомствам — данные автоматически передаются с согласия пользователя.</w:t>
      </w:r>
    </w:p>
    <w:p>
      <w:pPr>
        <w:spacing w:lineRule="auto" w:line="360" w:after="0" w:beforeAutospacing="0" w:afterAutospacing="0"/>
        <w:ind w:firstLine="709"/>
        <w:jc w:val="both"/>
        <w:rPr>
          <w:rFonts w:ascii="Times New Roman" w:hAnsi="Times New Roman" w:cs="Times New Roman"/>
          <w:color w:val="FF0000"/>
          <w:sz w:val="28"/>
          <w:szCs w:val="28"/>
        </w:rPr>
      </w:pPr>
      <w:r>
        <w:rPr>
          <w:rFonts w:ascii="Times New Roman" w:hAnsi="Times New Roman" w:cs="Times New Roman"/>
          <w:color w:val="FF0000"/>
          <w:sz w:val="28"/>
          <w:szCs w:val="28"/>
        </w:rPr>
        <w:t>Пилотная фаза (2025) охватывает 12 государственных учреждений:</w:t>
      </w:r>
    </w:p>
    <w:p>
      <w:pPr>
        <w:spacing w:lineRule="auto" w:line="360" w:after="0" w:beforeAutospacing="0" w:afterAutospacing="0"/>
        <w:ind w:firstLine="709"/>
        <w:jc w:val="both"/>
        <w:rPr>
          <w:rFonts w:ascii="Times New Roman" w:hAnsi="Times New Roman" w:cs="Times New Roman"/>
          <w:color w:val="FF0000"/>
          <w:sz w:val="28"/>
          <w:szCs w:val="28"/>
        </w:rPr>
      </w:pPr>
      <w:r>
        <w:rPr>
          <w:rFonts w:ascii="Times New Roman" w:hAnsi="Times New Roman" w:cs="Times New Roman"/>
          <w:color w:val="FF0000"/>
          <w:sz w:val="28"/>
          <w:szCs w:val="28"/>
        </w:rPr>
        <w:t>1.</w:t>
        <w:tab/>
        <w:t>Главное налоговое управление (DGI);</w:t>
      </w:r>
    </w:p>
    <w:p>
      <w:pPr>
        <w:spacing w:lineRule="auto" w:line="360" w:after="0" w:beforeAutospacing="0" w:afterAutospacing="0"/>
        <w:ind w:firstLine="709"/>
        <w:jc w:val="both"/>
        <w:rPr>
          <w:rFonts w:ascii="Times New Roman" w:hAnsi="Times New Roman" w:cs="Times New Roman"/>
          <w:color w:val="FF0000"/>
          <w:sz w:val="28"/>
          <w:szCs w:val="28"/>
        </w:rPr>
      </w:pPr>
      <w:r>
        <w:rPr>
          <w:rFonts w:ascii="Times New Roman" w:hAnsi="Times New Roman" w:cs="Times New Roman"/>
          <w:color w:val="FF0000"/>
          <w:sz w:val="28"/>
          <w:szCs w:val="28"/>
        </w:rPr>
        <w:t>2.</w:t>
        <w:tab/>
        <w:t>Национальное управление гражданского состояния и идентификации (ONECI);</w:t>
      </w:r>
    </w:p>
    <w:p>
      <w:pPr>
        <w:spacing w:lineRule="auto" w:line="360" w:after="0" w:beforeAutospacing="0" w:afterAutospacing="0"/>
        <w:ind w:firstLine="709"/>
        <w:jc w:val="both"/>
        <w:rPr>
          <w:rFonts w:ascii="Times New Roman" w:hAnsi="Times New Roman" w:cs="Times New Roman"/>
          <w:color w:val="FF0000"/>
          <w:sz w:val="28"/>
          <w:szCs w:val="28"/>
        </w:rPr>
      </w:pPr>
      <w:r>
        <w:rPr>
          <w:rFonts w:ascii="Times New Roman" w:hAnsi="Times New Roman" w:cs="Times New Roman"/>
          <w:color w:val="FF0000"/>
          <w:sz w:val="28"/>
          <w:szCs w:val="28"/>
        </w:rPr>
        <w:t>3.</w:t>
        <w:tab/>
        <w:t>Национальная касса социального обеспечения (CNPS);</w:t>
      </w:r>
    </w:p>
    <w:p>
      <w:pPr>
        <w:spacing w:lineRule="auto" w:line="360" w:after="0" w:beforeAutospacing="0" w:afterAutospacing="0"/>
        <w:ind w:firstLine="709"/>
        <w:jc w:val="both"/>
        <w:rPr>
          <w:rFonts w:ascii="Times New Roman" w:hAnsi="Times New Roman" w:cs="Times New Roman"/>
          <w:color w:val="FF0000"/>
          <w:sz w:val="28"/>
          <w:szCs w:val="28"/>
        </w:rPr>
      </w:pPr>
      <w:r>
        <w:rPr>
          <w:rFonts w:ascii="Times New Roman" w:hAnsi="Times New Roman" w:cs="Times New Roman"/>
          <w:color w:val="FF0000"/>
          <w:sz w:val="28"/>
          <w:szCs w:val="28"/>
        </w:rPr>
        <w:t>4.</w:t>
        <w:tab/>
        <w:t>Национальная касса медицинского страхования (CNAM);</w:t>
      </w:r>
    </w:p>
    <w:p>
      <w:pPr>
        <w:spacing w:lineRule="auto" w:line="360" w:after="0" w:beforeAutospacing="0" w:afterAutospacing="0"/>
        <w:ind w:firstLine="709"/>
        <w:jc w:val="both"/>
        <w:rPr>
          <w:rFonts w:ascii="Times New Roman" w:hAnsi="Times New Roman" w:cs="Times New Roman"/>
          <w:color w:val="FF0000"/>
          <w:sz w:val="28"/>
          <w:szCs w:val="28"/>
        </w:rPr>
      </w:pPr>
      <w:r>
        <w:rPr>
          <w:rFonts w:ascii="Times New Roman" w:hAnsi="Times New Roman" w:cs="Times New Roman"/>
          <w:color w:val="FF0000"/>
          <w:sz w:val="28"/>
          <w:szCs w:val="28"/>
        </w:rPr>
        <w:t>5.</w:t>
        <w:tab/>
        <w:t>Общая пенсионная касса государственных служащих (CGRAE);</w:t>
      </w:r>
    </w:p>
    <w:p>
      <w:pPr>
        <w:spacing w:lineRule="auto" w:line="360" w:after="0" w:beforeAutospacing="0" w:afterAutospacing="0"/>
        <w:ind w:firstLine="709"/>
        <w:jc w:val="both"/>
        <w:rPr>
          <w:rFonts w:ascii="Times New Roman" w:hAnsi="Times New Roman" w:cs="Times New Roman"/>
          <w:color w:val="FF0000"/>
          <w:sz w:val="28"/>
          <w:szCs w:val="28"/>
        </w:rPr>
      </w:pPr>
      <w:r>
        <w:rPr>
          <w:rFonts w:ascii="Times New Roman" w:hAnsi="Times New Roman" w:cs="Times New Roman"/>
          <w:color w:val="FF0000"/>
          <w:sz w:val="28"/>
          <w:szCs w:val="28"/>
        </w:rPr>
        <w:t>6.</w:t>
        <w:tab/>
        <w:t>Центр содействия инвестициям (CEPICI);</w:t>
      </w:r>
    </w:p>
    <w:p>
      <w:pPr>
        <w:spacing w:lineRule="auto" w:line="360" w:after="0" w:beforeAutospacing="0" w:afterAutospacing="0"/>
        <w:ind w:firstLine="709"/>
        <w:jc w:val="both"/>
        <w:rPr>
          <w:rFonts w:ascii="Times New Roman" w:hAnsi="Times New Roman" w:cs="Times New Roman"/>
          <w:color w:val="FF0000"/>
          <w:sz w:val="28"/>
          <w:szCs w:val="28"/>
        </w:rPr>
      </w:pPr>
      <w:r>
        <w:rPr>
          <w:rFonts w:ascii="Times New Roman" w:hAnsi="Times New Roman" w:cs="Times New Roman"/>
          <w:color w:val="FF0000"/>
          <w:sz w:val="28"/>
          <w:szCs w:val="28"/>
        </w:rPr>
        <w:t>7.</w:t>
        <w:tab/>
        <w:t>Торговый суд Абиджана;</w:t>
      </w:r>
    </w:p>
    <w:p>
      <w:pPr>
        <w:spacing w:lineRule="auto" w:line="360" w:after="0" w:beforeAutospacing="0" w:afterAutospacing="0"/>
        <w:ind w:firstLine="709"/>
        <w:jc w:val="both"/>
        <w:rPr>
          <w:rFonts w:ascii="Times New Roman" w:hAnsi="Times New Roman" w:cs="Times New Roman"/>
          <w:color w:val="FF0000"/>
          <w:sz w:val="28"/>
          <w:szCs w:val="28"/>
        </w:rPr>
      </w:pPr>
      <w:r>
        <w:rPr>
          <w:rFonts w:ascii="Times New Roman" w:hAnsi="Times New Roman" w:cs="Times New Roman"/>
          <w:color w:val="FF0000"/>
          <w:sz w:val="28"/>
          <w:szCs w:val="28"/>
        </w:rPr>
        <w:t>8.</w:t>
        <w:tab/>
        <w:t>Почта Кот-д'Ивуара;</w:t>
      </w:r>
    </w:p>
    <w:p>
      <w:pPr>
        <w:spacing w:lineRule="auto" w:line="360" w:after="0" w:beforeAutospacing="0" w:afterAutospacing="0"/>
        <w:ind w:firstLine="709"/>
        <w:jc w:val="both"/>
        <w:rPr>
          <w:rFonts w:ascii="Times New Roman" w:hAnsi="Times New Roman" w:cs="Times New Roman"/>
          <w:color w:val="FF0000"/>
          <w:sz w:val="28"/>
          <w:szCs w:val="28"/>
        </w:rPr>
      </w:pPr>
      <w:r>
        <w:rPr>
          <w:rFonts w:ascii="Times New Roman" w:hAnsi="Times New Roman" w:cs="Times New Roman"/>
          <w:color w:val="FF0000"/>
          <w:sz w:val="28"/>
          <w:szCs w:val="28"/>
        </w:rPr>
        <w:t>9.</w:t>
        <w:tab/>
        <w:t>Министерства и другие агентства республики.</w:t>
      </w:r>
    </w:p>
    <w:p>
      <w:pPr>
        <w:spacing w:lineRule="auto" w:line="360" w:after="0" w:beforeAutospacing="0" w:afterAutospacing="0"/>
        <w:ind w:firstLine="709"/>
        <w:jc w:val="both"/>
        <w:rPr>
          <w:rFonts w:ascii="Times New Roman" w:hAnsi="Times New Roman" w:cs="Times New Roman"/>
          <w:color w:val="FF0000"/>
          <w:sz w:val="28"/>
          <w:szCs w:val="28"/>
        </w:rPr>
      </w:pPr>
      <w:r>
        <w:rPr>
          <w:rFonts w:ascii="Times New Roman" w:hAnsi="Times New Roman" w:cs="Times New Roman"/>
          <w:color w:val="FF0000"/>
          <w:sz w:val="28"/>
          <w:szCs w:val="28"/>
        </w:rPr>
        <w:t>Цель: к 2027 году расширить интеграцию на всю центральную и местную администрацию.</w:t>
      </w:r>
    </w:p>
    <w:p>
      <w:pPr>
        <w:spacing w:lineRule="auto" w:line="360" w:after="0" w:beforeAutospacing="0" w:afterAutospacing="0"/>
        <w:ind w:firstLine="709"/>
        <w:jc w:val="both"/>
        <w:rPr>
          <w:rFonts w:ascii="Times New Roman" w:hAnsi="Times New Roman" w:cs="Times New Roman"/>
          <w:color w:val="FF0000"/>
          <w:sz w:val="28"/>
          <w:szCs w:val="28"/>
        </w:rPr>
      </w:pPr>
    </w:p>
    <w:p>
      <w:pPr>
        <w:spacing w:lineRule="auto" w:line="360" w:after="0" w:beforeAutospacing="0" w:afterAutospacing="0"/>
        <w:ind w:firstLine="709"/>
        <w:jc w:val="both"/>
        <w:rPr>
          <w:rFonts w:ascii="Times New Roman" w:hAnsi="Times New Roman" w:cs="Times New Roman"/>
          <w:color w:val="FF0000"/>
          <w:sz w:val="28"/>
          <w:szCs w:val="28"/>
        </w:rPr>
      </w:pPr>
      <w:r>
        <w:rPr>
          <w:rFonts w:ascii="Times New Roman" w:hAnsi="Times New Roman" w:cs="Times New Roman"/>
          <w:color w:val="FF0000"/>
          <w:sz w:val="28"/>
          <w:szCs w:val="28"/>
        </w:rPr>
        <w:t>7. Платежные системы республики TrésorPay и TrésorMoney.</w:t>
      </w:r>
    </w:p>
    <w:p>
      <w:pPr>
        <w:spacing w:lineRule="auto" w:line="360" w:after="0" w:beforeAutospacing="0" w:afterAutospacing="0"/>
        <w:ind w:firstLine="709"/>
        <w:jc w:val="both"/>
        <w:rPr>
          <w:rFonts w:ascii="Times New Roman" w:hAnsi="Times New Roman" w:cs="Times New Roman"/>
          <w:color w:val="FF0000"/>
          <w:sz w:val="28"/>
          <w:szCs w:val="28"/>
        </w:rPr>
      </w:pPr>
      <w:r>
        <w:rPr>
          <w:rFonts w:ascii="Times New Roman" w:hAnsi="Times New Roman" w:cs="Times New Roman"/>
          <w:color w:val="FF0000"/>
          <w:sz w:val="28"/>
          <w:szCs w:val="28"/>
        </w:rPr>
        <w:t>Электронные платежные платформы Казначейства, разработанные ивуарийским предпринимателем Клочо Секонго.</w:t>
      </w:r>
    </w:p>
    <w:p>
      <w:pPr>
        <w:spacing w:lineRule="auto" w:line="360" w:after="0" w:beforeAutospacing="0" w:afterAutospacing="0"/>
        <w:ind w:firstLine="709"/>
        <w:jc w:val="both"/>
        <w:rPr>
          <w:rFonts w:ascii="Times New Roman" w:hAnsi="Times New Roman" w:cs="Times New Roman"/>
          <w:color w:val="FF0000"/>
          <w:sz w:val="28"/>
          <w:szCs w:val="28"/>
          <w:lang w:val="fr-FR"/>
        </w:rPr>
      </w:pPr>
      <w:r>
        <w:rPr>
          <w:rFonts w:ascii="Times New Roman" w:hAnsi="Times New Roman" w:cs="Times New Roman"/>
          <w:color w:val="FF0000"/>
          <w:sz w:val="28"/>
          <w:szCs w:val="28"/>
          <w:lang w:val="fr-FR"/>
        </w:rPr>
        <w:t>TrésorPay (https://paytresor.gouv.ci):</w:t>
      </w:r>
    </w:p>
    <w:p>
      <w:pPr>
        <w:spacing w:lineRule="auto" w:line="360" w:after="0" w:beforeAutospacing="0" w:afterAutospacing="0"/>
        <w:ind w:firstLine="709"/>
        <w:jc w:val="both"/>
        <w:rPr>
          <w:rFonts w:ascii="Times New Roman" w:hAnsi="Times New Roman" w:cs="Times New Roman"/>
          <w:color w:val="FF0000"/>
          <w:sz w:val="28"/>
          <w:szCs w:val="28"/>
        </w:rPr>
      </w:pPr>
      <w:r>
        <w:rPr>
          <w:rFonts w:ascii="Times New Roman" w:hAnsi="Times New Roman" w:cs="Times New Roman"/>
          <w:color w:val="FF0000"/>
          <w:sz w:val="28"/>
          <w:szCs w:val="28"/>
        </w:rPr>
        <w:t></w:t>
        <w:tab/>
        <w:t>Единая платформа для электронных платежей государственных услуг.</w:t>
      </w:r>
    </w:p>
    <w:p>
      <w:pPr>
        <w:spacing w:lineRule="auto" w:line="360" w:after="0" w:beforeAutospacing="0" w:afterAutospacing="0"/>
        <w:ind w:firstLine="709"/>
        <w:jc w:val="both"/>
        <w:rPr>
          <w:rFonts w:ascii="Times New Roman" w:hAnsi="Times New Roman" w:cs="Times New Roman"/>
          <w:color w:val="FF0000"/>
          <w:sz w:val="28"/>
          <w:szCs w:val="28"/>
        </w:rPr>
      </w:pPr>
      <w:r>
        <w:rPr>
          <w:rFonts w:ascii="Times New Roman" w:hAnsi="Times New Roman" w:cs="Times New Roman"/>
          <w:color w:val="FF0000"/>
          <w:sz w:val="28"/>
          <w:szCs w:val="28"/>
        </w:rPr>
        <w:t></w:t>
        <w:tab/>
        <w:t>Позволяет оплачивать: налоги, штрафы, медицинские услуги, регистрационные сборы на экзамены и конкурсы, судебные акты.</w:t>
      </w:r>
    </w:p>
    <w:p>
      <w:pPr>
        <w:spacing w:lineRule="auto" w:line="360" w:after="0" w:beforeAutospacing="0" w:afterAutospacing="0"/>
        <w:ind w:firstLine="709"/>
        <w:jc w:val="both"/>
        <w:rPr>
          <w:rFonts w:ascii="Times New Roman" w:hAnsi="Times New Roman" w:cs="Times New Roman"/>
          <w:color w:val="FF0000"/>
          <w:sz w:val="28"/>
          <w:szCs w:val="28"/>
        </w:rPr>
      </w:pPr>
      <w:r>
        <w:rPr>
          <w:rFonts w:ascii="Times New Roman" w:hAnsi="Times New Roman" w:cs="Times New Roman"/>
          <w:color w:val="FF0000"/>
          <w:sz w:val="28"/>
          <w:szCs w:val="28"/>
        </w:rPr>
        <w:t>TrésorMoney:</w:t>
      </w:r>
    </w:p>
    <w:p>
      <w:pPr>
        <w:spacing w:lineRule="auto" w:line="360" w:after="0" w:beforeAutospacing="0" w:afterAutospacing="0"/>
        <w:ind w:firstLine="709"/>
        <w:jc w:val="both"/>
        <w:rPr>
          <w:rFonts w:ascii="Times New Roman" w:hAnsi="Times New Roman" w:cs="Times New Roman"/>
          <w:color w:val="FF0000"/>
          <w:sz w:val="28"/>
          <w:szCs w:val="28"/>
        </w:rPr>
      </w:pPr>
      <w:r>
        <w:rPr>
          <w:rFonts w:ascii="Times New Roman" w:hAnsi="Times New Roman" w:cs="Times New Roman"/>
          <w:color w:val="FF0000"/>
          <w:sz w:val="28"/>
          <w:szCs w:val="28"/>
        </w:rPr>
        <w:t></w:t>
        <w:tab/>
        <w:t>Электронный кошелек Казначейства, доступный в App Store и Google Play;</w:t>
      </w:r>
    </w:p>
    <w:p>
      <w:pPr>
        <w:spacing w:lineRule="auto" w:line="360" w:after="0" w:beforeAutospacing="0" w:afterAutospacing="0"/>
        <w:ind w:firstLine="709"/>
        <w:jc w:val="both"/>
        <w:rPr>
          <w:rFonts w:ascii="Times New Roman" w:hAnsi="Times New Roman" w:cs="Times New Roman"/>
          <w:color w:val="FF0000"/>
          <w:sz w:val="28"/>
          <w:szCs w:val="28"/>
        </w:rPr>
      </w:pPr>
      <w:r>
        <w:rPr>
          <w:rFonts w:ascii="Times New Roman" w:hAnsi="Times New Roman" w:cs="Times New Roman"/>
          <w:color w:val="FF0000"/>
          <w:sz w:val="28"/>
          <w:szCs w:val="28"/>
        </w:rPr>
        <w:t></w:t>
        <w:tab/>
        <w:t>Выполняет все операции мобильных денег: пополнение, снятие, переводы.</w:t>
      </w:r>
    </w:p>
    <w:p>
      <w:pPr>
        <w:spacing w:lineRule="auto" w:line="360" w:after="0" w:beforeAutospacing="0" w:afterAutospacing="0"/>
        <w:ind w:firstLine="709"/>
        <w:jc w:val="both"/>
        <w:rPr>
          <w:rFonts w:ascii="Times New Roman" w:hAnsi="Times New Roman" w:cs="Times New Roman"/>
          <w:color w:val="FF0000"/>
          <w:sz w:val="28"/>
          <w:szCs w:val="28"/>
        </w:rPr>
      </w:pPr>
      <w:r>
        <w:rPr>
          <w:rFonts w:ascii="Times New Roman" w:hAnsi="Times New Roman" w:cs="Times New Roman"/>
          <w:color w:val="FF0000"/>
          <w:sz w:val="28"/>
          <w:szCs w:val="28"/>
        </w:rPr>
        <w:t>Платформа E-impôt (с 2017 года). Портал электронного налогообложения Главного налогового управления (DGI) республики. Запущена в январе 2017 года. Позволяет налогоплательщикам республики подавать декларации и производить платежи онлайн без посещения налоговых офисов.</w:t>
      </w:r>
    </w:p>
    <w:p>
      <w:pPr>
        <w:spacing w:lineRule="auto" w:line="360" w:after="0" w:beforeAutospacing="0" w:afterAutospacing="0"/>
        <w:ind w:firstLine="709"/>
        <w:jc w:val="both"/>
        <w:rPr>
          <w:rFonts w:ascii="Times New Roman" w:hAnsi="Times New Roman" w:cs="Times New Roman"/>
          <w:color w:val="FF0000"/>
          <w:sz w:val="28"/>
          <w:szCs w:val="28"/>
        </w:rPr>
      </w:pPr>
      <w:r>
        <w:rPr>
          <w:rFonts w:ascii="Times New Roman" w:hAnsi="Times New Roman" w:cs="Times New Roman"/>
          <w:color w:val="FF0000"/>
          <w:sz w:val="28"/>
          <w:szCs w:val="28"/>
        </w:rPr>
        <w:t>Платворма E-TribCom. Платформа электронного судопроизводства для Торгового суда Абиджана. Электронная обработка юридических актов и упрощение выдачи Торгового реестра и Реестра движимого кредита. Основана на современных технологиях и стандартах безопасности. Пилотный проект в Торговом суде Абиджана (TCA).</w:t>
      </w:r>
    </w:p>
    <w:p>
      <w:pPr>
        <w:spacing w:lineRule="auto" w:line="360" w:after="0" w:beforeAutospacing="0" w:afterAutospacing="0"/>
        <w:ind w:firstLine="709"/>
        <w:jc w:val="both"/>
        <w:rPr>
          <w:rFonts w:ascii="Times New Roman" w:hAnsi="Times New Roman" w:cs="Times New Roman"/>
          <w:color w:val="FF0000"/>
          <w:sz w:val="28"/>
          <w:szCs w:val="28"/>
        </w:rPr>
      </w:pPr>
    </w:p>
    <w:p>
      <w:pPr>
        <w:spacing w:lineRule="auto" w:line="360" w:after="0" w:beforeAutospacing="0" w:afterAutospacing="0"/>
        <w:ind w:firstLine="709"/>
        <w:jc w:val="both"/>
        <w:rPr>
          <w:rFonts w:ascii="Times New Roman" w:hAnsi="Times New Roman" w:cs="Times New Roman"/>
          <w:color w:val="FF0000"/>
          <w:sz w:val="28"/>
          <w:szCs w:val="28"/>
        </w:rPr>
      </w:pPr>
      <w:r>
        <w:rPr>
          <w:rFonts w:ascii="Times New Roman" w:hAnsi="Times New Roman" w:cs="Times New Roman"/>
          <w:color w:val="FF0000"/>
          <w:sz w:val="28"/>
          <w:szCs w:val="28"/>
        </w:rPr>
        <w:t>Платформа DOB-CONNECT республики. Система электронного мониторинга успеваемости учащихся. Отслеживание результатов учащихся и борьба со школьной неуспеваемостью. Передана Министерству образования в июне 2024 года в рамках проекта PAGDS.</w:t>
      </w:r>
    </w:p>
    <w:p>
      <w:pPr>
        <w:spacing w:lineRule="auto" w:line="360" w:after="0" w:beforeAutospacing="0" w:afterAutospacing="0"/>
        <w:ind w:firstLine="709"/>
        <w:jc w:val="both"/>
        <w:rPr>
          <w:rFonts w:ascii="Times New Roman" w:hAnsi="Times New Roman" w:cs="Times New Roman"/>
          <w:color w:val="FF0000"/>
          <w:sz w:val="28"/>
          <w:szCs w:val="28"/>
        </w:rPr>
      </w:pPr>
    </w:p>
    <w:p>
      <w:pPr>
        <w:spacing w:lineRule="auto" w:line="360" w:after="0" w:beforeAutospacing="0" w:afterAutospacing="0"/>
        <w:ind w:firstLine="709"/>
        <w:jc w:val="both"/>
        <w:rPr>
          <w:rFonts w:ascii="Times New Roman" w:hAnsi="Times New Roman" w:cs="Times New Roman"/>
          <w:color w:val="FF0000"/>
          <w:sz w:val="28"/>
          <w:szCs w:val="28"/>
        </w:rPr>
      </w:pPr>
      <w:r>
        <w:rPr>
          <w:rFonts w:ascii="Times New Roman" w:hAnsi="Times New Roman" w:cs="Times New Roman"/>
          <w:color w:val="FF0000"/>
          <w:sz w:val="28"/>
          <w:szCs w:val="28"/>
        </w:rPr>
        <w:t>Платформа</w:t>
      </w:r>
      <w:r>
        <w:rPr>
          <w:rFonts w:ascii="Times New Roman" w:hAnsi="Times New Roman" w:cs="Times New Roman"/>
          <w:color w:val="FF0000"/>
          <w:sz w:val="28"/>
          <w:szCs w:val="28"/>
          <w:lang w:val="fr-FR"/>
        </w:rPr>
        <w:t xml:space="preserve"> SIH (Système d'Information Hospitalier). </w:t>
      </w:r>
      <w:r>
        <w:rPr>
          <w:rFonts w:ascii="Times New Roman" w:hAnsi="Times New Roman" w:cs="Times New Roman"/>
          <w:color w:val="FF0000"/>
          <w:sz w:val="28"/>
          <w:szCs w:val="28"/>
        </w:rPr>
        <w:t>Больничная информационная система республики. Цифровизация маршрута пациента в больницах. Электронная оплата медицинских актов. Улучшение управления медицинскими учреждениями. Передана Министерству здравоохранения в июне 2024 года.</w:t>
      </w:r>
    </w:p>
    <w:p>
      <w:pPr>
        <w:spacing w:lineRule="auto" w:line="360" w:after="0" w:beforeAutospacing="0" w:afterAutospacing="0"/>
        <w:ind w:firstLine="709"/>
        <w:jc w:val="both"/>
        <w:rPr>
          <w:rFonts w:ascii="Times New Roman" w:hAnsi="Times New Roman" w:cs="Times New Roman"/>
          <w:color w:val="FF0000"/>
          <w:sz w:val="28"/>
          <w:szCs w:val="28"/>
        </w:rPr>
      </w:pPr>
    </w:p>
    <w:p>
      <w:pPr>
        <w:spacing w:lineRule="auto" w:line="360" w:after="0" w:beforeAutospacing="0" w:afterAutospacing="0"/>
        <w:ind w:firstLine="709"/>
        <w:jc w:val="both"/>
        <w:rPr>
          <w:rFonts w:ascii="Times New Roman" w:hAnsi="Times New Roman" w:cs="Times New Roman"/>
          <w:color w:val="FF0000"/>
          <w:sz w:val="28"/>
          <w:szCs w:val="28"/>
        </w:rPr>
      </w:pPr>
      <w:r>
        <w:rPr>
          <w:rFonts w:ascii="Times New Roman" w:hAnsi="Times New Roman" w:cs="Times New Roman"/>
          <w:color w:val="FF0000"/>
          <w:sz w:val="28"/>
          <w:szCs w:val="28"/>
        </w:rPr>
        <w:t>Платформа CI Identité (ONECI) республики. Мобильное приложение для цифровой идентификации, разработанное Национальным управлением гражданского состояния и идентификации (ONECI). Доступно в Google Play и App Store. Упрощает доступ к государственным услугам и административным процедурам. Последнее обновление: 16 августа 2025 года. Более 100 000 загрузок.</w:t>
      </w:r>
    </w:p>
    <w:p>
      <w:pPr>
        <w:spacing w:lineRule="auto" w:line="360" w:after="0" w:beforeAutospacing="0" w:afterAutospacing="0"/>
        <w:ind w:firstLine="709"/>
        <w:jc w:val="both"/>
        <w:rPr>
          <w:rFonts w:ascii="Times New Roman" w:hAnsi="Times New Roman" w:cs="Times New Roman"/>
          <w:color w:val="FF0000"/>
          <w:sz w:val="28"/>
          <w:szCs w:val="28"/>
        </w:rPr>
      </w:pPr>
      <w:r>
        <w:rPr>
          <w:rFonts w:ascii="Times New Roman" w:hAnsi="Times New Roman" w:cs="Times New Roman"/>
          <w:color w:val="FF0000"/>
          <w:sz w:val="28"/>
          <w:szCs w:val="28"/>
        </w:rPr>
        <w:t>Платформа содержит - Биометрическую регистрацию. ONECI развернуло мобильные регистрационные центры на автобусах, в церквях и зарубежных миссиях для массовой биометрической регистрации населения.</w:t>
      </w:r>
    </w:p>
    <w:p>
      <w:pPr>
        <w:spacing w:lineRule="auto" w:line="360" w:after="0" w:beforeAutospacing="0" w:afterAutospacing="0"/>
        <w:ind w:firstLine="709"/>
        <w:jc w:val="both"/>
        <w:rPr>
          <w:rFonts w:ascii="Times New Roman" w:hAnsi="Times New Roman" w:cs="Times New Roman"/>
          <w:color w:val="FF0000"/>
          <w:sz w:val="28"/>
          <w:szCs w:val="28"/>
        </w:rPr>
      </w:pPr>
    </w:p>
    <w:p>
      <w:pPr>
        <w:spacing w:lineRule="auto" w:line="360" w:after="0" w:beforeAutospacing="0" w:afterAutospacing="0"/>
        <w:ind w:firstLine="709"/>
        <w:jc w:val="both"/>
        <w:rPr>
          <w:rFonts w:ascii="Times New Roman" w:hAnsi="Times New Roman" w:cs="Times New Roman"/>
          <w:color w:val="FF0000"/>
          <w:sz w:val="28"/>
          <w:szCs w:val="28"/>
        </w:rPr>
      </w:pPr>
      <w:r>
        <w:rPr>
          <w:rFonts w:ascii="Times New Roman" w:hAnsi="Times New Roman" w:cs="Times New Roman"/>
          <w:color w:val="FF0000"/>
          <w:sz w:val="28"/>
          <w:szCs w:val="28"/>
        </w:rPr>
        <w:t>Платформа E-CNPS республики. Электронная платформа Национальной кассы социального обеспечения (CNPS). Позволяет работникам создавать личные счета онлайн. Экономия времени: все процедуры можно выполнить без посещения агентства CNPS. Доступ ко всем услугам социального обеспечения в цифровом формате.</w:t>
      </w:r>
    </w:p>
    <w:p>
      <w:pPr>
        <w:spacing w:lineRule="auto" w:line="360" w:after="0" w:beforeAutospacing="0" w:afterAutospacing="0"/>
        <w:ind w:firstLine="709"/>
        <w:jc w:val="both"/>
        <w:rPr>
          <w:rFonts w:ascii="Times New Roman" w:hAnsi="Times New Roman" w:cs="Times New Roman"/>
          <w:color w:val="FF0000"/>
          <w:sz w:val="28"/>
          <w:szCs w:val="28"/>
        </w:rPr>
      </w:pPr>
      <w:r>
        <w:rPr>
          <w:rFonts w:ascii="Times New Roman" w:hAnsi="Times New Roman" w:cs="Times New Roman"/>
          <w:color w:val="FF0000"/>
          <w:sz w:val="28"/>
          <w:szCs w:val="28"/>
        </w:rPr>
        <w:t xml:space="preserve">Республика Кот-д'Ивуар демонстрирует амбициозную программу цифровой трансформации, опираясь на Национальную стратегию развития цифровых технологий на 2021–2025 годы (SNNCI) с инвестициями в размере 3,3 миллиарда долларов США. </w:t>
      </w:r>
    </w:p>
    <w:p>
      <w:pPr>
        <w:spacing w:lineRule="auto" w:line="360" w:after="0" w:beforeAutospacing="0" w:afterAutospacing="0"/>
        <w:ind w:firstLine="709"/>
        <w:jc w:val="both"/>
        <w:rPr>
          <w:rFonts w:ascii="Times New Roman" w:hAnsi="Times New Roman" w:cs="Times New Roman"/>
          <w:color w:val="FF0000"/>
          <w:sz w:val="28"/>
          <w:szCs w:val="28"/>
        </w:rPr>
      </w:pPr>
      <w:r>
        <w:rPr>
          <w:rFonts w:ascii="Times New Roman" w:hAnsi="Times New Roman" w:cs="Times New Roman"/>
          <w:color w:val="FF0000"/>
          <w:sz w:val="28"/>
          <w:szCs w:val="28"/>
        </w:rPr>
        <w:t>Правительство ставит целью превратить страну в региональный цифровой «хаб» Западной Африки и достичь статуса «нулевого использования бумаги» к 2030 году.</w:t>
      </w:r>
    </w:p>
    <w:p>
      <w:pPr>
        <w:spacing w:lineRule="auto" w:line="360" w:after="0" w:beforeAutospacing="0" w:afterAutospacing="0"/>
        <w:ind w:firstLine="709"/>
        <w:jc w:val="both"/>
        <w:rPr>
          <w:rFonts w:ascii="Times New Roman" w:hAnsi="Times New Roman" w:cs="Times New Roman"/>
          <w:color w:val="FF0000"/>
          <w:sz w:val="28"/>
          <w:szCs w:val="28"/>
        </w:rPr>
      </w:pPr>
    </w:p>
    <w:p>
      <w:pPr>
        <w:spacing w:lineRule="auto" w:line="360" w:after="0" w:beforeAutospacing="0" w:afterAutospacing="0"/>
        <w:ind w:firstLine="709"/>
        <w:jc w:val="both"/>
        <w:rPr>
          <w:rFonts w:ascii="Times New Roman" w:hAnsi="Times New Roman" w:cs="Times New Roman"/>
          <w:color w:val="FF0000"/>
          <w:sz w:val="28"/>
          <w:szCs w:val="28"/>
        </w:rPr>
      </w:pPr>
    </w:p>
    <w:p>
      <w:pPr>
        <w:spacing w:lineRule="auto" w:line="360" w:after="0" w:beforeAutospacing="0" w:afterAutospacing="0"/>
        <w:ind w:firstLine="709"/>
        <w:jc w:val="both"/>
        <w:rPr>
          <w:rFonts w:ascii="Times New Roman" w:hAnsi="Times New Roman" w:cs="Times New Roman"/>
          <w:b w:val="1"/>
          <w:sz w:val="28"/>
          <w:szCs w:val="28"/>
        </w:rPr>
      </w:pPr>
      <w:r>
        <w:rPr>
          <w:rFonts w:ascii="Times New Roman" w:hAnsi="Times New Roman" w:cs="Times New Roman"/>
          <w:b w:val="1"/>
          <w:bCs w:val="1"/>
          <w:sz w:val="28"/>
          <w:szCs w:val="28"/>
        </w:rPr>
        <w:t xml:space="preserve">2.2. </w:t>
      </w:r>
      <w:r>
        <w:rPr>
          <w:rFonts w:ascii="Times New Roman" w:hAnsi="Times New Roman" w:cs="Times New Roman"/>
          <w:b w:val="1"/>
          <w:sz w:val="28"/>
          <w:szCs w:val="28"/>
        </w:rPr>
        <w:t>Региональные особенности инновационной активности и цифровой трансформации Республики Кот-д’Ивуар</w:t>
      </w:r>
    </w:p>
    <w:p>
      <w:pPr>
        <w:spacing w:lineRule="auto" w:line="360" w:after="0" w:beforeAutospacing="0" w:afterAutospacing="0"/>
        <w:ind w:firstLine="709"/>
        <w:jc w:val="both"/>
        <w:rPr>
          <w:rFonts w:ascii="Times New Roman" w:hAnsi="Times New Roman" w:cs="Times New Roman"/>
          <w:sz w:val="28"/>
          <w:szCs w:val="28"/>
        </w:rPr>
      </w:pPr>
    </w:p>
    <w:p>
      <w:pPr>
        <w:spacing w:lineRule="auto" w:line="360" w:after="0" w:beforeAutospacing="0" w:afterAutospacing="0"/>
        <w:ind w:firstLine="709"/>
        <w:jc w:val="both"/>
        <w:rPr>
          <w:rFonts w:ascii="Times New Roman" w:hAnsi="Times New Roman" w:cs="Times New Roman"/>
          <w:sz w:val="28"/>
          <w:szCs w:val="28"/>
        </w:rPr>
      </w:pPr>
    </w:p>
    <w:p>
      <w:pPr>
        <w:spacing w:lineRule="auto" w:line="360" w:after="0" w:beforeAutospacing="0" w:afterAutospacing="0"/>
        <w:ind w:firstLine="709"/>
        <w:jc w:val="both"/>
        <w:rPr>
          <w:rFonts w:ascii="Times New Roman" w:hAnsi="Times New Roman" w:cs="Times New Roman"/>
          <w:color w:val="00B0F0"/>
          <w:sz w:val="28"/>
          <w:szCs w:val="28"/>
        </w:rPr>
      </w:pPr>
      <w:r>
        <w:rPr>
          <w:rFonts w:ascii="Times New Roman" w:hAnsi="Times New Roman" w:cs="Times New Roman"/>
          <w:color w:val="00B0F0"/>
          <w:sz w:val="28"/>
          <w:szCs w:val="28"/>
        </w:rPr>
        <w:t>+++начало</w:t>
      </w:r>
    </w:p>
    <w:p>
      <w:pPr>
        <w:spacing w:lineRule="auto" w:line="360" w:after="0" w:beforeAutospacing="0" w:afterAutospacing="0"/>
        <w:ind w:firstLine="709"/>
        <w:jc w:val="both"/>
        <w:rPr>
          <w:rFonts w:ascii="Times New Roman" w:hAnsi="Times New Roman" w:cs="Times New Roman"/>
          <w:color w:val="FF0000"/>
          <w:sz w:val="28"/>
          <w:szCs w:val="28"/>
        </w:rPr>
      </w:pPr>
      <w:r>
        <w:rPr>
          <w:rFonts w:ascii="Times New Roman" w:hAnsi="Times New Roman" w:cs="Times New Roman"/>
          <w:color w:val="FF0000"/>
          <w:sz w:val="28"/>
          <w:szCs w:val="28"/>
        </w:rPr>
        <w:t xml:space="preserve">Прибрежная зона Кот-д'Ивуара протяженностью около 550 км вдоль Гвинейского залива представляет собой ключевой экономический кластер страны таблица </w:t>
      </w:r>
      <w:r>
        <w:rPr>
          <w:rFonts w:ascii="Times New Roman" w:hAnsi="Times New Roman" w:cs="Times New Roman"/>
          <w:color w:val="FF0000"/>
          <w:sz w:val="28"/>
          <w:szCs w:val="28"/>
          <w:highlight w:val="yellow"/>
        </w:rPr>
        <w:t>??</w:t>
      </w:r>
      <w:r>
        <w:rPr>
          <w:rFonts w:ascii="Times New Roman" w:hAnsi="Times New Roman" w:cs="Times New Roman"/>
          <w:color w:val="FF0000"/>
          <w:sz w:val="28"/>
          <w:szCs w:val="28"/>
        </w:rPr>
        <w:t>).</w:t>
      </w:r>
    </w:p>
    <w:p>
      <w:pPr>
        <w:spacing w:lineRule="auto" w:line="360" w:after="0" w:beforeAutospacing="0" w:afterAutospacing="0"/>
        <w:ind w:firstLine="709"/>
        <w:jc w:val="both"/>
        <w:rPr>
          <w:rFonts w:ascii="Times New Roman" w:hAnsi="Times New Roman" w:cs="Times New Roman"/>
          <w:color w:val="FF0000"/>
          <w:sz w:val="28"/>
          <w:szCs w:val="28"/>
        </w:rPr>
      </w:pPr>
    </w:p>
    <w:p>
      <w:pPr>
        <w:spacing w:lineRule="auto" w:line="360" w:after="0" w:beforeAutospacing="0" w:afterAutospacing="0"/>
        <w:jc w:val="both"/>
        <w:rPr>
          <w:rFonts w:ascii="Times New Roman" w:hAnsi="Times New Roman" w:cs="Times New Roman"/>
          <w:color w:val="FF0000"/>
          <w:sz w:val="28"/>
          <w:szCs w:val="28"/>
        </w:rPr>
      </w:pPr>
      <w:r>
        <w:rPr>
          <w:rFonts w:ascii="Times New Roman" w:hAnsi="Times New Roman" w:cs="Times New Roman"/>
          <w:color w:val="FF0000"/>
          <w:sz w:val="28"/>
          <w:szCs w:val="28"/>
        </w:rPr>
        <w:t>Таблица ??? – Характеристики прибрежной зоны Кот-д'Ивуара (составлено автором)</w:t>
      </w:r>
    </w:p>
    <w:tbl>
      <w:tblPr>
        <w:tblStyle w:val="T3"/>
        <w:tblW w:w="0" w:type="auto"/>
        <w:tblLook w:val="04A0"/>
      </w:tblPr>
      <w:tblGrid>
        <w:gridCol w:w="2129"/>
        <w:gridCol w:w="5663"/>
        <w:gridCol w:w="2120"/>
      </w:tblGrid>
      <w:tr>
        <w:tc>
          <w:tcPr>
            <w:tcW w:w="0" w:type="auto"/>
            <w:hideMark/>
          </w:tcPr>
          <w:p>
            <w:pPr>
              <w:jc w:val="center"/>
              <w:rPr>
                <w:rFonts w:ascii="Times New Roman" w:hAnsi="Times New Roman" w:cs="Times New Roman"/>
                <w:color w:val="FF0000"/>
                <w:sz w:val="24"/>
                <w:szCs w:val="24"/>
              </w:rPr>
            </w:pPr>
            <w:r>
              <w:rPr>
                <w:rFonts w:ascii="Times New Roman" w:hAnsi="Times New Roman" w:cs="Times New Roman"/>
                <w:color w:val="FF0000"/>
                <w:sz w:val="24"/>
                <w:szCs w:val="24"/>
              </w:rPr>
              <w:t>Регион/Дистрикт</w:t>
            </w:r>
          </w:p>
        </w:tc>
        <w:tc>
          <w:tcPr>
            <w:tcW w:w="5663" w:type="dxa"/>
            <w:hideMark/>
          </w:tcPr>
          <w:p>
            <w:pPr>
              <w:jc w:val="center"/>
              <w:rPr>
                <w:rFonts w:ascii="Times New Roman" w:hAnsi="Times New Roman" w:cs="Times New Roman"/>
                <w:color w:val="FF0000"/>
                <w:sz w:val="24"/>
                <w:szCs w:val="24"/>
              </w:rPr>
            </w:pPr>
            <w:r>
              <w:rPr>
                <w:rFonts w:ascii="Times New Roman" w:hAnsi="Times New Roman" w:cs="Times New Roman"/>
                <w:color w:val="FF0000"/>
                <w:sz w:val="24"/>
                <w:szCs w:val="24"/>
              </w:rPr>
              <w:t>Ключевые города/коммуны</w:t>
            </w:r>
          </w:p>
        </w:tc>
        <w:tc>
          <w:tcPr>
            <w:tcW w:w="2120" w:type="dxa"/>
            <w:hideMark/>
          </w:tcPr>
          <w:p>
            <w:pPr>
              <w:jc w:val="center"/>
              <w:rPr>
                <w:rFonts w:ascii="Times New Roman" w:hAnsi="Times New Roman" w:cs="Times New Roman"/>
                <w:color w:val="FF0000"/>
                <w:sz w:val="24"/>
                <w:szCs w:val="24"/>
              </w:rPr>
            </w:pPr>
            <w:r>
              <w:rPr>
                <w:rFonts w:ascii="Times New Roman" w:hAnsi="Times New Roman" w:cs="Times New Roman"/>
                <w:color w:val="FF0000"/>
                <w:sz w:val="24"/>
                <w:szCs w:val="24"/>
              </w:rPr>
              <w:t>Протяженность побережья, км</w:t>
            </w:r>
          </w:p>
        </w:tc>
      </w:tr>
      <w:tr>
        <w:tc>
          <w:tcPr>
            <w:tcW w:w="0" w:type="auto"/>
            <w:hideMark/>
          </w:tcPr>
          <w:p>
            <w:pPr>
              <w:jc w:val="both"/>
              <w:rPr>
                <w:rFonts w:ascii="Times New Roman" w:hAnsi="Times New Roman" w:cs="Times New Roman"/>
                <w:color w:val="FF0000"/>
                <w:sz w:val="24"/>
                <w:szCs w:val="24"/>
              </w:rPr>
            </w:pPr>
            <w:r>
              <w:rPr>
                <w:rFonts w:ascii="Times New Roman" w:hAnsi="Times New Roman" w:cs="Times New Roman"/>
                <w:color w:val="FF0000"/>
                <w:sz w:val="24"/>
                <w:szCs w:val="24"/>
              </w:rPr>
              <w:t>Дистрикт Абиджана</w:t>
            </w:r>
          </w:p>
        </w:tc>
        <w:tc>
          <w:tcPr>
            <w:tcW w:w="5663" w:type="dxa"/>
            <w:hideMark/>
          </w:tcPr>
          <w:p>
            <w:pPr>
              <w:jc w:val="both"/>
              <w:rPr>
                <w:rFonts w:ascii="Times New Roman" w:hAnsi="Times New Roman" w:cs="Times New Roman"/>
                <w:color w:val="FF0000"/>
                <w:sz w:val="24"/>
                <w:szCs w:val="24"/>
              </w:rPr>
            </w:pPr>
            <w:r>
              <w:rPr>
                <w:rFonts w:ascii="Times New Roman" w:hAnsi="Times New Roman" w:cs="Times New Roman"/>
                <w:color w:val="FF0000"/>
                <w:sz w:val="24"/>
                <w:szCs w:val="24"/>
              </w:rPr>
              <w:t>Абиджан (экономическая столица), Бингервиль, Ассинье, Гранд-Лагун, Врид, Якопо</w:t>
            </w:r>
          </w:p>
        </w:tc>
        <w:tc>
          <w:tcPr>
            <w:tcW w:w="2120" w:type="dxa"/>
            <w:hideMark/>
          </w:tcPr>
          <w:p>
            <w:pPr>
              <w:jc w:val="center"/>
              <w:rPr>
                <w:rFonts w:ascii="Times New Roman" w:hAnsi="Times New Roman" w:cs="Times New Roman"/>
                <w:color w:val="FF0000"/>
                <w:sz w:val="24"/>
                <w:szCs w:val="24"/>
              </w:rPr>
            </w:pPr>
            <w:r>
              <w:rPr>
                <w:rFonts w:ascii="Times New Roman" w:hAnsi="Times New Roman" w:cs="Times New Roman"/>
                <w:color w:val="FF0000"/>
                <w:sz w:val="24"/>
                <w:szCs w:val="24"/>
              </w:rPr>
              <w:t>85</w:t>
            </w:r>
          </w:p>
        </w:tc>
      </w:tr>
      <w:tr>
        <w:tc>
          <w:tcPr>
            <w:tcW w:w="0" w:type="auto"/>
            <w:hideMark/>
          </w:tcPr>
          <w:p>
            <w:pPr>
              <w:jc w:val="both"/>
              <w:rPr>
                <w:rFonts w:ascii="Times New Roman" w:hAnsi="Times New Roman" w:cs="Times New Roman"/>
                <w:color w:val="FF0000"/>
                <w:sz w:val="24"/>
                <w:szCs w:val="24"/>
              </w:rPr>
            </w:pPr>
            <w:r>
              <w:rPr>
                <w:rFonts w:ascii="Times New Roman" w:hAnsi="Times New Roman" w:cs="Times New Roman"/>
                <w:color w:val="FF0000"/>
                <w:sz w:val="24"/>
                <w:szCs w:val="24"/>
              </w:rPr>
              <w:t>Регион Лагунов</w:t>
            </w:r>
          </w:p>
        </w:tc>
        <w:tc>
          <w:tcPr>
            <w:tcW w:w="5663" w:type="dxa"/>
            <w:hideMark/>
          </w:tcPr>
          <w:p>
            <w:pPr>
              <w:jc w:val="both"/>
              <w:rPr>
                <w:rFonts w:ascii="Times New Roman" w:hAnsi="Times New Roman" w:cs="Times New Roman"/>
                <w:color w:val="FF0000"/>
                <w:sz w:val="24"/>
                <w:szCs w:val="24"/>
              </w:rPr>
            </w:pPr>
            <w:r>
              <w:rPr>
                <w:rFonts w:ascii="Times New Roman" w:hAnsi="Times New Roman" w:cs="Times New Roman"/>
                <w:color w:val="FF0000"/>
                <w:sz w:val="24"/>
                <w:szCs w:val="24"/>
              </w:rPr>
              <w:t>Гран-Бассам (Всемирное наследие ЮНЕСКО), Адьяке, Ассинье</w:t>
            </w:r>
          </w:p>
        </w:tc>
        <w:tc>
          <w:tcPr>
            <w:tcW w:w="2120" w:type="dxa"/>
            <w:hideMark/>
          </w:tcPr>
          <w:p>
            <w:pPr>
              <w:jc w:val="center"/>
              <w:rPr>
                <w:rFonts w:ascii="Times New Roman" w:hAnsi="Times New Roman" w:cs="Times New Roman"/>
                <w:color w:val="FF0000"/>
                <w:sz w:val="24"/>
                <w:szCs w:val="24"/>
              </w:rPr>
            </w:pPr>
            <w:r>
              <w:rPr>
                <w:rFonts w:ascii="Times New Roman" w:hAnsi="Times New Roman" w:cs="Times New Roman"/>
                <w:color w:val="FF0000"/>
                <w:sz w:val="24"/>
                <w:szCs w:val="24"/>
              </w:rPr>
              <w:t>120</w:t>
            </w:r>
          </w:p>
        </w:tc>
      </w:tr>
      <w:tr>
        <w:tc>
          <w:tcPr>
            <w:tcW w:w="0" w:type="auto"/>
            <w:hideMark/>
          </w:tcPr>
          <w:p>
            <w:pPr>
              <w:jc w:val="both"/>
              <w:rPr>
                <w:rFonts w:ascii="Times New Roman" w:hAnsi="Times New Roman" w:cs="Times New Roman"/>
                <w:color w:val="FF0000"/>
                <w:sz w:val="24"/>
                <w:szCs w:val="24"/>
              </w:rPr>
            </w:pPr>
            <w:r>
              <w:rPr>
                <w:rFonts w:ascii="Times New Roman" w:hAnsi="Times New Roman" w:cs="Times New Roman"/>
                <w:color w:val="FF0000"/>
                <w:sz w:val="24"/>
                <w:szCs w:val="24"/>
              </w:rPr>
              <w:t>Регион Суд-Комоэ</w:t>
            </w:r>
          </w:p>
        </w:tc>
        <w:tc>
          <w:tcPr>
            <w:tcW w:w="5663" w:type="dxa"/>
            <w:hideMark/>
          </w:tcPr>
          <w:p>
            <w:pPr>
              <w:jc w:val="both"/>
              <w:rPr>
                <w:rFonts w:ascii="Times New Roman" w:hAnsi="Times New Roman" w:cs="Times New Roman"/>
                <w:color w:val="FF0000"/>
                <w:sz w:val="24"/>
                <w:szCs w:val="24"/>
              </w:rPr>
            </w:pPr>
            <w:r>
              <w:rPr>
                <w:rFonts w:ascii="Times New Roman" w:hAnsi="Times New Roman" w:cs="Times New Roman"/>
                <w:color w:val="FF0000"/>
                <w:sz w:val="24"/>
                <w:szCs w:val="24"/>
              </w:rPr>
              <w:t>Сан-Педро (2-й порт страны), Сасандра</w:t>
            </w:r>
          </w:p>
        </w:tc>
        <w:tc>
          <w:tcPr>
            <w:tcW w:w="2120" w:type="dxa"/>
            <w:hideMark/>
          </w:tcPr>
          <w:p>
            <w:pPr>
              <w:jc w:val="center"/>
              <w:rPr>
                <w:rFonts w:ascii="Times New Roman" w:hAnsi="Times New Roman" w:cs="Times New Roman"/>
                <w:color w:val="FF0000"/>
                <w:sz w:val="24"/>
                <w:szCs w:val="24"/>
              </w:rPr>
            </w:pPr>
            <w:r>
              <w:rPr>
                <w:rFonts w:ascii="Times New Roman" w:hAnsi="Times New Roman" w:cs="Times New Roman"/>
                <w:color w:val="FF0000"/>
                <w:sz w:val="24"/>
                <w:szCs w:val="24"/>
              </w:rPr>
              <w:t>180</w:t>
            </w:r>
          </w:p>
        </w:tc>
      </w:tr>
      <w:tr>
        <w:tc>
          <w:tcPr>
            <w:tcW w:w="0" w:type="auto"/>
            <w:hideMark/>
          </w:tcPr>
          <w:p>
            <w:pPr>
              <w:jc w:val="both"/>
              <w:rPr>
                <w:rFonts w:ascii="Times New Roman" w:hAnsi="Times New Roman" w:cs="Times New Roman"/>
                <w:color w:val="FF0000"/>
                <w:sz w:val="24"/>
                <w:szCs w:val="24"/>
              </w:rPr>
            </w:pPr>
            <w:r>
              <w:rPr>
                <w:rFonts w:ascii="Times New Roman" w:hAnsi="Times New Roman" w:cs="Times New Roman"/>
                <w:color w:val="FF0000"/>
                <w:sz w:val="24"/>
                <w:szCs w:val="24"/>
              </w:rPr>
              <w:t>Регион Гбо-Клебе</w:t>
            </w:r>
          </w:p>
        </w:tc>
        <w:tc>
          <w:tcPr>
            <w:tcW w:w="5663" w:type="dxa"/>
            <w:hideMark/>
          </w:tcPr>
          <w:p>
            <w:pPr>
              <w:jc w:val="both"/>
              <w:rPr>
                <w:rFonts w:ascii="Times New Roman" w:hAnsi="Times New Roman" w:cs="Times New Roman"/>
                <w:color w:val="FF0000"/>
                <w:sz w:val="24"/>
                <w:szCs w:val="24"/>
              </w:rPr>
            </w:pPr>
            <w:r>
              <w:rPr>
                <w:rFonts w:ascii="Times New Roman" w:hAnsi="Times New Roman" w:cs="Times New Roman"/>
                <w:color w:val="FF0000"/>
                <w:sz w:val="24"/>
                <w:szCs w:val="24"/>
              </w:rPr>
              <w:t>Бассам, Абьян-Моро, Абьян-Коте</w:t>
            </w:r>
          </w:p>
        </w:tc>
        <w:tc>
          <w:tcPr>
            <w:tcW w:w="2120" w:type="dxa"/>
            <w:hideMark/>
          </w:tcPr>
          <w:p>
            <w:pPr>
              <w:jc w:val="center"/>
              <w:rPr>
                <w:rFonts w:ascii="Times New Roman" w:hAnsi="Times New Roman" w:cs="Times New Roman"/>
                <w:color w:val="FF0000"/>
                <w:sz w:val="24"/>
                <w:szCs w:val="24"/>
              </w:rPr>
            </w:pPr>
            <w:r>
              <w:rPr>
                <w:rFonts w:ascii="Times New Roman" w:hAnsi="Times New Roman" w:cs="Times New Roman"/>
                <w:color w:val="FF0000"/>
                <w:sz w:val="24"/>
                <w:szCs w:val="24"/>
              </w:rPr>
              <w:t>165</w:t>
            </w:r>
          </w:p>
        </w:tc>
      </w:tr>
    </w:tbl>
    <w:p>
      <w:pPr>
        <w:spacing w:lineRule="auto" w:line="360" w:after="0" w:beforeAutospacing="0" w:afterAutospacing="0"/>
        <w:ind w:firstLine="709"/>
        <w:jc w:val="both"/>
        <w:rPr>
          <w:rFonts w:ascii="Times New Roman" w:hAnsi="Times New Roman" w:cs="Times New Roman"/>
          <w:color w:val="FF0000"/>
          <w:sz w:val="28"/>
          <w:szCs w:val="28"/>
        </w:rPr>
      </w:pPr>
    </w:p>
    <w:p>
      <w:pPr>
        <w:spacing w:lineRule="auto" w:line="360" w:after="0" w:beforeAutospacing="0" w:afterAutospacing="0"/>
        <w:ind w:firstLine="709"/>
        <w:jc w:val="both"/>
        <w:rPr>
          <w:rFonts w:ascii="Times New Roman" w:hAnsi="Times New Roman" w:cs="Times New Roman"/>
          <w:color w:val="FF0000"/>
          <w:sz w:val="28"/>
          <w:szCs w:val="28"/>
        </w:rPr>
      </w:pPr>
      <w:r>
        <w:rPr>
          <w:rFonts w:ascii="Times New Roman" w:hAnsi="Times New Roman" w:cs="Times New Roman"/>
          <w:color w:val="FF0000"/>
          <w:sz w:val="28"/>
          <w:szCs w:val="28"/>
        </w:rPr>
        <w:t xml:space="preserve"> Для Республики Кот-д’Ивуар характерна модель пространственной организации экономики, где выделяются несколько опорных городов, формирующих «полюса» притяжения капитала, инфраструктуры и предпринимательства: Абиджан как административно-деловой и финансовый центр, Сан-Педро как портово-экспортная логистика, а также крупные региональные города Буаке, Далоа, Ман, Корого, Ямусукро и др., которые в государственной документации рассматриваются как элементы опорного каркаса расселения и развития. Такая полицентричная схема означает, что инновационные и цифровые эффекты в первую очередь «проявляются» в узлах с инфраструктурой, рынками труда и спросом на сервисы, а затем  с лагом  распространяются на периферию.</w:t>
      </w:r>
    </w:p>
    <w:p>
      <w:pPr>
        <w:spacing w:lineRule="auto" w:line="360" w:after="0" w:beforeAutospacing="0" w:afterAutospacing="0"/>
        <w:ind w:firstLine="709"/>
        <w:jc w:val="both"/>
        <w:rPr>
          <w:rFonts w:ascii="Times New Roman" w:hAnsi="Times New Roman" w:cs="Times New Roman"/>
          <w:color w:val="FF0000"/>
          <w:sz w:val="28"/>
          <w:szCs w:val="28"/>
        </w:rPr>
      </w:pPr>
      <w:r>
        <w:rPr>
          <w:rFonts w:ascii="Times New Roman" w:hAnsi="Times New Roman" w:cs="Times New Roman"/>
          <w:color w:val="FF0000"/>
          <w:sz w:val="28"/>
          <w:szCs w:val="28"/>
        </w:rPr>
        <w:t>Рассмотрим особенности дистанции Абиджана (бывшая столица и экономическая столица государства), а также прибрежные регионы Лагунов, Суд-Комоэ и части Гбо-Клебе. Эта территория характеризуется высокой концентрацией населения. Так, по данным Агентства национальной статистики (AnStat), в дистрикте Абиджана проживает свыше 6,3 млн человек (2024), что составляет около 20% от общей численности населения страны [3].</w:t>
      </w:r>
    </w:p>
    <w:p>
      <w:pPr>
        <w:spacing w:lineRule="auto" w:line="360" w:after="0" w:beforeAutospacing="0" w:afterAutospacing="0"/>
        <w:jc w:val="both"/>
        <w:rPr>
          <w:rFonts w:ascii="Times New Roman" w:hAnsi="Times New Roman" w:cs="Times New Roman"/>
          <w:color w:val="FF0000"/>
          <w:sz w:val="28"/>
          <w:szCs w:val="28"/>
        </w:rPr>
      </w:pPr>
      <w:r>
        <w:rPr>
          <w:rFonts w:ascii="Times New Roman" w:hAnsi="Times New Roman" w:cs="Times New Roman"/>
          <w:color w:val="FF0000"/>
          <w:sz w:val="28"/>
          <w:szCs w:val="28"/>
        </w:rPr>
        <w:t>Таблица 1. Демографические показатели прибрежных регионов Кот-д'Ивуара (2024)</w:t>
      </w:r>
    </w:p>
    <w:tbl>
      <w:tblPr>
        <w:tblStyle w:val="T3"/>
        <w:tblW w:w="0" w:type="auto"/>
        <w:jc w:val="center"/>
        <w:tblLook w:val="04A0"/>
      </w:tblPr>
      <w:tblGrid>
        <w:gridCol w:w="3429"/>
        <w:gridCol w:w="1661"/>
        <w:gridCol w:w="1494"/>
        <w:gridCol w:w="1641"/>
      </w:tblGrid>
      <w:tr>
        <w:trPr>
          <w:jc w:val="center"/>
        </w:trPr>
        <w:tc>
          <w:tcPr>
            <w:tcW w:w="0" w:type="auto"/>
            <w:hideMark/>
          </w:tcPr>
          <w:p>
            <w:pPr>
              <w:jc w:val="both"/>
              <w:rPr>
                <w:rFonts w:ascii="Times New Roman" w:hAnsi="Times New Roman" w:cs="Times New Roman"/>
                <w:b w:val="1"/>
                <w:bCs w:val="1"/>
                <w:color w:val="FF0000"/>
              </w:rPr>
            </w:pPr>
            <w:r>
              <w:rPr>
                <w:rFonts w:ascii="Times New Roman" w:hAnsi="Times New Roman" w:cs="Times New Roman"/>
                <w:b w:val="1"/>
                <w:bCs w:val="1"/>
                <w:color w:val="FF0000"/>
              </w:rPr>
              <w:t>Показатель</w:t>
            </w:r>
          </w:p>
        </w:tc>
        <w:tc>
          <w:tcPr>
            <w:tcW w:w="1661" w:type="dxa"/>
            <w:hideMark/>
          </w:tcPr>
          <w:p>
            <w:pPr>
              <w:jc w:val="both"/>
              <w:rPr>
                <w:rFonts w:ascii="Times New Roman" w:hAnsi="Times New Roman" w:cs="Times New Roman"/>
                <w:b w:val="1"/>
                <w:bCs w:val="1"/>
                <w:color w:val="FF0000"/>
              </w:rPr>
            </w:pPr>
            <w:r>
              <w:rPr>
                <w:rFonts w:ascii="Times New Roman" w:hAnsi="Times New Roman" w:cs="Times New Roman"/>
                <w:b w:val="1"/>
                <w:bCs w:val="1"/>
                <w:color w:val="FF0000"/>
              </w:rPr>
              <w:t>Дистрикт Абиджана</w:t>
            </w:r>
          </w:p>
        </w:tc>
        <w:tc>
          <w:tcPr>
            <w:tcW w:w="1494" w:type="dxa"/>
            <w:hideMark/>
          </w:tcPr>
          <w:p>
            <w:pPr>
              <w:jc w:val="both"/>
              <w:rPr>
                <w:rFonts w:ascii="Times New Roman" w:hAnsi="Times New Roman" w:cs="Times New Roman"/>
                <w:b w:val="1"/>
                <w:bCs w:val="1"/>
                <w:color w:val="FF0000"/>
              </w:rPr>
            </w:pPr>
            <w:r>
              <w:rPr>
                <w:rFonts w:ascii="Times New Roman" w:hAnsi="Times New Roman" w:cs="Times New Roman"/>
                <w:b w:val="1"/>
                <w:bCs w:val="1"/>
                <w:color w:val="FF0000"/>
              </w:rPr>
              <w:t>Регион Лагунов</w:t>
            </w:r>
          </w:p>
        </w:tc>
        <w:tc>
          <w:tcPr>
            <w:tcW w:w="1641" w:type="dxa"/>
            <w:hideMark/>
          </w:tcPr>
          <w:p>
            <w:pPr>
              <w:jc w:val="both"/>
              <w:rPr>
                <w:rFonts w:ascii="Times New Roman" w:hAnsi="Times New Roman" w:cs="Times New Roman"/>
                <w:b w:val="1"/>
                <w:bCs w:val="1"/>
                <w:color w:val="FF0000"/>
              </w:rPr>
            </w:pPr>
            <w:r>
              <w:rPr>
                <w:rFonts w:ascii="Times New Roman" w:hAnsi="Times New Roman" w:cs="Times New Roman"/>
                <w:b w:val="1"/>
                <w:bCs w:val="1"/>
                <w:color w:val="FF0000"/>
              </w:rPr>
              <w:t xml:space="preserve">Средний показатель </w:t>
            </w:r>
            <w:r>
              <w:rPr>
                <w:rFonts w:ascii="Times New Roman" w:hAnsi="Times New Roman" w:cs="Times New Roman"/>
                <w:b w:val="1"/>
                <w:bCs w:val="1"/>
                <w:color w:val="FF0000"/>
              </w:rPr>
              <w:br w:type="textWrapping"/>
            </w:r>
            <w:r>
              <w:rPr>
                <w:rFonts w:ascii="Times New Roman" w:hAnsi="Times New Roman" w:cs="Times New Roman"/>
                <w:b w:val="1"/>
                <w:bCs w:val="1"/>
                <w:color w:val="FF0000"/>
              </w:rPr>
              <w:t>по стране</w:t>
            </w:r>
          </w:p>
        </w:tc>
      </w:tr>
      <w:tr>
        <w:trPr>
          <w:jc w:val="center"/>
        </w:trPr>
        <w:tc>
          <w:tcPr>
            <w:tcW w:w="0" w:type="auto"/>
            <w:hideMark/>
          </w:tcPr>
          <w:p>
            <w:pPr>
              <w:jc w:val="both"/>
              <w:rPr>
                <w:rFonts w:ascii="Times New Roman" w:hAnsi="Times New Roman" w:cs="Times New Roman"/>
                <w:color w:val="FF0000"/>
              </w:rPr>
            </w:pPr>
            <w:r>
              <w:rPr>
                <w:rFonts w:ascii="Times New Roman" w:hAnsi="Times New Roman" w:cs="Times New Roman"/>
                <w:color w:val="FF0000"/>
              </w:rPr>
              <w:t>Население, млн чел.</w:t>
            </w:r>
          </w:p>
        </w:tc>
        <w:tc>
          <w:tcPr>
            <w:tcW w:w="1661" w:type="dxa"/>
            <w:hideMark/>
          </w:tcPr>
          <w:p>
            <w:pPr>
              <w:jc w:val="center"/>
              <w:rPr>
                <w:rFonts w:ascii="Times New Roman" w:hAnsi="Times New Roman" w:cs="Times New Roman"/>
                <w:color w:val="FF0000"/>
              </w:rPr>
            </w:pPr>
            <w:r>
              <w:rPr>
                <w:rFonts w:ascii="Times New Roman" w:hAnsi="Times New Roman" w:cs="Times New Roman"/>
                <w:color w:val="FF0000"/>
              </w:rPr>
              <w:t>6,3</w:t>
            </w:r>
          </w:p>
        </w:tc>
        <w:tc>
          <w:tcPr>
            <w:tcW w:w="1494" w:type="dxa"/>
            <w:hideMark/>
          </w:tcPr>
          <w:p>
            <w:pPr>
              <w:jc w:val="center"/>
              <w:rPr>
                <w:rFonts w:ascii="Times New Roman" w:hAnsi="Times New Roman" w:cs="Times New Roman"/>
                <w:color w:val="FF0000"/>
              </w:rPr>
            </w:pPr>
            <w:r>
              <w:rPr>
                <w:rFonts w:ascii="Times New Roman" w:hAnsi="Times New Roman" w:cs="Times New Roman"/>
                <w:color w:val="FF0000"/>
              </w:rPr>
              <w:t>1,2</w:t>
            </w:r>
          </w:p>
        </w:tc>
        <w:tc>
          <w:tcPr>
            <w:tcW w:w="1641" w:type="dxa"/>
            <w:hideMark/>
          </w:tcPr>
          <w:p>
            <w:pPr>
              <w:jc w:val="center"/>
              <w:rPr>
                <w:rFonts w:ascii="Times New Roman" w:hAnsi="Times New Roman" w:cs="Times New Roman"/>
                <w:color w:val="FF0000"/>
              </w:rPr>
            </w:pPr>
            <w:r>
              <w:rPr>
                <w:rFonts w:ascii="Times New Roman" w:hAnsi="Times New Roman" w:cs="Times New Roman"/>
                <w:color w:val="FF0000"/>
              </w:rPr>
              <w:t>32,5</w:t>
            </w:r>
          </w:p>
        </w:tc>
      </w:tr>
      <w:tr>
        <w:trPr>
          <w:jc w:val="center"/>
        </w:trPr>
        <w:tc>
          <w:tcPr>
            <w:tcW w:w="0" w:type="auto"/>
            <w:hideMark/>
          </w:tcPr>
          <w:p>
            <w:pPr>
              <w:jc w:val="both"/>
              <w:rPr>
                <w:rFonts w:ascii="Times New Roman" w:hAnsi="Times New Roman" w:cs="Times New Roman"/>
                <w:color w:val="FF0000"/>
              </w:rPr>
            </w:pPr>
            <w:r>
              <w:rPr>
                <w:rFonts w:ascii="Times New Roman" w:hAnsi="Times New Roman" w:cs="Times New Roman"/>
                <w:color w:val="FF0000"/>
              </w:rPr>
              <w:t>Плотность населения, чел./км²</w:t>
            </w:r>
          </w:p>
        </w:tc>
        <w:tc>
          <w:tcPr>
            <w:tcW w:w="1661" w:type="dxa"/>
            <w:hideMark/>
          </w:tcPr>
          <w:p>
            <w:pPr>
              <w:jc w:val="center"/>
              <w:rPr>
                <w:rFonts w:ascii="Times New Roman" w:hAnsi="Times New Roman" w:cs="Times New Roman"/>
                <w:color w:val="FF0000"/>
              </w:rPr>
            </w:pPr>
            <w:r>
              <w:rPr>
                <w:rFonts w:ascii="Times New Roman" w:hAnsi="Times New Roman" w:cs="Times New Roman"/>
                <w:color w:val="FF0000"/>
              </w:rPr>
              <w:t>2 850</w:t>
            </w:r>
          </w:p>
        </w:tc>
        <w:tc>
          <w:tcPr>
            <w:tcW w:w="1494" w:type="dxa"/>
            <w:hideMark/>
          </w:tcPr>
          <w:p>
            <w:pPr>
              <w:jc w:val="center"/>
              <w:rPr>
                <w:rFonts w:ascii="Times New Roman" w:hAnsi="Times New Roman" w:cs="Times New Roman"/>
                <w:color w:val="FF0000"/>
              </w:rPr>
            </w:pPr>
            <w:r>
              <w:rPr>
                <w:rFonts w:ascii="Times New Roman" w:hAnsi="Times New Roman" w:cs="Times New Roman"/>
                <w:color w:val="FF0000"/>
              </w:rPr>
              <w:t>185</w:t>
            </w:r>
          </w:p>
        </w:tc>
        <w:tc>
          <w:tcPr>
            <w:tcW w:w="1641" w:type="dxa"/>
            <w:hideMark/>
          </w:tcPr>
          <w:p>
            <w:pPr>
              <w:jc w:val="center"/>
              <w:rPr>
                <w:rFonts w:ascii="Times New Roman" w:hAnsi="Times New Roman" w:cs="Times New Roman"/>
                <w:color w:val="FF0000"/>
              </w:rPr>
            </w:pPr>
            <w:r>
              <w:rPr>
                <w:rFonts w:ascii="Times New Roman" w:hAnsi="Times New Roman" w:cs="Times New Roman"/>
                <w:color w:val="FF0000"/>
              </w:rPr>
              <w:t>105</w:t>
            </w:r>
          </w:p>
        </w:tc>
      </w:tr>
      <w:tr>
        <w:trPr>
          <w:jc w:val="center"/>
        </w:trPr>
        <w:tc>
          <w:tcPr>
            <w:tcW w:w="0" w:type="auto"/>
            <w:hideMark/>
          </w:tcPr>
          <w:p>
            <w:pPr>
              <w:jc w:val="both"/>
              <w:rPr>
                <w:rFonts w:ascii="Times New Roman" w:hAnsi="Times New Roman" w:cs="Times New Roman"/>
                <w:color w:val="FF0000"/>
              </w:rPr>
            </w:pPr>
            <w:r>
              <w:rPr>
                <w:rFonts w:ascii="Times New Roman" w:hAnsi="Times New Roman" w:cs="Times New Roman"/>
                <w:color w:val="FF0000"/>
              </w:rPr>
              <w:t>Доля городского населения, %</w:t>
            </w:r>
          </w:p>
        </w:tc>
        <w:tc>
          <w:tcPr>
            <w:tcW w:w="1661" w:type="dxa"/>
            <w:hideMark/>
          </w:tcPr>
          <w:p>
            <w:pPr>
              <w:jc w:val="center"/>
              <w:rPr>
                <w:rFonts w:ascii="Times New Roman" w:hAnsi="Times New Roman" w:cs="Times New Roman"/>
                <w:color w:val="FF0000"/>
              </w:rPr>
            </w:pPr>
            <w:r>
              <w:rPr>
                <w:rFonts w:ascii="Times New Roman" w:hAnsi="Times New Roman" w:cs="Times New Roman"/>
                <w:color w:val="FF0000"/>
              </w:rPr>
              <w:t>98,5</w:t>
            </w:r>
          </w:p>
        </w:tc>
        <w:tc>
          <w:tcPr>
            <w:tcW w:w="1494" w:type="dxa"/>
            <w:hideMark/>
          </w:tcPr>
          <w:p>
            <w:pPr>
              <w:jc w:val="center"/>
              <w:rPr>
                <w:rFonts w:ascii="Times New Roman" w:hAnsi="Times New Roman" w:cs="Times New Roman"/>
                <w:color w:val="FF0000"/>
              </w:rPr>
            </w:pPr>
            <w:r>
              <w:rPr>
                <w:rFonts w:ascii="Times New Roman" w:hAnsi="Times New Roman" w:cs="Times New Roman"/>
                <w:color w:val="FF0000"/>
              </w:rPr>
              <w:t>42,3</w:t>
            </w:r>
          </w:p>
        </w:tc>
        <w:tc>
          <w:tcPr>
            <w:tcW w:w="1641" w:type="dxa"/>
            <w:hideMark/>
          </w:tcPr>
          <w:p>
            <w:pPr>
              <w:jc w:val="center"/>
              <w:rPr>
                <w:rFonts w:ascii="Times New Roman" w:hAnsi="Times New Roman" w:cs="Times New Roman"/>
                <w:color w:val="FF0000"/>
              </w:rPr>
            </w:pPr>
            <w:r>
              <w:rPr>
                <w:rFonts w:ascii="Times New Roman" w:hAnsi="Times New Roman" w:cs="Times New Roman"/>
                <w:color w:val="FF0000"/>
              </w:rPr>
              <w:t>52,8</w:t>
            </w:r>
          </w:p>
        </w:tc>
      </w:tr>
      <w:tr>
        <w:trPr>
          <w:jc w:val="center"/>
        </w:trPr>
        <w:tc>
          <w:tcPr>
            <w:tcW w:w="0" w:type="auto"/>
            <w:hideMark/>
          </w:tcPr>
          <w:p>
            <w:pPr>
              <w:jc w:val="both"/>
              <w:rPr>
                <w:rFonts w:ascii="Times New Roman" w:hAnsi="Times New Roman" w:cs="Times New Roman"/>
                <w:color w:val="FF0000"/>
              </w:rPr>
            </w:pPr>
            <w:r>
              <w:rPr>
                <w:rFonts w:ascii="Times New Roman" w:hAnsi="Times New Roman" w:cs="Times New Roman"/>
                <w:color w:val="FF0000"/>
              </w:rPr>
              <w:t>Средний возраст, лет</w:t>
            </w:r>
          </w:p>
        </w:tc>
        <w:tc>
          <w:tcPr>
            <w:tcW w:w="1661" w:type="dxa"/>
            <w:hideMark/>
          </w:tcPr>
          <w:p>
            <w:pPr>
              <w:jc w:val="center"/>
              <w:rPr>
                <w:rFonts w:ascii="Times New Roman" w:hAnsi="Times New Roman" w:cs="Times New Roman"/>
                <w:color w:val="FF0000"/>
              </w:rPr>
            </w:pPr>
            <w:r>
              <w:rPr>
                <w:rFonts w:ascii="Times New Roman" w:hAnsi="Times New Roman" w:cs="Times New Roman"/>
                <w:color w:val="FF0000"/>
              </w:rPr>
              <w:t>24,7</w:t>
            </w:r>
          </w:p>
        </w:tc>
        <w:tc>
          <w:tcPr>
            <w:tcW w:w="1494" w:type="dxa"/>
            <w:hideMark/>
          </w:tcPr>
          <w:p>
            <w:pPr>
              <w:jc w:val="center"/>
              <w:rPr>
                <w:rFonts w:ascii="Times New Roman" w:hAnsi="Times New Roman" w:cs="Times New Roman"/>
                <w:color w:val="FF0000"/>
              </w:rPr>
            </w:pPr>
            <w:r>
              <w:rPr>
                <w:rFonts w:ascii="Times New Roman" w:hAnsi="Times New Roman" w:cs="Times New Roman"/>
                <w:color w:val="FF0000"/>
              </w:rPr>
              <w:t>26,1</w:t>
            </w:r>
          </w:p>
        </w:tc>
        <w:tc>
          <w:tcPr>
            <w:tcW w:w="1641" w:type="dxa"/>
            <w:hideMark/>
          </w:tcPr>
          <w:p>
            <w:pPr>
              <w:jc w:val="center"/>
              <w:rPr>
                <w:rFonts w:ascii="Times New Roman" w:hAnsi="Times New Roman" w:cs="Times New Roman"/>
                <w:color w:val="FF0000"/>
              </w:rPr>
            </w:pPr>
            <w:r>
              <w:rPr>
                <w:rFonts w:ascii="Times New Roman" w:hAnsi="Times New Roman" w:cs="Times New Roman"/>
                <w:color w:val="FF0000"/>
              </w:rPr>
              <w:t>27,3</w:t>
            </w:r>
          </w:p>
        </w:tc>
      </w:tr>
      <w:tr>
        <w:trPr>
          <w:jc w:val="center"/>
        </w:trPr>
        <w:tc>
          <w:tcPr>
            <w:tcW w:w="0" w:type="auto"/>
            <w:hideMark/>
          </w:tcPr>
          <w:p>
            <w:pPr>
              <w:jc w:val="both"/>
              <w:rPr>
                <w:rFonts w:ascii="Times New Roman" w:hAnsi="Times New Roman" w:cs="Times New Roman"/>
                <w:color w:val="FF0000"/>
              </w:rPr>
            </w:pPr>
            <w:r>
              <w:rPr>
                <w:rFonts w:ascii="Times New Roman" w:hAnsi="Times New Roman" w:cs="Times New Roman"/>
                <w:color w:val="FF0000"/>
              </w:rPr>
              <w:t>Уровень грамотности (15+ лет), %</w:t>
            </w:r>
          </w:p>
        </w:tc>
        <w:tc>
          <w:tcPr>
            <w:tcW w:w="1661" w:type="dxa"/>
            <w:hideMark/>
          </w:tcPr>
          <w:p>
            <w:pPr>
              <w:jc w:val="center"/>
              <w:rPr>
                <w:rFonts w:ascii="Times New Roman" w:hAnsi="Times New Roman" w:cs="Times New Roman"/>
                <w:color w:val="FF0000"/>
              </w:rPr>
            </w:pPr>
            <w:r>
              <w:rPr>
                <w:rFonts w:ascii="Times New Roman" w:hAnsi="Times New Roman" w:cs="Times New Roman"/>
                <w:color w:val="FF0000"/>
              </w:rPr>
              <w:t>78,4</w:t>
            </w:r>
          </w:p>
        </w:tc>
        <w:tc>
          <w:tcPr>
            <w:tcW w:w="1494" w:type="dxa"/>
            <w:hideMark/>
          </w:tcPr>
          <w:p>
            <w:pPr>
              <w:jc w:val="center"/>
              <w:rPr>
                <w:rFonts w:ascii="Times New Roman" w:hAnsi="Times New Roman" w:cs="Times New Roman"/>
                <w:color w:val="FF0000"/>
              </w:rPr>
            </w:pPr>
            <w:r>
              <w:rPr>
                <w:rFonts w:ascii="Times New Roman" w:hAnsi="Times New Roman" w:cs="Times New Roman"/>
                <w:color w:val="FF0000"/>
              </w:rPr>
              <w:t>61,2</w:t>
            </w:r>
          </w:p>
        </w:tc>
        <w:tc>
          <w:tcPr>
            <w:tcW w:w="1641" w:type="dxa"/>
            <w:hideMark/>
          </w:tcPr>
          <w:p>
            <w:pPr>
              <w:jc w:val="center"/>
              <w:rPr>
                <w:rFonts w:ascii="Times New Roman" w:hAnsi="Times New Roman" w:cs="Times New Roman"/>
                <w:color w:val="FF0000"/>
              </w:rPr>
            </w:pPr>
            <w:r>
              <w:rPr>
                <w:rFonts w:ascii="Times New Roman" w:hAnsi="Times New Roman" w:cs="Times New Roman"/>
                <w:color w:val="FF0000"/>
              </w:rPr>
              <w:t>52,3</w:t>
            </w:r>
          </w:p>
        </w:tc>
      </w:tr>
    </w:tbl>
    <w:p>
      <w:pPr>
        <w:spacing w:lineRule="auto" w:line="360" w:after="0" w:beforeAutospacing="0" w:afterAutospacing="0"/>
        <w:ind w:firstLine="709"/>
        <w:jc w:val="both"/>
        <w:rPr>
          <w:rFonts w:ascii="Times New Roman" w:hAnsi="Times New Roman" w:cs="Times New Roman"/>
          <w:color w:val="FF0000"/>
          <w:sz w:val="28"/>
          <w:szCs w:val="28"/>
        </w:rPr>
      </w:pPr>
      <w:r>
        <w:rPr>
          <w:rFonts w:ascii="Times New Roman" w:hAnsi="Times New Roman" w:cs="Times New Roman"/>
          <w:color w:val="FF0000"/>
          <w:sz w:val="28"/>
          <w:szCs w:val="28"/>
        </w:rPr>
        <w:t>Источник: составлено по данным AnStat (2024) и переписи населения RGPH 2021 [3, 5]</w:t>
      </w:r>
    </w:p>
    <w:p>
      <w:pPr>
        <w:spacing w:lineRule="auto" w:line="360" w:after="0" w:beforeAutospacing="0" w:afterAutospacing="0"/>
        <w:ind w:firstLine="709"/>
        <w:jc w:val="both"/>
        <w:rPr>
          <w:rFonts w:ascii="Times New Roman" w:hAnsi="Times New Roman" w:cs="Times New Roman"/>
          <w:color w:val="FF0000"/>
          <w:sz w:val="28"/>
          <w:szCs w:val="28"/>
        </w:rPr>
      </w:pPr>
      <w:r>
        <w:rPr>
          <w:rFonts w:ascii="Times New Roman" w:hAnsi="Times New Roman" w:cs="Times New Roman"/>
          <w:color w:val="FF0000"/>
          <w:sz w:val="28"/>
          <w:szCs w:val="28"/>
        </w:rPr>
        <w:t>Прибрежная зона характеризуется значительной миграционной привлекательностью: ежегодный приток населения в дистрикт Абиджана оценивается в 3,8%, что создает как возможности для экономического роста, так и вызовы в области урбанистики, жилищного строительства и социальной инфраструктуры [5]. Высокая плотность населения и концентрация экономической активности определяют прибрежную зону как приоритетный регион для внедрения цифровых решений.</w:t>
      </w:r>
    </w:p>
    <w:p>
      <w:pPr>
        <w:spacing w:lineRule="auto" w:line="360" w:after="0" w:beforeAutospacing="0" w:afterAutospacing="0"/>
        <w:ind w:firstLine="709"/>
        <w:jc w:val="both"/>
        <w:rPr>
          <w:rFonts w:ascii="Times New Roman" w:hAnsi="Times New Roman" w:cs="Times New Roman"/>
          <w:color w:val="FF0000"/>
          <w:sz w:val="28"/>
          <w:szCs w:val="28"/>
        </w:rPr>
      </w:pPr>
      <w:r>
        <w:rPr>
          <w:rFonts w:ascii="Times New Roman" w:hAnsi="Times New Roman" w:cs="Times New Roman"/>
          <w:color w:val="FF0000"/>
          <w:sz w:val="28"/>
          <w:szCs w:val="28"/>
        </w:rPr>
        <w:t>По данным Агентства национальной статистики Кот-д'Ивуара (AnStat) и Африканского банка развития, прибрежная зона генерирует более 65% совокупного ВВП страны, концентрируя ее ключевые производительные силы</w:t>
      </w:r>
      <w:r>
        <w:rPr>
          <w:rStyle w:val="C42"/>
          <w:rFonts w:ascii="Times New Roman" w:hAnsi="Times New Roman" w:cs="Times New Roman"/>
          <w:color w:val="FF0000"/>
          <w:sz w:val="28"/>
          <w:szCs w:val="28"/>
        </w:rPr>
        <w:footnoteReference w:id="79"/>
      </w:r>
      <w:r>
        <w:rPr>
          <w:rFonts w:ascii="Times New Roman" w:hAnsi="Times New Roman" w:cs="Times New Roman"/>
          <w:color w:val="FF0000"/>
          <w:sz w:val="28"/>
          <w:szCs w:val="28"/>
        </w:rPr>
        <w:t>:</w:t>
      </w:r>
    </w:p>
    <w:p>
      <w:pPr>
        <w:pStyle w:val="P15"/>
        <w:widowControl w:val="1"/>
        <w:numPr>
          <w:ilvl w:val="0"/>
          <w:numId w:val="25"/>
        </w:numPr>
        <w:spacing w:lineRule="auto" w:line="360" w:beforeAutospacing="0" w:afterAutospacing="0"/>
        <w:contextualSpacing w:val="1"/>
        <w:jc w:val="both"/>
        <w:rPr>
          <w:color w:val="FF0000"/>
          <w:sz w:val="28"/>
          <w:szCs w:val="28"/>
        </w:rPr>
      </w:pPr>
      <w:r>
        <w:rPr>
          <w:color w:val="FF0000"/>
          <w:sz w:val="28"/>
          <w:szCs w:val="28"/>
          <w:lang w:val="ru-RU"/>
        </w:rPr>
        <w:t xml:space="preserve">Портовая и логистическая инфраструктура: порт Абиджана обрабатывает 80% морских грузопотоков страны и является важнейшим хабом для стран Западной Африки без выхода к морю </w:t>
      </w:r>
      <w:r>
        <w:rPr>
          <w:color w:val="FF0000"/>
          <w:sz w:val="28"/>
          <w:szCs w:val="28"/>
        </w:rPr>
        <w:t>(Буркина-Фасо, Мали, Нигер) [3].</w:t>
      </w:r>
    </w:p>
    <w:p>
      <w:pPr>
        <w:pStyle w:val="P15"/>
        <w:widowControl w:val="1"/>
        <w:numPr>
          <w:ilvl w:val="0"/>
          <w:numId w:val="25"/>
        </w:numPr>
        <w:spacing w:lineRule="auto" w:line="360" w:beforeAutospacing="0" w:afterAutospacing="0"/>
        <w:contextualSpacing w:val="1"/>
        <w:jc w:val="both"/>
        <w:rPr>
          <w:color w:val="FF0000"/>
          <w:sz w:val="28"/>
          <w:szCs w:val="28"/>
          <w:lang w:val="ru-RU"/>
        </w:rPr>
      </w:pPr>
      <w:r>
        <w:rPr>
          <w:color w:val="FF0000"/>
          <w:sz w:val="28"/>
          <w:szCs w:val="28"/>
          <w:lang w:val="ru-RU"/>
        </w:rPr>
        <w:t>Финансовый сектор: Абиджан является штаб-квартирой Центрального банка стран Западной Африки (</w:t>
      </w:r>
      <w:r>
        <w:rPr>
          <w:color w:val="FF0000"/>
          <w:sz w:val="28"/>
          <w:szCs w:val="28"/>
        </w:rPr>
        <w:t>BCEAO</w:t>
      </w:r>
      <w:r>
        <w:rPr>
          <w:color w:val="FF0000"/>
          <w:sz w:val="28"/>
          <w:szCs w:val="28"/>
          <w:lang w:val="ru-RU"/>
        </w:rPr>
        <w:t>) и концентрирует 92% банковских активов региона УЕМОА [1].</w:t>
      </w:r>
    </w:p>
    <w:p>
      <w:pPr>
        <w:pStyle w:val="P15"/>
        <w:widowControl w:val="1"/>
        <w:numPr>
          <w:ilvl w:val="0"/>
          <w:numId w:val="25"/>
        </w:numPr>
        <w:spacing w:lineRule="auto" w:line="360" w:beforeAutospacing="0" w:afterAutospacing="0"/>
        <w:contextualSpacing w:val="1"/>
        <w:jc w:val="both"/>
        <w:rPr>
          <w:color w:val="FF0000"/>
          <w:sz w:val="28"/>
          <w:szCs w:val="28"/>
          <w:lang w:val="ru-RU"/>
        </w:rPr>
      </w:pPr>
      <w:r>
        <w:rPr>
          <w:color w:val="FF0000"/>
          <w:sz w:val="28"/>
          <w:szCs w:val="28"/>
          <w:lang w:val="ru-RU"/>
        </w:rPr>
        <w:t>Промышленность: в прибрежных регионах расположены 78% обрабатывающих предприятий страны, включая пищевую, химическую и нефтеперерабатывающую промышленность [3].</w:t>
      </w:r>
    </w:p>
    <w:p>
      <w:pPr>
        <w:pStyle w:val="P15"/>
        <w:widowControl w:val="1"/>
        <w:numPr>
          <w:ilvl w:val="0"/>
          <w:numId w:val="25"/>
        </w:numPr>
        <w:spacing w:lineRule="auto" w:line="360" w:beforeAutospacing="0" w:afterAutospacing="0"/>
        <w:contextualSpacing w:val="1"/>
        <w:jc w:val="both"/>
        <w:rPr>
          <w:color w:val="FF0000"/>
          <w:sz w:val="28"/>
          <w:szCs w:val="28"/>
          <w:lang w:val="ru-RU"/>
        </w:rPr>
      </w:pPr>
      <w:r>
        <w:rPr>
          <w:color w:val="FF0000"/>
          <w:sz w:val="28"/>
          <w:szCs w:val="28"/>
          <w:lang w:val="ru-RU"/>
        </w:rPr>
        <w:t>Услуги: доля сектора услуг в экономике прибрежных регионов достигает 69% против 57% в среднем по стране [3].</w:t>
      </w:r>
    </w:p>
    <w:p>
      <w:pPr>
        <w:spacing w:lineRule="auto" w:line="360" w:after="0" w:beforeAutospacing="0" w:afterAutospacing="0"/>
        <w:ind w:firstLine="709"/>
        <w:jc w:val="both"/>
        <w:rPr>
          <w:rFonts w:ascii="Times New Roman" w:hAnsi="Times New Roman" w:cs="Times New Roman"/>
          <w:color w:val="FF0000"/>
          <w:sz w:val="28"/>
          <w:szCs w:val="28"/>
        </w:rPr>
      </w:pPr>
      <w:r>
        <w:rPr>
          <w:rFonts w:ascii="Times New Roman" w:hAnsi="Times New Roman" w:cs="Times New Roman"/>
          <w:color w:val="FF0000"/>
          <w:sz w:val="28"/>
          <w:szCs w:val="28"/>
        </w:rPr>
        <w:t>Важно отметить, что несмотря на впечатляющие макроэкономические результаты, экономика страны сохраняет зависимость от сырьевого экспорта: какао, нефть и каучук обеспечивают 45% экспортных поступлений [1]. Прибрежная зона, будучи центром переработки и экспорта этих товаров, особенно уязвима к колебаниям мировых цен.</w:t>
      </w:r>
    </w:p>
    <w:p>
      <w:pPr>
        <w:spacing w:lineRule="auto" w:line="360" w:after="0" w:beforeAutospacing="0" w:afterAutospacing="0"/>
        <w:ind w:firstLine="709"/>
        <w:jc w:val="both"/>
        <w:rPr>
          <w:rFonts w:ascii="Times New Roman" w:hAnsi="Times New Roman" w:cs="Times New Roman"/>
          <w:color w:val="FF0000"/>
          <w:sz w:val="28"/>
          <w:szCs w:val="28"/>
        </w:rPr>
      </w:pPr>
      <w:r>
        <w:rPr>
          <w:rFonts w:ascii="Times New Roman" w:hAnsi="Times New Roman" w:cs="Times New Roman"/>
          <w:color w:val="FF0000"/>
          <w:sz w:val="28"/>
          <w:szCs w:val="28"/>
        </w:rPr>
        <w:t>Прибрежные регионы обладают наиболее развитой инфраструктурой страны. К 2024 г. завершено строительство 3207 км оптоволоконной сети Национальной магистрали высокоскоростной связи (RNHD), из которых 1840 км проходят по территории прибрежных дистриктов [3]. Порт Абиджана модернизирован с увеличением пропускной способности до 40 млн тонн грузов в год, а международный аэропорт Феликса Уфуэ-Буаньи обрабатывает 3,2 млн пассажиров ежегодно [3].</w:t>
      </w:r>
    </w:p>
    <w:p>
      <w:pPr>
        <w:spacing w:lineRule="auto" w:line="360" w:after="0" w:beforeAutospacing="0" w:afterAutospacing="0"/>
        <w:ind w:firstLine="709"/>
        <w:jc w:val="both"/>
        <w:rPr>
          <w:rFonts w:ascii="Times New Roman" w:hAnsi="Times New Roman" w:cs="Times New Roman"/>
          <w:color w:val="FF0000"/>
          <w:sz w:val="28"/>
          <w:szCs w:val="28"/>
        </w:rPr>
      </w:pPr>
      <w:r>
        <w:rPr>
          <w:rFonts w:ascii="Times New Roman" w:hAnsi="Times New Roman" w:cs="Times New Roman"/>
          <w:color w:val="FF0000"/>
          <w:sz w:val="28"/>
          <w:szCs w:val="28"/>
        </w:rPr>
        <w:t>В энергетическом секторе прибрежная зона обеспечена на 98% (против 42% в сельских районах внутренних регионов). Установленная мощность электрогенерации в прибрежных регионах достигает 1850 МВт, что составляет 72% от общего объема производства электроэнергии в стране [3].</w:t>
      </w:r>
    </w:p>
    <w:p>
      <w:pPr>
        <w:spacing w:lineRule="auto" w:line="360" w:after="0" w:beforeAutospacing="0" w:afterAutospacing="0"/>
        <w:ind w:firstLine="709"/>
        <w:jc w:val="both"/>
        <w:rPr>
          <w:rFonts w:ascii="Times New Roman" w:hAnsi="Times New Roman" w:cs="Times New Roman"/>
          <w:color w:val="FF0000"/>
          <w:sz w:val="28"/>
          <w:szCs w:val="28"/>
        </w:rPr>
      </w:pPr>
      <w:r>
        <w:rPr>
          <w:rFonts w:ascii="Times New Roman" w:hAnsi="Times New Roman" w:cs="Times New Roman"/>
          <w:color w:val="FF0000"/>
          <w:sz w:val="28"/>
          <w:szCs w:val="28"/>
        </w:rPr>
        <w:t>Цифровизация представляет собой приоритетное направление развития прибрежных территорий. По состоянию на 2024 г.:</w:t>
      </w:r>
    </w:p>
    <w:p>
      <w:pPr>
        <w:pStyle w:val="P15"/>
        <w:widowControl w:val="1"/>
        <w:numPr>
          <w:ilvl w:val="0"/>
          <w:numId w:val="25"/>
        </w:numPr>
        <w:spacing w:lineRule="auto" w:line="360" w:beforeAutospacing="0" w:afterAutospacing="0"/>
        <w:contextualSpacing w:val="1"/>
        <w:jc w:val="both"/>
        <w:rPr>
          <w:color w:val="FF0000"/>
          <w:sz w:val="28"/>
          <w:szCs w:val="28"/>
          <w:lang w:val="ru-RU"/>
        </w:rPr>
      </w:pPr>
      <w:r>
        <w:rPr>
          <w:color w:val="FF0000"/>
          <w:sz w:val="28"/>
          <w:szCs w:val="28"/>
          <w:lang w:val="ru-RU"/>
        </w:rPr>
        <w:t>Количество абонентов мобильной связи в прибрежных регионах достигло 14,8 млн (95% покрытия населения) [3].</w:t>
      </w:r>
    </w:p>
    <w:p>
      <w:pPr>
        <w:pStyle w:val="P15"/>
        <w:widowControl w:val="1"/>
        <w:numPr>
          <w:ilvl w:val="0"/>
          <w:numId w:val="25"/>
        </w:numPr>
        <w:spacing w:lineRule="auto" w:line="360" w:beforeAutospacing="0" w:afterAutospacing="0"/>
        <w:contextualSpacing w:val="1"/>
        <w:jc w:val="both"/>
        <w:rPr>
          <w:color w:val="FF0000"/>
          <w:sz w:val="28"/>
          <w:szCs w:val="28"/>
          <w:lang w:val="ru-RU"/>
        </w:rPr>
      </w:pPr>
      <w:r>
        <w:rPr>
          <w:color w:val="FF0000"/>
          <w:sz w:val="28"/>
          <w:szCs w:val="28"/>
          <w:lang w:val="ru-RU"/>
        </w:rPr>
        <w:t>Количество абонентов мобильного интернета составило 12,3 млн человек (78% населения прибрежной зоны) [3].</w:t>
      </w:r>
    </w:p>
    <w:p>
      <w:pPr>
        <w:pStyle w:val="P15"/>
        <w:widowControl w:val="1"/>
        <w:numPr>
          <w:ilvl w:val="0"/>
          <w:numId w:val="25"/>
        </w:numPr>
        <w:spacing w:lineRule="auto" w:line="360" w:beforeAutospacing="0" w:afterAutospacing="0"/>
        <w:contextualSpacing w:val="1"/>
        <w:jc w:val="both"/>
        <w:rPr>
          <w:color w:val="FF0000"/>
          <w:sz w:val="28"/>
          <w:szCs w:val="28"/>
          <w:lang w:val="ru-RU"/>
        </w:rPr>
      </w:pPr>
      <w:r>
        <w:rPr>
          <w:color w:val="FF0000"/>
          <w:sz w:val="28"/>
          <w:szCs w:val="28"/>
          <w:lang w:val="ru-RU"/>
        </w:rPr>
        <w:t xml:space="preserve">Внедрение сервисов </w:t>
      </w:r>
      <w:r>
        <w:rPr>
          <w:color w:val="FF0000"/>
          <w:sz w:val="28"/>
          <w:szCs w:val="28"/>
        </w:rPr>
        <w:t>Mobile</w:t>
      </w:r>
      <w:r>
        <w:rPr>
          <w:color w:val="FF0000"/>
          <w:sz w:val="28"/>
          <w:szCs w:val="28"/>
          <w:lang w:val="ru-RU"/>
        </w:rPr>
        <w:t xml:space="preserve"> </w:t>
      </w:r>
      <w:r>
        <w:rPr>
          <w:color w:val="FF0000"/>
          <w:sz w:val="28"/>
          <w:szCs w:val="28"/>
        </w:rPr>
        <w:t>Money</w:t>
      </w:r>
      <w:r>
        <w:rPr>
          <w:color w:val="FF0000"/>
          <w:sz w:val="28"/>
          <w:szCs w:val="28"/>
          <w:lang w:val="ru-RU"/>
        </w:rPr>
        <w:t xml:space="preserve"> охватывает 89% взрослого населения прибрежных районов против 54% в среднем по стране [3].</w:t>
      </w:r>
    </w:p>
    <w:p>
      <w:pPr>
        <w:pStyle w:val="P15"/>
        <w:widowControl w:val="1"/>
        <w:numPr>
          <w:ilvl w:val="0"/>
          <w:numId w:val="25"/>
        </w:numPr>
        <w:spacing w:lineRule="auto" w:line="360" w:beforeAutospacing="0" w:afterAutospacing="0"/>
        <w:contextualSpacing w:val="1"/>
        <w:jc w:val="both"/>
        <w:rPr>
          <w:color w:val="FF0000"/>
          <w:sz w:val="28"/>
          <w:szCs w:val="28"/>
          <w:lang w:val="ru-RU"/>
        </w:rPr>
      </w:pPr>
      <w:r>
        <w:rPr>
          <w:color w:val="FF0000"/>
          <w:sz w:val="28"/>
          <w:szCs w:val="28"/>
          <w:lang w:val="ru-RU"/>
        </w:rPr>
        <w:t>Построено 263 общественных точки доступа к интернету (включая 232 муниципальных центра занятости и 31 региональное отделение Агентства по трудоустройству молодежи) [3].</w:t>
      </w:r>
    </w:p>
    <w:p>
      <w:pPr>
        <w:spacing w:lineRule="auto" w:line="360" w:after="0" w:beforeAutospacing="0" w:afterAutospacing="0"/>
        <w:ind w:firstLine="709"/>
        <w:jc w:val="both"/>
        <w:rPr>
          <w:rFonts w:ascii="Times New Roman" w:hAnsi="Times New Roman" w:cs="Times New Roman"/>
          <w:color w:val="FF0000"/>
          <w:sz w:val="28"/>
          <w:szCs w:val="28"/>
        </w:rPr>
      </w:pPr>
      <w:r>
        <w:rPr>
          <w:rFonts w:ascii="Times New Roman" w:hAnsi="Times New Roman" w:cs="Times New Roman"/>
          <w:color w:val="FF0000"/>
          <w:sz w:val="28"/>
          <w:szCs w:val="28"/>
        </w:rPr>
        <w:t>Таблица 3. Показатели цифровой инфраструктуры по регионам (2024)</w:t>
      </w:r>
    </w:p>
    <w:tbl>
      <w:tblPr>
        <w:tblStyle w:val="T3"/>
        <w:tblW w:w="0" w:type="auto"/>
        <w:tblLook w:val="04A0"/>
      </w:tblPr>
      <w:tblGrid>
        <w:gridCol w:w="5204"/>
        <w:gridCol w:w="1662"/>
        <w:gridCol w:w="1713"/>
        <w:gridCol w:w="1333"/>
      </w:tblGrid>
      <w:tr>
        <w:tc>
          <w:tcPr>
            <w:tcW w:w="0" w:type="auto"/>
            <w:hideMark/>
          </w:tcPr>
          <w:p>
            <w:pPr>
              <w:jc w:val="center"/>
              <w:rPr>
                <w:rFonts w:ascii="Times New Roman" w:hAnsi="Times New Roman" w:cs="Times New Roman"/>
                <w:b w:val="1"/>
                <w:bCs w:val="1"/>
                <w:color w:val="FF0000"/>
              </w:rPr>
            </w:pPr>
            <w:r>
              <w:rPr>
                <w:rFonts w:ascii="Times New Roman" w:hAnsi="Times New Roman" w:cs="Times New Roman"/>
                <w:b w:val="1"/>
                <w:bCs w:val="1"/>
                <w:color w:val="FF0000"/>
              </w:rPr>
              <w:t>Показатель</w:t>
            </w:r>
          </w:p>
        </w:tc>
        <w:tc>
          <w:tcPr>
            <w:tcW w:w="1662" w:type="dxa"/>
            <w:hideMark/>
          </w:tcPr>
          <w:p>
            <w:pPr>
              <w:jc w:val="both"/>
              <w:rPr>
                <w:rFonts w:ascii="Times New Roman" w:hAnsi="Times New Roman" w:cs="Times New Roman"/>
                <w:b w:val="1"/>
                <w:bCs w:val="1"/>
                <w:color w:val="FF0000"/>
              </w:rPr>
            </w:pPr>
            <w:r>
              <w:rPr>
                <w:rFonts w:ascii="Times New Roman" w:hAnsi="Times New Roman" w:cs="Times New Roman"/>
                <w:b w:val="1"/>
                <w:bCs w:val="1"/>
                <w:color w:val="FF0000"/>
              </w:rPr>
              <w:t>Прибрежные регионы</w:t>
            </w:r>
          </w:p>
        </w:tc>
        <w:tc>
          <w:tcPr>
            <w:tcW w:w="1713" w:type="dxa"/>
            <w:hideMark/>
          </w:tcPr>
          <w:p>
            <w:pPr>
              <w:jc w:val="both"/>
              <w:rPr>
                <w:rFonts w:ascii="Times New Roman" w:hAnsi="Times New Roman" w:cs="Times New Roman"/>
                <w:b w:val="1"/>
                <w:bCs w:val="1"/>
                <w:color w:val="FF0000"/>
              </w:rPr>
            </w:pPr>
            <w:r>
              <w:rPr>
                <w:rFonts w:ascii="Times New Roman" w:hAnsi="Times New Roman" w:cs="Times New Roman"/>
                <w:b w:val="1"/>
                <w:bCs w:val="1"/>
                <w:color w:val="FF0000"/>
              </w:rPr>
              <w:t>Внутренние регионы</w:t>
            </w:r>
          </w:p>
        </w:tc>
        <w:tc>
          <w:tcPr>
            <w:tcW w:w="1333" w:type="dxa"/>
            <w:hideMark/>
          </w:tcPr>
          <w:p>
            <w:pPr>
              <w:jc w:val="both"/>
              <w:rPr>
                <w:rFonts w:ascii="Times New Roman" w:hAnsi="Times New Roman" w:cs="Times New Roman"/>
                <w:b w:val="1"/>
                <w:bCs w:val="1"/>
                <w:color w:val="FF0000"/>
              </w:rPr>
            </w:pPr>
            <w:r>
              <w:rPr>
                <w:rFonts w:ascii="Times New Roman" w:hAnsi="Times New Roman" w:cs="Times New Roman"/>
                <w:b w:val="1"/>
                <w:bCs w:val="1"/>
                <w:color w:val="FF0000"/>
              </w:rPr>
              <w:t>Средний по стране</w:t>
            </w:r>
          </w:p>
        </w:tc>
      </w:tr>
      <w:tr>
        <w:tc>
          <w:tcPr>
            <w:tcW w:w="0" w:type="auto"/>
            <w:hideMark/>
          </w:tcPr>
          <w:p>
            <w:pPr>
              <w:jc w:val="both"/>
              <w:rPr>
                <w:rFonts w:ascii="Times New Roman" w:hAnsi="Times New Roman" w:cs="Times New Roman"/>
                <w:color w:val="FF0000"/>
              </w:rPr>
            </w:pPr>
            <w:r>
              <w:rPr>
                <w:rFonts w:ascii="Times New Roman" w:hAnsi="Times New Roman" w:cs="Times New Roman"/>
                <w:color w:val="FF0000"/>
              </w:rPr>
              <w:t>Покрытие 4G, % территории</w:t>
            </w:r>
          </w:p>
        </w:tc>
        <w:tc>
          <w:tcPr>
            <w:tcW w:w="1662" w:type="dxa"/>
            <w:hideMark/>
          </w:tcPr>
          <w:p>
            <w:pPr>
              <w:jc w:val="center"/>
              <w:rPr>
                <w:rFonts w:ascii="Times New Roman" w:hAnsi="Times New Roman" w:cs="Times New Roman"/>
                <w:color w:val="FF0000"/>
              </w:rPr>
            </w:pPr>
            <w:r>
              <w:rPr>
                <w:rFonts w:ascii="Times New Roman" w:hAnsi="Times New Roman" w:cs="Times New Roman"/>
                <w:color w:val="FF0000"/>
              </w:rPr>
              <w:t>96,2</w:t>
            </w:r>
          </w:p>
        </w:tc>
        <w:tc>
          <w:tcPr>
            <w:tcW w:w="1713" w:type="dxa"/>
            <w:hideMark/>
          </w:tcPr>
          <w:p>
            <w:pPr>
              <w:jc w:val="center"/>
              <w:rPr>
                <w:rFonts w:ascii="Times New Roman" w:hAnsi="Times New Roman" w:cs="Times New Roman"/>
                <w:color w:val="FF0000"/>
              </w:rPr>
            </w:pPr>
            <w:r>
              <w:rPr>
                <w:rFonts w:ascii="Times New Roman" w:hAnsi="Times New Roman" w:cs="Times New Roman"/>
                <w:color w:val="FF0000"/>
              </w:rPr>
              <w:t>68,7</w:t>
            </w:r>
          </w:p>
        </w:tc>
        <w:tc>
          <w:tcPr>
            <w:tcW w:w="1333" w:type="dxa"/>
            <w:hideMark/>
          </w:tcPr>
          <w:p>
            <w:pPr>
              <w:jc w:val="center"/>
              <w:rPr>
                <w:rFonts w:ascii="Times New Roman" w:hAnsi="Times New Roman" w:cs="Times New Roman"/>
                <w:color w:val="FF0000"/>
              </w:rPr>
            </w:pPr>
            <w:r>
              <w:rPr>
                <w:rFonts w:ascii="Times New Roman" w:hAnsi="Times New Roman" w:cs="Times New Roman"/>
                <w:color w:val="FF0000"/>
              </w:rPr>
              <w:t>82,4</w:t>
            </w:r>
          </w:p>
        </w:tc>
      </w:tr>
      <w:tr>
        <w:tc>
          <w:tcPr>
            <w:tcW w:w="0" w:type="auto"/>
            <w:hideMark/>
          </w:tcPr>
          <w:p>
            <w:pPr>
              <w:jc w:val="both"/>
              <w:rPr>
                <w:rFonts w:ascii="Times New Roman" w:hAnsi="Times New Roman" w:cs="Times New Roman"/>
                <w:color w:val="FF0000"/>
              </w:rPr>
            </w:pPr>
            <w:r>
              <w:rPr>
                <w:rFonts w:ascii="Times New Roman" w:hAnsi="Times New Roman" w:cs="Times New Roman"/>
                <w:color w:val="FF0000"/>
              </w:rPr>
              <w:t>Абоненты мобильного интернета на 100 жителей</w:t>
            </w:r>
          </w:p>
        </w:tc>
        <w:tc>
          <w:tcPr>
            <w:tcW w:w="1662" w:type="dxa"/>
            <w:hideMark/>
          </w:tcPr>
          <w:p>
            <w:pPr>
              <w:jc w:val="center"/>
              <w:rPr>
                <w:rFonts w:ascii="Times New Roman" w:hAnsi="Times New Roman" w:cs="Times New Roman"/>
                <w:color w:val="FF0000"/>
              </w:rPr>
            </w:pPr>
            <w:r>
              <w:rPr>
                <w:rFonts w:ascii="Times New Roman" w:hAnsi="Times New Roman" w:cs="Times New Roman"/>
                <w:color w:val="FF0000"/>
              </w:rPr>
              <w:t>78,3</w:t>
            </w:r>
          </w:p>
        </w:tc>
        <w:tc>
          <w:tcPr>
            <w:tcW w:w="1713" w:type="dxa"/>
            <w:hideMark/>
          </w:tcPr>
          <w:p>
            <w:pPr>
              <w:jc w:val="center"/>
              <w:rPr>
                <w:rFonts w:ascii="Times New Roman" w:hAnsi="Times New Roman" w:cs="Times New Roman"/>
                <w:color w:val="FF0000"/>
              </w:rPr>
            </w:pPr>
            <w:r>
              <w:rPr>
                <w:rFonts w:ascii="Times New Roman" w:hAnsi="Times New Roman" w:cs="Times New Roman"/>
                <w:color w:val="FF0000"/>
              </w:rPr>
              <w:t>34,1</w:t>
            </w:r>
          </w:p>
        </w:tc>
        <w:tc>
          <w:tcPr>
            <w:tcW w:w="1333" w:type="dxa"/>
            <w:hideMark/>
          </w:tcPr>
          <w:p>
            <w:pPr>
              <w:jc w:val="center"/>
              <w:rPr>
                <w:rFonts w:ascii="Times New Roman" w:hAnsi="Times New Roman" w:cs="Times New Roman"/>
                <w:color w:val="FF0000"/>
              </w:rPr>
            </w:pPr>
            <w:r>
              <w:rPr>
                <w:rFonts w:ascii="Times New Roman" w:hAnsi="Times New Roman" w:cs="Times New Roman"/>
                <w:color w:val="FF0000"/>
              </w:rPr>
              <w:t>51,7</w:t>
            </w:r>
          </w:p>
        </w:tc>
      </w:tr>
      <w:tr>
        <w:tc>
          <w:tcPr>
            <w:tcW w:w="0" w:type="auto"/>
            <w:hideMark/>
          </w:tcPr>
          <w:p>
            <w:pPr>
              <w:jc w:val="both"/>
              <w:rPr>
                <w:rFonts w:ascii="Times New Roman" w:hAnsi="Times New Roman" w:cs="Times New Roman"/>
                <w:color w:val="FF0000"/>
              </w:rPr>
            </w:pPr>
            <w:r>
              <w:rPr>
                <w:rFonts w:ascii="Times New Roman" w:hAnsi="Times New Roman" w:cs="Times New Roman"/>
                <w:color w:val="FF0000"/>
              </w:rPr>
              <w:t xml:space="preserve">Проникновение </w:t>
            </w:r>
            <w:r>
              <w:rPr>
                <w:rFonts w:ascii="Times New Roman" w:hAnsi="Times New Roman" w:cs="Times New Roman"/>
                <w:i w:val="1"/>
                <w:iCs w:val="1"/>
                <w:color w:val="FF0000"/>
              </w:rPr>
              <w:t>Mobile Money</w:t>
            </w:r>
            <w:r>
              <w:rPr>
                <w:rFonts w:ascii="Times New Roman" w:hAnsi="Times New Roman" w:cs="Times New Roman"/>
                <w:color w:val="FF0000"/>
              </w:rPr>
              <w:t>, % взрослых</w:t>
            </w:r>
          </w:p>
        </w:tc>
        <w:tc>
          <w:tcPr>
            <w:tcW w:w="1662" w:type="dxa"/>
            <w:hideMark/>
          </w:tcPr>
          <w:p>
            <w:pPr>
              <w:jc w:val="center"/>
              <w:rPr>
                <w:rFonts w:ascii="Times New Roman" w:hAnsi="Times New Roman" w:cs="Times New Roman"/>
                <w:color w:val="FF0000"/>
              </w:rPr>
            </w:pPr>
            <w:r>
              <w:rPr>
                <w:rFonts w:ascii="Times New Roman" w:hAnsi="Times New Roman" w:cs="Times New Roman"/>
                <w:color w:val="FF0000"/>
              </w:rPr>
              <w:t>89,0</w:t>
            </w:r>
          </w:p>
        </w:tc>
        <w:tc>
          <w:tcPr>
            <w:tcW w:w="1713" w:type="dxa"/>
            <w:hideMark/>
          </w:tcPr>
          <w:p>
            <w:pPr>
              <w:jc w:val="center"/>
              <w:rPr>
                <w:rFonts w:ascii="Times New Roman" w:hAnsi="Times New Roman" w:cs="Times New Roman"/>
                <w:color w:val="FF0000"/>
              </w:rPr>
            </w:pPr>
            <w:r>
              <w:rPr>
                <w:rFonts w:ascii="Times New Roman" w:hAnsi="Times New Roman" w:cs="Times New Roman"/>
                <w:color w:val="FF0000"/>
              </w:rPr>
              <w:t>54,0</w:t>
            </w:r>
          </w:p>
        </w:tc>
        <w:tc>
          <w:tcPr>
            <w:tcW w:w="1333" w:type="dxa"/>
            <w:hideMark/>
          </w:tcPr>
          <w:p>
            <w:pPr>
              <w:jc w:val="center"/>
              <w:rPr>
                <w:rFonts w:ascii="Times New Roman" w:hAnsi="Times New Roman" w:cs="Times New Roman"/>
                <w:color w:val="FF0000"/>
              </w:rPr>
            </w:pPr>
            <w:r>
              <w:rPr>
                <w:rFonts w:ascii="Times New Roman" w:hAnsi="Times New Roman" w:cs="Times New Roman"/>
                <w:color w:val="FF0000"/>
              </w:rPr>
              <w:t>67,5</w:t>
            </w:r>
          </w:p>
        </w:tc>
      </w:tr>
      <w:tr>
        <w:tc>
          <w:tcPr>
            <w:tcW w:w="0" w:type="auto"/>
            <w:hideMark/>
          </w:tcPr>
          <w:p>
            <w:pPr>
              <w:jc w:val="both"/>
              <w:rPr>
                <w:rFonts w:ascii="Times New Roman" w:hAnsi="Times New Roman" w:cs="Times New Roman"/>
                <w:color w:val="FF0000"/>
              </w:rPr>
            </w:pPr>
            <w:r>
              <w:rPr>
                <w:rFonts w:ascii="Times New Roman" w:hAnsi="Times New Roman" w:cs="Times New Roman"/>
                <w:color w:val="FF0000"/>
              </w:rPr>
              <w:t>Количество точек доступа к интернету на 100 тыс. жителей</w:t>
            </w:r>
          </w:p>
        </w:tc>
        <w:tc>
          <w:tcPr>
            <w:tcW w:w="1662" w:type="dxa"/>
            <w:hideMark/>
          </w:tcPr>
          <w:p>
            <w:pPr>
              <w:jc w:val="center"/>
              <w:rPr>
                <w:rFonts w:ascii="Times New Roman" w:hAnsi="Times New Roman" w:cs="Times New Roman"/>
                <w:color w:val="FF0000"/>
              </w:rPr>
            </w:pPr>
            <w:r>
              <w:rPr>
                <w:rFonts w:ascii="Times New Roman" w:hAnsi="Times New Roman" w:cs="Times New Roman"/>
                <w:color w:val="FF0000"/>
              </w:rPr>
              <w:t>4,2</w:t>
            </w:r>
          </w:p>
        </w:tc>
        <w:tc>
          <w:tcPr>
            <w:tcW w:w="1713" w:type="dxa"/>
            <w:hideMark/>
          </w:tcPr>
          <w:p>
            <w:pPr>
              <w:jc w:val="center"/>
              <w:rPr>
                <w:rFonts w:ascii="Times New Roman" w:hAnsi="Times New Roman" w:cs="Times New Roman"/>
                <w:color w:val="FF0000"/>
              </w:rPr>
            </w:pPr>
            <w:r>
              <w:rPr>
                <w:rFonts w:ascii="Times New Roman" w:hAnsi="Times New Roman" w:cs="Times New Roman"/>
                <w:color w:val="FF0000"/>
              </w:rPr>
              <w:t>1,1</w:t>
            </w:r>
          </w:p>
        </w:tc>
        <w:tc>
          <w:tcPr>
            <w:tcW w:w="1333" w:type="dxa"/>
            <w:hideMark/>
          </w:tcPr>
          <w:p>
            <w:pPr>
              <w:jc w:val="center"/>
              <w:rPr>
                <w:rFonts w:ascii="Times New Roman" w:hAnsi="Times New Roman" w:cs="Times New Roman"/>
                <w:color w:val="FF0000"/>
              </w:rPr>
            </w:pPr>
            <w:r>
              <w:rPr>
                <w:rFonts w:ascii="Times New Roman" w:hAnsi="Times New Roman" w:cs="Times New Roman"/>
                <w:color w:val="FF0000"/>
              </w:rPr>
              <w:t>2,3</w:t>
            </w:r>
          </w:p>
        </w:tc>
      </w:tr>
      <w:tr>
        <w:tc>
          <w:tcPr>
            <w:tcW w:w="0" w:type="auto"/>
            <w:hideMark/>
          </w:tcPr>
          <w:p>
            <w:pPr>
              <w:jc w:val="both"/>
              <w:rPr>
                <w:rFonts w:ascii="Times New Roman" w:hAnsi="Times New Roman" w:cs="Times New Roman"/>
                <w:color w:val="FF0000"/>
              </w:rPr>
            </w:pPr>
            <w:r>
              <w:rPr>
                <w:rFonts w:ascii="Times New Roman" w:hAnsi="Times New Roman" w:cs="Times New Roman"/>
                <w:color w:val="FF0000"/>
              </w:rPr>
              <w:t>Скорость мобильного интернета, Мбит/с</w:t>
            </w:r>
          </w:p>
        </w:tc>
        <w:tc>
          <w:tcPr>
            <w:tcW w:w="1662" w:type="dxa"/>
            <w:hideMark/>
          </w:tcPr>
          <w:p>
            <w:pPr>
              <w:jc w:val="center"/>
              <w:rPr>
                <w:rFonts w:ascii="Times New Roman" w:hAnsi="Times New Roman" w:cs="Times New Roman"/>
                <w:color w:val="FF0000"/>
              </w:rPr>
            </w:pPr>
            <w:r>
              <w:rPr>
                <w:rFonts w:ascii="Times New Roman" w:hAnsi="Times New Roman" w:cs="Times New Roman"/>
                <w:color w:val="FF0000"/>
              </w:rPr>
              <w:t>28,4</w:t>
            </w:r>
          </w:p>
        </w:tc>
        <w:tc>
          <w:tcPr>
            <w:tcW w:w="1713" w:type="dxa"/>
            <w:hideMark/>
          </w:tcPr>
          <w:p>
            <w:pPr>
              <w:jc w:val="center"/>
              <w:rPr>
                <w:rFonts w:ascii="Times New Roman" w:hAnsi="Times New Roman" w:cs="Times New Roman"/>
                <w:color w:val="FF0000"/>
              </w:rPr>
            </w:pPr>
            <w:r>
              <w:rPr>
                <w:rFonts w:ascii="Times New Roman" w:hAnsi="Times New Roman" w:cs="Times New Roman"/>
                <w:color w:val="FF0000"/>
              </w:rPr>
              <w:t>14,2</w:t>
            </w:r>
          </w:p>
        </w:tc>
        <w:tc>
          <w:tcPr>
            <w:tcW w:w="1333" w:type="dxa"/>
            <w:hideMark/>
          </w:tcPr>
          <w:p>
            <w:pPr>
              <w:jc w:val="center"/>
              <w:rPr>
                <w:rFonts w:ascii="Times New Roman" w:hAnsi="Times New Roman" w:cs="Times New Roman"/>
                <w:color w:val="FF0000"/>
              </w:rPr>
            </w:pPr>
            <w:r>
              <w:rPr>
                <w:rFonts w:ascii="Times New Roman" w:hAnsi="Times New Roman" w:cs="Times New Roman"/>
                <w:color w:val="FF0000"/>
              </w:rPr>
              <w:t>19,8</w:t>
            </w:r>
          </w:p>
        </w:tc>
      </w:tr>
    </w:tbl>
    <w:p>
      <w:pPr>
        <w:spacing w:lineRule="auto" w:line="360" w:after="0" w:beforeAutospacing="0" w:afterAutospacing="0"/>
        <w:ind w:firstLine="709"/>
        <w:jc w:val="both"/>
        <w:rPr>
          <w:rFonts w:ascii="Times New Roman" w:hAnsi="Times New Roman" w:cs="Times New Roman"/>
          <w:color w:val="FF0000"/>
          <w:sz w:val="28"/>
          <w:szCs w:val="28"/>
        </w:rPr>
      </w:pPr>
      <w:r>
        <w:rPr>
          <w:rFonts w:ascii="Times New Roman" w:hAnsi="Times New Roman" w:cs="Times New Roman"/>
          <w:color w:val="FF0000"/>
          <w:sz w:val="28"/>
          <w:szCs w:val="28"/>
        </w:rPr>
        <w:t xml:space="preserve">Источник: составлено по данным Министерства цифровизации и почты (2024) [3]. </w:t>
      </w:r>
    </w:p>
    <w:p>
      <w:pPr>
        <w:spacing w:lineRule="exact" w:line="440" w:after="0" w:beforeAutospacing="0" w:afterAutospacing="0"/>
        <w:ind w:firstLine="709"/>
        <w:jc w:val="both"/>
        <w:rPr>
          <w:highlight w:val="yellow"/>
        </w:rPr>
      </w:pPr>
      <w:r>
        <w:rPr>
          <w:rFonts w:ascii="Times New Roman" w:hAnsi="Times New Roman"/>
          <w:color w:val="000000"/>
          <w:sz w:val="28"/>
          <w:highlight w:val="yellow"/>
        </w:rPr>
        <w:t>Прибрежная зона обладает рядом уникальных структурных преимуществ. Порт Абиджана — крупнейший в Западной Африке — обрабатывает 80% морских грузопотоков страны и выполняет функции регионального транзитного хаба для не имеющих выхода к морю государств: Буркина-Фасо, Мали, Нигера и Гвинеи [7]. В дистрикте Абиджана расположена штаб-квартира Центрального банка государств Западной Африки (BCEAO), здесь сосредоточено 92% банковских активов региона УЕМОА. В прибрежной зоне функционируют 78% обрабатывающих предприятий страны, а доля сектора услуг достигает 69% против 57% в среднем по стране [7].</w:t>
      </w:r>
    </w:p>
    <w:p>
      <w:pPr>
        <w:spacing w:lineRule="exact" w:line="440" w:after="0" w:beforeAutospacing="0" w:afterAutospacing="0"/>
        <w:ind w:firstLine="709"/>
        <w:jc w:val="both"/>
      </w:pPr>
      <w:r>
        <w:rPr>
          <w:rFonts w:ascii="Times New Roman" w:hAnsi="Times New Roman"/>
          <w:color w:val="000000"/>
          <w:sz w:val="28"/>
          <w:highlight w:val="yellow"/>
        </w:rPr>
        <w:t>Инфраструктурный базис прибрежной зоны также выгодно отличает ее от внутренних регионов. К 2024 году построено 1840 км оптоволоконных каналов связи (из 3207 км Национальной магистрали высокоскоростной связи RNHD); покрытие 4G достигает 96,2% территории зоны; проникновение сервисов Mobile Money охватывает 89% взрослого населения — в сравнении с 67,5% в среднем по стране [8]. Такие параметры создают «цифровую подложку» — необходимое, но не достаточное условие для развертывания интегрированной платформенной экосистемы [8; 14].</w:t>
      </w:r>
    </w:p>
    <w:p>
      <w:pPr>
        <w:spacing w:lineRule="auto" w:line="360" w:after="0" w:beforeAutospacing="0" w:afterAutospacing="0"/>
        <w:ind w:firstLine="709"/>
        <w:jc w:val="both"/>
        <w:rPr>
          <w:rFonts w:ascii="Times New Roman" w:hAnsi="Times New Roman" w:cs="Times New Roman"/>
          <w:color w:val="FF0000"/>
          <w:sz w:val="28"/>
          <w:szCs w:val="28"/>
        </w:rPr>
      </w:pPr>
    </w:p>
    <w:p>
      <w:pPr>
        <w:spacing w:lineRule="auto" w:line="360" w:after="0" w:beforeAutospacing="0" w:afterAutospacing="0"/>
        <w:ind w:firstLine="709"/>
        <w:jc w:val="both"/>
        <w:rPr>
          <w:rFonts w:ascii="Times New Roman" w:hAnsi="Times New Roman" w:cs="Times New Roman"/>
          <w:color w:val="FF0000"/>
          <w:sz w:val="28"/>
          <w:szCs w:val="28"/>
        </w:rPr>
      </w:pPr>
    </w:p>
    <w:p>
      <w:pPr>
        <w:spacing w:lineRule="auto" w:line="360" w:after="0" w:beforeAutospacing="0" w:afterAutospacing="0"/>
        <w:ind w:firstLine="709"/>
        <w:jc w:val="both"/>
        <w:rPr>
          <w:rFonts w:ascii="Times New Roman" w:hAnsi="Times New Roman" w:cs="Times New Roman"/>
          <w:color w:val="FF0000"/>
          <w:sz w:val="28"/>
          <w:szCs w:val="28"/>
        </w:rPr>
      </w:pPr>
    </w:p>
    <w:p>
      <w:pPr>
        <w:spacing w:lineRule="auto" w:line="360" w:after="0" w:beforeAutospacing="0" w:afterAutospacing="0"/>
        <w:ind w:firstLine="709"/>
        <w:jc w:val="both"/>
        <w:rPr>
          <w:rFonts w:ascii="Times New Roman" w:hAnsi="Times New Roman" w:cs="Times New Roman"/>
          <w:color w:val="FF0000"/>
          <w:sz w:val="28"/>
          <w:szCs w:val="28"/>
        </w:rPr>
      </w:pPr>
      <w:r>
        <w:rPr>
          <w:rFonts w:ascii="Times New Roman" w:hAnsi="Times New Roman" w:cs="Times New Roman"/>
          <w:color w:val="FF0000"/>
          <w:sz w:val="28"/>
          <w:szCs w:val="28"/>
        </w:rPr>
        <w:t>Несмотря на прогресс, сохраняются значительные разрывы в качестве цифровой инфраструктуры даже внутри прибрежной зоны: в центральных районах Абиджана средняя скорость интернета достигает 45 Мбит/с, тогда как в периферийных прибрежных коммунах (Гранд-Лагун, Ассинье) этот показатель не превышает 12 Мбит/с [3].</w:t>
      </w:r>
    </w:p>
    <w:p>
      <w:pPr>
        <w:spacing w:lineRule="auto" w:line="360" w:after="0" w:beforeAutospacing="0" w:afterAutospacing="0"/>
        <w:ind w:firstLine="709"/>
        <w:jc w:val="both"/>
        <w:rPr>
          <w:rFonts w:ascii="Times New Roman" w:hAnsi="Times New Roman" w:cs="Times New Roman"/>
          <w:b w:val="1"/>
          <w:bCs w:val="1"/>
          <w:color w:val="FF0000"/>
          <w:sz w:val="28"/>
          <w:szCs w:val="28"/>
        </w:rPr>
      </w:pPr>
      <w:r>
        <w:rPr>
          <w:rFonts w:ascii="Times New Roman" w:hAnsi="Times New Roman" w:cs="Times New Roman"/>
          <w:b w:val="1"/>
          <w:bCs w:val="1"/>
          <w:color w:val="FF0000"/>
          <w:sz w:val="28"/>
          <w:szCs w:val="28"/>
        </w:rPr>
        <w:t>1.2.4. Человеческий капитал и кадровый потенциал для цифровой трансформации</w:t>
      </w:r>
    </w:p>
    <w:p>
      <w:pPr>
        <w:spacing w:lineRule="auto" w:line="360" w:after="0" w:beforeAutospacing="0" w:afterAutospacing="0"/>
        <w:ind w:firstLine="709"/>
        <w:jc w:val="both"/>
        <w:rPr>
          <w:rFonts w:ascii="Times New Roman" w:hAnsi="Times New Roman" w:cs="Times New Roman"/>
          <w:b w:val="1"/>
          <w:bCs w:val="1"/>
          <w:color w:val="FF0000"/>
          <w:sz w:val="28"/>
          <w:szCs w:val="28"/>
        </w:rPr>
      </w:pPr>
      <w:r>
        <w:rPr>
          <w:rFonts w:ascii="Times New Roman" w:hAnsi="Times New Roman" w:cs="Times New Roman"/>
          <w:b w:val="1"/>
          <w:bCs w:val="1"/>
          <w:color w:val="FF0000"/>
          <w:sz w:val="28"/>
          <w:szCs w:val="28"/>
        </w:rPr>
        <w:t>Образовательный уровень и цифровая грамотность</w:t>
      </w:r>
    </w:p>
    <w:p>
      <w:pPr>
        <w:spacing w:lineRule="auto" w:line="360" w:after="0" w:beforeAutospacing="0" w:afterAutospacing="0"/>
        <w:ind w:firstLine="709"/>
        <w:jc w:val="both"/>
        <w:rPr>
          <w:rFonts w:ascii="Times New Roman" w:hAnsi="Times New Roman" w:cs="Times New Roman"/>
          <w:color w:val="FF0000"/>
          <w:sz w:val="28"/>
          <w:szCs w:val="28"/>
        </w:rPr>
      </w:pPr>
      <w:r>
        <w:rPr>
          <w:rFonts w:ascii="Times New Roman" w:hAnsi="Times New Roman" w:cs="Times New Roman"/>
          <w:color w:val="FF0000"/>
          <w:sz w:val="28"/>
          <w:szCs w:val="28"/>
        </w:rPr>
        <w:t>Ключевым фактором готовности к внедрению цифровых платформ является уровень человеческого капитала. В прибрежных регионах наблюдается заметное преимущество по образовательным показателям:</w:t>
      </w:r>
    </w:p>
    <w:p>
      <w:pPr>
        <w:pStyle w:val="P15"/>
        <w:widowControl w:val="1"/>
        <w:numPr>
          <w:ilvl w:val="0"/>
          <w:numId w:val="25"/>
        </w:numPr>
        <w:spacing w:lineRule="auto" w:line="360" w:beforeAutospacing="0" w:afterAutospacing="0"/>
        <w:contextualSpacing w:val="1"/>
        <w:jc w:val="both"/>
        <w:rPr>
          <w:color w:val="FF0000"/>
          <w:sz w:val="28"/>
          <w:szCs w:val="28"/>
          <w:lang w:val="ru-RU"/>
        </w:rPr>
      </w:pPr>
      <w:r>
        <w:rPr>
          <w:color w:val="FF0000"/>
          <w:sz w:val="28"/>
          <w:szCs w:val="28"/>
          <w:lang w:val="ru-RU"/>
        </w:rPr>
        <w:t>Доля населения с высшим образованием составляет 24,7% против 8,3% в среднем по стране [5].</w:t>
      </w:r>
    </w:p>
    <w:p>
      <w:pPr>
        <w:pStyle w:val="P15"/>
        <w:widowControl w:val="1"/>
        <w:numPr>
          <w:ilvl w:val="0"/>
          <w:numId w:val="25"/>
        </w:numPr>
        <w:spacing w:lineRule="auto" w:line="360" w:beforeAutospacing="0" w:afterAutospacing="0"/>
        <w:contextualSpacing w:val="1"/>
        <w:jc w:val="both"/>
        <w:rPr>
          <w:color w:val="FF0000"/>
          <w:sz w:val="28"/>
          <w:szCs w:val="28"/>
          <w:lang w:val="ru-RU"/>
        </w:rPr>
      </w:pPr>
      <w:r>
        <w:rPr>
          <w:color w:val="FF0000"/>
          <w:sz w:val="28"/>
          <w:szCs w:val="28"/>
          <w:lang w:val="ru-RU"/>
        </w:rPr>
        <w:t>Уровень грамотности молодежи (15–24 года) достигает 79,3% в прибрежных регионах против 66,8% в целом по стране [1].</w:t>
      </w:r>
    </w:p>
    <w:p>
      <w:pPr>
        <w:pStyle w:val="P15"/>
        <w:widowControl w:val="1"/>
        <w:numPr>
          <w:ilvl w:val="0"/>
          <w:numId w:val="25"/>
        </w:numPr>
        <w:spacing w:lineRule="auto" w:line="360" w:beforeAutospacing="0" w:afterAutospacing="0"/>
        <w:contextualSpacing w:val="1"/>
        <w:jc w:val="both"/>
        <w:rPr>
          <w:color w:val="FF0000"/>
          <w:sz w:val="28"/>
          <w:szCs w:val="28"/>
          <w:lang w:val="ru-RU"/>
        </w:rPr>
      </w:pPr>
      <w:r>
        <w:rPr>
          <w:color w:val="FF0000"/>
          <w:sz w:val="28"/>
          <w:szCs w:val="28"/>
          <w:lang w:val="ru-RU"/>
        </w:rPr>
        <w:t>Доступ к цифровому образованию: 68% школ в прибрежных районах оснащены компьютерными классами против 23% в сельских районах внутренних регионов [5].</w:t>
      </w:r>
    </w:p>
    <w:p>
      <w:pPr>
        <w:spacing w:lineRule="auto" w:line="360" w:after="0" w:beforeAutospacing="0" w:afterAutospacing="0"/>
        <w:ind w:firstLine="709"/>
        <w:jc w:val="both"/>
        <w:rPr>
          <w:rFonts w:ascii="Times New Roman" w:hAnsi="Times New Roman" w:cs="Times New Roman"/>
          <w:color w:val="FF0000"/>
          <w:sz w:val="28"/>
          <w:szCs w:val="28"/>
        </w:rPr>
      </w:pPr>
      <w:r>
        <w:rPr>
          <w:rFonts w:ascii="Times New Roman" w:hAnsi="Times New Roman" w:cs="Times New Roman"/>
          <w:color w:val="FF0000"/>
          <w:sz w:val="28"/>
          <w:szCs w:val="28"/>
        </w:rPr>
        <w:t>Однако существуют структурные дисбалансы. Несмотря на высокий общий уровень образования, наблюдается дефицит специалистов в области информационных технологий. По оценкам Министерства профессиональной подготовки, ежегодная потребность экономики в ИТ-специалистах составляет 15 000 человек, тогда как выпуск профильных вузов и колледжей не превышает 4 200 человек в год [3]. Особенно остро ощущается нехватка специалистов по кибербезопасности, анализу данных и разработке программного обеспечения.</w:t>
      </w:r>
    </w:p>
    <w:p>
      <w:pPr>
        <w:spacing w:lineRule="auto" w:line="360" w:after="0" w:beforeAutospacing="0" w:afterAutospacing="0"/>
        <w:jc w:val="both"/>
        <w:rPr>
          <w:rFonts w:ascii="Times New Roman" w:hAnsi="Times New Roman" w:cs="Times New Roman"/>
          <w:color w:val="FF0000"/>
          <w:sz w:val="28"/>
          <w:szCs w:val="28"/>
        </w:rPr>
      </w:pPr>
      <w:r>
        <w:rPr>
          <w:rFonts w:ascii="Times New Roman" w:hAnsi="Times New Roman" w:cs="Times New Roman"/>
          <w:color w:val="FF0000"/>
          <w:sz w:val="28"/>
          <w:szCs w:val="28"/>
        </w:rPr>
        <w:t>Таблица 4 – Кадровый потенциал в сфере ИКТ (2024)</w:t>
      </w:r>
    </w:p>
    <w:tbl>
      <w:tblPr>
        <w:tblStyle w:val="T3"/>
        <w:tblW w:w="0" w:type="auto"/>
        <w:tblLook w:val="04A0"/>
      </w:tblPr>
      <w:tblGrid>
        <w:gridCol w:w="4011"/>
        <w:gridCol w:w="1774"/>
        <w:gridCol w:w="1699"/>
        <w:gridCol w:w="1112"/>
      </w:tblGrid>
      <w:tr>
        <w:tc>
          <w:tcPr>
            <w:tcW w:w="0" w:type="auto"/>
            <w:hideMark/>
          </w:tcPr>
          <w:p>
            <w:pPr>
              <w:jc w:val="center"/>
              <w:rPr>
                <w:rFonts w:ascii="Times New Roman" w:hAnsi="Times New Roman" w:cs="Times New Roman"/>
                <w:b w:val="1"/>
                <w:bCs w:val="1"/>
                <w:color w:val="FF0000"/>
              </w:rPr>
            </w:pPr>
            <w:r>
              <w:rPr>
                <w:rFonts w:ascii="Times New Roman" w:hAnsi="Times New Roman" w:cs="Times New Roman"/>
                <w:b w:val="1"/>
                <w:bCs w:val="1"/>
                <w:color w:val="FF0000"/>
              </w:rPr>
              <w:t>Категория специалистов</w:t>
            </w:r>
          </w:p>
        </w:tc>
        <w:tc>
          <w:tcPr>
            <w:tcW w:w="1774" w:type="dxa"/>
            <w:hideMark/>
          </w:tcPr>
          <w:p>
            <w:pPr>
              <w:jc w:val="center"/>
              <w:rPr>
                <w:rFonts w:ascii="Times New Roman" w:hAnsi="Times New Roman" w:cs="Times New Roman"/>
                <w:b w:val="1"/>
                <w:bCs w:val="1"/>
                <w:color w:val="FF0000"/>
              </w:rPr>
            </w:pPr>
            <w:r>
              <w:rPr>
                <w:rFonts w:ascii="Times New Roman" w:hAnsi="Times New Roman" w:cs="Times New Roman"/>
                <w:b w:val="1"/>
                <w:bCs w:val="1"/>
                <w:color w:val="FF0000"/>
              </w:rPr>
              <w:t>Требуемое количество в год</w:t>
            </w:r>
          </w:p>
        </w:tc>
        <w:tc>
          <w:tcPr>
            <w:tcW w:w="1699" w:type="dxa"/>
            <w:hideMark/>
          </w:tcPr>
          <w:p>
            <w:pPr>
              <w:jc w:val="center"/>
              <w:rPr>
                <w:rFonts w:ascii="Times New Roman" w:hAnsi="Times New Roman" w:cs="Times New Roman"/>
                <w:b w:val="1"/>
                <w:bCs w:val="1"/>
                <w:color w:val="FF0000"/>
              </w:rPr>
            </w:pPr>
            <w:r>
              <w:rPr>
                <w:rFonts w:ascii="Times New Roman" w:hAnsi="Times New Roman" w:cs="Times New Roman"/>
                <w:b w:val="1"/>
                <w:bCs w:val="1"/>
                <w:color w:val="FF0000"/>
              </w:rPr>
              <w:t>Фактический выпуск</w:t>
            </w:r>
          </w:p>
        </w:tc>
        <w:tc>
          <w:tcPr>
            <w:tcW w:w="0" w:type="auto"/>
            <w:hideMark/>
          </w:tcPr>
          <w:p>
            <w:pPr>
              <w:jc w:val="center"/>
              <w:rPr>
                <w:rFonts w:ascii="Times New Roman" w:hAnsi="Times New Roman" w:cs="Times New Roman"/>
                <w:b w:val="1"/>
                <w:bCs w:val="1"/>
                <w:color w:val="FF0000"/>
              </w:rPr>
            </w:pPr>
            <w:r>
              <w:rPr>
                <w:rFonts w:ascii="Times New Roman" w:hAnsi="Times New Roman" w:cs="Times New Roman"/>
                <w:b w:val="1"/>
                <w:bCs w:val="1"/>
                <w:color w:val="FF0000"/>
              </w:rPr>
              <w:t>Дефицит</w:t>
            </w:r>
          </w:p>
        </w:tc>
      </w:tr>
      <w:tr>
        <w:tc>
          <w:tcPr>
            <w:tcW w:w="0" w:type="auto"/>
            <w:hideMark/>
          </w:tcPr>
          <w:p>
            <w:pPr>
              <w:jc w:val="both"/>
              <w:rPr>
                <w:rFonts w:ascii="Times New Roman" w:hAnsi="Times New Roman" w:cs="Times New Roman"/>
                <w:color w:val="FF0000"/>
              </w:rPr>
            </w:pPr>
            <w:r>
              <w:rPr>
                <w:rFonts w:ascii="Times New Roman" w:hAnsi="Times New Roman" w:cs="Times New Roman"/>
                <w:color w:val="FF0000"/>
              </w:rPr>
              <w:t>Программисты/разработчики</w:t>
            </w:r>
          </w:p>
        </w:tc>
        <w:tc>
          <w:tcPr>
            <w:tcW w:w="1774" w:type="dxa"/>
            <w:hideMark/>
          </w:tcPr>
          <w:p>
            <w:pPr>
              <w:jc w:val="center"/>
              <w:rPr>
                <w:rFonts w:ascii="Times New Roman" w:hAnsi="Times New Roman" w:cs="Times New Roman"/>
                <w:color w:val="FF0000"/>
              </w:rPr>
            </w:pPr>
            <w:r>
              <w:rPr>
                <w:rFonts w:ascii="Times New Roman" w:hAnsi="Times New Roman" w:cs="Times New Roman"/>
                <w:color w:val="FF0000"/>
              </w:rPr>
              <w:t>6 500</w:t>
            </w:r>
          </w:p>
        </w:tc>
        <w:tc>
          <w:tcPr>
            <w:tcW w:w="1699" w:type="dxa"/>
            <w:hideMark/>
          </w:tcPr>
          <w:p>
            <w:pPr>
              <w:jc w:val="center"/>
              <w:rPr>
                <w:rFonts w:ascii="Times New Roman" w:hAnsi="Times New Roman" w:cs="Times New Roman"/>
                <w:color w:val="FF0000"/>
              </w:rPr>
            </w:pPr>
            <w:r>
              <w:rPr>
                <w:rFonts w:ascii="Times New Roman" w:hAnsi="Times New Roman" w:cs="Times New Roman"/>
                <w:color w:val="FF0000"/>
              </w:rPr>
              <w:t>1 800</w:t>
            </w:r>
          </w:p>
        </w:tc>
        <w:tc>
          <w:tcPr>
            <w:tcW w:w="0" w:type="auto"/>
            <w:hideMark/>
          </w:tcPr>
          <w:p>
            <w:pPr>
              <w:jc w:val="center"/>
              <w:rPr>
                <w:rFonts w:ascii="Times New Roman" w:hAnsi="Times New Roman" w:cs="Times New Roman"/>
                <w:color w:val="FF0000"/>
              </w:rPr>
            </w:pPr>
            <w:r>
              <w:rPr>
                <w:rFonts w:ascii="Times New Roman" w:hAnsi="Times New Roman" w:cs="Times New Roman"/>
                <w:color w:val="FF0000"/>
              </w:rPr>
              <w:t>4 700</w:t>
            </w:r>
          </w:p>
        </w:tc>
      </w:tr>
      <w:tr>
        <w:tc>
          <w:tcPr>
            <w:tcW w:w="0" w:type="auto"/>
            <w:hideMark/>
          </w:tcPr>
          <w:p>
            <w:pPr>
              <w:jc w:val="both"/>
              <w:rPr>
                <w:rFonts w:ascii="Times New Roman" w:hAnsi="Times New Roman" w:cs="Times New Roman"/>
                <w:color w:val="FF0000"/>
              </w:rPr>
            </w:pPr>
            <w:r>
              <w:rPr>
                <w:rFonts w:ascii="Times New Roman" w:hAnsi="Times New Roman" w:cs="Times New Roman"/>
                <w:color w:val="FF0000"/>
              </w:rPr>
              <w:t>Специалисты по кибербезопасности</w:t>
            </w:r>
          </w:p>
        </w:tc>
        <w:tc>
          <w:tcPr>
            <w:tcW w:w="1774" w:type="dxa"/>
            <w:hideMark/>
          </w:tcPr>
          <w:p>
            <w:pPr>
              <w:jc w:val="center"/>
              <w:rPr>
                <w:rFonts w:ascii="Times New Roman" w:hAnsi="Times New Roman" w:cs="Times New Roman"/>
                <w:color w:val="FF0000"/>
              </w:rPr>
            </w:pPr>
            <w:r>
              <w:rPr>
                <w:rFonts w:ascii="Times New Roman" w:hAnsi="Times New Roman" w:cs="Times New Roman"/>
                <w:color w:val="FF0000"/>
              </w:rPr>
              <w:t>2 800</w:t>
            </w:r>
          </w:p>
        </w:tc>
        <w:tc>
          <w:tcPr>
            <w:tcW w:w="1699" w:type="dxa"/>
            <w:hideMark/>
          </w:tcPr>
          <w:p>
            <w:pPr>
              <w:jc w:val="center"/>
              <w:rPr>
                <w:rFonts w:ascii="Times New Roman" w:hAnsi="Times New Roman" w:cs="Times New Roman"/>
                <w:color w:val="FF0000"/>
              </w:rPr>
            </w:pPr>
            <w:r>
              <w:rPr>
                <w:rFonts w:ascii="Times New Roman" w:hAnsi="Times New Roman" w:cs="Times New Roman"/>
                <w:color w:val="FF0000"/>
              </w:rPr>
              <w:t>450</w:t>
            </w:r>
          </w:p>
        </w:tc>
        <w:tc>
          <w:tcPr>
            <w:tcW w:w="0" w:type="auto"/>
            <w:hideMark/>
          </w:tcPr>
          <w:p>
            <w:pPr>
              <w:jc w:val="center"/>
              <w:rPr>
                <w:rFonts w:ascii="Times New Roman" w:hAnsi="Times New Roman" w:cs="Times New Roman"/>
                <w:color w:val="FF0000"/>
              </w:rPr>
            </w:pPr>
            <w:r>
              <w:rPr>
                <w:rFonts w:ascii="Times New Roman" w:hAnsi="Times New Roman" w:cs="Times New Roman"/>
                <w:color w:val="FF0000"/>
              </w:rPr>
              <w:t>2 350</w:t>
            </w:r>
          </w:p>
        </w:tc>
      </w:tr>
      <w:tr>
        <w:tc>
          <w:tcPr>
            <w:tcW w:w="0" w:type="auto"/>
            <w:hideMark/>
          </w:tcPr>
          <w:p>
            <w:pPr>
              <w:jc w:val="both"/>
              <w:rPr>
                <w:rFonts w:ascii="Times New Roman" w:hAnsi="Times New Roman" w:cs="Times New Roman"/>
                <w:color w:val="FF0000"/>
              </w:rPr>
            </w:pPr>
            <w:r>
              <w:rPr>
                <w:rFonts w:ascii="Times New Roman" w:hAnsi="Times New Roman" w:cs="Times New Roman"/>
                <w:color w:val="FF0000"/>
              </w:rPr>
              <w:t>Аналитики данных</w:t>
            </w:r>
          </w:p>
        </w:tc>
        <w:tc>
          <w:tcPr>
            <w:tcW w:w="1774" w:type="dxa"/>
            <w:hideMark/>
          </w:tcPr>
          <w:p>
            <w:pPr>
              <w:jc w:val="center"/>
              <w:rPr>
                <w:rFonts w:ascii="Times New Roman" w:hAnsi="Times New Roman" w:cs="Times New Roman"/>
                <w:color w:val="FF0000"/>
              </w:rPr>
            </w:pPr>
            <w:r>
              <w:rPr>
                <w:rFonts w:ascii="Times New Roman" w:hAnsi="Times New Roman" w:cs="Times New Roman"/>
                <w:color w:val="FF0000"/>
              </w:rPr>
              <w:t>3 200</w:t>
            </w:r>
          </w:p>
        </w:tc>
        <w:tc>
          <w:tcPr>
            <w:tcW w:w="1699" w:type="dxa"/>
            <w:hideMark/>
          </w:tcPr>
          <w:p>
            <w:pPr>
              <w:jc w:val="center"/>
              <w:rPr>
                <w:rFonts w:ascii="Times New Roman" w:hAnsi="Times New Roman" w:cs="Times New Roman"/>
                <w:color w:val="FF0000"/>
              </w:rPr>
            </w:pPr>
            <w:r>
              <w:rPr>
                <w:rFonts w:ascii="Times New Roman" w:hAnsi="Times New Roman" w:cs="Times New Roman"/>
                <w:color w:val="FF0000"/>
              </w:rPr>
              <w:t>950</w:t>
            </w:r>
          </w:p>
        </w:tc>
        <w:tc>
          <w:tcPr>
            <w:tcW w:w="0" w:type="auto"/>
            <w:hideMark/>
          </w:tcPr>
          <w:p>
            <w:pPr>
              <w:jc w:val="center"/>
              <w:rPr>
                <w:rFonts w:ascii="Times New Roman" w:hAnsi="Times New Roman" w:cs="Times New Roman"/>
                <w:color w:val="FF0000"/>
              </w:rPr>
            </w:pPr>
            <w:r>
              <w:rPr>
                <w:rFonts w:ascii="Times New Roman" w:hAnsi="Times New Roman" w:cs="Times New Roman"/>
                <w:color w:val="FF0000"/>
              </w:rPr>
              <w:t>2 250</w:t>
            </w:r>
          </w:p>
        </w:tc>
      </w:tr>
      <w:tr>
        <w:tc>
          <w:tcPr>
            <w:tcW w:w="0" w:type="auto"/>
            <w:hideMark/>
          </w:tcPr>
          <w:p>
            <w:pPr>
              <w:jc w:val="both"/>
              <w:rPr>
                <w:rFonts w:ascii="Times New Roman" w:hAnsi="Times New Roman" w:cs="Times New Roman"/>
                <w:color w:val="FF0000"/>
              </w:rPr>
            </w:pPr>
            <w:r>
              <w:rPr>
                <w:rFonts w:ascii="Times New Roman" w:hAnsi="Times New Roman" w:cs="Times New Roman"/>
                <w:color w:val="FF0000"/>
              </w:rPr>
              <w:t>Специалисты по цифровому маркетингу</w:t>
            </w:r>
          </w:p>
        </w:tc>
        <w:tc>
          <w:tcPr>
            <w:tcW w:w="1774" w:type="dxa"/>
            <w:hideMark/>
          </w:tcPr>
          <w:p>
            <w:pPr>
              <w:jc w:val="center"/>
              <w:rPr>
                <w:rFonts w:ascii="Times New Roman" w:hAnsi="Times New Roman" w:cs="Times New Roman"/>
                <w:color w:val="FF0000"/>
              </w:rPr>
            </w:pPr>
            <w:r>
              <w:rPr>
                <w:rFonts w:ascii="Times New Roman" w:hAnsi="Times New Roman" w:cs="Times New Roman"/>
                <w:color w:val="FF0000"/>
              </w:rPr>
              <w:t>2 500</w:t>
            </w:r>
          </w:p>
        </w:tc>
        <w:tc>
          <w:tcPr>
            <w:tcW w:w="1699" w:type="dxa"/>
            <w:hideMark/>
          </w:tcPr>
          <w:p>
            <w:pPr>
              <w:jc w:val="center"/>
              <w:rPr>
                <w:rFonts w:ascii="Times New Roman" w:hAnsi="Times New Roman" w:cs="Times New Roman"/>
                <w:color w:val="FF0000"/>
              </w:rPr>
            </w:pPr>
            <w:r>
              <w:rPr>
                <w:rFonts w:ascii="Times New Roman" w:hAnsi="Times New Roman" w:cs="Times New Roman"/>
                <w:color w:val="FF0000"/>
              </w:rPr>
              <w:t>1 000</w:t>
            </w:r>
          </w:p>
        </w:tc>
        <w:tc>
          <w:tcPr>
            <w:tcW w:w="0" w:type="auto"/>
            <w:hideMark/>
          </w:tcPr>
          <w:p>
            <w:pPr>
              <w:jc w:val="center"/>
              <w:rPr>
                <w:rFonts w:ascii="Times New Roman" w:hAnsi="Times New Roman" w:cs="Times New Roman"/>
                <w:color w:val="FF0000"/>
              </w:rPr>
            </w:pPr>
            <w:r>
              <w:rPr>
                <w:rFonts w:ascii="Times New Roman" w:hAnsi="Times New Roman" w:cs="Times New Roman"/>
                <w:color w:val="FF0000"/>
              </w:rPr>
              <w:t>1 500</w:t>
            </w:r>
          </w:p>
        </w:tc>
      </w:tr>
      <w:tr>
        <w:tc>
          <w:tcPr>
            <w:tcW w:w="0" w:type="auto"/>
            <w:hideMark/>
          </w:tcPr>
          <w:p>
            <w:pPr>
              <w:jc w:val="both"/>
              <w:rPr>
                <w:rFonts w:ascii="Times New Roman" w:hAnsi="Times New Roman" w:cs="Times New Roman"/>
                <w:color w:val="FF0000"/>
              </w:rPr>
            </w:pPr>
            <w:r>
              <w:rPr>
                <w:rFonts w:ascii="Times New Roman" w:hAnsi="Times New Roman" w:cs="Times New Roman"/>
                <w:b w:val="1"/>
                <w:bCs w:val="1"/>
                <w:color w:val="FF0000"/>
              </w:rPr>
              <w:t>Итого</w:t>
            </w:r>
          </w:p>
        </w:tc>
        <w:tc>
          <w:tcPr>
            <w:tcW w:w="1774" w:type="dxa"/>
            <w:hideMark/>
          </w:tcPr>
          <w:p>
            <w:pPr>
              <w:jc w:val="center"/>
              <w:rPr>
                <w:rFonts w:ascii="Times New Roman" w:hAnsi="Times New Roman" w:cs="Times New Roman"/>
                <w:color w:val="FF0000"/>
              </w:rPr>
            </w:pPr>
            <w:r>
              <w:rPr>
                <w:rFonts w:ascii="Times New Roman" w:hAnsi="Times New Roman" w:cs="Times New Roman"/>
                <w:b w:val="1"/>
                <w:bCs w:val="1"/>
                <w:color w:val="FF0000"/>
              </w:rPr>
              <w:t>15 000</w:t>
            </w:r>
          </w:p>
        </w:tc>
        <w:tc>
          <w:tcPr>
            <w:tcW w:w="1699" w:type="dxa"/>
            <w:hideMark/>
          </w:tcPr>
          <w:p>
            <w:pPr>
              <w:jc w:val="center"/>
              <w:rPr>
                <w:rFonts w:ascii="Times New Roman" w:hAnsi="Times New Roman" w:cs="Times New Roman"/>
                <w:color w:val="FF0000"/>
              </w:rPr>
            </w:pPr>
            <w:r>
              <w:rPr>
                <w:rFonts w:ascii="Times New Roman" w:hAnsi="Times New Roman" w:cs="Times New Roman"/>
                <w:b w:val="1"/>
                <w:bCs w:val="1"/>
                <w:color w:val="FF0000"/>
              </w:rPr>
              <w:t>4 200</w:t>
            </w:r>
          </w:p>
        </w:tc>
        <w:tc>
          <w:tcPr>
            <w:tcW w:w="0" w:type="auto"/>
            <w:hideMark/>
          </w:tcPr>
          <w:p>
            <w:pPr>
              <w:jc w:val="center"/>
              <w:rPr>
                <w:rFonts w:ascii="Times New Roman" w:hAnsi="Times New Roman" w:cs="Times New Roman"/>
                <w:color w:val="FF0000"/>
              </w:rPr>
            </w:pPr>
            <w:r>
              <w:rPr>
                <w:rFonts w:ascii="Times New Roman" w:hAnsi="Times New Roman" w:cs="Times New Roman"/>
                <w:b w:val="1"/>
                <w:bCs w:val="1"/>
                <w:color w:val="FF0000"/>
              </w:rPr>
              <w:t>10 800</w:t>
            </w:r>
          </w:p>
        </w:tc>
      </w:tr>
    </w:tbl>
    <w:p>
      <w:pPr>
        <w:spacing w:lineRule="auto" w:line="360" w:after="0" w:beforeAutospacing="0" w:afterAutospacing="0"/>
        <w:ind w:firstLine="709"/>
        <w:jc w:val="both"/>
        <w:rPr>
          <w:rFonts w:ascii="Times New Roman" w:hAnsi="Times New Roman" w:cs="Times New Roman"/>
          <w:color w:val="FF0000"/>
          <w:sz w:val="28"/>
          <w:szCs w:val="28"/>
        </w:rPr>
      </w:pPr>
      <w:r>
        <w:rPr>
          <w:rFonts w:ascii="Times New Roman" w:hAnsi="Times New Roman" w:cs="Times New Roman"/>
          <w:color w:val="FF0000"/>
          <w:sz w:val="28"/>
          <w:szCs w:val="28"/>
        </w:rPr>
        <w:t>Источник: Агентство национальной профессиональной подготовки (AGEFOP), 2024 [3]</w:t>
      </w:r>
    </w:p>
    <w:p>
      <w:pPr>
        <w:spacing w:lineRule="auto" w:line="360" w:after="0" w:beforeAutospacing="0" w:afterAutospacing="0"/>
        <w:ind w:firstLine="709"/>
        <w:jc w:val="both"/>
        <w:rPr>
          <w:rFonts w:ascii="Times New Roman" w:hAnsi="Times New Roman" w:cs="Times New Roman"/>
          <w:color w:val="FF0000"/>
          <w:sz w:val="28"/>
          <w:szCs w:val="28"/>
        </w:rPr>
      </w:pPr>
      <w:r>
        <w:rPr>
          <w:rFonts w:ascii="Times New Roman" w:hAnsi="Times New Roman" w:cs="Times New Roman"/>
          <w:color w:val="FF0000"/>
          <w:sz w:val="28"/>
          <w:szCs w:val="28"/>
        </w:rPr>
        <w:t>Важным ресурсом для цифровой трансформации является молодежь: 62% населения прибрежных регионов моложе 25 лет [5]. Эта демографическая группа демонстрирует высокую адаптивность к цифровым технологиям, однако требует целенаправленной подготовки для перехода от потребления цифровых сервисов к их созданию и управлению.</w:t>
      </w:r>
    </w:p>
    <w:p>
      <w:pPr>
        <w:spacing w:lineRule="auto" w:line="360" w:after="0" w:beforeAutospacing="0" w:afterAutospacing="0"/>
        <w:ind w:firstLine="709"/>
        <w:jc w:val="both"/>
        <w:rPr>
          <w:rFonts w:ascii="Times New Roman" w:hAnsi="Times New Roman" w:cs="Times New Roman"/>
          <w:color w:val="FF0000"/>
          <w:sz w:val="28"/>
          <w:szCs w:val="28"/>
        </w:rPr>
      </w:pPr>
      <w:r>
        <w:rPr>
          <w:rFonts w:ascii="Times New Roman" w:hAnsi="Times New Roman" w:cs="Times New Roman"/>
          <w:color w:val="FF0000"/>
          <w:sz w:val="28"/>
          <w:szCs w:val="28"/>
        </w:rPr>
        <w:t>Гендерный разрыв в доступе к цифровым технологиям остается существенным вызовом. В прибрежных регионах доля женщин среди пользователей интернета составляет 41%, тогда как среди мужчин — 63% [2]. В секторе ИКТ доля женщин-специалистов не превышает 18% [2]. Это ограничивает потенциал цифровой инклюзии и снижает эффективность цифровых платформ, ориентированных на широкие слои населения.</w:t>
      </w:r>
    </w:p>
    <w:p>
      <w:pPr>
        <w:spacing w:lineRule="auto" w:line="360" w:after="0" w:beforeAutospacing="0" w:afterAutospacing="0"/>
        <w:ind w:firstLine="709"/>
        <w:jc w:val="both"/>
        <w:rPr>
          <w:rStyle w:val="C4"/>
          <w:rFonts w:eastAsiaTheme="minorHAnsi"/>
          <w:b w:val="0"/>
          <w:bCs w:val="0"/>
          <w:color w:val="FF0000"/>
          <w:sz w:val="28"/>
          <w:szCs w:val="28"/>
          <w:lang w:val="ru-RU"/>
        </w:rPr>
      </w:pPr>
      <w:r>
        <w:rPr>
          <w:rStyle w:val="C4"/>
          <w:rFonts w:eastAsiaTheme="minorHAnsi"/>
          <w:b w:val="0"/>
          <w:bCs w:val="0"/>
          <w:color w:val="FF0000"/>
          <w:sz w:val="28"/>
          <w:szCs w:val="28"/>
          <w:lang w:val="ru-RU"/>
        </w:rPr>
        <w:t>Инновационная активность пространственно сконцентрирована:</w:t>
      </w:r>
    </w:p>
    <w:tbl>
      <w:tblPr>
        <w:tblStyle w:val="T3"/>
        <w:tblW w:w="0" w:type="auto"/>
        <w:tblLook w:val="04A0"/>
      </w:tblPr>
      <w:tblGrid>
        <w:gridCol w:w="1676"/>
        <w:gridCol w:w="2255"/>
        <w:gridCol w:w="3154"/>
        <w:gridCol w:w="2827"/>
      </w:tblGrid>
      <w:tr>
        <w:tc>
          <w:tcPr>
            <w:tcW w:w="1676" w:type="dxa"/>
            <w:hideMark/>
          </w:tcPr>
          <w:p>
            <w:pPr>
              <w:jc w:val="center"/>
              <w:rPr>
                <w:rFonts w:ascii="Times New Roman" w:hAnsi="Times New Roman" w:cs="Times New Roman" w:eastAsia="Times New Roman"/>
                <w:bCs w:val="1"/>
                <w:sz w:val="24"/>
                <w:szCs w:val="24"/>
                <w:lang w:eastAsia="ru-RU"/>
              </w:rPr>
            </w:pPr>
            <w:r>
              <w:rPr>
                <w:rFonts w:ascii="Times New Roman" w:hAnsi="Times New Roman" w:cs="Times New Roman" w:eastAsia="Times New Roman"/>
                <w:bCs w:val="1"/>
                <w:sz w:val="24"/>
                <w:szCs w:val="24"/>
                <w:lang w:eastAsia="ru-RU"/>
              </w:rPr>
              <w:t xml:space="preserve">Территория </w:t>
            </w:r>
          </w:p>
        </w:tc>
        <w:tc>
          <w:tcPr>
            <w:tcW w:w="2255" w:type="dxa"/>
          </w:tcPr>
          <w:p>
            <w:pPr>
              <w:jc w:val="center"/>
              <w:rPr>
                <w:rFonts w:ascii="Times New Roman" w:hAnsi="Times New Roman" w:cs="Times New Roman" w:eastAsia="Times New Roman"/>
                <w:bCs w:val="1"/>
                <w:sz w:val="24"/>
                <w:szCs w:val="24"/>
                <w:lang w:eastAsia="ru-RU"/>
              </w:rPr>
            </w:pPr>
            <w:r>
              <w:rPr>
                <w:rFonts w:ascii="Times New Roman" w:hAnsi="Times New Roman" w:cs="Times New Roman" w:eastAsia="Times New Roman"/>
                <w:bCs w:val="1"/>
                <w:sz w:val="24"/>
                <w:szCs w:val="24"/>
                <w:lang w:eastAsia="ru-RU"/>
              </w:rPr>
              <w:t xml:space="preserve">Тип региона </w:t>
            </w:r>
          </w:p>
        </w:tc>
        <w:tc>
          <w:tcPr>
            <w:tcW w:w="3154" w:type="dxa"/>
            <w:hideMark/>
          </w:tcPr>
          <w:p>
            <w:pPr>
              <w:jc w:val="center"/>
              <w:rPr>
                <w:rFonts w:ascii="Times New Roman" w:hAnsi="Times New Roman" w:cs="Times New Roman" w:eastAsia="Times New Roman"/>
                <w:bCs w:val="1"/>
                <w:sz w:val="24"/>
                <w:szCs w:val="24"/>
                <w:lang w:eastAsia="ru-RU"/>
              </w:rPr>
            </w:pPr>
            <w:r>
              <w:rPr>
                <w:rFonts w:ascii="Times New Roman" w:hAnsi="Times New Roman" w:cs="Times New Roman" w:eastAsia="Times New Roman"/>
                <w:bCs w:val="1"/>
                <w:sz w:val="24"/>
                <w:szCs w:val="24"/>
                <w:lang w:eastAsia="ru-RU"/>
              </w:rPr>
              <w:t>Характеристика</w:t>
            </w:r>
          </w:p>
        </w:tc>
        <w:tc>
          <w:tcPr>
            <w:tcW w:w="2827" w:type="dxa"/>
          </w:tcPr>
          <w:p>
            <w:pPr>
              <w:jc w:val="center"/>
              <w:rPr>
                <w:rFonts w:ascii="Times New Roman" w:hAnsi="Times New Roman" w:cs="Times New Roman" w:eastAsia="Times New Roman"/>
                <w:bCs w:val="1"/>
                <w:sz w:val="24"/>
                <w:szCs w:val="24"/>
                <w:lang w:eastAsia="ru-RU"/>
              </w:rPr>
            </w:pPr>
            <w:r>
              <w:rPr>
                <w:rFonts w:ascii="Times New Roman" w:hAnsi="Times New Roman" w:cs="Times New Roman" w:eastAsia="Times New Roman"/>
                <w:bCs w:val="1"/>
                <w:sz w:val="24"/>
                <w:szCs w:val="24"/>
                <w:lang w:eastAsia="ru-RU"/>
              </w:rPr>
              <w:t>Инклюзивный эффект</w:t>
            </w:r>
          </w:p>
        </w:tc>
      </w:tr>
      <w:tr>
        <w:tc>
          <w:tcPr>
            <w:tcW w:w="1676"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bCs w:val="1"/>
                <w:sz w:val="24"/>
                <w:szCs w:val="24"/>
                <w:lang w:eastAsia="ru-RU"/>
              </w:rPr>
              <w:t>Абиджан и прилегающие зоны</w:t>
            </w:r>
          </w:p>
        </w:tc>
        <w:tc>
          <w:tcPr>
            <w:tcW w:w="2255" w:type="dxa"/>
            <w:vAlign w:val="center"/>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Инновационный центр</w:t>
            </w:r>
          </w:p>
        </w:tc>
        <w:tc>
          <w:tcPr>
            <w:tcW w:w="3154"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Финансовый центр, концентрация вузов, телеком-инфраструктуры, международных организаций</w:t>
            </w:r>
          </w:p>
        </w:tc>
        <w:tc>
          <w:tcPr>
            <w:tcW w:w="2827" w:type="dxa"/>
            <w:vAlign w:val="center"/>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Рост включается через доступ к финансам и цифровым сервисам</w:t>
            </w:r>
          </w:p>
        </w:tc>
      </w:tr>
      <w:tr>
        <w:tc>
          <w:tcPr>
            <w:tcW w:w="1676"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Вторичные города</w:t>
            </w:r>
          </w:p>
        </w:tc>
        <w:tc>
          <w:tcPr>
            <w:tcW w:w="2255" w:type="dxa"/>
            <w:vAlign w:val="center"/>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Переходные территории</w:t>
            </w:r>
          </w:p>
        </w:tc>
        <w:tc>
          <w:tcPr>
            <w:tcW w:w="3154"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Ограниченная инновационная активность, слабая НИОКР-база</w:t>
            </w:r>
          </w:p>
        </w:tc>
        <w:tc>
          <w:tcPr>
            <w:tcW w:w="2827" w:type="dxa"/>
            <w:vAlign w:val="center"/>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Рост не «включается» в инновационный контур</w:t>
            </w:r>
          </w:p>
        </w:tc>
      </w:tr>
      <w:tr>
        <w:tc>
          <w:tcPr>
            <w:tcW w:w="1676"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Сельские регионы</w:t>
            </w:r>
          </w:p>
        </w:tc>
        <w:tc>
          <w:tcPr>
            <w:tcW w:w="2255" w:type="dxa"/>
            <w:vAlign w:val="center"/>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Инклюзивно-аграрная периферия</w:t>
            </w:r>
          </w:p>
        </w:tc>
        <w:tc>
          <w:tcPr>
            <w:tcW w:w="3154"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Низкая цифровизация, аграрная специализация, ограниченный доступ к инновационным услугам</w:t>
            </w:r>
          </w:p>
        </w:tc>
        <w:tc>
          <w:tcPr>
            <w:tcW w:w="2827" w:type="dxa"/>
            <w:vAlign w:val="center"/>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Частичное включение через программы ООН</w:t>
            </w:r>
          </w:p>
        </w:tc>
      </w:tr>
    </w:tbl>
    <w:p>
      <w:pPr>
        <w:spacing w:lineRule="auto" w:line="360" w:after="0" w:beforeAutospacing="0" w:afterAutospacing="0"/>
        <w:ind w:firstLine="709"/>
        <w:jc w:val="both"/>
        <w:rPr>
          <w:rStyle w:val="C4"/>
          <w:rFonts w:eastAsiaTheme="minorHAnsi"/>
          <w:b w:val="0"/>
          <w:bCs w:val="0"/>
          <w:color w:val="FF0000"/>
          <w:sz w:val="28"/>
          <w:szCs w:val="28"/>
          <w:lang w:val="ru-RU"/>
        </w:rPr>
      </w:pPr>
    </w:p>
    <w:p>
      <w:pPr>
        <w:spacing w:lineRule="auto" w:line="360" w:after="0" w:beforeAutospacing="0" w:afterAutospacing="0"/>
        <w:ind w:firstLine="709"/>
        <w:jc w:val="both"/>
        <w:rPr>
          <w:rStyle w:val="C4"/>
          <w:rFonts w:eastAsiaTheme="minorHAnsi"/>
          <w:b w:val="0"/>
          <w:bCs w:val="0"/>
          <w:color w:val="FF0000"/>
          <w:sz w:val="28"/>
          <w:szCs w:val="28"/>
          <w:lang w:val="ru-RU"/>
        </w:rPr>
      </w:pPr>
      <w:r>
        <w:rPr>
          <w:rStyle w:val="C4"/>
          <w:rFonts w:eastAsiaTheme="minorHAnsi"/>
          <w:b w:val="0"/>
          <w:bCs w:val="0"/>
          <w:color w:val="FF0000"/>
          <w:sz w:val="28"/>
          <w:szCs w:val="28"/>
          <w:lang w:val="ru-RU"/>
        </w:rPr>
        <w:t>Согласно отчету ООН 2024 г., инфраструктурные проекты и программы развития направлены на снижение регионального неравенства, однако цифровой и инновационный разрыв сохраняется .</w:t>
      </w:r>
    </w:p>
    <w:p>
      <w:pPr>
        <w:spacing w:lineRule="auto" w:line="360" w:after="0" w:beforeAutospacing="0" w:afterAutospacing="0"/>
        <w:ind w:firstLine="709"/>
        <w:jc w:val="both"/>
        <w:rPr>
          <w:rStyle w:val="C4"/>
          <w:rFonts w:eastAsiaTheme="minorHAnsi"/>
          <w:b w:val="0"/>
          <w:bCs w:val="0"/>
          <w:color w:val="FF0000"/>
          <w:sz w:val="28"/>
          <w:szCs w:val="28"/>
          <w:lang w:val="ru-RU"/>
        </w:rPr>
      </w:pPr>
      <w:r>
        <w:rPr>
          <w:rStyle w:val="C4"/>
          <w:rFonts w:eastAsiaTheme="minorHAnsi"/>
          <w:b w:val="0"/>
          <w:bCs w:val="0"/>
          <w:color w:val="FF0000"/>
          <w:sz w:val="28"/>
          <w:szCs w:val="28"/>
          <w:lang w:val="ru-RU"/>
        </w:rPr>
        <w:t>Таким образом, инновационная система носит моноцентрический характер, что формирует пространственную инклюзивную асимметрию.</w:t>
      </w:r>
    </w:p>
    <w:p>
      <w:pPr>
        <w:spacing w:lineRule="auto" w:line="360" w:after="0" w:beforeAutospacing="0" w:afterAutospacing="0"/>
        <w:ind w:firstLine="709"/>
        <w:jc w:val="both"/>
        <w:rPr>
          <w:rStyle w:val="C4"/>
          <w:rFonts w:eastAsiaTheme="minorHAnsi"/>
          <w:b w:val="0"/>
          <w:bCs w:val="0"/>
          <w:color w:val="FF0000"/>
          <w:sz w:val="28"/>
          <w:szCs w:val="28"/>
          <w:lang w:val="ru-RU"/>
        </w:rPr>
      </w:pPr>
      <w:r>
        <w:rPr>
          <w:rStyle w:val="C4"/>
          <w:rFonts w:eastAsiaTheme="minorHAnsi"/>
          <w:b w:val="0"/>
          <w:bCs w:val="0"/>
          <w:color w:val="FF0000"/>
          <w:sz w:val="28"/>
          <w:szCs w:val="28"/>
          <w:lang w:val="ru-RU"/>
        </w:rPr>
        <w:t>В 2020–2024 гг. Республика Кот-д’Ивуар демонстрирует:</w:t>
      </w:r>
    </w:p>
    <w:p>
      <w:pPr>
        <w:spacing w:lineRule="auto" w:line="360" w:after="0" w:beforeAutospacing="0" w:afterAutospacing="0"/>
        <w:ind w:firstLine="709"/>
        <w:jc w:val="both"/>
        <w:rPr>
          <w:rStyle w:val="C4"/>
          <w:rFonts w:eastAsiaTheme="minorHAnsi"/>
          <w:b w:val="0"/>
          <w:bCs w:val="0"/>
          <w:color w:val="FF0000"/>
          <w:sz w:val="28"/>
          <w:szCs w:val="28"/>
          <w:lang w:val="ru-RU"/>
        </w:rPr>
      </w:pPr>
      <w:r>
        <w:rPr>
          <w:rStyle w:val="C4"/>
          <w:rFonts w:eastAsiaTheme="minorHAnsi"/>
          <w:b w:val="0"/>
          <w:bCs w:val="0"/>
          <w:color w:val="FF0000"/>
          <w:sz w:val="28"/>
          <w:szCs w:val="28"/>
          <w:lang w:val="ru-RU"/>
        </w:rPr>
        <w:t>Макроэкономическую устойчивость;</w:t>
      </w:r>
    </w:p>
    <w:p>
      <w:pPr>
        <w:spacing w:lineRule="auto" w:line="360" w:after="0" w:beforeAutospacing="0" w:afterAutospacing="0"/>
        <w:ind w:firstLine="709"/>
        <w:jc w:val="both"/>
        <w:rPr>
          <w:rStyle w:val="C4"/>
          <w:rFonts w:eastAsiaTheme="minorHAnsi"/>
          <w:b w:val="0"/>
          <w:bCs w:val="0"/>
          <w:color w:val="FF0000"/>
          <w:sz w:val="28"/>
          <w:szCs w:val="28"/>
          <w:lang w:val="ru-RU"/>
        </w:rPr>
      </w:pPr>
      <w:r>
        <w:rPr>
          <w:rStyle w:val="C4"/>
          <w:rFonts w:eastAsiaTheme="minorHAnsi"/>
          <w:b w:val="0"/>
          <w:bCs w:val="0"/>
          <w:color w:val="FF0000"/>
          <w:sz w:val="28"/>
          <w:szCs w:val="28"/>
          <w:lang w:val="ru-RU"/>
        </w:rPr>
        <w:t>Ограниченный инновационный прогресс;</w:t>
      </w:r>
    </w:p>
    <w:p>
      <w:pPr>
        <w:spacing w:lineRule="auto" w:line="360" w:after="0" w:beforeAutospacing="0" w:afterAutospacing="0"/>
        <w:ind w:firstLine="709"/>
        <w:jc w:val="both"/>
        <w:rPr>
          <w:rStyle w:val="C4"/>
          <w:rFonts w:eastAsiaTheme="minorHAnsi"/>
          <w:b w:val="0"/>
          <w:bCs w:val="0"/>
          <w:color w:val="FF0000"/>
          <w:sz w:val="28"/>
          <w:szCs w:val="28"/>
          <w:lang w:val="ru-RU"/>
        </w:rPr>
      </w:pPr>
      <w:r>
        <w:rPr>
          <w:rStyle w:val="C4"/>
          <w:rFonts w:eastAsiaTheme="minorHAnsi"/>
          <w:b w:val="0"/>
          <w:bCs w:val="0"/>
          <w:color w:val="FF0000"/>
          <w:sz w:val="28"/>
          <w:szCs w:val="28"/>
          <w:lang w:val="ru-RU"/>
        </w:rPr>
        <w:t xml:space="preserve">Развитие цифровой инфраструктуры без качественного скачка в инновационных </w:t>
      </w:r>
      <w:r>
        <w:rPr>
          <w:rStyle w:val="C4"/>
          <w:rFonts w:eastAsiaTheme="minorHAnsi"/>
          <w:b w:val="0"/>
          <w:bCs w:val="0"/>
          <w:color w:val="FF0000"/>
          <w:sz w:val="28"/>
          <w:szCs w:val="28"/>
          <w:highlight w:val="yellow"/>
          <w:lang w:val="ru-RU"/>
        </w:rPr>
        <w:t>outputs</w:t>
      </w:r>
      <w:r>
        <w:rPr>
          <w:rStyle w:val="C4"/>
          <w:rFonts w:eastAsiaTheme="minorHAnsi"/>
          <w:b w:val="0"/>
          <w:bCs w:val="0"/>
          <w:color w:val="FF0000"/>
          <w:sz w:val="28"/>
          <w:szCs w:val="28"/>
          <w:lang w:val="ru-RU"/>
        </w:rPr>
        <w:t>;</w:t>
      </w:r>
    </w:p>
    <w:p>
      <w:pPr>
        <w:spacing w:lineRule="auto" w:line="360" w:after="0" w:beforeAutospacing="0" w:afterAutospacing="0"/>
        <w:ind w:firstLine="709"/>
        <w:jc w:val="both"/>
        <w:rPr>
          <w:rStyle w:val="C4"/>
          <w:rFonts w:eastAsiaTheme="minorHAnsi"/>
          <w:b w:val="0"/>
          <w:bCs w:val="0"/>
          <w:color w:val="FF0000"/>
          <w:sz w:val="28"/>
          <w:szCs w:val="28"/>
          <w:lang w:val="ru-RU"/>
        </w:rPr>
      </w:pPr>
      <w:r>
        <w:rPr>
          <w:rStyle w:val="C4"/>
          <w:rFonts w:eastAsiaTheme="minorHAnsi"/>
          <w:b w:val="0"/>
          <w:bCs w:val="0"/>
          <w:color w:val="FF0000"/>
          <w:sz w:val="28"/>
          <w:szCs w:val="28"/>
          <w:lang w:val="ru-RU"/>
        </w:rPr>
        <w:t>Снижение социального неравенства при сохранении пространственного инновационного разрыва;</w:t>
      </w:r>
    </w:p>
    <w:p>
      <w:pPr>
        <w:spacing w:lineRule="auto" w:line="360" w:after="0" w:beforeAutospacing="0" w:afterAutospacing="0"/>
        <w:ind w:firstLine="709"/>
        <w:jc w:val="both"/>
        <w:rPr>
          <w:rStyle w:val="C4"/>
          <w:rFonts w:eastAsiaTheme="minorHAnsi"/>
          <w:b w:val="0"/>
          <w:bCs w:val="0"/>
          <w:color w:val="FF0000"/>
          <w:sz w:val="28"/>
          <w:szCs w:val="28"/>
          <w:lang w:val="ru-RU"/>
        </w:rPr>
      </w:pPr>
      <w:r>
        <w:rPr>
          <w:rStyle w:val="C4"/>
          <w:rFonts w:eastAsiaTheme="minorHAnsi"/>
          <w:b w:val="0"/>
          <w:bCs w:val="0"/>
          <w:color w:val="FF0000"/>
          <w:sz w:val="28"/>
          <w:szCs w:val="28"/>
          <w:lang w:val="ru-RU"/>
        </w:rPr>
        <w:t>Отсутствие перехода к полноценной инновационно-инклюзивной модели.</w:t>
      </w:r>
    </w:p>
    <w:p>
      <w:pPr>
        <w:spacing w:lineRule="auto" w:line="360" w:after="0" w:beforeAutospacing="0" w:afterAutospacing="0"/>
        <w:ind w:firstLine="709"/>
        <w:jc w:val="both"/>
        <w:rPr>
          <w:rStyle w:val="C4"/>
          <w:rFonts w:eastAsiaTheme="minorHAnsi"/>
          <w:b w:val="0"/>
          <w:bCs w:val="0"/>
          <w:color w:val="FF0000"/>
          <w:sz w:val="28"/>
          <w:szCs w:val="28"/>
          <w:lang w:val="ru-RU"/>
        </w:rPr>
      </w:pPr>
      <w:r>
        <w:rPr>
          <w:rStyle w:val="C4"/>
          <w:rFonts w:eastAsiaTheme="minorHAnsi"/>
          <w:b w:val="0"/>
          <w:bCs w:val="0"/>
          <w:color w:val="FF0000"/>
          <w:sz w:val="28"/>
          <w:szCs w:val="28"/>
          <w:lang w:val="ru-RU"/>
        </w:rPr>
        <w:t>Страна находится в фазе структурной подготовки к инновационной трансформации, однако ключевые элементы национальной инновационной системы остаются недоразвитыми.</w:t>
      </w:r>
    </w:p>
    <w:p>
      <w:pPr>
        <w:spacing w:lineRule="auto" w:line="360" w:after="0" w:beforeAutospacing="0" w:afterAutospacing="0"/>
        <w:ind w:firstLine="709"/>
        <w:jc w:val="both"/>
        <w:rPr>
          <w:rFonts w:ascii="Times New Roman" w:hAnsi="Times New Roman" w:cs="Times New Roman"/>
          <w:b w:val="1"/>
          <w:bCs w:val="1"/>
          <w:sz w:val="28"/>
          <w:szCs w:val="28"/>
        </w:rPr>
      </w:pPr>
    </w:p>
    <w:p>
      <w:pPr>
        <w:spacing w:lineRule="auto" w:line="360" w:after="0" w:beforeAutospacing="0" w:afterAutospacing="0"/>
        <w:ind w:firstLine="709"/>
        <w:jc w:val="both"/>
        <w:rPr>
          <w:rFonts w:ascii="Times New Roman" w:hAnsi="Times New Roman" w:cs="Times New Roman"/>
          <w:b w:val="1"/>
          <w:bCs w:val="1"/>
          <w:sz w:val="28"/>
          <w:szCs w:val="28"/>
        </w:rPr>
      </w:pPr>
    </w:p>
    <w:p>
      <w:pPr>
        <w:spacing w:lineRule="auto" w:line="360" w:after="0" w:beforeAutospacing="0" w:afterAutospacing="0"/>
        <w:ind w:firstLine="709"/>
        <w:jc w:val="both"/>
        <w:rPr>
          <w:rFonts w:ascii="Times New Roman" w:hAnsi="Times New Roman" w:cs="Times New Roman"/>
          <w:b w:val="1"/>
          <w:bCs w:val="1"/>
          <w:sz w:val="28"/>
          <w:szCs w:val="28"/>
        </w:rPr>
      </w:pPr>
    </w:p>
    <w:p>
      <w:pPr>
        <w:spacing w:lineRule="auto" w:line="360" w:after="0" w:beforeAutospacing="0" w:afterAutospacing="0"/>
        <w:ind w:firstLine="709"/>
        <w:jc w:val="both"/>
        <w:rPr>
          <w:rFonts w:ascii="Times New Roman" w:hAnsi="Times New Roman" w:cs="Times New Roman"/>
          <w:b w:val="1"/>
          <w:bCs w:val="1"/>
          <w:sz w:val="28"/>
          <w:szCs w:val="28"/>
        </w:rPr>
      </w:pPr>
      <w:r>
        <w:rPr>
          <w:rFonts w:ascii="Times New Roman" w:hAnsi="Times New Roman" w:cs="Times New Roman"/>
          <w:b w:val="1"/>
          <w:bCs w:val="1"/>
          <w:sz w:val="28"/>
          <w:szCs w:val="28"/>
        </w:rPr>
        <w:t xml:space="preserve">2.3  Исследование устойчивых траекторий инновационно-инклюзивного развития Республики Кот-Д’Ивуар в условиях цифровой трансформации</w:t>
      </w:r>
    </w:p>
    <w:p>
      <w:pPr>
        <w:pStyle w:val="P13"/>
        <w:spacing w:lineRule="auto" w:line="360" w:beforeAutospacing="0" w:afterAutospacing="0"/>
        <w:ind w:firstLine="709" w:right="-1"/>
        <w:jc w:val="both"/>
        <w:rPr>
          <w:sz w:val="28"/>
          <w:szCs w:val="28"/>
          <w:lang w:val="ru-RU"/>
        </w:rPr>
      </w:pPr>
    </w:p>
    <w:p>
      <w:pPr>
        <w:pStyle w:val="P13"/>
        <w:spacing w:lineRule="auto" w:line="360" w:beforeAutospacing="0" w:afterAutospacing="0"/>
        <w:ind w:firstLine="709" w:right="-1"/>
        <w:jc w:val="both"/>
        <w:rPr>
          <w:sz w:val="28"/>
          <w:szCs w:val="28"/>
          <w:lang w:val="ru-RU"/>
        </w:rPr>
      </w:pPr>
    </w:p>
    <w:p>
      <w:pPr>
        <w:pStyle w:val="P13"/>
        <w:spacing w:lineRule="auto" w:line="360" w:beforeAutospacing="0" w:afterAutospacing="0"/>
        <w:ind w:firstLine="709" w:right="-1"/>
        <w:jc w:val="both"/>
        <w:rPr>
          <w:sz w:val="28"/>
          <w:szCs w:val="28"/>
          <w:lang w:val="ru-RU"/>
        </w:rPr>
      </w:pPr>
    </w:p>
    <w:p>
      <w:pPr>
        <w:pStyle w:val="P13"/>
        <w:spacing w:lineRule="auto" w:line="360" w:beforeAutospacing="0" w:afterAutospacing="0"/>
        <w:ind w:firstLine="709"/>
        <w:jc w:val="both"/>
        <w:rPr>
          <w:color w:val="FF0000"/>
          <w:sz w:val="28"/>
          <w:szCs w:val="28"/>
          <w:lang w:val="ru-RU"/>
        </w:rPr>
      </w:pPr>
      <w:r>
        <w:rPr>
          <w:color w:val="FF0000"/>
          <w:sz w:val="28"/>
          <w:szCs w:val="28"/>
          <w:lang w:val="ru-RU"/>
        </w:rPr>
        <w:t>Оценка инновационно-инклюзивного развития требует перехода от анализа отдельных социально-экономических показателей к исследованию их системных взаимосвязей и устойчивых динамических зависимостей. В условиях ограниченных ресурсов и высокой структурной неоднородности экономики достижение устойчивого роста определяется не столько абсолютными значениями отдельных индикаторов, сколько характером их взаимодействия и способностью формировать взаимодополняющие эффекты.</w:t>
      </w:r>
    </w:p>
    <w:p>
      <w:pPr>
        <w:pStyle w:val="P13"/>
        <w:spacing w:lineRule="auto" w:line="360" w:beforeAutospacing="0" w:afterAutospacing="0"/>
        <w:ind w:firstLine="709"/>
        <w:jc w:val="both"/>
        <w:rPr>
          <w:color w:val="FF0000"/>
          <w:sz w:val="28"/>
          <w:szCs w:val="28"/>
          <w:lang w:val="ru-RU"/>
        </w:rPr>
      </w:pPr>
      <w:r>
        <w:rPr>
          <w:color w:val="FF0000"/>
          <w:sz w:val="28"/>
          <w:szCs w:val="28"/>
          <w:lang w:val="ru-RU"/>
        </w:rPr>
        <w:t>Для Республики Кот-д’Ивуар, находящейся в фазе активной цифровой трансформации и макроэкономического роста при сохраняющихся институциональных и социальных диспропорциях, принципиально важным является выявление устойчивых траекторий развития, формирующихся на пересечении экономических, социальных и цифровых факторов. Под устойчивыми траекториями в настоящем исследовании понимаются устойчивые причинно-следственные связи между ключевыми индикаторами развития, сохраняющиеся во времени и обладающие мультипликативным потенциалом.</w:t>
      </w:r>
    </w:p>
    <w:p>
      <w:pPr>
        <w:pStyle w:val="P13"/>
        <w:spacing w:lineRule="auto" w:line="360" w:beforeAutospacing="0" w:afterAutospacing="0"/>
        <w:ind w:firstLine="709"/>
        <w:jc w:val="both"/>
        <w:rPr>
          <w:color w:val="FF0000"/>
          <w:sz w:val="28"/>
          <w:szCs w:val="28"/>
          <w:lang w:val="ru-RU"/>
        </w:rPr>
      </w:pPr>
      <w:r>
        <w:rPr>
          <w:color w:val="FF0000"/>
          <w:sz w:val="28"/>
          <w:szCs w:val="28"/>
          <w:lang w:val="ru-RU"/>
        </w:rPr>
        <w:t>Современные исследования [41, 79, 122] показывают, что экономический рост, развитие человеческого капитала, снижение бедности, доступ к базовой инфраструктуре и уровень цифровизации образуют взаимосвязанную систему. Изменения в одной сфере способны инициировать цепные эффекты в других, формируя либо кумулятивные положительные, либо блокирующие негативные механизмы. В этой связи анализ инновационно-инклюзивного развития Республики Кот-д’Ивуар целесообразно осуществлять через выявление узловых факторов, обладающих наибольшим синергетическим потенциалом.</w:t>
      </w:r>
    </w:p>
    <w:p>
      <w:pPr>
        <w:pStyle w:val="P13"/>
        <w:spacing w:lineRule="auto" w:line="360" w:beforeAutospacing="0" w:afterAutospacing="0"/>
        <w:ind w:firstLine="709"/>
        <w:jc w:val="both"/>
        <w:rPr>
          <w:color w:val="FF0000"/>
          <w:sz w:val="28"/>
          <w:szCs w:val="28"/>
          <w:lang w:val="ru-RU"/>
        </w:rPr>
      </w:pPr>
      <w:r>
        <w:rPr>
          <w:color w:val="FF0000"/>
          <w:sz w:val="28"/>
          <w:szCs w:val="28"/>
          <w:lang w:val="ru-RU"/>
        </w:rPr>
        <w:t>Особое внимание в рамках настоящего раздела уделим цифровой трансформации как среде формирования современных траекторий развития. Цифровизация рассматривается нами не только как технологический процесс расширения доступа к информационно-коммуникационной инфраструктуре, но и как структурный фактор, способный изменять характер экономического участия, институциональные механизмы координации и возможности инклюзивного вовлечения хозяйствующих субъектов. Вопрос заключается в том, выступает ли цифровизация самостоятельным драйвером инновационно-инклюзивного развития или ее влияние реализуется опосредованно через другие социально-экономические каналы.</w:t>
      </w:r>
    </w:p>
    <w:p>
      <w:pPr>
        <w:pStyle w:val="P13"/>
        <w:spacing w:lineRule="auto" w:line="360" w:beforeAutospacing="0" w:afterAutospacing="0"/>
        <w:ind w:firstLine="709"/>
        <w:jc w:val="both"/>
        <w:rPr>
          <w:color w:val="FF0000"/>
          <w:sz w:val="28"/>
          <w:szCs w:val="28"/>
          <w:lang w:val="ru-RU"/>
        </w:rPr>
      </w:pPr>
      <w:r>
        <w:rPr>
          <w:color w:val="FF0000"/>
          <w:sz w:val="28"/>
          <w:szCs w:val="28"/>
          <w:lang w:val="ru-RU"/>
        </w:rPr>
        <w:t>Исходя из этого, в рамках данного пункта ставятся следующие исследовательские задачи:</w:t>
      </w:r>
    </w:p>
    <w:p>
      <w:pPr>
        <w:pStyle w:val="P13"/>
        <w:spacing w:lineRule="auto" w:line="360" w:beforeAutospacing="0" w:afterAutospacing="0"/>
        <w:ind w:firstLine="709"/>
        <w:jc w:val="both"/>
        <w:rPr>
          <w:color w:val="FF0000"/>
          <w:sz w:val="28"/>
          <w:szCs w:val="28"/>
          <w:lang w:val="ru-RU"/>
        </w:rPr>
      </w:pPr>
      <w:r>
        <w:rPr>
          <w:color w:val="FF0000"/>
          <w:sz w:val="28"/>
          <w:szCs w:val="28"/>
          <w:lang w:val="ru-RU"/>
        </w:rPr>
        <w:t>1) выявить устойчивые взаимосвязи между ключевыми показателями инновационного, социального и экономического развития Республики Кот-д’Ивуар;</w:t>
      </w:r>
    </w:p>
    <w:p>
      <w:pPr>
        <w:pStyle w:val="P13"/>
        <w:spacing w:lineRule="auto" w:line="360" w:beforeAutospacing="0" w:afterAutospacing="0"/>
        <w:ind w:firstLine="709"/>
        <w:jc w:val="both"/>
        <w:rPr>
          <w:color w:val="FF0000"/>
          <w:sz w:val="28"/>
          <w:szCs w:val="28"/>
          <w:lang w:val="ru-RU"/>
        </w:rPr>
      </w:pPr>
      <w:r>
        <w:rPr>
          <w:color w:val="FF0000"/>
          <w:sz w:val="28"/>
          <w:szCs w:val="28"/>
          <w:lang w:val="ru-RU"/>
        </w:rPr>
        <w:t>2) определить факторы, обладающие максимальным синергетическим эффектом;</w:t>
      </w:r>
    </w:p>
    <w:p>
      <w:pPr>
        <w:pStyle w:val="P13"/>
        <w:spacing w:lineRule="auto" w:line="360" w:beforeAutospacing="0" w:afterAutospacing="0"/>
        <w:ind w:firstLine="709"/>
        <w:jc w:val="both"/>
        <w:rPr>
          <w:color w:val="FF0000"/>
          <w:sz w:val="28"/>
          <w:szCs w:val="28"/>
          <w:lang w:val="ru-RU"/>
        </w:rPr>
      </w:pPr>
      <w:r>
        <w:rPr>
          <w:color w:val="FF0000"/>
          <w:sz w:val="28"/>
          <w:szCs w:val="28"/>
          <w:lang w:val="ru-RU"/>
        </w:rPr>
        <w:t>3) установить роль цифровизации в формировании выявленных траекторий.</w:t>
      </w:r>
    </w:p>
    <w:p>
      <w:pPr>
        <w:pStyle w:val="P13"/>
        <w:spacing w:lineRule="auto" w:line="360" w:beforeAutospacing="0" w:afterAutospacing="0"/>
        <w:ind w:firstLine="709"/>
        <w:jc w:val="both"/>
        <w:rPr>
          <w:color w:val="FF0000"/>
          <w:sz w:val="28"/>
          <w:szCs w:val="28"/>
          <w:lang w:val="ru-RU"/>
        </w:rPr>
      </w:pPr>
      <w:r>
        <w:rPr>
          <w:color w:val="FF0000"/>
          <w:sz w:val="28"/>
          <w:szCs w:val="28"/>
          <w:lang w:val="ru-RU"/>
        </w:rPr>
        <w:t>Решение поставленных задач представлено в нашей совместной публикации с Кулаговской Т.А.</w:t>
      </w:r>
      <w:r>
        <w:rPr>
          <w:rStyle w:val="C42"/>
          <w:color w:val="FF0000"/>
          <w:sz w:val="28"/>
          <w:szCs w:val="28"/>
          <w:lang w:val="ru-RU"/>
        </w:rPr>
        <w:footnoteReference w:id="80"/>
      </w:r>
      <w:r>
        <w:rPr>
          <w:color w:val="FF0000"/>
          <w:sz w:val="28"/>
          <w:szCs w:val="28"/>
          <w:lang w:val="ru-RU"/>
        </w:rPr>
        <w:t xml:space="preserve"> и осуществлялось с использованием эконометрических инструментов, включая обработку неполных статистических рядов методом множественного вменения (Fully Conditional Specification, FCS</w:t>
      </w:r>
      <w:r>
        <w:rPr>
          <w:sz w:val="28"/>
          <w:szCs w:val="28"/>
          <w:lang w:val="ru-RU"/>
        </w:rPr>
        <w:t xml:space="preserve"> это итеративный метод Монте-Карло с цепями Маркова</w:t>
      </w:r>
      <w:r>
        <w:rPr>
          <w:color w:val="FF0000"/>
          <w:sz w:val="28"/>
          <w:szCs w:val="28"/>
          <w:lang w:val="ru-RU"/>
        </w:rPr>
        <w:t xml:space="preserve">), реализованного в среде PASW (SPSS 19). Использование данной процедуры позволяет минимизировать искажения, обусловленные отсутствием отдельных наблюдений, и сохранить сопоставимость показателей в динамике. Для каждой переменной последовательно оценивается одномерная регрессионная модель с использованием остальных переменных в качестве предикторов </w:t>
      </w:r>
      <w:r>
        <w:rPr>
          <w:sz w:val="28"/>
          <w:szCs w:val="28"/>
          <w:highlight w:val="yellow"/>
          <w:lang w:val="ru-RU"/>
        </w:rPr>
        <w:t>[149]</w:t>
      </w:r>
      <w:r>
        <w:rPr>
          <w:color w:val="FF0000"/>
          <w:sz w:val="28"/>
          <w:szCs w:val="28"/>
          <w:lang w:val="ru-RU"/>
        </w:rPr>
        <w:t>. Стандартное число итераций составляет десять, что обеспечивает устойчивость оценок.</w:t>
      </w:r>
    </w:p>
    <w:p>
      <w:pPr>
        <w:pStyle w:val="P13"/>
        <w:spacing w:lineRule="auto" w:line="360" w:beforeAutospacing="0" w:afterAutospacing="0"/>
        <w:ind w:firstLine="709" w:right="-1"/>
        <w:jc w:val="both"/>
        <w:rPr>
          <w:color w:val="FF0000"/>
          <w:sz w:val="28"/>
          <w:szCs w:val="28"/>
          <w:lang w:val="ru-RU"/>
        </w:rPr>
      </w:pPr>
      <w:r>
        <w:rPr>
          <w:color w:val="FF0000"/>
          <w:sz w:val="28"/>
          <w:szCs w:val="28"/>
          <w:lang w:val="ru-RU"/>
        </w:rPr>
        <w:t>На первом этапе мы используем ориентированные ациклические графы (DAG), на втором – метод Partial Least Squares Regression (PLS), чтобы попытаться определить и количественно оценить устойчивые причинно-следственные связи между ЦУР, достижение которых является важным условием формирования инновационно-инклюзивных траекторий развития Республики Кот-д’Ивуар в условиях цифровой трансформации.</w:t>
      </w:r>
    </w:p>
    <w:p>
      <w:pPr>
        <w:pStyle w:val="P13"/>
        <w:spacing w:lineRule="auto" w:line="360" w:beforeAutospacing="0" w:afterAutospacing="0"/>
        <w:ind w:firstLine="709" w:right="-1"/>
        <w:jc w:val="both"/>
        <w:rPr>
          <w:color w:val="FF0000"/>
          <w:sz w:val="28"/>
          <w:szCs w:val="28"/>
          <w:lang w:val="ru-RU"/>
        </w:rPr>
      </w:pPr>
      <w:r>
        <w:rPr>
          <w:color w:val="FF0000"/>
          <w:sz w:val="28"/>
          <w:szCs w:val="28"/>
          <w:lang w:val="ru-RU"/>
        </w:rPr>
        <w:t>Применение DAG позволяет формализовать предполагаемую структуру взаимовлияния показателей, выявить направление связей и разграничить прямые и опосредованные эффекты, что особенно важно при анализе взаимозависимых целей развития. Данный инструмент обеспечивает теоретически обоснованное построение каузальной модели, исключая произвольное включение переменных и снижая риск смешения эффектов</w:t>
      </w:r>
      <w:r>
        <w:rPr>
          <w:sz w:val="28"/>
          <w:szCs w:val="28"/>
          <w:lang w:val="ru-RU"/>
        </w:rPr>
        <w:t xml:space="preserve"> [</w:t>
      </w:r>
      <w:r>
        <w:rPr>
          <w:sz w:val="28"/>
          <w:szCs w:val="28"/>
          <w:highlight w:val="yellow"/>
          <w:lang w:val="ru-RU"/>
        </w:rPr>
        <w:t>100</w:t>
      </w:r>
      <w:r>
        <w:rPr>
          <w:sz w:val="28"/>
          <w:szCs w:val="28"/>
          <w:lang w:val="ru-RU"/>
        </w:rPr>
        <w:t xml:space="preserve">]. Например, Х. Брайант и др. использовали </w:t>
      </w:r>
      <w:r>
        <w:rPr>
          <w:sz w:val="28"/>
          <w:szCs w:val="28"/>
        </w:rPr>
        <w:t>DAG</w:t>
      </w:r>
      <w:r>
        <w:rPr>
          <w:sz w:val="28"/>
          <w:szCs w:val="28"/>
          <w:lang w:val="ru-RU"/>
        </w:rPr>
        <w:t xml:space="preserve"> для выявления причинно-следственных связей среди наборов показателей, которые считаются значимыми для распространения бедности в мире и для выявления или опровержения причинно-следственных связей [</w:t>
      </w:r>
      <w:r>
        <w:rPr>
          <w:sz w:val="28"/>
          <w:szCs w:val="28"/>
          <w:highlight w:val="yellow"/>
          <w:lang w:val="ru-RU"/>
        </w:rPr>
        <w:t>50</w:t>
      </w:r>
      <w:r>
        <w:rPr>
          <w:sz w:val="28"/>
          <w:szCs w:val="28"/>
          <w:lang w:val="ru-RU"/>
        </w:rPr>
        <w:t>].</w:t>
      </w:r>
    </w:p>
    <w:p>
      <w:pPr>
        <w:pStyle w:val="P13"/>
        <w:spacing w:lineRule="auto" w:line="360" w:beforeAutospacing="0" w:afterAutospacing="0"/>
        <w:ind w:firstLine="709" w:right="-1"/>
        <w:jc w:val="both"/>
        <w:rPr>
          <w:sz w:val="28"/>
          <w:szCs w:val="28"/>
          <w:lang w:val="ru-RU"/>
        </w:rPr>
      </w:pPr>
      <w:r>
        <w:rPr>
          <w:color w:val="FF0000"/>
          <w:sz w:val="28"/>
          <w:szCs w:val="28"/>
          <w:lang w:val="ru-RU"/>
        </w:rPr>
        <w:t>На втором этапе PLS-моделирование используется для эмпирической проверки выявленной структуры взаимосвязей и оценки силы латентных конструкций, отражающих комплексные измерения устойчивого, инновационного и инклюзивного развития. Метод PLS выбран с учетом ограничений статистической базы развивающихся стран, высокой гетерогенности показателей и наличия латентных переменных, не наблюдаемых напрямую.</w:t>
      </w:r>
    </w:p>
    <w:p>
      <w:pPr>
        <w:pStyle w:val="P13"/>
        <w:spacing w:lineRule="auto" w:line="360" w:beforeAutospacing="0" w:afterAutospacing="0"/>
        <w:ind w:firstLine="709" w:right="-1"/>
        <w:jc w:val="both"/>
        <w:rPr>
          <w:sz w:val="28"/>
          <w:szCs w:val="28"/>
          <w:lang w:val="ru-RU"/>
        </w:rPr>
      </w:pPr>
      <w:r>
        <w:rPr>
          <w:color w:val="FF0000"/>
          <w:sz w:val="28"/>
          <w:szCs w:val="28"/>
          <w:lang w:val="ru-RU"/>
        </w:rPr>
        <w:t>Такое сочетание инструментов позволяет перейти от описательной фиксации динамики отдельных индикаторов к выявлению устойчивых траекторий развития, формирующихся на пересечении экономических, социальных и цифровых факторов</w:t>
      </w:r>
      <w:r>
        <w:rPr>
          <w:sz w:val="28"/>
          <w:szCs w:val="28"/>
          <w:lang w:val="ru-RU"/>
        </w:rPr>
        <w:t>.</w:t>
      </w:r>
    </w:p>
    <w:p>
      <w:pPr>
        <w:pStyle w:val="P13"/>
        <w:spacing w:lineRule="auto" w:line="360" w:beforeAutospacing="0" w:afterAutospacing="0"/>
        <w:ind w:firstLine="709" w:right="-1"/>
        <w:jc w:val="both"/>
        <w:rPr>
          <w:sz w:val="28"/>
          <w:szCs w:val="28"/>
          <w:lang w:val="ru-RU"/>
        </w:rPr>
      </w:pPr>
      <w:r>
        <w:rPr>
          <w:sz w:val="28"/>
          <w:szCs w:val="28"/>
          <w:lang w:val="ru-RU"/>
        </w:rPr>
        <w:t xml:space="preserve">В основе </w:t>
      </w:r>
      <w:r>
        <w:rPr>
          <w:sz w:val="28"/>
          <w:szCs w:val="28"/>
        </w:rPr>
        <w:t>DAG</w:t>
      </w:r>
      <w:r>
        <w:rPr>
          <w:sz w:val="28"/>
          <w:szCs w:val="28"/>
          <w:lang w:val="ru-RU"/>
        </w:rPr>
        <w:t xml:space="preserve"> лежит схема, представляющая собой направленные ссылки среди множества переменных, где переменные представлены узлами, а ребра представляют условную зависимость между переменными [</w:t>
      </w:r>
      <w:r>
        <w:rPr>
          <w:sz w:val="28"/>
          <w:szCs w:val="28"/>
          <w:highlight w:val="yellow"/>
          <w:lang w:val="ru-RU"/>
        </w:rPr>
        <w:t>100</w:t>
      </w:r>
      <w:r>
        <w:rPr>
          <w:sz w:val="28"/>
          <w:szCs w:val="28"/>
          <w:lang w:val="ru-RU"/>
        </w:rPr>
        <w:t>]. То есть мы имеем диаграмму путей, которая показывает связи между переменными.</w:t>
      </w:r>
    </w:p>
    <w:p>
      <w:pPr>
        <w:pStyle w:val="P13"/>
        <w:spacing w:lineRule="auto" w:line="360" w:beforeAutospacing="0" w:afterAutospacing="0"/>
        <w:ind w:firstLine="709"/>
        <w:jc w:val="both"/>
        <w:rPr>
          <w:sz w:val="28"/>
          <w:szCs w:val="28"/>
          <w:lang w:val="ru-RU"/>
        </w:rPr>
      </w:pPr>
      <w:r>
        <w:rPr>
          <w:sz w:val="28"/>
          <w:szCs w:val="28"/>
          <w:lang w:val="ru-RU"/>
        </w:rPr>
        <w:t xml:space="preserve">Рассмотрим набор переменных </w:t>
      </w:r>
      <w:r>
        <w:rPr>
          <w:i w:val="1"/>
          <w:sz w:val="28"/>
          <w:szCs w:val="28"/>
        </w:rPr>
        <w:t>X</w:t>
      </w:r>
      <w:r>
        <w:rPr>
          <w:i w:val="1"/>
          <w:sz w:val="28"/>
          <w:szCs w:val="28"/>
          <w:lang w:val="ru-RU"/>
        </w:rPr>
        <w:t xml:space="preserve">, </w:t>
      </w:r>
      <w:r>
        <w:rPr>
          <w:i w:val="1"/>
          <w:sz w:val="28"/>
          <w:szCs w:val="28"/>
        </w:rPr>
        <w:t>Y</w:t>
      </w:r>
      <w:r>
        <w:rPr>
          <w:sz w:val="28"/>
          <w:szCs w:val="28"/>
          <w:lang w:val="ru-RU"/>
        </w:rPr>
        <w:t xml:space="preserve"> и </w:t>
      </w:r>
      <w:r>
        <w:rPr>
          <w:i w:val="1"/>
          <w:sz w:val="28"/>
          <w:szCs w:val="28"/>
        </w:rPr>
        <w:t>Z</w:t>
      </w:r>
      <w:r>
        <w:rPr>
          <w:sz w:val="28"/>
          <w:szCs w:val="28"/>
          <w:lang w:val="ru-RU"/>
        </w:rPr>
        <w:t xml:space="preserve">. Переменные называются вершинами графа, а связи между переменными/вершинами называются ребрами. Символы, прикрепленные к концам ребер, называются метками. Направленная вилка, где </w:t>
      </w:r>
      <w:r>
        <w:rPr>
          <w:i w:val="1"/>
          <w:sz w:val="28"/>
          <w:szCs w:val="28"/>
        </w:rPr>
        <w:t>X</w:t>
      </w:r>
      <w:r>
        <w:rPr>
          <w:sz w:val="28"/>
          <w:szCs w:val="28"/>
          <w:lang w:val="ru-RU"/>
        </w:rPr>
        <w:t xml:space="preserve"> является антецедентом как </w:t>
      </w:r>
      <w:r>
        <w:rPr>
          <w:i w:val="1"/>
          <w:sz w:val="28"/>
          <w:szCs w:val="28"/>
        </w:rPr>
        <w:t>Y</w:t>
      </w:r>
      <w:r>
        <w:rPr>
          <w:sz w:val="28"/>
          <w:szCs w:val="28"/>
          <w:lang w:val="ru-RU"/>
        </w:rPr>
        <w:t xml:space="preserve">, так и </w:t>
      </w:r>
      <w:r>
        <w:rPr>
          <w:i w:val="1"/>
          <w:sz w:val="28"/>
          <w:szCs w:val="28"/>
        </w:rPr>
        <w:t>Z</w:t>
      </w:r>
      <w:r>
        <w:rPr>
          <w:sz w:val="28"/>
          <w:szCs w:val="28"/>
          <w:lang w:val="ru-RU"/>
        </w:rPr>
        <w:t xml:space="preserve">, может быть представлена ​​как </w:t>
      </w:r>
      <w:r>
        <w:rPr>
          <w:i w:val="1"/>
          <w:sz w:val="28"/>
          <w:szCs w:val="28"/>
        </w:rPr>
        <w:t>Y</w:t>
      </w:r>
      <w:r>
        <w:rPr>
          <w:i w:val="1"/>
          <w:sz w:val="28"/>
          <w:szCs w:val="28"/>
          <w:lang w:val="ru-RU"/>
        </w:rPr>
        <w:t>←</w:t>
      </w:r>
      <w:r>
        <w:rPr>
          <w:i w:val="1"/>
          <w:sz w:val="28"/>
          <w:szCs w:val="28"/>
        </w:rPr>
        <w:t>X</w:t>
      </w:r>
      <w:r>
        <w:rPr>
          <w:i w:val="1"/>
          <w:sz w:val="28"/>
          <w:szCs w:val="28"/>
          <w:lang w:val="ru-RU"/>
        </w:rPr>
        <w:t>→</w:t>
      </w:r>
      <w:r>
        <w:rPr>
          <w:i w:val="1"/>
          <w:sz w:val="28"/>
          <w:szCs w:val="28"/>
        </w:rPr>
        <w:t>Z</w:t>
      </w:r>
      <w:r>
        <w:rPr>
          <w:sz w:val="28"/>
          <w:szCs w:val="28"/>
          <w:lang w:val="ru-RU"/>
        </w:rPr>
        <w:t xml:space="preserve">. Граф содержит упорядоченную тройку </w:t>
      </w:r>
      <w:r>
        <w:rPr>
          <w:i w:val="1"/>
          <w:sz w:val="28"/>
          <w:szCs w:val="28"/>
          <w:lang w:val="ru-RU"/>
        </w:rPr>
        <w:t>&lt;</w:t>
      </w:r>
      <w:r>
        <w:rPr>
          <w:i w:val="1"/>
          <w:sz w:val="28"/>
          <w:szCs w:val="28"/>
        </w:rPr>
        <w:t>V</w:t>
      </w:r>
      <w:r>
        <w:rPr>
          <w:i w:val="1"/>
          <w:sz w:val="28"/>
          <w:szCs w:val="28"/>
          <w:lang w:val="ru-RU"/>
        </w:rPr>
        <w:t xml:space="preserve">, </w:t>
      </w:r>
      <w:r>
        <w:rPr>
          <w:i w:val="1"/>
          <w:sz w:val="28"/>
          <w:szCs w:val="28"/>
        </w:rPr>
        <w:t>M</w:t>
      </w:r>
      <w:r>
        <w:rPr>
          <w:i w:val="1"/>
          <w:sz w:val="28"/>
          <w:szCs w:val="28"/>
          <w:lang w:val="ru-RU"/>
        </w:rPr>
        <w:t xml:space="preserve">, </w:t>
      </w:r>
      <w:r>
        <w:rPr>
          <w:i w:val="1"/>
          <w:sz w:val="28"/>
          <w:szCs w:val="28"/>
        </w:rPr>
        <w:t>E</w:t>
      </w:r>
      <w:r>
        <w:rPr>
          <w:i w:val="1"/>
          <w:sz w:val="28"/>
          <w:szCs w:val="28"/>
          <w:lang w:val="ru-RU"/>
        </w:rPr>
        <w:t>&gt;</w:t>
      </w:r>
      <w:r>
        <w:rPr>
          <w:sz w:val="28"/>
          <w:szCs w:val="28"/>
          <w:lang w:val="ru-RU"/>
        </w:rPr>
        <w:t xml:space="preserve">, где </w:t>
      </w:r>
      <w:r>
        <w:rPr>
          <w:i w:val="1"/>
          <w:sz w:val="28"/>
          <w:szCs w:val="28"/>
        </w:rPr>
        <w:t>V</w:t>
      </w:r>
      <w:r>
        <w:rPr>
          <w:sz w:val="28"/>
          <w:szCs w:val="28"/>
          <w:lang w:val="ru-RU"/>
        </w:rPr>
        <w:t xml:space="preserve"> –  непустое множество вершин (переменных) , </w:t>
      </w:r>
      <w:r>
        <w:rPr>
          <w:i w:val="1"/>
          <w:sz w:val="28"/>
          <w:szCs w:val="28"/>
        </w:rPr>
        <w:t>M</w:t>
      </w:r>
      <w:r>
        <w:rPr>
          <w:sz w:val="28"/>
          <w:szCs w:val="28"/>
          <w:lang w:val="ru-RU"/>
        </w:rPr>
        <w:t xml:space="preserve"> – непустое множество меток (символов, прикрепленных к концам неориентированных ребер), а </w:t>
      </w:r>
      <w:r>
        <w:rPr>
          <w:i w:val="1"/>
          <w:sz w:val="28"/>
          <w:szCs w:val="28"/>
        </w:rPr>
        <w:t>E</w:t>
      </w:r>
      <w:r>
        <w:rPr>
          <w:sz w:val="28"/>
          <w:szCs w:val="28"/>
          <w:lang w:val="ru-RU"/>
        </w:rPr>
        <w:t xml:space="preserve"> – множество упорядоченных пар, где каждый член </w:t>
      </w:r>
      <w:r>
        <w:rPr>
          <w:i w:val="1"/>
          <w:sz w:val="28"/>
          <w:szCs w:val="28"/>
        </w:rPr>
        <w:t>E</w:t>
      </w:r>
      <w:r>
        <w:rPr>
          <w:sz w:val="28"/>
          <w:szCs w:val="28"/>
          <w:lang w:val="ru-RU"/>
        </w:rPr>
        <w:t xml:space="preserve"> называется ребром [</w:t>
      </w:r>
      <w:r>
        <w:rPr>
          <w:sz w:val="28"/>
          <w:szCs w:val="28"/>
          <w:highlight w:val="yellow"/>
          <w:lang w:val="ru-RU"/>
        </w:rPr>
        <w:t>190</w:t>
      </w:r>
      <w:r>
        <w:rPr>
          <w:sz w:val="28"/>
          <w:szCs w:val="28"/>
          <w:lang w:val="ru-RU"/>
        </w:rPr>
        <w:t>].</w:t>
      </w:r>
    </w:p>
    <w:p>
      <w:pPr>
        <w:pStyle w:val="P13"/>
        <w:spacing w:lineRule="auto" w:line="360" w:beforeAutospacing="0" w:afterAutospacing="0"/>
        <w:ind w:firstLine="709"/>
        <w:jc w:val="both"/>
        <w:rPr>
          <w:sz w:val="28"/>
          <w:szCs w:val="28"/>
          <w:lang w:val="ru-RU"/>
        </w:rPr>
      </w:pPr>
      <w:r>
        <w:rPr>
          <w:sz w:val="28"/>
          <w:szCs w:val="28"/>
          <w:lang w:val="ru-RU"/>
        </w:rPr>
        <w:t xml:space="preserve">Пример </w:t>
      </w:r>
      <w:r>
        <w:rPr>
          <w:iCs w:val="1"/>
          <w:sz w:val="28"/>
          <w:szCs w:val="28"/>
        </w:rPr>
        <w:t>DAG</w:t>
      </w:r>
      <w:r>
        <w:rPr>
          <w:sz w:val="28"/>
          <w:szCs w:val="28"/>
          <w:lang w:val="ru-RU"/>
        </w:rPr>
        <w:t xml:space="preserve"> показан на рисунке </w:t>
      </w:r>
      <w:r>
        <w:rPr>
          <w:sz w:val="28"/>
          <w:szCs w:val="28"/>
          <w:highlight w:val="yellow"/>
          <w:lang w:val="ru-RU"/>
        </w:rPr>
        <w:t>3.1</w:t>
      </w:r>
      <w:r>
        <w:rPr>
          <w:sz w:val="28"/>
          <w:szCs w:val="28"/>
          <w:lang w:val="ru-RU"/>
        </w:rPr>
        <w:t xml:space="preserve">. Направленный перепад от валового внутреннего продукта (ВВП) к мобильным устройствам указывает на то, что ВВП является предшественником мобильных устройств. Для каждой </w:t>
      </w:r>
      <w:r>
        <w:rPr>
          <w:i w:val="1"/>
          <w:sz w:val="28"/>
          <w:szCs w:val="28"/>
        </w:rPr>
        <w:t>DAG</w:t>
      </w:r>
      <w:r>
        <w:rPr>
          <w:sz w:val="28"/>
          <w:szCs w:val="28"/>
          <w:lang w:val="ru-RU"/>
        </w:rPr>
        <w:t xml:space="preserve"> набор условных отношений независимости связывается между переменными в наборе данных. Пусть </w:t>
      </w:r>
      <w:r>
        <w:rPr>
          <w:i w:val="1"/>
          <w:sz w:val="28"/>
          <w:szCs w:val="28"/>
        </w:rPr>
        <w:t>V</w:t>
      </w:r>
      <w:r>
        <w:rPr>
          <w:i w:val="1"/>
          <w:sz w:val="28"/>
          <w:szCs w:val="28"/>
          <w:vertAlign w:val="subscript"/>
          <w:lang w:val="ru-RU"/>
        </w:rPr>
        <w:t>1</w:t>
      </w:r>
      <w:r>
        <w:rPr>
          <w:i w:val="1"/>
          <w:sz w:val="28"/>
          <w:szCs w:val="28"/>
          <w:lang w:val="ru-RU"/>
        </w:rPr>
        <w:t>...</w:t>
      </w:r>
      <w:r>
        <w:rPr>
          <w:i w:val="1"/>
          <w:sz w:val="28"/>
          <w:szCs w:val="28"/>
        </w:rPr>
        <w:t>V</w:t>
      </w:r>
      <w:r>
        <w:rPr>
          <w:i w:val="1"/>
          <w:sz w:val="28"/>
          <w:szCs w:val="28"/>
          <w:vertAlign w:val="subscript"/>
        </w:rPr>
        <w:t>n</w:t>
      </w:r>
      <w:r>
        <w:rPr>
          <w:sz w:val="28"/>
          <w:szCs w:val="28"/>
          <w:lang w:val="ru-RU"/>
        </w:rPr>
        <w:t xml:space="preserve"> будет набором переменных в наборе данных, и пусть антецедент (</w:t>
      </w:r>
      <w:r>
        <w:rPr>
          <w:i w:val="1"/>
          <w:sz w:val="28"/>
          <w:szCs w:val="28"/>
        </w:rPr>
        <w:t>V</w:t>
      </w:r>
      <w:r>
        <w:rPr>
          <w:i w:val="1"/>
          <w:sz w:val="28"/>
          <w:szCs w:val="28"/>
          <w:vertAlign w:val="subscript"/>
        </w:rPr>
        <w:t>i</w:t>
      </w:r>
      <w:r>
        <w:rPr>
          <w:sz w:val="28"/>
          <w:szCs w:val="28"/>
          <w:lang w:val="ru-RU"/>
        </w:rPr>
        <w:t xml:space="preserve">) представляет собой набор антецедентов каждой переменной </w:t>
      </w:r>
      <w:r>
        <w:rPr>
          <w:i w:val="1"/>
          <w:sz w:val="28"/>
          <w:szCs w:val="28"/>
        </w:rPr>
        <w:t>V</w:t>
      </w:r>
      <w:r>
        <w:rPr>
          <w:i w:val="1"/>
          <w:sz w:val="28"/>
          <w:szCs w:val="28"/>
          <w:vertAlign w:val="subscript"/>
        </w:rPr>
        <w:t>i</w:t>
      </w:r>
      <w:r>
        <w:rPr>
          <w:sz w:val="28"/>
          <w:szCs w:val="28"/>
          <w:lang w:val="ru-RU"/>
        </w:rPr>
        <w:t xml:space="preserve">, то есть переменных со стрелкой, ведущей непосредственно к каждому </w:t>
      </w:r>
      <w:r>
        <w:rPr>
          <w:i w:val="1"/>
          <w:sz w:val="28"/>
          <w:szCs w:val="28"/>
        </w:rPr>
        <w:t>V</w:t>
      </w:r>
      <w:r>
        <w:rPr>
          <w:i w:val="1"/>
          <w:sz w:val="28"/>
          <w:szCs w:val="28"/>
          <w:vertAlign w:val="subscript"/>
        </w:rPr>
        <w:t>i</w:t>
      </w:r>
      <w:r>
        <w:rPr>
          <w:sz w:val="28"/>
          <w:szCs w:val="28"/>
          <w:lang w:val="ru-RU"/>
        </w:rPr>
        <w:t>.</w:t>
      </w:r>
    </w:p>
    <w:p>
      <w:pPr>
        <w:spacing w:before="99" w:beforeAutospacing="0" w:afterAutospacing="0"/>
        <w:ind w:left="295"/>
        <w:rPr>
          <w:rFonts w:ascii="Times New Roman" w:hAnsi="Times New Roman" w:cs="Times New Roman"/>
          <w:sz w:val="28"/>
          <w:szCs w:val="28"/>
        </w:rPr>
      </w:pPr>
      <w:r>
        <w:rPr>
          <w:noProof w:val="1"/>
          <w:sz w:val="28"/>
          <w:szCs w:val="28"/>
          <w:lang w:eastAsia="ru-RU"/>
        </w:rPr>
        <mc:AlternateContent>
          <mc:Choice Requires="wpg">
            <w:drawing>
              <wp:anchor xmlns:wp="http://schemas.openxmlformats.org/drawingml/2006/wordprocessingDrawing" distT="0" distB="0" distL="114300" distR="114300" simplePos="0" relativeHeight="68" behindDoc="0" locked="0" layoutInCell="1" allowOverlap="1">
                <wp:simplePos x="0" y="0"/>
                <wp:positionH relativeFrom="column">
                  <wp:posOffset>818515</wp:posOffset>
                </wp:positionH>
                <wp:positionV relativeFrom="paragraph">
                  <wp:posOffset>43180</wp:posOffset>
                </wp:positionV>
                <wp:extent cx="3783965" cy="1049655"/>
                <wp:effectExtent l="0" t="0" r="26035" b="17145"/>
                <wp:wrapNone/>
                <wp:docPr id="24" name="Группа 24"/>
                <wp:cNvGraphicFramePr/>
                <a:graphic xmlns:a="http://schemas.openxmlformats.org/drawingml/2006/main">
                  <a:graphicData uri="http://schemas.microsoft.com/office/word/2010/wordprocessingGroup">
                    <wpg:wgp>
                      <wpg:cNvGrpSpPr/>
                      <wpg:grpSpPr>
                        <a:xfrm>
                          <a:off x="0" y="0"/>
                          <a:ext cx="3783995" cy="1049946"/>
                          <a:chOff x="0" y="0"/>
                          <a:chExt cx="3783995" cy="1049946"/>
                        </a:xfrm>
                      </wpg:grpSpPr>
                      <wps:wsp>
                        <wps:cNvPr id="465" name="Надпись 465"/>
                        <wps:cNvSpPr txBox="1"/>
                        <wps:spPr>
                          <a:xfrm>
                            <a:off x="1460500" y="539750"/>
                            <a:ext cx="842839" cy="298175"/>
                          </a:xfrm>
                          <a:prstGeom prst="rect"/>
                          <a:solidFill>
                            <a:schemeClr val="lt1"/>
                          </a:solidFill>
                          <a:ln w="6350">
                            <a:solidFill>
                              <a:prstClr val="black"/>
                            </a:solidFill>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jc w:val="center"/>
                                <w:rPr>
                                  <w:rFonts w:ascii="Times New Roman" w:hAnsi="Times New Roman" w:cs="Times New Roman"/>
                                  <w:sz w:val="24"/>
                                  <w:szCs w:val="24"/>
                                  <w:lang w:val="en-US"/>
                                </w:rPr>
                              </w:pPr>
                              <w:r>
                                <w:rPr>
                                  <w:rFonts w:ascii="Times New Roman" w:hAnsi="Times New Roman" w:cs="Times New Roman"/>
                                  <w:sz w:val="24"/>
                                  <w:szCs w:val="24"/>
                                  <w:lang w:val="en-US"/>
                                </w:rPr>
                                <w:t>FDI</w:t>
                              </w:r>
                            </w:p>
                          </w:txbxContent>
                        </wps:txbx>
                        <wps:bodyPr rot="0" spcFirstLastPara="0" vertOverflow="overflow" horzOverflow="overflow" vert="horz" wrap="square" lIns="91440" tIns="45720" rIns="91440" bIns="45720" numCol="1" spcCol="0" rtlCol="0" fromWordArt="0" anchor="t" anchorCtr="0" forceAA="0" compatLnSpc="1">
                          <a:noAutofit/>
                        </wps:bodyPr>
                      </wps:wsp>
                      <wpg:grpSp>
                        <wpg:cNvPr id="452" name="Группа 452"/>
                        <wpg:cNvGrpSpPr/>
                        <wpg:grpSpPr>
                          <a:xfrm>
                            <a:off x="0" y="0"/>
                            <a:ext cx="3783995" cy="1049946"/>
                            <a:chOff x="0" y="0"/>
                            <a:chExt cx="3783995" cy="1049946"/>
                          </a:xfrm>
                        </wpg:grpSpPr>
                        <wps:wsp>
                          <wps:cNvPr id="453" name="Надпись 453"/>
                          <wps:cNvSpPr txBox="1"/>
                          <wps:spPr>
                            <a:xfrm>
                              <a:off x="12275" y="0"/>
                              <a:ext cx="842839" cy="298175"/>
                            </a:xfrm>
                            <a:prstGeom prst="rect"/>
                            <a:solidFill>
                              <a:schemeClr val="lt1"/>
                            </a:solidFill>
                            <a:ln w="6350">
                              <a:solidFill>
                                <a:prstClr val="black"/>
                              </a:solidFill>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jc w:val="center"/>
                                  <w:rPr>
                                    <w:rFonts w:ascii="Times New Roman" w:hAnsi="Times New Roman" w:cs="Times New Roman"/>
                                    <w:sz w:val="24"/>
                                    <w:szCs w:val="24"/>
                                  </w:rPr>
                                </w:pPr>
                                <w:r>
                                  <w:rPr>
                                    <w:rFonts w:ascii="Times New Roman" w:hAnsi="Times New Roman" w:cs="Times New Roman"/>
                                    <w:sz w:val="24"/>
                                    <w:szCs w:val="24"/>
                                  </w:rPr>
                                  <w:t>ВВП</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454" name="Надпись 454"/>
                          <wps:cNvSpPr txBox="1"/>
                          <wps:spPr>
                            <a:xfrm>
                              <a:off x="2678763" y="21480"/>
                              <a:ext cx="1105232" cy="298175"/>
                            </a:xfrm>
                            <a:prstGeom prst="rect"/>
                            <a:solidFill>
                              <a:schemeClr val="lt1"/>
                            </a:solidFill>
                            <a:ln w="6350">
                              <a:solidFill>
                                <a:prstClr val="black"/>
                              </a:solidFill>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jc w:val="center"/>
                                  <w:rPr>
                                    <w:rFonts w:ascii="Times New Roman" w:hAnsi="Times New Roman" w:cs="Times New Roman"/>
                                    <w:sz w:val="24"/>
                                    <w:szCs w:val="24"/>
                                  </w:rPr>
                                </w:pPr>
                                <w:r>
                                  <w:rPr>
                                    <w:rFonts w:ascii="Times New Roman" w:hAnsi="Times New Roman" w:cs="Times New Roman"/>
                                    <w:sz w:val="24"/>
                                    <w:szCs w:val="24"/>
                                  </w:rPr>
                                  <w:t>Мобильность</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455" name="Надпись 455"/>
                          <wps:cNvSpPr txBox="1"/>
                          <wps:spPr>
                            <a:xfrm>
                              <a:off x="2678763" y="751773"/>
                              <a:ext cx="1105232" cy="298175"/>
                            </a:xfrm>
                            <a:prstGeom prst="rect"/>
                            <a:solidFill>
                              <a:schemeClr val="lt1"/>
                            </a:solidFill>
                            <a:ln w="6350">
                              <a:solidFill>
                                <a:prstClr val="black"/>
                              </a:solidFill>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jc w:val="center"/>
                                  <w:rPr>
                                    <w:rFonts w:ascii="Times New Roman" w:hAnsi="Times New Roman" w:cs="Times New Roman"/>
                                    <w:sz w:val="24"/>
                                    <w:szCs w:val="24"/>
                                  </w:rPr>
                                </w:pPr>
                                <w:r>
                                  <w:rPr>
                                    <w:rFonts w:ascii="Times New Roman" w:hAnsi="Times New Roman" w:cs="Times New Roman"/>
                                    <w:sz w:val="24"/>
                                    <w:szCs w:val="24"/>
                                  </w:rPr>
                                  <w:t>Риск</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456" name="Надпись 456"/>
                          <wps:cNvSpPr txBox="1"/>
                          <wps:spPr>
                            <a:xfrm>
                              <a:off x="0" y="727225"/>
                              <a:ext cx="1105232" cy="298175"/>
                            </a:xfrm>
                            <a:prstGeom prst="rect"/>
                            <a:solidFill>
                              <a:schemeClr val="lt1"/>
                            </a:solidFill>
                            <a:ln w="6350">
                              <a:solidFill>
                                <a:prstClr val="black"/>
                              </a:solidFill>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jc w:val="center"/>
                                  <w:rPr>
                                    <w:rFonts w:ascii="Times New Roman" w:hAnsi="Times New Roman" w:cs="Times New Roman"/>
                                    <w:sz w:val="24"/>
                                    <w:szCs w:val="24"/>
                                  </w:rPr>
                                </w:pPr>
                                <w:r>
                                  <w:rPr>
                                    <w:rFonts w:ascii="Times New Roman" w:hAnsi="Times New Roman" w:cs="Times New Roman"/>
                                    <w:sz w:val="24"/>
                                    <w:szCs w:val="24"/>
                                  </w:rPr>
                                  <w:t>Население</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457" name="Прямая со стрелкой 457"/>
                          <wps:cNvCnPr/>
                          <wps:spPr>
                            <a:xfrm>
                              <a:off x="856099" y="141150"/>
                              <a:ext cx="1820776" cy="0"/>
                            </a:xfrm>
                            <a:prstGeom prst="straightConnector1"/>
                            <a:ln>
                              <a:tailEnd type="triangle"/>
                            </a:ln>
                          </wps:spPr>
                          <wps:style>
                            <a:lnRef idx="1">
                              <a:schemeClr val="dk1"/>
                            </a:lnRef>
                            <a:fillRef idx="0">
                              <a:schemeClr val="dk1"/>
                            </a:fillRef>
                            <a:effectRef idx="0">
                              <a:schemeClr val="dk1"/>
                            </a:effectRef>
                            <a:fontRef idx="minor">
                              <a:schemeClr val="tx1"/>
                            </a:fontRef>
                          </wps:style>
                          <wps:bodyPr/>
                        </wps:wsp>
                        <wps:wsp>
                          <wps:cNvPr id="458" name="Прямая со стрелкой 458"/>
                          <wps:cNvCnPr/>
                          <wps:spPr>
                            <a:xfrm>
                              <a:off x="856099" y="147287"/>
                              <a:ext cx="601419" cy="405037"/>
                            </a:xfrm>
                            <a:prstGeom prst="straightConnector1"/>
                            <a:ln>
                              <a:tailEnd type="triangle"/>
                            </a:ln>
                          </wps:spPr>
                          <wps:style>
                            <a:lnRef idx="1">
                              <a:schemeClr val="dk1"/>
                            </a:lnRef>
                            <a:fillRef idx="0">
                              <a:schemeClr val="dk1"/>
                            </a:fillRef>
                            <a:effectRef idx="0">
                              <a:schemeClr val="dk1"/>
                            </a:effectRef>
                            <a:fontRef idx="minor">
                              <a:schemeClr val="tx1"/>
                            </a:fontRef>
                          </wps:style>
                          <wps:bodyPr/>
                        </wps:wsp>
                        <wps:wsp>
                          <wps:cNvPr id="459" name="Прямая со стрелкой 459"/>
                          <wps:cNvCnPr/>
                          <wps:spPr>
                            <a:xfrm flipH="1">
                              <a:off x="1110782" y="613692"/>
                              <a:ext cx="352873" cy="177971"/>
                            </a:xfrm>
                            <a:prstGeom prst="straightConnector1"/>
                            <a:ln>
                              <a:tailEnd type="triangle"/>
                            </a:ln>
                          </wps:spPr>
                          <wps:style>
                            <a:lnRef idx="1">
                              <a:schemeClr val="dk1"/>
                            </a:lnRef>
                            <a:fillRef idx="0">
                              <a:schemeClr val="dk1"/>
                            </a:fillRef>
                            <a:effectRef idx="0">
                              <a:schemeClr val="dk1"/>
                            </a:effectRef>
                            <a:fontRef idx="minor">
                              <a:schemeClr val="tx1"/>
                            </a:fontRef>
                          </wps:style>
                          <wps:bodyPr/>
                        </wps:wsp>
                        <wps:wsp>
                          <wps:cNvPr id="460" name="Прямая со стрелкой 460"/>
                          <wps:cNvCnPr/>
                          <wps:spPr>
                            <a:xfrm>
                              <a:off x="1104644" y="899058"/>
                              <a:ext cx="1583069" cy="18411"/>
                            </a:xfrm>
                            <a:prstGeom prst="straightConnector1"/>
                            <a:ln>
                              <a:tailEnd type="triangle"/>
                            </a:ln>
                          </wps:spPr>
                          <wps:style>
                            <a:lnRef idx="1">
                              <a:schemeClr val="dk1"/>
                            </a:lnRef>
                            <a:fillRef idx="0">
                              <a:schemeClr val="dk1"/>
                            </a:fillRef>
                            <a:effectRef idx="0">
                              <a:schemeClr val="dk1"/>
                            </a:effectRef>
                            <a:fontRef idx="minor">
                              <a:schemeClr val="tx1"/>
                            </a:fontRef>
                          </wps:style>
                          <wps:bodyPr/>
                        </wps:wsp>
                        <wps:wsp>
                          <wps:cNvPr id="461" name="Прямая со стрелкой 461"/>
                          <wps:cNvCnPr/>
                          <wps:spPr>
                            <a:xfrm>
                              <a:off x="3215743" y="319120"/>
                              <a:ext cx="3069" cy="429409"/>
                            </a:xfrm>
                            <a:prstGeom prst="straightConnector1"/>
                            <a:ln>
                              <a:tailEnd type="triangle"/>
                            </a:ln>
                          </wps:spPr>
                          <wps:style>
                            <a:lnRef idx="1">
                              <a:schemeClr val="dk1"/>
                            </a:lnRef>
                            <a:fillRef idx="0">
                              <a:schemeClr val="dk1"/>
                            </a:fillRef>
                            <a:effectRef idx="0">
                              <a:schemeClr val="dk1"/>
                            </a:effectRef>
                            <a:fontRef idx="minor">
                              <a:schemeClr val="tx1"/>
                            </a:fontRef>
                          </wps:style>
                          <wps:bodyPr/>
                        </wps:wsp>
                        <wps:wsp>
                          <wps:cNvPr id="464" name="Прямая со стрелкой 464"/>
                          <wps:cNvCnPr/>
                          <wps:spPr>
                            <a:xfrm flipH="1">
                              <a:off x="2304411" y="248546"/>
                              <a:ext cx="374352" cy="297641"/>
                            </a:xfrm>
                            <a:prstGeom prst="straightConnector1"/>
                            <a:ln>
                              <a:tailEnd type="triangle"/>
                            </a:ln>
                          </wps:spPr>
                          <wps:style>
                            <a:lnRef idx="1">
                              <a:schemeClr val="dk1"/>
                            </a:lnRef>
                            <a:fillRef idx="0">
                              <a:schemeClr val="dk1"/>
                            </a:fillRef>
                            <a:effectRef idx="0">
                              <a:schemeClr val="dk1"/>
                            </a:effectRef>
                            <a:fontRef idx="minor">
                              <a:schemeClr val="tx1"/>
                            </a:fontRef>
                          </wps:style>
                          <wps:bodyPr/>
                        </wps:wsp>
                      </wpg:grpSp>
                    </wpg:wgp>
                  </a:graphicData>
                </a:graphic>
              </wp:anchor>
            </w:drawing>
          </mc:Choice>
          <mc:Fallback>
            <w:pict>
              <v:group xmlns:o="urn:schemas-microsoft-com:office:office" id="Группа 24" style="position:absolute;width:297.95pt;height:82.65pt;z-index:68;mso-wrap-distance-left:9pt;mso-wrap-distance-top:0pt;mso-wrap-distance-right:9pt;mso-wrap-distance-bottom:0pt;margin-left:64.45pt;margin-top:3.4pt;mso-position-horizontal:absolute;mso-position-horizontal-relative:text;mso-position-vertical:absolute;mso-position-vertical-relative:text" coordsize="3783994,1049945" o:allowincell="t">
                <v:shape type="#_x0000_t202" id="Надпись 465" o:spid="_x0000_s1125" style="position:absolute;left:1460500;top:539750;width:842838;height:298174" o:allowincell="t" fillcolor="#FFFFFF" strokecolor="#000000" strokeweight="0.5pt" stroked="t">
                  <v:textbox inset="3mm,1mm,3mm,1mm">
                    <w:txbxContent>
                      <w:p>
                        <w:pPr>
                          <w:jc w:val="center"/>
                          <w:rPr>
                            <w:rFonts w:ascii="Times New Roman" w:hAnsi="Times New Roman" w:cs="Times New Roman"/>
                            <w:sz w:val="24"/>
                            <w:szCs w:val="24"/>
                            <w:lang w:val="en-US"/>
                          </w:rPr>
                        </w:pPr>
                        <w:r>
                          <w:rPr>
                            <w:rFonts w:ascii="Times New Roman" w:hAnsi="Times New Roman" w:cs="Times New Roman"/>
                            <w:sz w:val="24"/>
                            <w:szCs w:val="24"/>
                            <w:lang w:val="en-US"/>
                          </w:rPr>
                          <w:t>FDI</w:t>
                        </w:r>
                      </w:p>
                    </w:txbxContent>
                  </v:textbox>
                </v:shape>
                <v:group id="Группа 452" style="position:absolute;width:3783994;height:1049945" coordsize="3783994,1049945" o:allowincell="t">
                  <v:shape type="#_x0000_t202" id="Надпись 453" o:spid="_x0000_s1127" style="position:absolute;left:12274;width:842838;height:298174" o:allowincell="t" fillcolor="#FFFFFF" strokecolor="#000000" strokeweight="0.5pt" stroked="t">
                    <v:textbox inset="3mm,1mm,3mm,1mm">
                      <w:txbxContent>
                        <w:p>
                          <w:pPr>
                            <w:jc w:val="center"/>
                            <w:rPr>
                              <w:rFonts w:ascii="Times New Roman" w:hAnsi="Times New Roman" w:cs="Times New Roman"/>
                              <w:sz w:val="24"/>
                              <w:szCs w:val="24"/>
                            </w:rPr>
                          </w:pPr>
                          <w:r>
                            <w:rPr>
                              <w:rFonts w:ascii="Times New Roman" w:hAnsi="Times New Roman" w:cs="Times New Roman"/>
                              <w:sz w:val="24"/>
                              <w:szCs w:val="24"/>
                            </w:rPr>
                            <w:t>ВВП</w:t>
                          </w:r>
                        </w:p>
                      </w:txbxContent>
                    </v:textbox>
                  </v:shape>
                  <v:shape type="#_x0000_t202" id="Надпись 454" o:spid="_x0000_s1128" style="position:absolute;left:2678762;top:21479;width:1105231;height:298174" o:allowincell="t" fillcolor="#FFFFFF" strokecolor="#000000" strokeweight="0.5pt" stroked="t">
                    <v:textbox inset="3mm,1mm,3mm,1mm">
                      <w:txbxContent>
                        <w:p>
                          <w:pPr>
                            <w:jc w:val="center"/>
                            <w:rPr>
                              <w:rFonts w:ascii="Times New Roman" w:hAnsi="Times New Roman" w:cs="Times New Roman"/>
                              <w:sz w:val="24"/>
                              <w:szCs w:val="24"/>
                            </w:rPr>
                          </w:pPr>
                          <w:r>
                            <w:rPr>
                              <w:rFonts w:ascii="Times New Roman" w:hAnsi="Times New Roman" w:cs="Times New Roman"/>
                              <w:sz w:val="24"/>
                              <w:szCs w:val="24"/>
                            </w:rPr>
                            <w:t>Мобильность</w:t>
                          </w:r>
                        </w:p>
                      </w:txbxContent>
                    </v:textbox>
                  </v:shape>
                  <v:shape type="#_x0000_t202" id="Надпись 455" o:spid="_x0000_s1129" style="position:absolute;left:2678762;top:751772;width:1105231;height:298174" o:allowincell="t" fillcolor="#FFFFFF" strokecolor="#000000" strokeweight="0.5pt" stroked="t">
                    <v:textbox inset="3mm,1mm,3mm,1mm">
                      <w:txbxContent>
                        <w:p>
                          <w:pPr>
                            <w:jc w:val="center"/>
                            <w:rPr>
                              <w:rFonts w:ascii="Times New Roman" w:hAnsi="Times New Roman" w:cs="Times New Roman"/>
                              <w:sz w:val="24"/>
                              <w:szCs w:val="24"/>
                            </w:rPr>
                          </w:pPr>
                          <w:r>
                            <w:rPr>
                              <w:rFonts w:ascii="Times New Roman" w:hAnsi="Times New Roman" w:cs="Times New Roman"/>
                              <w:sz w:val="24"/>
                              <w:szCs w:val="24"/>
                            </w:rPr>
                            <w:t>Риск</w:t>
                          </w:r>
                        </w:p>
                      </w:txbxContent>
                    </v:textbox>
                  </v:shape>
                  <v:shape type="#_x0000_t202" id="Надпись 456" o:spid="_x0000_s1130" style="position:absolute;top:727224;width:1105231;height:298174" o:allowincell="t" fillcolor="#FFFFFF" strokecolor="#000000" strokeweight="0.5pt" stroked="t">
                    <v:textbox inset="3mm,1mm,3mm,1mm">
                      <w:txbxContent>
                        <w:p>
                          <w:pPr>
                            <w:jc w:val="center"/>
                            <w:rPr>
                              <w:rFonts w:ascii="Times New Roman" w:hAnsi="Times New Roman" w:cs="Times New Roman"/>
                              <w:sz w:val="24"/>
                              <w:szCs w:val="24"/>
                            </w:rPr>
                          </w:pPr>
                          <w:r>
                            <w:rPr>
                              <w:rFonts w:ascii="Times New Roman" w:hAnsi="Times New Roman" w:cs="Times New Roman"/>
                              <w:sz w:val="24"/>
                              <w:szCs w:val="24"/>
                            </w:rPr>
                            <w:t>Население</w:t>
                          </w:r>
                        </w:p>
                      </w:txbxContent>
                    </v:textbox>
                  </v:shape>
                  <v:shape type="#_x0000_t32" id="Прямая со стрелкой 457" o:spid="_x0000_s1131" style="position:absolute;left:856098;top:141149;width:1820775;height:0" strokecolor="#000000" strokeweight="0.5pt" stroked="t" o:allowincell="t">
                    <v:stroke endarrow="block"/>
                  </v:shape>
                  <v:shape type="#_x0000_t32" id="Прямая со стрелкой 458" o:spid="_x0000_s1132" style="position:absolute;left:856098;top:147286;width:601418;height:405036" strokecolor="#000000" strokeweight="0.5pt" stroked="t" o:allowincell="t">
                    <v:stroke endarrow="block"/>
                  </v:shape>
                  <v:shape type="#_x0000_t32" id="Прямая со стрелкой 459" o:spid="_x0000_s1133" style="position:absolute;left:1110781;top:613691;width:352872;height:177970;flip:x" strokecolor="#000000" strokeweight="0.5pt" stroked="t" o:allowincell="t">
                    <v:stroke endarrow="block"/>
                  </v:shape>
                  <v:shape type="#_x0000_t32" id="Прямая со стрелкой 460" o:spid="_x0000_s1134" style="position:absolute;left:1104643;top:899057;width:1583068;height:18410" strokecolor="#000000" strokeweight="0.5pt" stroked="t" o:allowincell="t">
                    <v:stroke endarrow="block"/>
                  </v:shape>
                  <v:shape type="#_x0000_t32" id="Прямая со стрелкой 461" o:spid="_x0000_s1135" style="position:absolute;left:3215742;top:319119;width:3068;height:429408" strokecolor="#000000" strokeweight="0.5pt" stroked="t" o:allowincell="t">
                    <v:stroke endarrow="block"/>
                  </v:shape>
                  <v:shape type="#_x0000_t32" id="Прямая со стрелкой 464" o:spid="_x0000_s1136" style="position:absolute;left:2304410;top:248545;width:374351;height:297640;flip:x" strokecolor="#000000" strokeweight="0.5pt" stroked="t" o:allowincell="t">
                    <v:stroke endarrow="block"/>
                  </v:shape>
                </v:group>
              </v:group>
            </w:pict>
          </mc:Fallback>
        </mc:AlternateContent>
      </w:r>
    </w:p>
    <w:p>
      <w:pPr>
        <w:spacing w:before="99" w:beforeAutospacing="0" w:afterAutospacing="0"/>
        <w:ind w:left="295"/>
        <w:rPr>
          <w:rFonts w:ascii="Times New Roman" w:hAnsi="Times New Roman" w:cs="Times New Roman"/>
          <w:sz w:val="28"/>
          <w:szCs w:val="28"/>
        </w:rPr>
      </w:pPr>
    </w:p>
    <w:p>
      <w:pPr>
        <w:spacing w:before="99" w:beforeAutospacing="0" w:afterAutospacing="0"/>
        <w:ind w:left="295"/>
        <w:rPr>
          <w:rFonts w:ascii="Times New Roman" w:hAnsi="Times New Roman" w:cs="Times New Roman"/>
          <w:sz w:val="28"/>
          <w:szCs w:val="28"/>
        </w:rPr>
      </w:pPr>
    </w:p>
    <w:p>
      <w:pPr>
        <w:spacing w:before="99" w:beforeAutospacing="0" w:afterAutospacing="0"/>
        <w:ind w:left="295"/>
        <w:rPr>
          <w:rFonts w:ascii="Times New Roman" w:hAnsi="Times New Roman" w:cs="Times New Roman"/>
          <w:sz w:val="28"/>
          <w:szCs w:val="28"/>
        </w:rPr>
      </w:pPr>
    </w:p>
    <w:p>
      <w:pPr>
        <w:spacing w:before="99" w:beforeAutospacing="0" w:afterAutospacing="0"/>
        <w:ind w:left="295"/>
        <w:jc w:val="center"/>
        <w:rPr>
          <w:rFonts w:ascii="Times New Roman" w:hAnsi="Times New Roman" w:cs="Times New Roman"/>
          <w:sz w:val="28"/>
          <w:szCs w:val="28"/>
        </w:rPr>
      </w:pPr>
      <w:r>
        <w:rPr>
          <w:rFonts w:ascii="Times New Roman" w:hAnsi="Times New Roman" w:cs="Times New Roman"/>
          <w:sz w:val="28"/>
          <w:szCs w:val="28"/>
        </w:rPr>
        <w:t xml:space="preserve">Рисунок </w:t>
      </w:r>
      <w:r>
        <w:rPr>
          <w:rFonts w:ascii="Times New Roman" w:hAnsi="Times New Roman" w:cs="Times New Roman"/>
          <w:sz w:val="28"/>
          <w:szCs w:val="28"/>
          <w:highlight w:val="yellow"/>
        </w:rPr>
        <w:t>3.1</w:t>
      </w:r>
      <w:r>
        <w:rPr>
          <w:rFonts w:ascii="Times New Roman" w:hAnsi="Times New Roman" w:cs="Times New Roman"/>
          <w:sz w:val="28"/>
          <w:szCs w:val="28"/>
        </w:rPr>
        <w:t xml:space="preserve"> – Шаблон DAG</w:t>
      </w:r>
      <w:r>
        <w:rPr>
          <w:rStyle w:val="C42"/>
          <w:rFonts w:ascii="Times New Roman" w:hAnsi="Times New Roman" w:cs="Times New Roman"/>
          <w:sz w:val="28"/>
          <w:szCs w:val="28"/>
        </w:rPr>
        <w:footnoteReference w:id="81"/>
      </w:r>
    </w:p>
    <w:p>
      <w:pPr>
        <w:pStyle w:val="P13"/>
        <w:spacing w:lineRule="auto" w:line="360" w:beforeAutospacing="0" w:afterAutospacing="0"/>
        <w:ind w:firstLine="709"/>
        <w:rPr>
          <w:sz w:val="28"/>
          <w:szCs w:val="28"/>
          <w:lang w:val="ru-RU"/>
        </w:rPr>
      </w:pPr>
    </w:p>
    <w:p>
      <w:pPr>
        <w:pStyle w:val="P13"/>
        <w:spacing w:lineRule="auto" w:line="360" w:beforeAutospacing="0" w:afterAutospacing="0"/>
        <w:ind w:firstLine="709"/>
        <w:jc w:val="both"/>
        <w:rPr>
          <w:sz w:val="28"/>
          <w:szCs w:val="28"/>
          <w:lang w:val="ru-RU"/>
        </w:rPr>
      </w:pPr>
      <w:r>
        <w:rPr>
          <w:sz w:val="28"/>
          <w:szCs w:val="28"/>
        </w:rPr>
        <w:t>DAG</w:t>
      </w:r>
      <w:r>
        <w:rPr>
          <w:sz w:val="28"/>
          <w:szCs w:val="28"/>
          <w:lang w:val="ru-RU"/>
        </w:rPr>
        <w:t xml:space="preserve"> представляет условные отношения независимости </w:t>
      </w:r>
      <w:r>
        <w:rPr>
          <w:i w:val="1"/>
          <w:sz w:val="28"/>
          <w:szCs w:val="28"/>
        </w:rPr>
        <w:t>f</w:t>
      </w:r>
      <w:r>
        <w:rPr>
          <w:sz w:val="28"/>
          <w:szCs w:val="28"/>
          <w:lang w:val="ru-RU"/>
        </w:rPr>
        <w:t xml:space="preserve"> между переменными:</w:t>
      </w:r>
    </w:p>
    <w:p>
      <w:pPr>
        <w:pStyle w:val="P13"/>
        <w:spacing w:lineRule="auto" w:line="360" w:beforeAutospacing="0" w:afterAutospacing="0"/>
        <w:ind w:firstLine="709"/>
        <w:jc w:val="both"/>
        <w:rPr>
          <w:sz w:val="28"/>
          <w:szCs w:val="28"/>
          <w:lang w:val="ru-RU"/>
        </w:rPr>
      </w:pPr>
    </w:p>
    <w:p>
      <w:pPr>
        <w:tabs>
          <w:tab w:val="left" w:pos="6065" w:leader="none"/>
        </w:tabs>
        <w:spacing w:lineRule="auto" w:line="360" w:after="0" w:beforeAutospacing="0" w:afterAutospacing="0"/>
        <w:ind w:firstLine="2410"/>
        <w:rPr>
          <w:rFonts w:ascii="Times New Roman" w:hAnsi="Times New Roman" w:cs="Times New Roman"/>
          <w:sz w:val="28"/>
          <w:szCs w:val="28"/>
        </w:rPr>
      </w:pPr>
      <m:oMathPara xmlns:m="http://schemas.openxmlformats.org/officeDocument/2006/math">
        <m:oMath>
          <m:r>
            <m:rPr>
              <m:scr m:val="roman"/>
              <m:sty m:val="i"/>
            </m:rPr>
            <m:t>f(</m:t>
          </m:r>
          <m:sSub>
            <m:sSubPr>
              <m:ctrlPr>
                <w:rPr>
                  <w:rFonts w:ascii="Cambria Math" w:hAnsi="Cambria Math" w:cs="Times New Roman"/>
                  <w:i w:val="1"/>
                  <w:sz w:val="28"/>
                  <w:szCs w:val="28"/>
                </w:rPr>
              </m:ctrlPr>
            </m:sSubPr>
            <m:e>
              <m:argPr>
                <m:argSz m:val="0"/>
              </m:argPr>
              <m:r>
                <m:rPr>
                  <m:scr m:val="roman"/>
                  <m:sty m:val="i"/>
                </m:rPr>
                <m:t>V</m:t>
              </m:r>
            </m:e>
            <m:sub>
              <m:argPr>
                <m:argSz m:val="0"/>
              </m:argPr>
              <m:r>
                <m:rPr>
                  <m:scr m:val="roman"/>
                  <m:sty m:val="i"/>
                </m:rPr>
                <m:t>i</m:t>
              </m:r>
            </m:sub>
          </m:sSub>
          <m:r>
            <m:rPr>
              <m:scr m:val="roman"/>
              <m:sty m:val="i"/>
            </m:rPr>
            <m:t>…</m:t>
          </m:r>
          <m:sSub>
            <m:sSubPr>
              <m:ctrlPr>
                <w:rPr>
                  <w:rFonts w:ascii="Cambria Math" w:hAnsi="Cambria Math" w:cs="Times New Roman"/>
                  <w:i w:val="1"/>
                  <w:sz w:val="28"/>
                  <w:szCs w:val="28"/>
                </w:rPr>
              </m:ctrlPr>
            </m:sSubPr>
            <m:e>
              <m:argPr>
                <m:argSz m:val="0"/>
              </m:argPr>
              <m:r>
                <m:rPr>
                  <m:scr m:val="roman"/>
                  <m:sty m:val="i"/>
                </m:rPr>
                <m:t>V</m:t>
              </m:r>
            </m:e>
            <m:sub>
              <m:argPr>
                <m:argSz m:val="0"/>
              </m:argPr>
              <m:r>
                <m:rPr>
                  <m:scr m:val="roman"/>
                  <m:sty m:val="i"/>
                </m:rPr>
                <m:t>n</m:t>
              </m:r>
            </m:sub>
          </m:sSub>
          <m:r>
            <m:rPr>
              <m:scr m:val="roman"/>
              <m:sty m:val="i"/>
            </m:rPr>
            <m:t>)</m:t>
          </m:r>
          <m:nary>
            <m:naryPr>
              <m:ctrlPr>
                <w:rPr>
                  <w:rFonts w:ascii="Cambria Math" w:hAnsi="Cambria Math" w:cs="Times New Roman"/>
                  <w:i w:val="1"/>
                  <w:sz w:val="28"/>
                  <w:szCs w:val="28"/>
                </w:rPr>
              </m:ctrlPr>
              <m:chr m:val="∏"/>
              <m:limLoc m:val="undOvr"/>
            </m:naryPr>
            <m:sub>
              <m:argPr>
                <m:argSz m:val="0"/>
              </m:argPr>
              <m:r>
                <m:rPr>
                  <m:scr m:val="roman"/>
                  <m:sty m:val="i"/>
                </m:rPr>
                <m:t>i=1</m:t>
              </m:r>
            </m:sub>
            <m:sup>
              <m:argPr>
                <m:argSz m:val="0"/>
              </m:argPr>
              <m:r>
                <m:rPr>
                  <m:scr m:val="roman"/>
                  <m:sty m:val="i"/>
                </m:rPr>
                <m:t>n</m:t>
              </m:r>
            </m:sup>
            <m:e>
              <m:argPr>
                <m:argSz m:val="0"/>
              </m:argPr>
              <m:d>
                <m:dPr>
                  <m:ctrlPr>
                    <w:rPr>
                      <w:rFonts w:ascii="Cambria Math" w:hAnsi="Cambria Math" w:cs="Times New Roman"/>
                      <w:i w:val="1"/>
                      <w:sz w:val="28"/>
                      <w:szCs w:val="28"/>
                    </w:rPr>
                  </m:ctrlPr>
                  <m:shp m:val="centered"/>
                </m:dPr>
                <m:e>
                  <m:argPr>
                    <m:argSz m:val="0"/>
                  </m:argPr>
                  <m:sSub>
                    <m:sSubPr>
                      <m:ctrlPr>
                        <w:rPr>
                          <w:rFonts w:ascii="Cambria Math" w:hAnsi="Cambria Math" w:cs="Times New Roman"/>
                          <w:i w:val="1"/>
                          <w:sz w:val="28"/>
                          <w:szCs w:val="28"/>
                        </w:rPr>
                      </m:ctrlPr>
                    </m:sSubPr>
                    <m:e>
                      <m:argPr>
                        <m:argSz m:val="0"/>
                      </m:argPr>
                      <m:r>
                        <m:rPr>
                          <m:scr m:val="roman"/>
                          <m:sty m:val="i"/>
                        </m:rPr>
                        <m:t>V</m:t>
                      </m:r>
                    </m:e>
                    <m:sub>
                      <m:argPr>
                        <m:argSz m:val="0"/>
                      </m:argPr>
                      <m:r>
                        <m:rPr>
                          <m:scr m:val="roman"/>
                          <m:sty m:val="i"/>
                        </m:rPr>
                        <m:t>i</m:t>
                      </m:r>
                    </m:sub>
                  </m:sSub>
                </m:e>
                <m:e>
                  <m:argPr>
                    <m:argSz m:val="0"/>
                  </m:argPr>
                  <m:r>
                    <m:rPr>
                      <m:scr m:val="roman"/>
                      <m:sty m:val="i"/>
                    </m:rPr>
                    <m:t>antecedent(</m:t>
                  </m:r>
                  <m:sSub>
                    <m:sSubPr>
                      <m:ctrlPr>
                        <w:rPr>
                          <w:rFonts w:ascii="Cambria Math" w:hAnsi="Cambria Math" w:cs="Times New Roman"/>
                          <w:i w:val="1"/>
                          <w:sz w:val="28"/>
                          <w:szCs w:val="28"/>
                        </w:rPr>
                      </m:ctrlPr>
                    </m:sSubPr>
                    <m:e>
                      <m:argPr>
                        <m:argSz m:val="0"/>
                      </m:argPr>
                      <m:r>
                        <m:rPr>
                          <m:scr m:val="roman"/>
                          <m:sty m:val="i"/>
                        </m:rPr>
                        <m:t>V</m:t>
                      </m:r>
                    </m:e>
                    <m:sub>
                      <m:argPr>
                        <m:argSz m:val="0"/>
                      </m:argPr>
                      <m:r>
                        <m:rPr>
                          <m:scr m:val="roman"/>
                          <m:sty m:val="i"/>
                        </m:rPr>
                        <m:t>i</m:t>
                      </m:r>
                    </m:sub>
                  </m:sSub>
                  <m:r>
                    <m:rPr>
                      <m:scr m:val="roman"/>
                      <m:sty m:val="i"/>
                    </m:rPr>
                    <m:t>)</m:t>
                  </m:r>
                </m:e>
              </m:d>
            </m:e>
          </m:nary>
        </m:oMath>
      </m:oMathPara>
      <w:r>
        <w:rPr>
          <w:rFonts w:ascii="Times New Roman" w:hAnsi="Times New Roman" w:cs="Times New Roman" w:eastAsiaTheme="minorEastAsia"/>
          <w:sz w:val="28"/>
          <w:szCs w:val="28"/>
        </w:rPr>
        <w:t xml:space="preserve">,   </w:t>
        <w:tab/>
        <w:tab/>
        <w:tab/>
        <w:t xml:space="preserve">            (1)</w:t>
      </w:r>
    </w:p>
    <w:p>
      <w:pPr>
        <w:pStyle w:val="P13"/>
        <w:spacing w:lineRule="auto" w:line="360" w:beforeAutospacing="0" w:afterAutospacing="0"/>
        <w:ind w:firstLine="709"/>
        <w:jc w:val="both"/>
        <w:rPr>
          <w:sz w:val="28"/>
          <w:szCs w:val="28"/>
          <w:lang w:val="ru-RU"/>
        </w:rPr>
      </w:pPr>
    </w:p>
    <w:p>
      <w:pPr>
        <w:pStyle w:val="P13"/>
        <w:spacing w:lineRule="auto" w:line="360" w:beforeAutospacing="0" w:afterAutospacing="0"/>
        <w:ind w:firstLine="709"/>
        <w:jc w:val="both"/>
        <w:rPr>
          <w:sz w:val="28"/>
          <w:szCs w:val="28"/>
          <w:lang w:val="ru-RU"/>
        </w:rPr>
      </w:pPr>
      <w:r>
        <w:rPr>
          <w:sz w:val="28"/>
          <w:szCs w:val="28"/>
          <w:lang w:val="ru-RU"/>
        </w:rPr>
        <w:t xml:space="preserve">где в левой части </w:t>
      </w:r>
      <w:r>
        <w:rPr>
          <w:i w:val="1"/>
          <w:sz w:val="28"/>
          <w:szCs w:val="28"/>
        </w:rPr>
        <w:t>f</w:t>
      </w:r>
      <w:r>
        <w:rPr>
          <w:sz w:val="28"/>
          <w:szCs w:val="28"/>
          <w:lang w:val="ru-RU"/>
        </w:rPr>
        <w:t xml:space="preserve"> – вероятность событий для каждой переменной </w:t>
      </w:r>
      <w:r>
        <w:rPr>
          <w:sz w:val="28"/>
          <w:szCs w:val="28"/>
          <w:lang w:val="ru-RU"/>
        </w:rPr>
        <w:br w:type="textWrapping"/>
      </w:r>
      <w:r>
        <w:rPr>
          <w:i w:val="1"/>
          <w:sz w:val="28"/>
          <w:szCs w:val="28"/>
        </w:rPr>
        <w:t>V</w:t>
      </w:r>
      <w:r>
        <w:rPr>
          <w:i w:val="1"/>
          <w:sz w:val="28"/>
          <w:szCs w:val="28"/>
          <w:vertAlign w:val="subscript"/>
          <w:lang w:val="ru-RU"/>
        </w:rPr>
        <w:t>1</w:t>
      </w:r>
      <w:r>
        <w:rPr>
          <w:i w:val="1"/>
          <w:sz w:val="28"/>
          <w:szCs w:val="28"/>
          <w:lang w:val="ru-RU"/>
        </w:rPr>
        <w:t>,...</w:t>
      </w:r>
      <w:r>
        <w:rPr>
          <w:i w:val="1"/>
          <w:sz w:val="28"/>
          <w:szCs w:val="28"/>
        </w:rPr>
        <w:t>V</w:t>
      </w:r>
      <w:r>
        <w:rPr>
          <w:i w:val="1"/>
          <w:sz w:val="28"/>
          <w:szCs w:val="28"/>
          <w:vertAlign w:val="subscript"/>
        </w:rPr>
        <w:t>n</w:t>
      </w:r>
      <w:r>
        <w:rPr>
          <w:sz w:val="28"/>
          <w:szCs w:val="28"/>
          <w:lang w:val="ru-RU"/>
        </w:rPr>
        <w:t xml:space="preserve">, а в правой части каждый член представляет собой условную функцию распределения вероятностей каждой переменной </w:t>
      </w:r>
      <w:r>
        <w:rPr>
          <w:i w:val="1"/>
          <w:sz w:val="28"/>
          <w:szCs w:val="28"/>
        </w:rPr>
        <w:t>V</w:t>
      </w:r>
      <w:r>
        <w:rPr>
          <w:i w:val="1"/>
          <w:sz w:val="28"/>
          <w:szCs w:val="28"/>
          <w:vertAlign w:val="subscript"/>
        </w:rPr>
        <w:t>i</w:t>
      </w:r>
      <w:r>
        <w:rPr>
          <w:sz w:val="28"/>
          <w:szCs w:val="28"/>
          <w:lang w:val="ru-RU"/>
        </w:rPr>
        <w:t xml:space="preserve"> с учетом ее антецедентов. Это означает, что каждая переменная зависит только от своих непосредственных предшественников. </w:t>
      </w:r>
    </w:p>
    <w:p>
      <w:pPr>
        <w:pStyle w:val="P13"/>
        <w:spacing w:lineRule="auto" w:line="360" w:beforeAutospacing="0" w:afterAutospacing="0"/>
        <w:ind w:firstLine="709"/>
        <w:jc w:val="both"/>
        <w:rPr>
          <w:sz w:val="28"/>
          <w:szCs w:val="28"/>
          <w:lang w:val="ru-RU"/>
        </w:rPr>
      </w:pPr>
      <w:r>
        <w:rPr>
          <w:sz w:val="28"/>
          <w:szCs w:val="28"/>
          <w:lang w:val="ru-RU"/>
        </w:rPr>
        <w:t xml:space="preserve">В качестве основы для нашей </w:t>
      </w:r>
      <w:r>
        <w:rPr>
          <w:sz w:val="28"/>
          <w:szCs w:val="28"/>
        </w:rPr>
        <w:t>DAG</w:t>
      </w:r>
      <w:r>
        <w:rPr>
          <w:sz w:val="28"/>
          <w:szCs w:val="28"/>
          <w:lang w:val="ru-RU"/>
        </w:rPr>
        <w:t xml:space="preserve"> модели можно использовать адаптированную модель, взятую из работы [</w:t>
      </w:r>
      <w:r>
        <w:rPr>
          <w:sz w:val="28"/>
          <w:szCs w:val="28"/>
          <w:highlight w:val="yellow"/>
          <w:lang w:val="ru-RU"/>
        </w:rPr>
        <w:t>100</w:t>
      </w:r>
      <w:r>
        <w:rPr>
          <w:sz w:val="28"/>
          <w:szCs w:val="28"/>
          <w:lang w:val="ru-RU"/>
        </w:rPr>
        <w:t xml:space="preserve">]. </w:t>
      </w:r>
    </w:p>
    <w:p>
      <w:pPr>
        <w:pStyle w:val="P13"/>
        <w:spacing w:lineRule="auto" w:line="360" w:beforeAutospacing="0" w:afterAutospacing="0"/>
        <w:ind w:firstLine="709"/>
        <w:jc w:val="both"/>
        <w:rPr>
          <w:sz w:val="28"/>
          <w:szCs w:val="28"/>
          <w:lang w:val="ru-RU"/>
        </w:rPr>
      </w:pPr>
      <w:r>
        <w:rPr>
          <w:sz w:val="28"/>
          <w:szCs w:val="28"/>
          <w:lang w:val="ru-RU"/>
        </w:rPr>
        <w:t>Рассмотрим три переменные {«начальное образование» (</w:t>
      </w:r>
      <w:r>
        <w:rPr>
          <w:i w:val="1"/>
          <w:sz w:val="28"/>
          <w:szCs w:val="28"/>
        </w:rPr>
        <w:t>PE</w:t>
      </w:r>
      <w:r>
        <w:rPr>
          <w:sz w:val="28"/>
          <w:szCs w:val="28"/>
          <w:lang w:val="ru-RU"/>
        </w:rPr>
        <w:t>), «вода» (</w:t>
      </w:r>
      <w:r>
        <w:rPr>
          <w:i w:val="1"/>
          <w:sz w:val="28"/>
          <w:szCs w:val="28"/>
        </w:rPr>
        <w:t>H</w:t>
      </w:r>
      <w:r>
        <w:rPr>
          <w:i w:val="1"/>
          <w:sz w:val="28"/>
          <w:szCs w:val="28"/>
          <w:lang w:val="ru-RU"/>
        </w:rPr>
        <w:t>2</w:t>
      </w:r>
      <w:r>
        <w:rPr>
          <w:i w:val="1"/>
          <w:sz w:val="28"/>
          <w:szCs w:val="28"/>
        </w:rPr>
        <w:t>O</w:t>
      </w:r>
      <w:r>
        <w:rPr>
          <w:sz w:val="28"/>
          <w:szCs w:val="28"/>
          <w:lang w:val="ru-RU"/>
        </w:rPr>
        <w:t>), «санитария» (</w:t>
      </w:r>
      <w:r>
        <w:rPr>
          <w:i w:val="1"/>
          <w:sz w:val="28"/>
          <w:szCs w:val="28"/>
        </w:rPr>
        <w:t>SAN</w:t>
      </w:r>
      <w:r>
        <w:rPr>
          <w:sz w:val="28"/>
          <w:szCs w:val="28"/>
          <w:lang w:val="ru-RU"/>
        </w:rPr>
        <w:t xml:space="preserve">)}. </w:t>
      </w:r>
    </w:p>
    <w:p>
      <w:pPr>
        <w:pStyle w:val="P13"/>
        <w:spacing w:lineRule="auto" w:line="360" w:beforeAutospacing="0" w:afterAutospacing="0"/>
        <w:ind w:firstLine="709"/>
        <w:jc w:val="both"/>
        <w:rPr>
          <w:sz w:val="28"/>
          <w:szCs w:val="28"/>
          <w:lang w:val="ru-RU"/>
        </w:rPr>
      </w:pPr>
      <w:r>
        <w:rPr>
          <w:sz w:val="28"/>
          <w:szCs w:val="28"/>
          <w:lang w:val="ru-RU"/>
        </w:rPr>
        <w:t>Вершины (переменные), связанные ребром, считаются смежными. Учитывая набор вершин {начальное образование (</w:t>
      </w:r>
      <w:r>
        <w:rPr>
          <w:i w:val="1"/>
          <w:sz w:val="28"/>
          <w:szCs w:val="28"/>
        </w:rPr>
        <w:t>PE</w:t>
      </w:r>
      <w:r>
        <w:rPr>
          <w:sz w:val="28"/>
          <w:szCs w:val="28"/>
          <w:lang w:val="ru-RU"/>
        </w:rPr>
        <w:t>), вода (</w:t>
      </w:r>
      <w:r>
        <w:rPr>
          <w:i w:val="1"/>
          <w:sz w:val="28"/>
          <w:szCs w:val="28"/>
        </w:rPr>
        <w:t>H</w:t>
      </w:r>
      <w:r>
        <w:rPr>
          <w:i w:val="1"/>
          <w:sz w:val="28"/>
          <w:szCs w:val="28"/>
          <w:lang w:val="ru-RU"/>
        </w:rPr>
        <w:t>2</w:t>
      </w:r>
      <w:r>
        <w:rPr>
          <w:i w:val="1"/>
          <w:sz w:val="28"/>
          <w:szCs w:val="28"/>
        </w:rPr>
        <w:t>O</w:t>
      </w:r>
      <w:r>
        <w:rPr>
          <w:sz w:val="28"/>
          <w:szCs w:val="28"/>
          <w:lang w:val="ru-RU"/>
        </w:rPr>
        <w:t>), санитария (</w:t>
      </w:r>
      <w:r>
        <w:rPr>
          <w:i w:val="1"/>
          <w:sz w:val="28"/>
          <w:szCs w:val="28"/>
        </w:rPr>
        <w:t>SAN</w:t>
      </w:r>
      <w:r>
        <w:rPr>
          <w:sz w:val="28"/>
          <w:szCs w:val="28"/>
          <w:lang w:val="ru-RU"/>
        </w:rPr>
        <w:t xml:space="preserve">)}, ненаправленное ребро, то есть </w:t>
      </w:r>
      <w:r>
        <w:rPr>
          <w:i w:val="1"/>
          <w:sz w:val="28"/>
          <w:szCs w:val="28"/>
        </w:rPr>
        <w:t>PE</w:t>
      </w:r>
      <w:r>
        <w:rPr>
          <w:i w:val="1"/>
          <w:sz w:val="28"/>
          <w:szCs w:val="28"/>
          <w:lang w:val="ru-RU"/>
        </w:rPr>
        <w:t>–</w:t>
      </w:r>
      <w:r>
        <w:rPr>
          <w:i w:val="1"/>
          <w:sz w:val="28"/>
          <w:szCs w:val="28"/>
        </w:rPr>
        <w:t>H</w:t>
      </w:r>
      <w:r>
        <w:rPr>
          <w:i w:val="1"/>
          <w:sz w:val="28"/>
          <w:szCs w:val="28"/>
          <w:lang w:val="ru-RU"/>
        </w:rPr>
        <w:t>2</w:t>
      </w:r>
      <w:r>
        <w:rPr>
          <w:i w:val="1"/>
          <w:sz w:val="28"/>
          <w:szCs w:val="28"/>
        </w:rPr>
        <w:t>O</w:t>
      </w:r>
      <w:r>
        <w:rPr>
          <w:sz w:val="28"/>
          <w:szCs w:val="28"/>
          <w:lang w:val="ru-RU"/>
        </w:rPr>
        <w:t xml:space="preserve">, указывает, что одна переменная вызывает другую, или они имеют общую скрытую причину, или и то, и другое. Направленный край, то есть </w:t>
      </w:r>
      <w:r>
        <w:rPr>
          <w:i w:val="1"/>
          <w:sz w:val="28"/>
          <w:szCs w:val="28"/>
        </w:rPr>
        <w:t>H</w:t>
      </w:r>
      <w:r>
        <w:rPr>
          <w:i w:val="1"/>
          <w:sz w:val="28"/>
          <w:szCs w:val="28"/>
          <w:lang w:val="ru-RU"/>
        </w:rPr>
        <w:t>2</w:t>
      </w:r>
      <w:r>
        <w:rPr>
          <w:i w:val="1"/>
          <w:sz w:val="28"/>
          <w:szCs w:val="28"/>
        </w:rPr>
        <w:t>O</w:t>
      </w:r>
      <w:r>
        <w:rPr>
          <w:i w:val="1"/>
          <w:sz w:val="28"/>
          <w:szCs w:val="28"/>
          <w:lang w:val="ru-RU"/>
        </w:rPr>
        <w:t xml:space="preserve"> → </w:t>
      </w:r>
      <w:r>
        <w:rPr>
          <w:i w:val="1"/>
          <w:sz w:val="28"/>
          <w:szCs w:val="28"/>
        </w:rPr>
        <w:t>SAN</w:t>
      </w:r>
      <w:r>
        <w:rPr>
          <w:sz w:val="28"/>
          <w:szCs w:val="28"/>
          <w:lang w:val="ru-RU"/>
        </w:rPr>
        <w:t xml:space="preserve">, представляет собой край, где «вода» оказывает направленное воздействие на «санитарию». </w:t>
      </w:r>
      <w:r>
        <w:rPr>
          <w:iCs w:val="1"/>
          <w:sz w:val="28"/>
          <w:szCs w:val="28"/>
        </w:rPr>
        <w:t>DAG</w:t>
      </w:r>
      <w:r>
        <w:rPr>
          <w:sz w:val="28"/>
          <w:szCs w:val="28"/>
          <w:lang w:val="ru-RU"/>
        </w:rPr>
        <w:t xml:space="preserve"> отличается от ориентированного графа тем, что в нем нет направленных циклических путей, то есть у </w:t>
      </w:r>
      <w:r>
        <w:rPr>
          <w:iCs w:val="1"/>
          <w:sz w:val="28"/>
          <w:szCs w:val="28"/>
        </w:rPr>
        <w:t>DAG</w:t>
      </w:r>
      <w:r>
        <w:rPr>
          <w:sz w:val="28"/>
          <w:szCs w:val="28"/>
          <w:lang w:val="ru-RU"/>
        </w:rPr>
        <w:t xml:space="preserve"> нет пути, который ведет от переменной только для возврата к той же самой переменной.</w:t>
      </w:r>
    </w:p>
    <w:p>
      <w:pPr>
        <w:pStyle w:val="P13"/>
        <w:spacing w:lineRule="auto" w:line="360" w:beforeAutospacing="0" w:afterAutospacing="0"/>
        <w:ind w:firstLine="709"/>
        <w:jc w:val="both"/>
        <w:rPr>
          <w:sz w:val="28"/>
          <w:szCs w:val="28"/>
          <w:lang w:val="ru-RU"/>
        </w:rPr>
      </w:pPr>
      <w:r>
        <w:rPr>
          <w:sz w:val="28"/>
          <w:szCs w:val="28"/>
          <w:lang w:val="ru-RU"/>
        </w:rPr>
        <w:t>Рассмотрим три возможных случая, где «вода» является связующей переменной:</w:t>
      </w:r>
    </w:p>
    <w:p>
      <w:pPr>
        <w:pStyle w:val="P15"/>
        <w:numPr>
          <w:ilvl w:val="0"/>
          <w:numId w:val="1"/>
        </w:numPr>
        <w:tabs>
          <w:tab w:val="left" w:pos="527" w:leader="none"/>
        </w:tabs>
        <w:spacing w:lineRule="auto" w:line="360" w:beforeAutospacing="0" w:afterAutospacing="0"/>
        <w:ind w:firstLine="709" w:left="0"/>
        <w:jc w:val="both"/>
        <w:rPr>
          <w:sz w:val="28"/>
          <w:szCs w:val="28"/>
          <w:lang w:val="ru-RU"/>
        </w:rPr>
      </w:pPr>
      <w:r>
        <w:rPr>
          <w:i w:val="1"/>
          <w:sz w:val="28"/>
          <w:szCs w:val="28"/>
        </w:rPr>
        <w:t>PE</w:t>
      </w:r>
      <w:r>
        <w:rPr>
          <w:i w:val="1"/>
          <w:sz w:val="28"/>
          <w:szCs w:val="28"/>
          <w:lang w:val="ru-RU"/>
        </w:rPr>
        <w:t>→</w:t>
      </w:r>
      <w:r>
        <w:rPr>
          <w:i w:val="1"/>
          <w:sz w:val="28"/>
          <w:szCs w:val="28"/>
        </w:rPr>
        <w:t>H</w:t>
      </w:r>
      <w:r>
        <w:rPr>
          <w:i w:val="1"/>
          <w:sz w:val="28"/>
          <w:szCs w:val="28"/>
          <w:lang w:val="ru-RU"/>
        </w:rPr>
        <w:t>2</w:t>
      </w:r>
      <w:r>
        <w:rPr>
          <w:i w:val="1"/>
          <w:sz w:val="28"/>
          <w:szCs w:val="28"/>
        </w:rPr>
        <w:t>O</w:t>
      </w:r>
      <w:r>
        <w:rPr>
          <w:i w:val="1"/>
          <w:sz w:val="28"/>
          <w:szCs w:val="28"/>
          <w:lang w:val="ru-RU"/>
        </w:rPr>
        <w:t>←</w:t>
      </w:r>
      <w:r>
        <w:rPr>
          <w:i w:val="1"/>
          <w:sz w:val="28"/>
          <w:szCs w:val="28"/>
        </w:rPr>
        <w:t>SAN</w:t>
      </w:r>
      <w:r>
        <w:rPr>
          <w:sz w:val="28"/>
          <w:szCs w:val="28"/>
          <w:lang w:val="ru-RU"/>
        </w:rPr>
        <w:t>: «начальное образование» связано с «водой» и «санитария» связана с «водой», но «начальное образование» и «санитария» не связаны напрямую, то есть они безусловно независимы, потому что «вода» блокирует пути от «начального образования» к «санитарии». «Вода» в данном случае является «коллайдером», и мы можем только сделать вывод, что «начальное образование» и «санитария» зависят от «воды».</w:t>
      </w:r>
    </w:p>
    <w:p>
      <w:pPr>
        <w:pStyle w:val="P15"/>
        <w:numPr>
          <w:ilvl w:val="0"/>
          <w:numId w:val="1"/>
        </w:numPr>
        <w:tabs>
          <w:tab w:val="left" w:pos="527" w:leader="none"/>
        </w:tabs>
        <w:spacing w:lineRule="auto" w:line="360" w:beforeAutospacing="0" w:afterAutospacing="0"/>
        <w:ind w:firstLine="709" w:left="0"/>
        <w:jc w:val="both"/>
        <w:rPr>
          <w:sz w:val="28"/>
          <w:szCs w:val="28"/>
          <w:lang w:val="ru-RU"/>
        </w:rPr>
      </w:pPr>
      <w:r>
        <w:rPr>
          <w:i w:val="1"/>
          <w:sz w:val="28"/>
          <w:szCs w:val="28"/>
        </w:rPr>
        <w:t>PE</w:t>
      </w:r>
      <w:r>
        <w:rPr>
          <w:i w:val="1"/>
          <w:sz w:val="28"/>
          <w:szCs w:val="28"/>
          <w:lang w:val="ru-RU"/>
        </w:rPr>
        <w:t>←</w:t>
      </w:r>
      <w:r>
        <w:rPr>
          <w:i w:val="1"/>
          <w:sz w:val="28"/>
          <w:szCs w:val="28"/>
        </w:rPr>
        <w:t>H</w:t>
      </w:r>
      <w:r>
        <w:rPr>
          <w:i w:val="1"/>
          <w:sz w:val="28"/>
          <w:szCs w:val="28"/>
          <w:lang w:val="ru-RU"/>
        </w:rPr>
        <w:t>2</w:t>
      </w:r>
      <w:r>
        <w:rPr>
          <w:i w:val="1"/>
          <w:sz w:val="28"/>
          <w:szCs w:val="28"/>
        </w:rPr>
        <w:t>O</w:t>
      </w:r>
      <w:r>
        <w:rPr>
          <w:i w:val="1"/>
          <w:sz w:val="28"/>
          <w:szCs w:val="28"/>
          <w:lang w:val="ru-RU"/>
        </w:rPr>
        <w:t>→</w:t>
      </w:r>
      <w:r>
        <w:rPr>
          <w:i w:val="1"/>
          <w:sz w:val="28"/>
          <w:szCs w:val="28"/>
        </w:rPr>
        <w:t>SAN</w:t>
      </w:r>
      <w:r>
        <w:rPr>
          <w:sz w:val="28"/>
          <w:szCs w:val="28"/>
          <w:lang w:val="ru-RU"/>
        </w:rPr>
        <w:t>: в данном случае «начальное образование» и «санитария» имеют общую причину – «воду». Это означает, что они не являются независимыми. Однако если мы выделяем «воду», то «начальное образование» и «санитария» не зависят от «воды».</w:t>
      </w:r>
    </w:p>
    <w:p>
      <w:pPr>
        <w:pStyle w:val="P15"/>
        <w:numPr>
          <w:ilvl w:val="0"/>
          <w:numId w:val="1"/>
        </w:numPr>
        <w:tabs>
          <w:tab w:val="left" w:pos="527" w:leader="none"/>
        </w:tabs>
        <w:spacing w:lineRule="auto" w:line="360" w:beforeAutospacing="0" w:afterAutospacing="0"/>
        <w:ind w:firstLine="709" w:left="0"/>
        <w:jc w:val="both"/>
        <w:rPr>
          <w:sz w:val="28"/>
          <w:szCs w:val="28"/>
          <w:lang w:val="ru-RU"/>
        </w:rPr>
      </w:pPr>
      <w:r>
        <w:rPr>
          <w:i w:val="1"/>
          <w:sz w:val="28"/>
          <w:szCs w:val="28"/>
        </w:rPr>
        <w:t>PE</w:t>
      </w:r>
      <w:r>
        <w:rPr>
          <w:i w:val="1"/>
          <w:sz w:val="28"/>
          <w:szCs w:val="28"/>
          <w:lang w:val="ru-RU"/>
        </w:rPr>
        <w:t>→</w:t>
      </w:r>
      <w:r>
        <w:rPr>
          <w:i w:val="1"/>
          <w:sz w:val="28"/>
          <w:szCs w:val="28"/>
        </w:rPr>
        <w:t>H</w:t>
      </w:r>
      <w:r>
        <w:rPr>
          <w:i w:val="1"/>
          <w:sz w:val="28"/>
          <w:szCs w:val="28"/>
          <w:lang w:val="ru-RU"/>
        </w:rPr>
        <w:t>2</w:t>
      </w:r>
      <w:r>
        <w:rPr>
          <w:i w:val="1"/>
          <w:sz w:val="28"/>
          <w:szCs w:val="28"/>
        </w:rPr>
        <w:t>O</w:t>
      </w:r>
      <w:r>
        <w:rPr>
          <w:i w:val="1"/>
          <w:sz w:val="28"/>
          <w:szCs w:val="28"/>
          <w:lang w:val="ru-RU"/>
        </w:rPr>
        <w:t>→</w:t>
      </w:r>
      <w:r>
        <w:rPr>
          <w:i w:val="1"/>
          <w:sz w:val="28"/>
          <w:szCs w:val="28"/>
        </w:rPr>
        <w:t>SAN</w:t>
      </w:r>
      <w:r>
        <w:rPr>
          <w:sz w:val="28"/>
          <w:szCs w:val="28"/>
          <w:lang w:val="ru-RU"/>
        </w:rPr>
        <w:t>: «начальное образование» и «санитария» независимы, если мы выделяем «воду». «Вода» зависит от «начального образования», тогда как «санитария» зависит от «воды», но «начальное образование» и «санитария» напрямую не зависят друг от друга.</w:t>
      </w:r>
    </w:p>
    <w:p>
      <w:pPr>
        <w:pStyle w:val="P13"/>
        <w:spacing w:lineRule="auto" w:line="360" w:beforeAutospacing="0" w:afterAutospacing="0"/>
        <w:ind w:firstLine="709"/>
        <w:jc w:val="both"/>
        <w:rPr>
          <w:sz w:val="28"/>
          <w:szCs w:val="28"/>
          <w:lang w:val="ru-RU"/>
        </w:rPr>
      </w:pPr>
      <w:r>
        <w:rPr>
          <w:sz w:val="28"/>
          <w:szCs w:val="28"/>
          <w:lang w:val="ru-RU"/>
        </w:rPr>
        <w:t>Мы также можем рассмотреть следующую иллюстрацию ситуации, когда переменные «начальное образование» и «санитария» независимы, если мы отдельно выделим «фактор вода»:</w:t>
      </w:r>
    </w:p>
    <w:p>
      <w:pPr>
        <w:pStyle w:val="P13"/>
        <w:spacing w:lineRule="auto" w:line="360" w:beforeAutospacing="0" w:afterAutospacing="0"/>
        <w:ind w:firstLine="709"/>
        <w:jc w:val="both"/>
        <w:rPr>
          <w:sz w:val="28"/>
          <w:szCs w:val="28"/>
          <w:lang w:val="ru-RU"/>
        </w:rPr>
      </w:pPr>
    </w:p>
    <w:p>
      <w:pPr>
        <w:spacing w:lineRule="auto" w:line="360" w:after="0" w:beforeAutospacing="0" w:afterAutospacing="0"/>
        <w:ind w:right="-143"/>
        <w:jc w:val="center"/>
        <w:rPr>
          <w:rFonts w:ascii="Times New Roman" w:hAnsi="Times New Roman" w:cs="Times New Roman"/>
          <w:iCs w:val="1"/>
          <w:sz w:val="28"/>
          <w:szCs w:val="28"/>
        </w:rPr>
      </w:pPr>
      <w:r>
        <w:rPr>
          <w:rFonts w:ascii="Times New Roman" w:hAnsi="Times New Roman" w:cs="Times New Roman"/>
          <w:i w:val="1"/>
          <w:sz w:val="28"/>
          <w:szCs w:val="28"/>
          <w:lang w:val="en-US"/>
        </w:rPr>
        <w:t>P</w:t>
      </w:r>
      <w:r>
        <w:rPr>
          <w:rFonts w:ascii="Times New Roman" w:hAnsi="Times New Roman" w:cs="Times New Roman"/>
          <w:i w:val="1"/>
          <w:sz w:val="28"/>
          <w:szCs w:val="28"/>
        </w:rPr>
        <w:t>(</w:t>
      </w:r>
      <w:r>
        <w:rPr>
          <w:rFonts w:ascii="Times New Roman" w:hAnsi="Times New Roman" w:cs="Times New Roman"/>
          <w:i w:val="1"/>
          <w:sz w:val="28"/>
          <w:szCs w:val="28"/>
          <w:lang w:val="en-US"/>
        </w:rPr>
        <w:t>PE</w:t>
      </w:r>
      <w:r>
        <w:rPr>
          <w:rFonts w:ascii="Times New Roman" w:hAnsi="Times New Roman" w:cs="Times New Roman"/>
          <w:i w:val="1"/>
          <w:sz w:val="28"/>
          <w:szCs w:val="28"/>
        </w:rPr>
        <w:t>,</w:t>
      </w:r>
      <w:r>
        <w:rPr>
          <w:rFonts w:ascii="Times New Roman" w:hAnsi="Times New Roman" w:cs="Times New Roman"/>
          <w:i w:val="1"/>
          <w:sz w:val="28"/>
          <w:szCs w:val="28"/>
          <w:lang w:val="en-US"/>
        </w:rPr>
        <w:t>H</w:t>
      </w:r>
      <w:r>
        <w:rPr>
          <w:rFonts w:ascii="Times New Roman" w:hAnsi="Times New Roman" w:cs="Times New Roman"/>
          <w:i w:val="1"/>
          <w:sz w:val="28"/>
          <w:szCs w:val="28"/>
        </w:rPr>
        <w:t>2</w:t>
      </w:r>
      <w:r>
        <w:rPr>
          <w:rFonts w:ascii="Times New Roman" w:hAnsi="Times New Roman" w:cs="Times New Roman"/>
          <w:i w:val="1"/>
          <w:sz w:val="28"/>
          <w:szCs w:val="28"/>
          <w:lang w:val="en-US"/>
        </w:rPr>
        <w:t>O</w:t>
      </w:r>
      <w:r>
        <w:rPr>
          <w:rFonts w:ascii="Times New Roman" w:hAnsi="Times New Roman" w:cs="Times New Roman"/>
          <w:i w:val="1"/>
          <w:sz w:val="28"/>
          <w:szCs w:val="28"/>
        </w:rPr>
        <w:t>,</w:t>
      </w:r>
      <w:r>
        <w:rPr>
          <w:rFonts w:ascii="Times New Roman" w:hAnsi="Times New Roman" w:cs="Times New Roman"/>
          <w:i w:val="1"/>
          <w:sz w:val="28"/>
          <w:szCs w:val="28"/>
          <w:lang w:val="en-US"/>
        </w:rPr>
        <w:t>SAN</w:t>
      </w:r>
      <w:r>
        <w:rPr>
          <w:rFonts w:ascii="Times New Roman" w:hAnsi="Times New Roman" w:cs="Times New Roman"/>
          <w:i w:val="1"/>
          <w:sz w:val="28"/>
          <w:szCs w:val="28"/>
        </w:rPr>
        <w:t>)=</w:t>
      </w:r>
      <w:r>
        <w:rPr>
          <w:rFonts w:ascii="Times New Roman" w:hAnsi="Times New Roman" w:cs="Times New Roman"/>
          <w:i w:val="1"/>
          <w:sz w:val="28"/>
          <w:szCs w:val="28"/>
          <w:lang w:val="en-US"/>
        </w:rPr>
        <w:t>P</w:t>
      </w:r>
      <w:r>
        <w:rPr>
          <w:rFonts w:ascii="Times New Roman" w:hAnsi="Times New Roman" w:cs="Times New Roman"/>
          <w:i w:val="1"/>
          <w:sz w:val="28"/>
          <w:szCs w:val="28"/>
        </w:rPr>
        <w:t>(</w:t>
      </w:r>
      <w:r>
        <w:rPr>
          <w:rFonts w:ascii="Times New Roman" w:hAnsi="Times New Roman" w:cs="Times New Roman"/>
          <w:i w:val="1"/>
          <w:sz w:val="28"/>
          <w:szCs w:val="28"/>
          <w:lang w:val="en-US"/>
        </w:rPr>
        <w:t>PE</w:t>
      </w:r>
      <w:r>
        <w:rPr>
          <w:rFonts w:ascii="Times New Roman" w:hAnsi="Times New Roman" w:cs="Times New Roman"/>
          <w:i w:val="1"/>
          <w:sz w:val="28"/>
          <w:szCs w:val="28"/>
        </w:rPr>
        <w:t>|</w:t>
      </w:r>
      <w:r>
        <w:rPr>
          <w:rFonts w:ascii="Times New Roman" w:hAnsi="Times New Roman" w:cs="Times New Roman"/>
          <w:i w:val="1"/>
          <w:sz w:val="28"/>
          <w:szCs w:val="28"/>
          <w:lang w:val="en-US"/>
        </w:rPr>
        <w:t>H</w:t>
      </w:r>
      <w:r>
        <w:rPr>
          <w:rFonts w:ascii="Times New Roman" w:hAnsi="Times New Roman" w:cs="Times New Roman"/>
          <w:i w:val="1"/>
          <w:sz w:val="28"/>
          <w:szCs w:val="28"/>
        </w:rPr>
        <w:t>2</w:t>
      </w:r>
      <w:r>
        <w:rPr>
          <w:rFonts w:ascii="Times New Roman" w:hAnsi="Times New Roman" w:cs="Times New Roman"/>
          <w:i w:val="1"/>
          <w:sz w:val="28"/>
          <w:szCs w:val="28"/>
          <w:lang w:val="en-US"/>
        </w:rPr>
        <w:t>O</w:t>
      </w:r>
      <w:r>
        <w:rPr>
          <w:rFonts w:ascii="Times New Roman" w:hAnsi="Times New Roman" w:cs="Times New Roman"/>
          <w:i w:val="1"/>
          <w:sz w:val="28"/>
          <w:szCs w:val="28"/>
        </w:rPr>
        <w:t>)</w:t>
      </w:r>
      <w:r>
        <w:rPr>
          <w:rFonts w:ascii="Times New Roman" w:hAnsi="Times New Roman" w:cs="Times New Roman"/>
          <w:i w:val="1"/>
          <w:sz w:val="28"/>
          <w:szCs w:val="28"/>
          <w:lang w:val="en-US"/>
        </w:rPr>
        <w:t>P</w:t>
      </w:r>
      <w:r>
        <w:rPr>
          <w:rFonts w:ascii="Times New Roman" w:hAnsi="Times New Roman" w:cs="Times New Roman"/>
          <w:i w:val="1"/>
          <w:sz w:val="28"/>
          <w:szCs w:val="28"/>
        </w:rPr>
        <w:t>(</w:t>
      </w:r>
      <w:r>
        <w:rPr>
          <w:rFonts w:ascii="Times New Roman" w:hAnsi="Times New Roman" w:cs="Times New Roman"/>
          <w:i w:val="1"/>
          <w:sz w:val="28"/>
          <w:szCs w:val="28"/>
          <w:lang w:val="en-US"/>
        </w:rPr>
        <w:t>SAN</w:t>
      </w:r>
      <w:r>
        <w:rPr>
          <w:rFonts w:ascii="Times New Roman" w:hAnsi="Times New Roman" w:cs="Times New Roman"/>
          <w:i w:val="1"/>
          <w:sz w:val="28"/>
          <w:szCs w:val="28"/>
        </w:rPr>
        <w:t>|</w:t>
      </w:r>
      <w:r>
        <w:rPr>
          <w:rFonts w:ascii="Times New Roman" w:hAnsi="Times New Roman" w:cs="Times New Roman"/>
          <w:i w:val="1"/>
          <w:sz w:val="28"/>
          <w:szCs w:val="28"/>
          <w:lang w:val="en-US"/>
        </w:rPr>
        <w:t>H</w:t>
      </w:r>
      <w:r>
        <w:rPr>
          <w:rFonts w:ascii="Times New Roman" w:hAnsi="Times New Roman" w:cs="Times New Roman"/>
          <w:i w:val="1"/>
          <w:sz w:val="28"/>
          <w:szCs w:val="28"/>
        </w:rPr>
        <w:t>2</w:t>
      </w:r>
      <w:r>
        <w:rPr>
          <w:rFonts w:ascii="Times New Roman" w:hAnsi="Times New Roman" w:cs="Times New Roman"/>
          <w:i w:val="1"/>
          <w:sz w:val="28"/>
          <w:szCs w:val="28"/>
          <w:lang w:val="en-US"/>
        </w:rPr>
        <w:t>O</w:t>
      </w:r>
      <w:r>
        <w:rPr>
          <w:rFonts w:ascii="Times New Roman" w:hAnsi="Times New Roman" w:cs="Times New Roman"/>
          <w:i w:val="1"/>
          <w:sz w:val="28"/>
          <w:szCs w:val="28"/>
        </w:rPr>
        <w:t>)</w:t>
      </w:r>
      <w:r>
        <w:rPr>
          <w:rFonts w:ascii="Times New Roman" w:hAnsi="Times New Roman" w:cs="Times New Roman"/>
          <w:i w:val="1"/>
          <w:sz w:val="28"/>
          <w:szCs w:val="28"/>
          <w:lang w:val="en-US"/>
        </w:rPr>
        <w:t>P</w:t>
      </w:r>
      <w:r>
        <w:rPr>
          <w:rFonts w:ascii="Times New Roman" w:hAnsi="Times New Roman" w:cs="Times New Roman"/>
          <w:i w:val="1"/>
          <w:sz w:val="28"/>
          <w:szCs w:val="28"/>
        </w:rPr>
        <w:t>(</w:t>
      </w:r>
      <w:r>
        <w:rPr>
          <w:rFonts w:ascii="Times New Roman" w:hAnsi="Times New Roman" w:cs="Times New Roman"/>
          <w:i w:val="1"/>
          <w:sz w:val="28"/>
          <w:szCs w:val="28"/>
          <w:lang w:val="en-US"/>
        </w:rPr>
        <w:t>H</w:t>
      </w:r>
      <w:r>
        <w:rPr>
          <w:rFonts w:ascii="Times New Roman" w:hAnsi="Times New Roman" w:cs="Times New Roman"/>
          <w:i w:val="1"/>
          <w:sz w:val="28"/>
          <w:szCs w:val="28"/>
        </w:rPr>
        <w:t>2</w:t>
      </w:r>
      <w:r>
        <w:rPr>
          <w:rFonts w:ascii="Times New Roman" w:hAnsi="Times New Roman" w:cs="Times New Roman"/>
          <w:i w:val="1"/>
          <w:sz w:val="28"/>
          <w:szCs w:val="28"/>
          <w:lang w:val="en-US"/>
        </w:rPr>
        <w:t>O</w:t>
      </w:r>
      <w:r>
        <w:rPr>
          <w:rFonts w:ascii="Times New Roman" w:hAnsi="Times New Roman" w:cs="Times New Roman"/>
          <w:i w:val="1"/>
          <w:sz w:val="28"/>
          <w:szCs w:val="28"/>
        </w:rPr>
        <w:t>)=P(PE|H2O)P(САН,Н2О).</w:t>
      </w:r>
      <w:r>
        <w:rPr>
          <w:rFonts w:ascii="Times New Roman" w:hAnsi="Times New Roman" w:cs="Times New Roman"/>
          <w:iCs w:val="1"/>
          <w:sz w:val="28"/>
          <w:szCs w:val="28"/>
        </w:rPr>
        <w:t xml:space="preserve"> (2)</w:t>
      </w:r>
    </w:p>
    <w:p>
      <w:pPr>
        <w:pStyle w:val="P13"/>
        <w:spacing w:lineRule="auto" w:line="360" w:beforeAutospacing="0" w:afterAutospacing="0"/>
        <w:ind w:firstLine="709"/>
        <w:jc w:val="both"/>
        <w:rPr>
          <w:sz w:val="28"/>
          <w:szCs w:val="28"/>
          <w:lang w:val="ru-RU"/>
        </w:rPr>
      </w:pPr>
    </w:p>
    <w:p>
      <w:pPr>
        <w:pStyle w:val="P13"/>
        <w:spacing w:lineRule="auto" w:line="360" w:beforeAutospacing="0" w:afterAutospacing="0"/>
        <w:ind w:firstLine="709"/>
        <w:jc w:val="both"/>
        <w:rPr>
          <w:sz w:val="28"/>
          <w:szCs w:val="28"/>
          <w:lang w:val="ru-RU"/>
        </w:rPr>
      </w:pPr>
      <w:r>
        <w:rPr>
          <w:sz w:val="28"/>
          <w:szCs w:val="28"/>
          <w:lang w:val="ru-RU"/>
        </w:rPr>
        <w:t xml:space="preserve">Однако по определению условной вероятности </w:t>
      </w:r>
      <w:r>
        <w:rPr>
          <w:i w:val="1"/>
          <w:sz w:val="28"/>
          <w:szCs w:val="28"/>
          <w:lang w:val="ru-RU"/>
        </w:rPr>
        <w:t>(</w:t>
      </w:r>
      <w:r>
        <w:rPr>
          <w:i w:val="1"/>
          <w:sz w:val="28"/>
          <w:szCs w:val="28"/>
        </w:rPr>
        <w:t>A</w:t>
      </w:r>
      <w:r>
        <w:rPr>
          <w:i w:val="1"/>
          <w:sz w:val="28"/>
          <w:szCs w:val="28"/>
          <w:lang w:val="ru-RU"/>
        </w:rPr>
        <w:t>|</w:t>
      </w:r>
      <w:r>
        <w:rPr>
          <w:i w:val="1"/>
          <w:sz w:val="28"/>
          <w:szCs w:val="28"/>
        </w:rPr>
        <w:t>B</w:t>
      </w:r>
      <w:r>
        <w:rPr>
          <w:i w:val="1"/>
          <w:sz w:val="28"/>
          <w:szCs w:val="28"/>
          <w:lang w:val="ru-RU"/>
        </w:rPr>
        <w:t xml:space="preserve">)= </w:t>
      </w:r>
      <w:r>
        <w:rPr>
          <w:i w:val="1"/>
          <w:sz w:val="28"/>
          <w:szCs w:val="28"/>
        </w:rPr>
        <w:t>P</w:t>
      </w:r>
      <w:r>
        <w:rPr>
          <w:i w:val="1"/>
          <w:sz w:val="28"/>
          <w:szCs w:val="28"/>
          <w:lang w:val="ru-RU"/>
        </w:rPr>
        <w:t>(</w:t>
      </w:r>
      <w:r>
        <w:rPr>
          <w:i w:val="1"/>
          <w:sz w:val="28"/>
          <w:szCs w:val="28"/>
        </w:rPr>
        <w:t>A</w:t>
      </w:r>
      <w:r>
        <w:rPr>
          <w:i w:val="1"/>
          <w:sz w:val="28"/>
          <w:szCs w:val="28"/>
          <w:lang w:val="ru-RU"/>
        </w:rPr>
        <w:t xml:space="preserve"> </w:t>
      </w:r>
      <w:r>
        <w:rPr>
          <w:rFonts w:ascii="Cambria Math" w:hAnsi="Cambria Math" w:cs="Cambria Math"/>
          <w:i w:val="1"/>
          <w:sz w:val="28"/>
          <w:szCs w:val="28"/>
          <w:lang w:val="ru-RU"/>
        </w:rPr>
        <w:t>⋀</w:t>
      </w:r>
      <w:r>
        <w:rPr>
          <w:i w:val="1"/>
          <w:sz w:val="28"/>
          <w:szCs w:val="28"/>
          <w:lang w:val="ru-RU"/>
        </w:rPr>
        <w:t xml:space="preserve"> </w:t>
      </w:r>
      <w:r>
        <w:rPr>
          <w:i w:val="1"/>
          <w:sz w:val="28"/>
          <w:szCs w:val="28"/>
        </w:rPr>
        <w:t>B</w:t>
      </w:r>
      <w:r>
        <w:rPr>
          <w:i w:val="1"/>
          <w:sz w:val="28"/>
          <w:szCs w:val="28"/>
          <w:lang w:val="ru-RU"/>
        </w:rPr>
        <w:t xml:space="preserve">) / </w:t>
      </w:r>
      <w:r>
        <w:rPr>
          <w:i w:val="1"/>
          <w:sz w:val="28"/>
          <w:szCs w:val="28"/>
        </w:rPr>
        <w:t>P</w:t>
      </w:r>
      <w:r>
        <w:rPr>
          <w:i w:val="1"/>
          <w:sz w:val="28"/>
          <w:szCs w:val="28"/>
          <w:lang w:val="ru-RU"/>
        </w:rPr>
        <w:t>(</w:t>
      </w:r>
      <w:r>
        <w:rPr>
          <w:i w:val="1"/>
          <w:sz w:val="28"/>
          <w:szCs w:val="28"/>
        </w:rPr>
        <w:t>B</w:t>
      </w:r>
      <w:r>
        <w:rPr>
          <w:i w:val="1"/>
          <w:sz w:val="28"/>
          <w:szCs w:val="28"/>
          <w:lang w:val="ru-RU"/>
        </w:rPr>
        <w:t>)</w:t>
      </w:r>
      <w:r>
        <w:rPr>
          <w:sz w:val="28"/>
          <w:szCs w:val="28"/>
          <w:lang w:val="ru-RU"/>
        </w:rPr>
        <w:t xml:space="preserve">, </w:t>
      </w:r>
      <w:r>
        <w:rPr>
          <w:sz w:val="28"/>
          <w:szCs w:val="28"/>
          <w:lang w:val="ru-RU"/>
        </w:rPr>
        <w:br w:type="textWrapping"/>
      </w:r>
      <w:r>
        <w:rPr>
          <w:sz w:val="28"/>
          <w:szCs w:val="28"/>
          <w:lang w:val="ru-RU"/>
        </w:rPr>
        <w:t xml:space="preserve">у нас есть </w:t>
      </w:r>
      <w:r>
        <w:rPr>
          <w:i w:val="1"/>
          <w:sz w:val="28"/>
          <w:szCs w:val="28"/>
          <w:lang w:val="ru-RU"/>
        </w:rPr>
        <w:t>Р(РЕ, Н</w:t>
      </w:r>
      <w:r>
        <w:rPr>
          <w:sz w:val="28"/>
          <w:szCs w:val="28"/>
          <w:lang w:val="ru-RU"/>
        </w:rPr>
        <w:t>2</w:t>
      </w:r>
      <w:r>
        <w:rPr>
          <w:sz w:val="28"/>
          <w:szCs w:val="28"/>
        </w:rPr>
        <w:t>O</w:t>
      </w:r>
      <w:r>
        <w:rPr>
          <w:sz w:val="28"/>
          <w:szCs w:val="28"/>
          <w:lang w:val="ru-RU"/>
        </w:rPr>
        <w:t xml:space="preserve">, </w:t>
      </w:r>
      <w:r>
        <w:rPr>
          <w:i w:val="1"/>
          <w:sz w:val="28"/>
          <w:szCs w:val="28"/>
          <w:lang w:val="ru-RU"/>
        </w:rPr>
        <w:t xml:space="preserve">САН) = </w:t>
      </w:r>
      <w:r>
        <w:rPr>
          <w:i w:val="1"/>
          <w:sz w:val="28"/>
          <w:szCs w:val="28"/>
        </w:rPr>
        <w:t>P</w:t>
      </w:r>
      <w:r>
        <w:rPr>
          <w:i w:val="1"/>
          <w:sz w:val="28"/>
          <w:szCs w:val="28"/>
          <w:lang w:val="ru-RU"/>
        </w:rPr>
        <w:t>(</w:t>
      </w:r>
      <w:r>
        <w:rPr>
          <w:i w:val="1"/>
          <w:sz w:val="28"/>
          <w:szCs w:val="28"/>
        </w:rPr>
        <w:t>PE</w:t>
      </w:r>
      <w:r>
        <w:rPr>
          <w:i w:val="1"/>
          <w:sz w:val="28"/>
          <w:szCs w:val="28"/>
          <w:lang w:val="ru-RU"/>
        </w:rPr>
        <w:t>|</w:t>
      </w:r>
      <w:r>
        <w:rPr>
          <w:i w:val="1"/>
          <w:sz w:val="28"/>
          <w:szCs w:val="28"/>
        </w:rPr>
        <w:t>H</w:t>
      </w:r>
      <w:r>
        <w:rPr>
          <w:i w:val="1"/>
          <w:sz w:val="28"/>
          <w:szCs w:val="28"/>
          <w:lang w:val="ru-RU"/>
        </w:rPr>
        <w:t>2</w:t>
      </w:r>
      <w:r>
        <w:rPr>
          <w:i w:val="1"/>
          <w:sz w:val="28"/>
          <w:szCs w:val="28"/>
        </w:rPr>
        <w:t>O</w:t>
      </w:r>
      <w:r>
        <w:rPr>
          <w:i w:val="1"/>
          <w:sz w:val="28"/>
          <w:szCs w:val="28"/>
          <w:lang w:val="ru-RU"/>
        </w:rPr>
        <w:t>,САН)</w:t>
      </w:r>
      <w:r>
        <w:rPr>
          <w:i w:val="1"/>
          <w:sz w:val="28"/>
          <w:szCs w:val="28"/>
        </w:rPr>
        <w:t>P</w:t>
      </w:r>
      <w:r>
        <w:rPr>
          <w:i w:val="1"/>
          <w:sz w:val="28"/>
          <w:szCs w:val="28"/>
          <w:lang w:val="ru-RU"/>
        </w:rPr>
        <w:t>(</w:t>
      </w:r>
      <w:r>
        <w:rPr>
          <w:i w:val="1"/>
          <w:sz w:val="28"/>
          <w:szCs w:val="28"/>
        </w:rPr>
        <w:t>SAN</w:t>
      </w:r>
      <w:r>
        <w:rPr>
          <w:i w:val="1"/>
          <w:sz w:val="28"/>
          <w:szCs w:val="28"/>
          <w:lang w:val="ru-RU"/>
        </w:rPr>
        <w:t xml:space="preserve">, </w:t>
      </w:r>
      <w:r>
        <w:rPr>
          <w:i w:val="1"/>
          <w:sz w:val="28"/>
          <w:szCs w:val="28"/>
        </w:rPr>
        <w:t>H</w:t>
      </w:r>
      <w:r>
        <w:rPr>
          <w:i w:val="1"/>
          <w:sz w:val="28"/>
          <w:szCs w:val="28"/>
          <w:lang w:val="ru-RU"/>
        </w:rPr>
        <w:t>2</w:t>
      </w:r>
      <w:r>
        <w:rPr>
          <w:i w:val="1"/>
          <w:sz w:val="28"/>
          <w:szCs w:val="28"/>
        </w:rPr>
        <w:t>O</w:t>
      </w:r>
      <w:r>
        <w:rPr>
          <w:i w:val="1"/>
          <w:sz w:val="28"/>
          <w:szCs w:val="28"/>
          <w:lang w:val="ru-RU"/>
        </w:rPr>
        <w:t>)</w:t>
      </w:r>
      <w:r>
        <w:rPr>
          <w:sz w:val="28"/>
          <w:szCs w:val="28"/>
          <w:lang w:val="ru-RU"/>
        </w:rPr>
        <w:t xml:space="preserve">, </w:t>
      </w:r>
      <w:r>
        <w:rPr>
          <w:sz w:val="28"/>
          <w:szCs w:val="28"/>
          <w:lang w:val="ru-RU"/>
        </w:rPr>
        <w:br w:type="textWrapping"/>
      </w:r>
      <w:r>
        <w:rPr>
          <w:sz w:val="28"/>
          <w:szCs w:val="28"/>
          <w:lang w:val="ru-RU"/>
        </w:rPr>
        <w:t xml:space="preserve">где </w:t>
      </w:r>
      <w:r>
        <w:rPr>
          <w:i w:val="1"/>
          <w:sz w:val="28"/>
          <w:szCs w:val="28"/>
        </w:rPr>
        <w:t>PE</w:t>
      </w:r>
      <w:r>
        <w:rPr>
          <w:sz w:val="28"/>
          <w:szCs w:val="28"/>
          <w:lang w:val="ru-RU"/>
        </w:rPr>
        <w:t xml:space="preserve"> обозначает </w:t>
      </w:r>
      <w:r>
        <w:rPr>
          <w:i w:val="1"/>
          <w:sz w:val="28"/>
          <w:szCs w:val="28"/>
        </w:rPr>
        <w:t>A</w:t>
      </w:r>
      <w:r>
        <w:rPr>
          <w:sz w:val="28"/>
          <w:szCs w:val="28"/>
          <w:lang w:val="ru-RU"/>
        </w:rPr>
        <w:t xml:space="preserve"> и </w:t>
      </w:r>
      <w:r>
        <w:rPr>
          <w:i w:val="1"/>
          <w:sz w:val="28"/>
          <w:szCs w:val="28"/>
        </w:rPr>
        <w:t>H</w:t>
      </w:r>
      <w:r>
        <w:rPr>
          <w:i w:val="1"/>
          <w:sz w:val="28"/>
          <w:szCs w:val="28"/>
          <w:lang w:val="ru-RU"/>
        </w:rPr>
        <w:t>2</w:t>
      </w:r>
      <w:r>
        <w:rPr>
          <w:i w:val="1"/>
          <w:sz w:val="28"/>
          <w:szCs w:val="28"/>
        </w:rPr>
        <w:t>O</w:t>
      </w:r>
      <w:r>
        <w:rPr>
          <w:sz w:val="28"/>
          <w:szCs w:val="28"/>
          <w:lang w:val="ru-RU"/>
        </w:rPr>
        <w:t xml:space="preserve">, а </w:t>
      </w:r>
      <w:r>
        <w:rPr>
          <w:i w:val="1"/>
          <w:sz w:val="28"/>
          <w:szCs w:val="28"/>
        </w:rPr>
        <w:t>SAN</w:t>
      </w:r>
      <w:r>
        <w:rPr>
          <w:sz w:val="28"/>
          <w:szCs w:val="28"/>
          <w:lang w:val="ru-RU"/>
        </w:rPr>
        <w:t xml:space="preserve"> обозначает </w:t>
      </w:r>
      <w:r>
        <w:rPr>
          <w:i w:val="1"/>
          <w:sz w:val="28"/>
          <w:szCs w:val="28"/>
        </w:rPr>
        <w:t>B</w:t>
      </w:r>
      <w:r>
        <w:rPr>
          <w:sz w:val="28"/>
          <w:szCs w:val="28"/>
          <w:lang w:val="ru-RU"/>
        </w:rPr>
        <w:t xml:space="preserve">. Следовательно, </w:t>
      </w:r>
      <w:r>
        <w:rPr>
          <w:i w:val="1"/>
          <w:sz w:val="28"/>
          <w:szCs w:val="28"/>
        </w:rPr>
        <w:t>P</w:t>
      </w:r>
      <w:r>
        <w:rPr>
          <w:i w:val="1"/>
          <w:sz w:val="28"/>
          <w:szCs w:val="28"/>
          <w:lang w:val="ru-RU"/>
        </w:rPr>
        <w:t>(</w:t>
      </w:r>
      <w:r>
        <w:rPr>
          <w:i w:val="1"/>
          <w:sz w:val="28"/>
          <w:szCs w:val="28"/>
        </w:rPr>
        <w:t>PE</w:t>
      </w:r>
      <w:r>
        <w:rPr>
          <w:i w:val="1"/>
          <w:sz w:val="28"/>
          <w:szCs w:val="28"/>
          <w:lang w:val="ru-RU"/>
        </w:rPr>
        <w:t>|</w:t>
      </w:r>
      <w:r>
        <w:rPr>
          <w:i w:val="1"/>
          <w:sz w:val="28"/>
          <w:szCs w:val="28"/>
        </w:rPr>
        <w:t>H</w:t>
      </w:r>
      <w:r>
        <w:rPr>
          <w:i w:val="1"/>
          <w:sz w:val="28"/>
          <w:szCs w:val="28"/>
          <w:lang w:val="ru-RU"/>
        </w:rPr>
        <w:t>2</w:t>
      </w:r>
      <w:r>
        <w:rPr>
          <w:i w:val="1"/>
          <w:sz w:val="28"/>
          <w:szCs w:val="28"/>
        </w:rPr>
        <w:t>O</w:t>
      </w:r>
      <w:r>
        <w:rPr>
          <w:i w:val="1"/>
          <w:sz w:val="28"/>
          <w:szCs w:val="28"/>
          <w:lang w:val="ru-RU"/>
        </w:rPr>
        <w:t xml:space="preserve">, </w:t>
      </w:r>
      <w:r>
        <w:rPr>
          <w:i w:val="1"/>
          <w:sz w:val="28"/>
          <w:szCs w:val="28"/>
        </w:rPr>
        <w:t>SAN</w:t>
      </w:r>
      <w:r>
        <w:rPr>
          <w:i w:val="1"/>
          <w:sz w:val="28"/>
          <w:szCs w:val="28"/>
          <w:lang w:val="ru-RU"/>
        </w:rPr>
        <w:t xml:space="preserve">) = </w:t>
      </w:r>
      <w:r>
        <w:rPr>
          <w:i w:val="1"/>
          <w:sz w:val="28"/>
          <w:szCs w:val="28"/>
        </w:rPr>
        <w:t>P</w:t>
      </w:r>
      <w:r>
        <w:rPr>
          <w:i w:val="1"/>
          <w:sz w:val="28"/>
          <w:szCs w:val="28"/>
          <w:lang w:val="ru-RU"/>
        </w:rPr>
        <w:t>(</w:t>
      </w:r>
      <w:r>
        <w:rPr>
          <w:i w:val="1"/>
          <w:sz w:val="28"/>
          <w:szCs w:val="28"/>
        </w:rPr>
        <w:t>PE</w:t>
      </w:r>
      <w:r>
        <w:rPr>
          <w:i w:val="1"/>
          <w:sz w:val="28"/>
          <w:szCs w:val="28"/>
          <w:lang w:val="ru-RU"/>
        </w:rPr>
        <w:t>|</w:t>
      </w:r>
      <w:r>
        <w:rPr>
          <w:i w:val="1"/>
          <w:sz w:val="28"/>
          <w:szCs w:val="28"/>
        </w:rPr>
        <w:t>H</w:t>
      </w:r>
      <w:r>
        <w:rPr>
          <w:i w:val="1"/>
          <w:sz w:val="28"/>
          <w:szCs w:val="28"/>
          <w:lang w:val="ru-RU"/>
        </w:rPr>
        <w:t>2</w:t>
      </w:r>
      <w:r>
        <w:rPr>
          <w:i w:val="1"/>
          <w:sz w:val="28"/>
          <w:szCs w:val="28"/>
        </w:rPr>
        <w:t>O</w:t>
      </w:r>
      <w:r>
        <w:rPr>
          <w:i w:val="1"/>
          <w:sz w:val="28"/>
          <w:szCs w:val="28"/>
          <w:lang w:val="ru-RU"/>
        </w:rPr>
        <w:t>)</w:t>
      </w:r>
      <w:r>
        <w:rPr>
          <w:sz w:val="28"/>
          <w:szCs w:val="28"/>
          <w:lang w:val="ru-RU"/>
        </w:rPr>
        <w:t>.</w:t>
      </w:r>
    </w:p>
    <w:p>
      <w:pPr>
        <w:pStyle w:val="P13"/>
        <w:spacing w:lineRule="auto" w:line="360" w:beforeAutospacing="0" w:afterAutospacing="0"/>
        <w:ind w:firstLine="709"/>
        <w:jc w:val="both"/>
        <w:rPr>
          <w:sz w:val="28"/>
          <w:szCs w:val="28"/>
          <w:lang w:val="ru-RU"/>
        </w:rPr>
      </w:pPr>
      <w:r>
        <w:rPr>
          <w:sz w:val="28"/>
          <w:szCs w:val="28"/>
          <w:lang w:val="ru-RU"/>
        </w:rPr>
        <w:t xml:space="preserve">Для построения диаграммы </w:t>
      </w:r>
      <w:r>
        <w:rPr>
          <w:sz w:val="28"/>
          <w:szCs w:val="28"/>
        </w:rPr>
        <w:t>DAG</w:t>
      </w:r>
      <w:r>
        <w:rPr>
          <w:sz w:val="28"/>
          <w:szCs w:val="28"/>
          <w:lang w:val="ru-RU"/>
        </w:rPr>
        <w:t xml:space="preserve"> мы использовали программный обеспечение </w:t>
      </w:r>
      <w:r>
        <w:rPr>
          <w:sz w:val="28"/>
          <w:szCs w:val="28"/>
        </w:rPr>
        <w:t>TETRAD</w:t>
      </w:r>
      <w:r>
        <w:rPr>
          <w:sz w:val="28"/>
          <w:szCs w:val="28"/>
          <w:lang w:val="ru-RU"/>
        </w:rPr>
        <w:t xml:space="preserve"> [</w:t>
      </w:r>
      <w:r>
        <w:rPr>
          <w:sz w:val="28"/>
          <w:szCs w:val="28"/>
          <w:highlight w:val="yellow"/>
          <w:lang w:val="ru-RU"/>
        </w:rPr>
        <w:t>164</w:t>
      </w:r>
      <w:r>
        <w:rPr>
          <w:sz w:val="28"/>
          <w:szCs w:val="28"/>
          <w:lang w:val="ru-RU"/>
        </w:rPr>
        <w:t xml:space="preserve">]. </w:t>
      </w:r>
      <w:r>
        <w:rPr>
          <w:sz w:val="28"/>
          <w:szCs w:val="28"/>
        </w:rPr>
        <w:t>Tetrad</w:t>
      </w:r>
      <w:r>
        <w:rPr>
          <w:sz w:val="28"/>
          <w:szCs w:val="28"/>
          <w:lang w:val="ru-RU"/>
        </w:rPr>
        <w:t xml:space="preserve"> включает ряд различных алгоритмов поиска, которые позволяют нам определять направленные связи между переменными в заданном наборе данных. Большинство этих алгоритмов поиска основаны на следующих предположениях о структуре данных; </w:t>
      </w:r>
    </w:p>
    <w:p>
      <w:pPr>
        <w:pStyle w:val="P13"/>
        <w:numPr>
          <w:ilvl w:val="0"/>
          <w:numId w:val="4"/>
        </w:numPr>
        <w:tabs>
          <w:tab w:val="left" w:pos="993" w:leader="none"/>
        </w:tabs>
        <w:spacing w:lineRule="auto" w:line="360" w:beforeAutospacing="0" w:afterAutospacing="0"/>
        <w:ind w:firstLine="709" w:left="0"/>
        <w:jc w:val="both"/>
        <w:rPr>
          <w:sz w:val="28"/>
          <w:szCs w:val="28"/>
          <w:lang w:val="ru-RU"/>
        </w:rPr>
      </w:pPr>
      <w:r>
        <w:rPr>
          <w:sz w:val="28"/>
          <w:szCs w:val="28"/>
          <w:lang w:val="ru-RU"/>
        </w:rPr>
        <w:t xml:space="preserve">нормальность набора данных, то есть распределение каждой переменной является нормальным; </w:t>
      </w:r>
    </w:p>
    <w:p>
      <w:pPr>
        <w:pStyle w:val="P13"/>
        <w:numPr>
          <w:ilvl w:val="0"/>
          <w:numId w:val="4"/>
        </w:numPr>
        <w:tabs>
          <w:tab w:val="left" w:pos="993" w:leader="none"/>
        </w:tabs>
        <w:spacing w:lineRule="auto" w:line="360" w:beforeAutospacing="0" w:afterAutospacing="0"/>
        <w:ind w:firstLine="709" w:left="0"/>
        <w:jc w:val="both"/>
        <w:rPr>
          <w:sz w:val="28"/>
          <w:szCs w:val="28"/>
          <w:lang w:val="ru-RU"/>
        </w:rPr>
      </w:pPr>
      <w:r>
        <w:rPr>
          <w:sz w:val="28"/>
          <w:szCs w:val="28"/>
          <w:lang w:val="ru-RU"/>
        </w:rPr>
        <w:t xml:space="preserve">если набор данных состоит из непрерывных переменных, предполагается, что причинно-следственная связь между любыми двумя переменными является линейной. </w:t>
      </w:r>
    </w:p>
    <w:p>
      <w:pPr>
        <w:pStyle w:val="P13"/>
        <w:spacing w:lineRule="auto" w:line="360" w:beforeAutospacing="0" w:afterAutospacing="0"/>
        <w:ind w:firstLine="709"/>
        <w:jc w:val="both"/>
        <w:rPr>
          <w:sz w:val="28"/>
          <w:szCs w:val="28"/>
          <w:lang w:val="ru-RU"/>
        </w:rPr>
      </w:pPr>
      <w:r>
        <w:rPr>
          <w:sz w:val="28"/>
          <w:szCs w:val="28"/>
        </w:rPr>
        <w:t>TETRAD</w:t>
      </w:r>
      <w:r>
        <w:rPr>
          <w:sz w:val="28"/>
          <w:szCs w:val="28"/>
          <w:lang w:val="ru-RU"/>
        </w:rPr>
        <w:t xml:space="preserve"> позволяет нам исследовать и обнаруживать связи между переменными, но мы не можем однозначно определить причинность, так как это требует сильных исходных предположений, которые в нашем случае мы не можем выдвинуть. Поэтому из базового набора алгоритмов поиска (</w:t>
      </w:r>
      <w:r>
        <w:rPr>
          <w:sz w:val="28"/>
          <w:szCs w:val="28"/>
        </w:rPr>
        <w:t>PC</w:t>
      </w:r>
      <w:r>
        <w:rPr>
          <w:sz w:val="28"/>
          <w:szCs w:val="28"/>
          <w:lang w:val="ru-RU"/>
        </w:rPr>
        <w:t xml:space="preserve"> (частичная корреляция), </w:t>
      </w:r>
      <w:r>
        <w:rPr>
          <w:sz w:val="28"/>
          <w:szCs w:val="28"/>
        </w:rPr>
        <w:t>GES</w:t>
      </w:r>
      <w:r>
        <w:rPr>
          <w:sz w:val="28"/>
          <w:szCs w:val="28"/>
          <w:lang w:val="ru-RU"/>
        </w:rPr>
        <w:t xml:space="preserve"> (жадный поиск эквивалентности), шаблон </w:t>
      </w:r>
      <w:r>
        <w:rPr>
          <w:sz w:val="28"/>
          <w:szCs w:val="28"/>
        </w:rPr>
        <w:t>PC</w:t>
      </w:r>
      <w:r>
        <w:rPr>
          <w:sz w:val="28"/>
          <w:szCs w:val="28"/>
          <w:lang w:val="ru-RU"/>
        </w:rPr>
        <w:t xml:space="preserve">, алгоритмы </w:t>
      </w:r>
      <w:r>
        <w:rPr>
          <w:sz w:val="28"/>
          <w:szCs w:val="28"/>
        </w:rPr>
        <w:t>PCD</w:t>
      </w:r>
      <w:r>
        <w:rPr>
          <w:sz w:val="28"/>
          <w:szCs w:val="28"/>
          <w:lang w:val="ru-RU"/>
        </w:rPr>
        <w:t>). мы сосредоточимся на алгоритме частной корреляции (</w:t>
      </w:r>
      <w:r>
        <w:rPr>
          <w:sz w:val="28"/>
          <w:szCs w:val="28"/>
        </w:rPr>
        <w:t>PC</w:t>
      </w:r>
      <w:r>
        <w:rPr>
          <w:sz w:val="28"/>
          <w:szCs w:val="28"/>
          <w:lang w:val="ru-RU"/>
        </w:rPr>
        <w:t xml:space="preserve">), потому что в отсутствие эмпирически подтвержденных теорий о взаимосвязи ЦУР нам нужно выявить потенциальные направления связей между переменными, чтобы в дальнейшем мы могли построить модель </w:t>
      </w:r>
      <w:r>
        <w:rPr>
          <w:sz w:val="28"/>
          <w:szCs w:val="28"/>
        </w:rPr>
        <w:t>SEM</w:t>
      </w:r>
      <w:r>
        <w:rPr>
          <w:sz w:val="28"/>
          <w:szCs w:val="28"/>
          <w:lang w:val="ru-RU"/>
        </w:rPr>
        <w:t xml:space="preserve"> (Structural equation modeling). </w:t>
      </w:r>
    </w:p>
    <w:p>
      <w:pPr>
        <w:pStyle w:val="P13"/>
        <w:spacing w:lineRule="auto" w:line="360" w:beforeAutospacing="0" w:afterAutospacing="0"/>
        <w:ind w:firstLine="709"/>
        <w:jc w:val="both"/>
        <w:rPr>
          <w:sz w:val="28"/>
          <w:szCs w:val="28"/>
          <w:lang w:val="ru-RU"/>
        </w:rPr>
      </w:pPr>
      <w:r>
        <w:rPr>
          <w:sz w:val="28"/>
          <w:szCs w:val="28"/>
          <w:lang w:val="ru-RU"/>
        </w:rPr>
        <w:t xml:space="preserve">Первый этап алгоритм </w:t>
      </w:r>
      <w:r>
        <w:rPr>
          <w:sz w:val="28"/>
          <w:szCs w:val="28"/>
        </w:rPr>
        <w:t>PC</w:t>
      </w:r>
      <w:r>
        <w:rPr>
          <w:sz w:val="28"/>
          <w:szCs w:val="28"/>
          <w:lang w:val="ru-RU"/>
        </w:rPr>
        <w:t xml:space="preserve"> включает создание полного неориентированного графа, где каждая переменная представляет собой вершину, а неориентированные ребра соединяют все переменные. Границы между переменными удаляются на основе тестов значимости нулевой корреляции или нулевой условной корреляции [</w:t>
      </w:r>
      <w:r>
        <w:rPr>
          <w:sz w:val="28"/>
          <w:szCs w:val="28"/>
          <w:highlight w:val="yellow"/>
          <w:lang w:val="ru-RU"/>
        </w:rPr>
        <w:t>100</w:t>
      </w:r>
      <w:r>
        <w:rPr>
          <w:sz w:val="28"/>
          <w:szCs w:val="28"/>
          <w:lang w:val="ru-RU"/>
        </w:rPr>
        <w:t xml:space="preserve">]. Неориентированные ребра, оставшиеся в графе, теперь «направлены» путем взятия каждой тройки </w:t>
      </w:r>
      <w:r>
        <w:rPr>
          <w:i w:val="1"/>
          <w:sz w:val="28"/>
          <w:szCs w:val="28"/>
        </w:rPr>
        <w:t>x</w:t>
      </w:r>
      <w:r>
        <w:rPr>
          <w:i w:val="1"/>
          <w:sz w:val="28"/>
          <w:szCs w:val="28"/>
          <w:lang w:val="ru-RU"/>
        </w:rPr>
        <w:t xml:space="preserve">, </w:t>
      </w:r>
      <w:r>
        <w:rPr>
          <w:i w:val="1"/>
          <w:sz w:val="28"/>
          <w:szCs w:val="28"/>
        </w:rPr>
        <w:t>y</w:t>
      </w:r>
      <w:r>
        <w:rPr>
          <w:i w:val="1"/>
          <w:sz w:val="28"/>
          <w:szCs w:val="28"/>
          <w:lang w:val="ru-RU"/>
        </w:rPr>
        <w:t xml:space="preserve">, </w:t>
      </w:r>
      <w:r>
        <w:rPr>
          <w:i w:val="1"/>
          <w:sz w:val="28"/>
          <w:szCs w:val="28"/>
        </w:rPr>
        <w:t>z</w:t>
      </w:r>
      <w:r>
        <w:rPr>
          <w:i w:val="1"/>
          <w:sz w:val="28"/>
          <w:szCs w:val="28"/>
          <w:lang w:val="ru-RU"/>
        </w:rPr>
        <w:t>,</w:t>
      </w:r>
      <w:r>
        <w:rPr>
          <w:sz w:val="28"/>
          <w:szCs w:val="28"/>
          <w:lang w:val="ru-RU"/>
        </w:rPr>
        <w:t xml:space="preserve"> где пары </w:t>
      </w:r>
      <w:r>
        <w:rPr>
          <w:i w:val="1"/>
          <w:sz w:val="28"/>
          <w:szCs w:val="28"/>
          <w:lang w:val="ru-RU"/>
        </w:rPr>
        <w:t>(</w:t>
      </w:r>
      <w:r>
        <w:rPr>
          <w:i w:val="1"/>
          <w:sz w:val="28"/>
          <w:szCs w:val="28"/>
        </w:rPr>
        <w:t>x</w:t>
      </w:r>
      <w:r>
        <w:rPr>
          <w:i w:val="1"/>
          <w:sz w:val="28"/>
          <w:szCs w:val="28"/>
          <w:lang w:val="ru-RU"/>
        </w:rPr>
        <w:t xml:space="preserve">, </w:t>
      </w:r>
      <w:r>
        <w:rPr>
          <w:i w:val="1"/>
          <w:sz w:val="28"/>
          <w:szCs w:val="28"/>
        </w:rPr>
        <w:t>y</w:t>
      </w:r>
      <w:r>
        <w:rPr>
          <w:i w:val="1"/>
          <w:sz w:val="28"/>
          <w:szCs w:val="28"/>
          <w:lang w:val="ru-RU"/>
        </w:rPr>
        <w:t>)</w:t>
      </w:r>
      <w:r>
        <w:rPr>
          <w:sz w:val="28"/>
          <w:szCs w:val="28"/>
          <w:lang w:val="ru-RU"/>
        </w:rPr>
        <w:t xml:space="preserve"> и </w:t>
      </w:r>
      <w:r>
        <w:rPr>
          <w:i w:val="1"/>
          <w:sz w:val="28"/>
          <w:szCs w:val="28"/>
          <w:lang w:val="ru-RU"/>
        </w:rPr>
        <w:t>(</w:t>
      </w:r>
      <w:r>
        <w:rPr>
          <w:i w:val="1"/>
          <w:sz w:val="28"/>
          <w:szCs w:val="28"/>
        </w:rPr>
        <w:t>y</w:t>
      </w:r>
      <w:r>
        <w:rPr>
          <w:i w:val="1"/>
          <w:sz w:val="28"/>
          <w:szCs w:val="28"/>
          <w:lang w:val="ru-RU"/>
        </w:rPr>
        <w:t xml:space="preserve">, </w:t>
      </w:r>
      <w:r>
        <w:rPr>
          <w:i w:val="1"/>
          <w:sz w:val="28"/>
          <w:szCs w:val="28"/>
        </w:rPr>
        <w:t>z</w:t>
      </w:r>
      <w:r>
        <w:rPr>
          <w:i w:val="1"/>
          <w:sz w:val="28"/>
          <w:szCs w:val="28"/>
          <w:lang w:val="ru-RU"/>
        </w:rPr>
        <w:t>)</w:t>
      </w:r>
      <w:r>
        <w:rPr>
          <w:sz w:val="28"/>
          <w:szCs w:val="28"/>
          <w:lang w:val="ru-RU"/>
        </w:rPr>
        <w:t xml:space="preserve"> связаны, но </w:t>
      </w:r>
      <w:r>
        <w:rPr>
          <w:i w:val="1"/>
          <w:sz w:val="28"/>
          <w:szCs w:val="28"/>
          <w:lang w:val="ru-RU"/>
        </w:rPr>
        <w:t>(</w:t>
      </w:r>
      <w:r>
        <w:rPr>
          <w:i w:val="1"/>
          <w:sz w:val="28"/>
          <w:szCs w:val="28"/>
        </w:rPr>
        <w:t>x</w:t>
      </w:r>
      <w:r>
        <w:rPr>
          <w:i w:val="1"/>
          <w:sz w:val="28"/>
          <w:szCs w:val="28"/>
          <w:lang w:val="ru-RU"/>
        </w:rPr>
        <w:t xml:space="preserve">, </w:t>
      </w:r>
      <w:r>
        <w:rPr>
          <w:i w:val="1"/>
          <w:sz w:val="28"/>
          <w:szCs w:val="28"/>
        </w:rPr>
        <w:t>z</w:t>
      </w:r>
      <w:r>
        <w:rPr>
          <w:i w:val="1"/>
          <w:sz w:val="28"/>
          <w:szCs w:val="28"/>
          <w:lang w:val="ru-RU"/>
        </w:rPr>
        <w:t>)</w:t>
      </w:r>
      <w:r>
        <w:rPr>
          <w:sz w:val="28"/>
          <w:szCs w:val="28"/>
          <w:lang w:val="ru-RU"/>
        </w:rPr>
        <w:t xml:space="preserve"> не связаны. Условный проверяется корреляция, и если </w:t>
      </w:r>
      <w:r>
        <w:rPr>
          <w:sz w:val="28"/>
          <w:szCs w:val="28"/>
        </w:rPr>
        <w:t>y</w:t>
      </w:r>
      <w:r>
        <w:rPr>
          <w:sz w:val="28"/>
          <w:szCs w:val="28"/>
          <w:lang w:val="ru-RU"/>
        </w:rPr>
        <w:t xml:space="preserve"> не является частью набора переменных, которые при условии делают </w:t>
      </w:r>
      <w:r>
        <w:rPr>
          <w:i w:val="1"/>
          <w:sz w:val="28"/>
          <w:szCs w:val="28"/>
        </w:rPr>
        <w:t>x</w:t>
      </w:r>
      <w:r>
        <w:rPr>
          <w:sz w:val="28"/>
          <w:szCs w:val="28"/>
          <w:lang w:val="ru-RU"/>
        </w:rPr>
        <w:t xml:space="preserve"> и </w:t>
      </w:r>
      <w:r>
        <w:rPr>
          <w:i w:val="1"/>
          <w:sz w:val="28"/>
          <w:szCs w:val="28"/>
        </w:rPr>
        <w:t>z</w:t>
      </w:r>
      <w:r>
        <w:rPr>
          <w:sz w:val="28"/>
          <w:szCs w:val="28"/>
          <w:lang w:val="ru-RU"/>
        </w:rPr>
        <w:t xml:space="preserve"> независимыми, то тройка </w:t>
      </w:r>
      <w:r>
        <w:rPr>
          <w:i w:val="1"/>
          <w:sz w:val="28"/>
          <w:szCs w:val="28"/>
        </w:rPr>
        <w:t>x</w:t>
      </w:r>
      <w:r>
        <w:rPr>
          <w:i w:val="1"/>
          <w:sz w:val="28"/>
          <w:szCs w:val="28"/>
          <w:lang w:val="ru-RU"/>
        </w:rPr>
        <w:t xml:space="preserve">, </w:t>
      </w:r>
      <w:r>
        <w:rPr>
          <w:i w:val="1"/>
          <w:sz w:val="28"/>
          <w:szCs w:val="28"/>
        </w:rPr>
        <w:t>y</w:t>
      </w:r>
      <w:r>
        <w:rPr>
          <w:i w:val="1"/>
          <w:sz w:val="28"/>
          <w:szCs w:val="28"/>
          <w:lang w:val="ru-RU"/>
        </w:rPr>
        <w:t xml:space="preserve">, </w:t>
      </w:r>
      <w:r>
        <w:rPr>
          <w:i w:val="1"/>
          <w:sz w:val="28"/>
          <w:szCs w:val="28"/>
        </w:rPr>
        <w:t>z</w:t>
      </w:r>
      <w:r>
        <w:rPr>
          <w:sz w:val="28"/>
          <w:szCs w:val="28"/>
          <w:lang w:val="ru-RU"/>
        </w:rPr>
        <w:t xml:space="preserve"> ориентируется как </w:t>
      </w:r>
      <w:r>
        <w:rPr>
          <w:i w:val="1"/>
          <w:sz w:val="28"/>
          <w:szCs w:val="28"/>
        </w:rPr>
        <w:t>x</w:t>
      </w:r>
      <w:r>
        <w:rPr>
          <w:i w:val="1"/>
          <w:sz w:val="28"/>
          <w:szCs w:val="28"/>
          <w:lang w:val="ru-RU"/>
        </w:rPr>
        <w:t>→</w:t>
      </w:r>
      <w:r>
        <w:rPr>
          <w:i w:val="1"/>
          <w:sz w:val="28"/>
          <w:szCs w:val="28"/>
        </w:rPr>
        <w:t>y</w:t>
      </w:r>
      <w:r>
        <w:rPr>
          <w:i w:val="1"/>
          <w:sz w:val="28"/>
          <w:szCs w:val="28"/>
          <w:lang w:val="ru-RU"/>
        </w:rPr>
        <w:t>←</w:t>
      </w:r>
      <w:r>
        <w:rPr>
          <w:i w:val="1"/>
          <w:sz w:val="28"/>
          <w:szCs w:val="28"/>
        </w:rPr>
        <w:t>z</w:t>
      </w:r>
      <w:r>
        <w:rPr>
          <w:sz w:val="28"/>
          <w:szCs w:val="28"/>
          <w:lang w:val="ru-RU"/>
        </w:rPr>
        <w:t xml:space="preserve">, и </w:t>
      </w:r>
      <w:r>
        <w:rPr>
          <w:i w:val="1"/>
          <w:sz w:val="28"/>
          <w:szCs w:val="28"/>
        </w:rPr>
        <w:t>y</w:t>
      </w:r>
      <w:r>
        <w:rPr>
          <w:sz w:val="28"/>
          <w:szCs w:val="28"/>
          <w:lang w:val="ru-RU"/>
        </w:rPr>
        <w:t xml:space="preserve"> идентифицируется как «коллайдер».</w:t>
      </w:r>
    </w:p>
    <w:p>
      <w:pPr>
        <w:pStyle w:val="P13"/>
        <w:spacing w:lineRule="auto" w:line="360" w:beforeAutospacing="0" w:afterAutospacing="0"/>
        <w:ind w:firstLine="709"/>
        <w:jc w:val="both"/>
        <w:rPr>
          <w:sz w:val="28"/>
          <w:szCs w:val="28"/>
          <w:lang w:val="ru-RU"/>
        </w:rPr>
      </w:pPr>
      <w:r>
        <w:rPr>
          <w:sz w:val="28"/>
          <w:szCs w:val="28"/>
          <w:lang w:val="ru-RU"/>
        </w:rPr>
        <w:t xml:space="preserve">После идентификации всех триплетов алгоритм переходит к просмотру триплетов </w:t>
      </w:r>
      <w:r>
        <w:rPr>
          <w:i w:val="1"/>
          <w:sz w:val="28"/>
          <w:szCs w:val="28"/>
        </w:rPr>
        <w:t>x</w:t>
      </w:r>
      <w:r>
        <w:rPr>
          <w:i w:val="1"/>
          <w:sz w:val="28"/>
          <w:szCs w:val="28"/>
          <w:lang w:val="ru-RU"/>
        </w:rPr>
        <w:t xml:space="preserve">, </w:t>
      </w:r>
      <w:r>
        <w:rPr>
          <w:i w:val="1"/>
          <w:sz w:val="28"/>
          <w:szCs w:val="28"/>
        </w:rPr>
        <w:t>y</w:t>
      </w:r>
      <w:r>
        <w:rPr>
          <w:i w:val="1"/>
          <w:sz w:val="28"/>
          <w:szCs w:val="28"/>
          <w:lang w:val="ru-RU"/>
        </w:rPr>
        <w:t xml:space="preserve">, </w:t>
      </w:r>
      <w:r>
        <w:rPr>
          <w:i w:val="1"/>
          <w:sz w:val="28"/>
          <w:szCs w:val="28"/>
        </w:rPr>
        <w:t>z</w:t>
      </w:r>
      <w:r>
        <w:rPr>
          <w:sz w:val="28"/>
          <w:szCs w:val="28"/>
          <w:lang w:val="ru-RU"/>
        </w:rPr>
        <w:t xml:space="preserve"> с направленным ребром между </w:t>
      </w:r>
      <w:r>
        <w:rPr>
          <w:i w:val="1"/>
          <w:sz w:val="28"/>
          <w:szCs w:val="28"/>
        </w:rPr>
        <w:t>x</w:t>
      </w:r>
      <w:r>
        <w:rPr>
          <w:sz w:val="28"/>
          <w:szCs w:val="28"/>
          <w:lang w:val="ru-RU"/>
        </w:rPr>
        <w:t xml:space="preserve"> и </w:t>
      </w:r>
      <w:r>
        <w:rPr>
          <w:i w:val="1"/>
          <w:sz w:val="28"/>
          <w:szCs w:val="28"/>
        </w:rPr>
        <w:t>y</w:t>
      </w:r>
      <w:r>
        <w:rPr>
          <w:sz w:val="28"/>
          <w:szCs w:val="28"/>
          <w:lang w:val="ru-RU"/>
        </w:rPr>
        <w:t xml:space="preserve">, то есть если </w:t>
      </w:r>
      <w:r>
        <w:rPr>
          <w:i w:val="1"/>
          <w:sz w:val="28"/>
          <w:szCs w:val="28"/>
        </w:rPr>
        <w:t>x</w:t>
      </w:r>
      <w:r>
        <w:rPr>
          <w:i w:val="1"/>
          <w:sz w:val="28"/>
          <w:szCs w:val="28"/>
          <w:lang w:val="ru-RU"/>
        </w:rPr>
        <w:t>→</w:t>
      </w:r>
      <w:r>
        <w:rPr>
          <w:i w:val="1"/>
          <w:sz w:val="28"/>
          <w:szCs w:val="28"/>
        </w:rPr>
        <w:t>y</w:t>
      </w:r>
      <w:r>
        <w:rPr>
          <w:sz w:val="28"/>
          <w:szCs w:val="28"/>
          <w:lang w:val="ru-RU"/>
        </w:rPr>
        <w:t xml:space="preserve">, где </w:t>
      </w:r>
      <w:r>
        <w:rPr>
          <w:i w:val="1"/>
          <w:sz w:val="28"/>
          <w:szCs w:val="28"/>
        </w:rPr>
        <w:t>y</w:t>
      </w:r>
      <w:r>
        <w:rPr>
          <w:sz w:val="28"/>
          <w:szCs w:val="28"/>
          <w:lang w:val="ru-RU"/>
        </w:rPr>
        <w:t xml:space="preserve"> и </w:t>
      </w:r>
      <w:r>
        <w:rPr>
          <w:i w:val="1"/>
          <w:sz w:val="28"/>
          <w:szCs w:val="28"/>
        </w:rPr>
        <w:t>z</w:t>
      </w:r>
      <w:r>
        <w:rPr>
          <w:sz w:val="28"/>
          <w:szCs w:val="28"/>
          <w:lang w:val="ru-RU"/>
        </w:rPr>
        <w:t xml:space="preserve"> связаны, но </w:t>
      </w:r>
      <w:r>
        <w:rPr>
          <w:i w:val="1"/>
          <w:sz w:val="28"/>
          <w:szCs w:val="28"/>
        </w:rPr>
        <w:t>x</w:t>
      </w:r>
      <w:r>
        <w:rPr>
          <w:sz w:val="28"/>
          <w:szCs w:val="28"/>
          <w:lang w:val="ru-RU"/>
        </w:rPr>
        <w:t xml:space="preserve"> и </w:t>
      </w:r>
      <w:r>
        <w:rPr>
          <w:i w:val="1"/>
          <w:sz w:val="28"/>
          <w:szCs w:val="28"/>
        </w:rPr>
        <w:t>z</w:t>
      </w:r>
      <w:r>
        <w:rPr>
          <w:sz w:val="28"/>
          <w:szCs w:val="28"/>
          <w:lang w:val="ru-RU"/>
        </w:rPr>
        <w:t xml:space="preserve"> не связаны. Если в точке </w:t>
      </w:r>
      <w:r>
        <w:rPr>
          <w:i w:val="1"/>
          <w:sz w:val="28"/>
          <w:szCs w:val="28"/>
        </w:rPr>
        <w:t>y</w:t>
      </w:r>
      <w:r>
        <w:rPr>
          <w:sz w:val="28"/>
          <w:szCs w:val="28"/>
          <w:lang w:val="ru-RU"/>
        </w:rPr>
        <w:t xml:space="preserve"> из </w:t>
      </w:r>
      <w:r>
        <w:rPr>
          <w:i w:val="1"/>
          <w:sz w:val="28"/>
          <w:szCs w:val="28"/>
        </w:rPr>
        <w:t>z</w:t>
      </w:r>
      <w:r>
        <w:rPr>
          <w:sz w:val="28"/>
          <w:szCs w:val="28"/>
          <w:lang w:val="ru-RU"/>
        </w:rPr>
        <w:t xml:space="preserve"> нет стрелки, то </w:t>
      </w:r>
      <w:r>
        <w:rPr>
          <w:i w:val="1"/>
          <w:sz w:val="28"/>
          <w:szCs w:val="28"/>
          <w:lang w:val="ru-RU"/>
        </w:rPr>
        <w:t>(</w:t>
      </w:r>
      <w:r>
        <w:rPr>
          <w:i w:val="1"/>
          <w:sz w:val="28"/>
          <w:szCs w:val="28"/>
        </w:rPr>
        <w:t>y</w:t>
      </w:r>
      <w:r>
        <w:rPr>
          <w:i w:val="1"/>
          <w:sz w:val="28"/>
          <w:szCs w:val="28"/>
          <w:lang w:val="ru-RU"/>
        </w:rPr>
        <w:t xml:space="preserve">, </w:t>
      </w:r>
      <w:r>
        <w:rPr>
          <w:i w:val="1"/>
          <w:sz w:val="28"/>
          <w:szCs w:val="28"/>
        </w:rPr>
        <w:t>z</w:t>
      </w:r>
      <w:r>
        <w:rPr>
          <w:i w:val="1"/>
          <w:sz w:val="28"/>
          <w:szCs w:val="28"/>
          <w:lang w:val="ru-RU"/>
        </w:rPr>
        <w:t>)</w:t>
      </w:r>
      <w:r>
        <w:rPr>
          <w:sz w:val="28"/>
          <w:szCs w:val="28"/>
          <w:lang w:val="ru-RU"/>
        </w:rPr>
        <w:t xml:space="preserve"> ориентирован как </w:t>
      </w:r>
      <w:r>
        <w:rPr>
          <w:i w:val="1"/>
          <w:sz w:val="28"/>
          <w:szCs w:val="28"/>
        </w:rPr>
        <w:t>y</w:t>
      </w:r>
      <w:r>
        <w:rPr>
          <w:i w:val="1"/>
          <w:sz w:val="28"/>
          <w:szCs w:val="28"/>
          <w:lang w:val="ru-RU"/>
        </w:rPr>
        <w:t>→</w:t>
      </w:r>
      <w:r>
        <w:rPr>
          <w:i w:val="1"/>
          <w:sz w:val="28"/>
          <w:szCs w:val="28"/>
        </w:rPr>
        <w:t>z</w:t>
      </w:r>
      <w:r>
        <w:rPr>
          <w:sz w:val="28"/>
          <w:szCs w:val="28"/>
          <w:lang w:val="ru-RU"/>
        </w:rPr>
        <w:t xml:space="preserve">. Таким образом, окончательная связь между триплетом будет построена как </w:t>
      </w:r>
      <w:r>
        <w:rPr>
          <w:i w:val="1"/>
          <w:sz w:val="28"/>
          <w:szCs w:val="28"/>
        </w:rPr>
        <w:t>x</w:t>
      </w:r>
      <w:r>
        <w:rPr>
          <w:i w:val="1"/>
          <w:sz w:val="28"/>
          <w:szCs w:val="28"/>
          <w:lang w:val="ru-RU"/>
        </w:rPr>
        <w:t>→</w:t>
      </w:r>
      <w:r>
        <w:rPr>
          <w:i w:val="1"/>
          <w:sz w:val="28"/>
          <w:szCs w:val="28"/>
        </w:rPr>
        <w:t>y</w:t>
      </w:r>
      <w:r>
        <w:rPr>
          <w:i w:val="1"/>
          <w:sz w:val="28"/>
          <w:szCs w:val="28"/>
          <w:lang w:val="ru-RU"/>
        </w:rPr>
        <w:t>→</w:t>
      </w:r>
      <w:r>
        <w:rPr>
          <w:i w:val="1"/>
          <w:sz w:val="28"/>
          <w:szCs w:val="28"/>
        </w:rPr>
        <w:t>z</w:t>
      </w:r>
      <w:r>
        <w:rPr>
          <w:iCs w:val="1"/>
          <w:sz w:val="28"/>
          <w:szCs w:val="28"/>
          <w:lang w:val="ru-RU"/>
        </w:rPr>
        <w:t xml:space="preserve"> [76]</w:t>
      </w:r>
      <w:r>
        <w:rPr>
          <w:sz w:val="28"/>
          <w:szCs w:val="28"/>
          <w:lang w:val="ru-RU"/>
        </w:rPr>
        <w:t xml:space="preserve">. Несмотря на небольшой размер нашей выборки, мы решили использовать более низкий уровень значимости 0,1, чтобы можно было доверять краям, включенным в модель </w:t>
      </w:r>
      <w:r>
        <w:rPr>
          <w:sz w:val="28"/>
          <w:szCs w:val="28"/>
        </w:rPr>
        <w:t>DAG</w:t>
      </w:r>
      <w:r>
        <w:rPr>
          <w:sz w:val="28"/>
          <w:szCs w:val="28"/>
          <w:lang w:val="ru-RU"/>
        </w:rPr>
        <w:t xml:space="preserve"> (рисунок </w:t>
      </w:r>
      <w:r>
        <w:rPr>
          <w:sz w:val="28"/>
          <w:szCs w:val="28"/>
          <w:highlight w:val="yellow"/>
          <w:lang w:val="ru-RU"/>
        </w:rPr>
        <w:t>3.2</w:t>
      </w:r>
      <w:r>
        <w:rPr>
          <w:sz w:val="28"/>
          <w:szCs w:val="28"/>
          <w:lang w:val="ru-RU"/>
        </w:rPr>
        <w:t>).</w:t>
      </w:r>
    </w:p>
    <w:p>
      <w:pPr>
        <w:spacing w:before="99" w:beforeAutospacing="0" w:afterAutospacing="0"/>
        <w:ind w:left="295"/>
        <w:rPr>
          <w:rFonts w:ascii="Times New Roman" w:hAnsi="Times New Roman" w:cs="Times New Roman"/>
          <w:i w:val="1"/>
          <w:sz w:val="28"/>
          <w:szCs w:val="28"/>
        </w:rPr>
      </w:pPr>
      <w:r>
        <w:rPr>
          <w:rFonts w:ascii="Times New Roman" w:hAnsi="Times New Roman" w:cs="Times New Roman"/>
          <w:i w:val="1"/>
          <w:noProof w:val="1"/>
          <w:sz w:val="28"/>
          <w:szCs w:val="28"/>
          <w:lang w:eastAsia="ru-RU"/>
        </w:rPr>
        <mc:AlternateContent>
          <mc:Choice Requires="wpg">
            <w:drawing>
              <wp:anchor xmlns:wp="http://schemas.openxmlformats.org/drawingml/2006/wordprocessingDrawing" distT="0" distB="0" distL="114300" distR="114300" simplePos="0" relativeHeight="69" behindDoc="0" locked="0" layoutInCell="1" allowOverlap="1">
                <wp:simplePos x="0" y="0"/>
                <wp:positionH relativeFrom="column">
                  <wp:posOffset>734695</wp:posOffset>
                </wp:positionH>
                <wp:positionV relativeFrom="paragraph">
                  <wp:posOffset>302260</wp:posOffset>
                </wp:positionV>
                <wp:extent cx="4897755" cy="2701925"/>
                <wp:effectExtent l="0" t="0" r="17145" b="22225"/>
                <wp:wrapNone/>
                <wp:docPr id="466" name="Группа 466"/>
                <wp:cNvGraphicFramePr/>
                <a:graphic xmlns:a="http://schemas.openxmlformats.org/drawingml/2006/main">
                  <a:graphicData uri="http://schemas.microsoft.com/office/word/2010/wordprocessingGroup">
                    <wpg:wgp>
                      <wpg:cNvGrpSpPr/>
                      <wpg:grpSpPr>
                        <a:xfrm>
                          <a:off x="0" y="0"/>
                          <a:ext cx="4898329" cy="2702409"/>
                          <a:chOff x="0" y="0"/>
                          <a:chExt cx="4898329" cy="2702409"/>
                        </a:xfrm>
                      </wpg:grpSpPr>
                      <wps:wsp>
                        <wps:cNvPr id="467" name="Надпись 467"/>
                        <wps:cNvSpPr txBox="1"/>
                        <wps:spPr>
                          <a:xfrm>
                            <a:off x="1050370" y="0"/>
                            <a:ext cx="1862318" cy="282138"/>
                          </a:xfrm>
                          <a:prstGeom prst="rect"/>
                          <a:solidFill>
                            <a:schemeClr val="lt1"/>
                          </a:solidFill>
                          <a:ln w="6350">
                            <a:solidFill>
                              <a:prstClr val="black"/>
                            </a:solidFill>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jc w:val="center"/>
                                <w:rPr>
                                  <w:rFonts w:ascii="Times New Roman" w:hAnsi="Times New Roman" w:cs="Times New Roman"/>
                                  <w:sz w:val="24"/>
                                  <w:szCs w:val="24"/>
                                </w:rPr>
                              </w:pPr>
                              <w:r>
                                <w:rPr>
                                  <w:rFonts w:ascii="Times New Roman" w:hAnsi="Times New Roman" w:cs="Times New Roman"/>
                                  <w:sz w:val="24"/>
                                  <w:szCs w:val="24"/>
                                </w:rPr>
                                <w:t>Бедность</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468" name="Надпись 468"/>
                        <wps:cNvSpPr txBox="1"/>
                        <wps:spPr>
                          <a:xfrm>
                            <a:off x="3263287" y="292336"/>
                            <a:ext cx="1298517" cy="482694"/>
                          </a:xfrm>
                          <a:prstGeom prst="rect"/>
                          <a:solidFill>
                            <a:schemeClr val="lt1"/>
                          </a:solidFill>
                          <a:ln w="6350">
                            <a:solidFill>
                              <a:prstClr val="black"/>
                            </a:solidFill>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jc w:val="center"/>
                                <w:rPr>
                                  <w:rFonts w:ascii="Times New Roman" w:hAnsi="Times New Roman" w:cs="Times New Roman"/>
                                  <w:sz w:val="24"/>
                                  <w:szCs w:val="24"/>
                                </w:rPr>
                              </w:pPr>
                              <w:r>
                                <w:rPr>
                                  <w:rFonts w:ascii="Times New Roman" w:hAnsi="Times New Roman" w:cs="Times New Roman"/>
                                  <w:sz w:val="24"/>
                                  <w:szCs w:val="24"/>
                                </w:rPr>
                                <w:t>Начальное образование</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558" name="Надпись 558"/>
                        <wps:cNvSpPr txBox="1"/>
                        <wps:spPr>
                          <a:xfrm>
                            <a:off x="3599814" y="931397"/>
                            <a:ext cx="1298517" cy="482694"/>
                          </a:xfrm>
                          <a:prstGeom prst="rect"/>
                          <a:solidFill>
                            <a:schemeClr val="lt1"/>
                          </a:solidFill>
                          <a:ln w="6350">
                            <a:solidFill>
                              <a:prstClr val="black"/>
                            </a:solidFill>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jc w:val="center"/>
                                <w:rPr>
                                  <w:rFonts w:ascii="Times New Roman" w:hAnsi="Times New Roman" w:cs="Times New Roman"/>
                                  <w:sz w:val="24"/>
                                  <w:szCs w:val="24"/>
                                </w:rPr>
                              </w:pPr>
                              <w:r>
                                <w:rPr>
                                  <w:rFonts w:ascii="Times New Roman" w:hAnsi="Times New Roman" w:cs="Times New Roman"/>
                                  <w:sz w:val="24"/>
                                  <w:szCs w:val="24"/>
                                </w:rPr>
                                <w:t>Гендерное равенство</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559" name="Надпись 559"/>
                        <wps:cNvSpPr txBox="1"/>
                        <wps:spPr>
                          <a:xfrm>
                            <a:off x="2597033" y="1522868"/>
                            <a:ext cx="1298517" cy="482694"/>
                          </a:xfrm>
                          <a:prstGeom prst="rect"/>
                          <a:solidFill>
                            <a:schemeClr val="lt1"/>
                          </a:solidFill>
                          <a:ln w="6350">
                            <a:solidFill>
                              <a:prstClr val="black"/>
                            </a:solidFill>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jc w:val="center"/>
                                <w:rPr>
                                  <w:rFonts w:ascii="Times New Roman" w:hAnsi="Times New Roman" w:cs="Times New Roman"/>
                                  <w:sz w:val="24"/>
                                  <w:szCs w:val="24"/>
                                </w:rPr>
                              </w:pPr>
                              <w:r>
                                <w:rPr>
                                  <w:rFonts w:ascii="Times New Roman" w:hAnsi="Times New Roman" w:cs="Times New Roman"/>
                                  <w:sz w:val="24"/>
                                  <w:szCs w:val="24"/>
                                </w:rPr>
                                <w:t>Детская смертность</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560" name="Надпись 560"/>
                        <wps:cNvSpPr txBox="1"/>
                        <wps:spPr>
                          <a:xfrm>
                            <a:off x="1577256" y="2219714"/>
                            <a:ext cx="1298517" cy="482694"/>
                          </a:xfrm>
                          <a:prstGeom prst="rect"/>
                          <a:solidFill>
                            <a:schemeClr val="lt1"/>
                          </a:solidFill>
                          <a:ln w="6350">
                            <a:solidFill>
                              <a:prstClr val="black"/>
                            </a:solidFill>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jc w:val="center"/>
                                <w:rPr>
                                  <w:rFonts w:ascii="Times New Roman" w:hAnsi="Times New Roman" w:cs="Times New Roman"/>
                                  <w:sz w:val="24"/>
                                  <w:szCs w:val="24"/>
                                </w:rPr>
                              </w:pPr>
                              <w:r>
                                <w:rPr>
                                  <w:rFonts w:ascii="Times New Roman" w:hAnsi="Times New Roman" w:cs="Times New Roman"/>
                                  <w:sz w:val="24"/>
                                  <w:szCs w:val="24"/>
                                </w:rPr>
                                <w:t>Материнское здоровье</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561" name="Надпись 561"/>
                        <wps:cNvSpPr txBox="1"/>
                        <wps:spPr>
                          <a:xfrm>
                            <a:off x="20397" y="2219714"/>
                            <a:ext cx="1298517" cy="482694"/>
                          </a:xfrm>
                          <a:prstGeom prst="rect"/>
                          <a:solidFill>
                            <a:schemeClr val="lt1"/>
                          </a:solidFill>
                          <a:ln w="6350">
                            <a:solidFill>
                              <a:prstClr val="black"/>
                            </a:solidFill>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jc w:val="center"/>
                                <w:rPr>
                                  <w:rFonts w:ascii="Times New Roman" w:hAnsi="Times New Roman" w:cs="Times New Roman"/>
                                  <w:sz w:val="24"/>
                                  <w:szCs w:val="24"/>
                                </w:rPr>
                              </w:pPr>
                              <w:r>
                                <w:rPr>
                                  <w:rFonts w:ascii="Times New Roman" w:hAnsi="Times New Roman" w:cs="Times New Roman"/>
                                  <w:sz w:val="24"/>
                                  <w:szCs w:val="24"/>
                                </w:rPr>
                                <w:t>Заболевания</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562" name="Надпись 562"/>
                        <wps:cNvSpPr txBox="1"/>
                        <wps:spPr>
                          <a:xfrm>
                            <a:off x="0" y="1550062"/>
                            <a:ext cx="1584055" cy="482694"/>
                          </a:xfrm>
                          <a:prstGeom prst="rect"/>
                          <a:solidFill>
                            <a:schemeClr val="lt1"/>
                          </a:solidFill>
                          <a:ln w="6350">
                            <a:solidFill>
                              <a:prstClr val="black"/>
                            </a:solidFill>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jc w:val="center"/>
                                <w:rPr>
                                  <w:rFonts w:ascii="Times New Roman" w:hAnsi="Times New Roman" w:cs="Times New Roman"/>
                                  <w:sz w:val="24"/>
                                  <w:szCs w:val="24"/>
                                </w:rPr>
                              </w:pPr>
                              <w:r>
                                <w:rPr>
                                  <w:rFonts w:ascii="Times New Roman" w:hAnsi="Times New Roman" w:cs="Times New Roman"/>
                                  <w:sz w:val="24"/>
                                  <w:szCs w:val="24"/>
                                </w:rPr>
                                <w:t>Доступ к воде и санитарные условия</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563" name="Надпись 563"/>
                        <wps:cNvSpPr txBox="1"/>
                        <wps:spPr>
                          <a:xfrm>
                            <a:off x="319530" y="931397"/>
                            <a:ext cx="1067004" cy="295735"/>
                          </a:xfrm>
                          <a:prstGeom prst="rect"/>
                          <a:solidFill>
                            <a:schemeClr val="lt1"/>
                          </a:solidFill>
                          <a:ln w="6350">
                            <a:solidFill>
                              <a:prstClr val="black"/>
                            </a:solidFill>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jc w:val="center"/>
                                <w:rPr>
                                  <w:rFonts w:ascii="Times New Roman" w:hAnsi="Times New Roman" w:cs="Times New Roman"/>
                                  <w:sz w:val="24"/>
                                  <w:szCs w:val="24"/>
                                  <w:lang w:val="en-US"/>
                                </w:rPr>
                              </w:pPr>
                              <w:r>
                                <w:rPr>
                                  <w:rFonts w:ascii="Times New Roman" w:hAnsi="Times New Roman" w:cs="Times New Roman"/>
                                  <w:sz w:val="24"/>
                                  <w:szCs w:val="24"/>
                                </w:rPr>
                                <w:t>ИКТ</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564" name="Прямая со стрелкой 564"/>
                        <wps:cNvCnPr/>
                        <wps:spPr>
                          <a:xfrm>
                            <a:off x="1318911" y="2464462"/>
                            <a:ext cx="265354" cy="0"/>
                          </a:xfrm>
                          <a:prstGeom prst="straightConnector1"/>
                          <a:ln>
                            <a:tailEnd type="triangle"/>
                          </a:ln>
                        </wps:spPr>
                        <wps:style>
                          <a:lnRef idx="1">
                            <a:schemeClr val="dk1"/>
                          </a:lnRef>
                          <a:fillRef idx="0">
                            <a:schemeClr val="dk1"/>
                          </a:fillRef>
                          <a:effectRef idx="0">
                            <a:schemeClr val="dk1"/>
                          </a:effectRef>
                          <a:fontRef idx="minor">
                            <a:schemeClr val="tx1"/>
                          </a:fontRef>
                        </wps:style>
                        <wps:bodyPr/>
                      </wps:wsp>
                      <wps:wsp>
                        <wps:cNvPr id="565" name="Прямая со стрелкой 565"/>
                        <wps:cNvCnPr/>
                        <wps:spPr>
                          <a:xfrm flipV="1">
                            <a:off x="2719405" y="2005561"/>
                            <a:ext cx="0" cy="214248"/>
                          </a:xfrm>
                          <a:prstGeom prst="straightConnector1"/>
                          <a:ln>
                            <a:tailEnd type="triangle"/>
                          </a:ln>
                        </wps:spPr>
                        <wps:style>
                          <a:lnRef idx="1">
                            <a:schemeClr val="dk1"/>
                          </a:lnRef>
                          <a:fillRef idx="0">
                            <a:schemeClr val="dk1"/>
                          </a:fillRef>
                          <a:effectRef idx="0">
                            <a:schemeClr val="dk1"/>
                          </a:effectRef>
                          <a:fontRef idx="minor">
                            <a:schemeClr val="tx1"/>
                          </a:fontRef>
                        </wps:style>
                        <wps:bodyPr/>
                      </wps:wsp>
                      <wps:wsp>
                        <wps:cNvPr id="566" name="Прямая со стрелкой 566"/>
                        <wps:cNvCnPr/>
                        <wps:spPr>
                          <a:xfrm flipV="1">
                            <a:off x="4432630" y="775030"/>
                            <a:ext cx="0" cy="156461"/>
                          </a:xfrm>
                          <a:prstGeom prst="straightConnector1"/>
                          <a:ln>
                            <a:tailEnd type="triangle"/>
                          </a:ln>
                        </wps:spPr>
                        <wps:style>
                          <a:lnRef idx="1">
                            <a:schemeClr val="dk1"/>
                          </a:lnRef>
                          <a:fillRef idx="0">
                            <a:schemeClr val="dk1"/>
                          </a:fillRef>
                          <a:effectRef idx="0">
                            <a:schemeClr val="dk1"/>
                          </a:effectRef>
                          <a:fontRef idx="minor">
                            <a:schemeClr val="tx1"/>
                          </a:fontRef>
                        </wps:style>
                        <wps:bodyPr/>
                      </wps:wsp>
                      <wps:wsp>
                        <wps:cNvPr id="567" name="Прямая со стрелкой 567"/>
                        <wps:cNvCnPr/>
                        <wps:spPr>
                          <a:xfrm>
                            <a:off x="3375462" y="781830"/>
                            <a:ext cx="0" cy="737640"/>
                          </a:xfrm>
                          <a:prstGeom prst="straightConnector1"/>
                          <a:ln>
                            <a:tailEnd type="triangle"/>
                          </a:ln>
                        </wps:spPr>
                        <wps:style>
                          <a:lnRef idx="1">
                            <a:schemeClr val="dk1"/>
                          </a:lnRef>
                          <a:fillRef idx="0">
                            <a:schemeClr val="dk1"/>
                          </a:fillRef>
                          <a:effectRef idx="0">
                            <a:schemeClr val="dk1"/>
                          </a:effectRef>
                          <a:fontRef idx="minor">
                            <a:schemeClr val="tx1"/>
                          </a:fontRef>
                        </wps:style>
                        <wps:bodyPr/>
                      </wps:wsp>
                      <wps:wsp>
                        <wps:cNvPr id="568" name="Прямая со стрелкой 568"/>
                        <wps:cNvCnPr/>
                        <wps:spPr>
                          <a:xfrm flipH="1">
                            <a:off x="2716007" y="282138"/>
                            <a:ext cx="3400" cy="1247726"/>
                          </a:xfrm>
                          <a:prstGeom prst="straightConnector1"/>
                          <a:ln>
                            <a:tailEnd type="triangle"/>
                          </a:ln>
                        </wps:spPr>
                        <wps:style>
                          <a:lnRef idx="1">
                            <a:schemeClr val="dk1"/>
                          </a:lnRef>
                          <a:fillRef idx="0">
                            <a:schemeClr val="dk1"/>
                          </a:fillRef>
                          <a:effectRef idx="0">
                            <a:schemeClr val="dk1"/>
                          </a:effectRef>
                          <a:fontRef idx="minor">
                            <a:schemeClr val="tx1"/>
                          </a:fontRef>
                        </wps:style>
                        <wps:bodyPr/>
                      </wps:wsp>
                      <wps:wsp>
                        <wps:cNvPr id="569" name="Прямая со стрелкой 569"/>
                        <wps:cNvCnPr/>
                        <wps:spPr>
                          <a:xfrm flipV="1" flipH="1">
                            <a:off x="1536465" y="282138"/>
                            <a:ext cx="3400" cy="1267923"/>
                          </a:xfrm>
                          <a:prstGeom prst="straightConnector1"/>
                          <a:ln>
                            <a:tailEnd type="triangle"/>
                          </a:ln>
                        </wps:spPr>
                        <wps:style>
                          <a:lnRef idx="1">
                            <a:schemeClr val="dk1"/>
                          </a:lnRef>
                          <a:fillRef idx="0">
                            <a:schemeClr val="dk1"/>
                          </a:fillRef>
                          <a:effectRef idx="0">
                            <a:schemeClr val="dk1"/>
                          </a:effectRef>
                          <a:fontRef idx="minor">
                            <a:schemeClr val="tx1"/>
                          </a:fontRef>
                        </wps:style>
                        <wps:bodyPr/>
                      </wps:wsp>
                      <wps:wsp>
                        <wps:cNvPr id="570" name="Прямая со стрелкой 570"/>
                        <wps:cNvCnPr/>
                        <wps:spPr>
                          <a:xfrm>
                            <a:off x="1386898" y="1087762"/>
                            <a:ext cx="2220282" cy="6799"/>
                          </a:xfrm>
                          <a:prstGeom prst="straightConnector1"/>
                          <a:ln>
                            <a:tailEnd type="triangle"/>
                          </a:ln>
                        </wps:spPr>
                        <wps:style>
                          <a:lnRef idx="1">
                            <a:schemeClr val="dk1"/>
                          </a:lnRef>
                          <a:fillRef idx="0">
                            <a:schemeClr val="dk1"/>
                          </a:fillRef>
                          <a:effectRef idx="0">
                            <a:schemeClr val="dk1"/>
                          </a:effectRef>
                          <a:fontRef idx="minor">
                            <a:schemeClr val="tx1"/>
                          </a:fontRef>
                        </wps:style>
                        <wps:bodyPr/>
                      </wps:wsp>
                      <wps:wsp>
                        <wps:cNvPr id="571" name="Прямая со стрелкой 571"/>
                        <wps:cNvCnPr/>
                        <wps:spPr>
                          <a:xfrm flipV="1">
                            <a:off x="1172743" y="282138"/>
                            <a:ext cx="0" cy="652856"/>
                          </a:xfrm>
                          <a:prstGeom prst="straightConnector1"/>
                          <a:ln>
                            <a:tailEnd type="triangle"/>
                          </a:ln>
                        </wps:spPr>
                        <wps:style>
                          <a:lnRef idx="1">
                            <a:schemeClr val="dk1"/>
                          </a:lnRef>
                          <a:fillRef idx="0">
                            <a:schemeClr val="dk1"/>
                          </a:fillRef>
                          <a:effectRef idx="0">
                            <a:schemeClr val="dk1"/>
                          </a:effectRef>
                          <a:fontRef idx="minor">
                            <a:schemeClr val="tx1"/>
                          </a:fontRef>
                        </wps:style>
                        <wps:bodyPr/>
                      </wps:wsp>
                    </wpg:wgp>
                  </a:graphicData>
                </a:graphic>
              </wp:anchor>
            </w:drawing>
          </mc:Choice>
          <mc:Fallback>
            <w:pict>
              <v:group xmlns:o="urn:schemas-microsoft-com:office:office" id="Группа 466" style="position:absolute;width:385.65pt;height:212.75pt;z-index:69;mso-wrap-distance-left:9pt;mso-wrap-distance-top:0pt;mso-wrap-distance-right:9pt;mso-wrap-distance-bottom:0pt;margin-left:57.85pt;margin-top:23.8pt;mso-position-horizontal:absolute;mso-position-horizontal-relative:text;mso-position-vertical:absolute;mso-position-vertical-relative:text" coordsize="4898328,2702408" o:allowincell="t">
                <v:shape type="#_x0000_t202" id="Надпись 467" o:spid="_x0000_s1138" style="position:absolute;left:1050369;width:1862317;height:282137" o:allowincell="t" fillcolor="#FFFFFF" strokecolor="#000000" strokeweight="0.5pt" stroked="t">
                  <v:textbox inset="3mm,1mm,3mm,1mm">
                    <w:txbxContent>
                      <w:p>
                        <w:pPr>
                          <w:jc w:val="center"/>
                          <w:rPr>
                            <w:rFonts w:ascii="Times New Roman" w:hAnsi="Times New Roman" w:cs="Times New Roman"/>
                            <w:sz w:val="24"/>
                            <w:szCs w:val="24"/>
                          </w:rPr>
                        </w:pPr>
                        <w:r>
                          <w:rPr>
                            <w:rFonts w:ascii="Times New Roman" w:hAnsi="Times New Roman" w:cs="Times New Roman"/>
                            <w:sz w:val="24"/>
                            <w:szCs w:val="24"/>
                          </w:rPr>
                          <w:t>Бедность</w:t>
                        </w:r>
                      </w:p>
                    </w:txbxContent>
                  </v:textbox>
                </v:shape>
                <v:shape type="#_x0000_t202" id="Надпись 468" o:spid="_x0000_s1139" style="position:absolute;left:3263286;top:292335;width:1298516;height:482693" o:allowincell="t" fillcolor="#FFFFFF" strokecolor="#000000" strokeweight="0.5pt" stroked="t">
                  <v:textbox inset="3mm,1mm,3mm,1mm">
                    <w:txbxContent>
                      <w:p>
                        <w:pPr>
                          <w:jc w:val="center"/>
                          <w:rPr>
                            <w:rFonts w:ascii="Times New Roman" w:hAnsi="Times New Roman" w:cs="Times New Roman"/>
                            <w:sz w:val="24"/>
                            <w:szCs w:val="24"/>
                          </w:rPr>
                        </w:pPr>
                        <w:r>
                          <w:rPr>
                            <w:rFonts w:ascii="Times New Roman" w:hAnsi="Times New Roman" w:cs="Times New Roman"/>
                            <w:sz w:val="24"/>
                            <w:szCs w:val="24"/>
                          </w:rPr>
                          <w:t>Начальное образование</w:t>
                        </w:r>
                      </w:p>
                    </w:txbxContent>
                  </v:textbox>
                </v:shape>
                <v:shape type="#_x0000_t202" id="Надпись 558" o:spid="_x0000_s1140" style="position:absolute;left:3599813;top:931396;width:1298516;height:482693" o:allowincell="t" fillcolor="#FFFFFF" strokecolor="#000000" strokeweight="0.5pt" stroked="t">
                  <v:textbox inset="3mm,1mm,3mm,1mm">
                    <w:txbxContent>
                      <w:p>
                        <w:pPr>
                          <w:jc w:val="center"/>
                          <w:rPr>
                            <w:rFonts w:ascii="Times New Roman" w:hAnsi="Times New Roman" w:cs="Times New Roman"/>
                            <w:sz w:val="24"/>
                            <w:szCs w:val="24"/>
                          </w:rPr>
                        </w:pPr>
                        <w:r>
                          <w:rPr>
                            <w:rFonts w:ascii="Times New Roman" w:hAnsi="Times New Roman" w:cs="Times New Roman"/>
                            <w:sz w:val="24"/>
                            <w:szCs w:val="24"/>
                          </w:rPr>
                          <w:t>Гендерное равенство</w:t>
                        </w:r>
                      </w:p>
                    </w:txbxContent>
                  </v:textbox>
                </v:shape>
                <v:shape type="#_x0000_t202" id="Надпись 559" o:spid="_x0000_s1141" style="position:absolute;left:2597032;top:1522867;width:1298516;height:482693" o:allowincell="t" fillcolor="#FFFFFF" strokecolor="#000000" strokeweight="0.5pt" stroked="t">
                  <v:textbox inset="3mm,1mm,3mm,1mm">
                    <w:txbxContent>
                      <w:p>
                        <w:pPr>
                          <w:jc w:val="center"/>
                          <w:rPr>
                            <w:rFonts w:ascii="Times New Roman" w:hAnsi="Times New Roman" w:cs="Times New Roman"/>
                            <w:sz w:val="24"/>
                            <w:szCs w:val="24"/>
                          </w:rPr>
                        </w:pPr>
                        <w:r>
                          <w:rPr>
                            <w:rFonts w:ascii="Times New Roman" w:hAnsi="Times New Roman" w:cs="Times New Roman"/>
                            <w:sz w:val="24"/>
                            <w:szCs w:val="24"/>
                          </w:rPr>
                          <w:t>Детская смертность</w:t>
                        </w:r>
                      </w:p>
                    </w:txbxContent>
                  </v:textbox>
                </v:shape>
                <v:shape type="#_x0000_t202" id="Надпись 560" o:spid="_x0000_s1142" style="position:absolute;left:1577255;top:2219713;width:1298516;height:482693" o:allowincell="t" fillcolor="#FFFFFF" strokecolor="#000000" strokeweight="0.5pt" stroked="t">
                  <v:textbox inset="3mm,1mm,3mm,1mm">
                    <w:txbxContent>
                      <w:p>
                        <w:pPr>
                          <w:jc w:val="center"/>
                          <w:rPr>
                            <w:rFonts w:ascii="Times New Roman" w:hAnsi="Times New Roman" w:cs="Times New Roman"/>
                            <w:sz w:val="24"/>
                            <w:szCs w:val="24"/>
                          </w:rPr>
                        </w:pPr>
                        <w:r>
                          <w:rPr>
                            <w:rFonts w:ascii="Times New Roman" w:hAnsi="Times New Roman" w:cs="Times New Roman"/>
                            <w:sz w:val="24"/>
                            <w:szCs w:val="24"/>
                          </w:rPr>
                          <w:t>Материнское здоровье</w:t>
                        </w:r>
                      </w:p>
                    </w:txbxContent>
                  </v:textbox>
                </v:shape>
                <v:shape type="#_x0000_t202" id="Надпись 561" o:spid="_x0000_s1143" style="position:absolute;left:20396;top:2219713;width:1298516;height:482693" o:allowincell="t" fillcolor="#FFFFFF" strokecolor="#000000" strokeweight="0.5pt" stroked="t">
                  <v:textbox inset="3mm,1mm,3mm,1mm">
                    <w:txbxContent>
                      <w:p>
                        <w:pPr>
                          <w:jc w:val="center"/>
                          <w:rPr>
                            <w:rFonts w:ascii="Times New Roman" w:hAnsi="Times New Roman" w:cs="Times New Roman"/>
                            <w:sz w:val="24"/>
                            <w:szCs w:val="24"/>
                          </w:rPr>
                        </w:pPr>
                        <w:r>
                          <w:rPr>
                            <w:rFonts w:ascii="Times New Roman" w:hAnsi="Times New Roman" w:cs="Times New Roman"/>
                            <w:sz w:val="24"/>
                            <w:szCs w:val="24"/>
                          </w:rPr>
                          <w:t>Заболевания</w:t>
                        </w:r>
                      </w:p>
                    </w:txbxContent>
                  </v:textbox>
                </v:shape>
                <v:shape type="#_x0000_t202" id="Надпись 562" o:spid="_x0000_s1144" style="position:absolute;top:1550061;width:1584054;height:482693" o:allowincell="t" fillcolor="#FFFFFF" strokecolor="#000000" strokeweight="0.5pt" stroked="t">
                  <v:textbox inset="3mm,1mm,3mm,1mm">
                    <w:txbxContent>
                      <w:p>
                        <w:pPr>
                          <w:jc w:val="center"/>
                          <w:rPr>
                            <w:rFonts w:ascii="Times New Roman" w:hAnsi="Times New Roman" w:cs="Times New Roman"/>
                            <w:sz w:val="24"/>
                            <w:szCs w:val="24"/>
                          </w:rPr>
                        </w:pPr>
                        <w:r>
                          <w:rPr>
                            <w:rFonts w:ascii="Times New Roman" w:hAnsi="Times New Roman" w:cs="Times New Roman"/>
                            <w:sz w:val="24"/>
                            <w:szCs w:val="24"/>
                          </w:rPr>
                          <w:t>Доступ к воде и санитарные условия</w:t>
                        </w:r>
                      </w:p>
                    </w:txbxContent>
                  </v:textbox>
                </v:shape>
                <v:shape type="#_x0000_t202" id="Надпись 563" o:spid="_x0000_s1145" style="position:absolute;left:319529;top:931396;width:1067003;height:295734" o:allowincell="t" fillcolor="#FFFFFF" strokecolor="#000000" strokeweight="0.5pt" stroked="t">
                  <v:textbox inset="3mm,1mm,3mm,1mm">
                    <w:txbxContent>
                      <w:p>
                        <w:pPr>
                          <w:jc w:val="center"/>
                          <w:rPr>
                            <w:rFonts w:ascii="Times New Roman" w:hAnsi="Times New Roman" w:cs="Times New Roman"/>
                            <w:sz w:val="24"/>
                            <w:szCs w:val="24"/>
                            <w:lang w:val="en-US"/>
                          </w:rPr>
                        </w:pPr>
                        <w:r>
                          <w:rPr>
                            <w:rFonts w:ascii="Times New Roman" w:hAnsi="Times New Roman" w:cs="Times New Roman"/>
                            <w:sz w:val="24"/>
                            <w:szCs w:val="24"/>
                          </w:rPr>
                          <w:t>ИКТ</w:t>
                        </w:r>
                      </w:p>
                    </w:txbxContent>
                  </v:textbox>
                </v:shape>
                <v:shape type="#_x0000_t32" id="Прямая со стрелкой 564" o:spid="_x0000_s1146" style="position:absolute;left:1318910;top:2464461;width:265353;height:0" strokecolor="#000000" strokeweight="0.5pt" stroked="t" o:allowincell="t">
                  <v:stroke endarrow="block"/>
                </v:shape>
                <v:shape type="#_x0000_t32" id="Прямая со стрелкой 565" o:spid="_x0000_s1147" style="position:absolute;left:2719404;top:2005560;width:0;height:214247;flip:y" strokecolor="#000000" strokeweight="0.5pt" stroked="t" o:allowincell="t">
                  <v:stroke endarrow="block"/>
                </v:shape>
                <v:shape type="#_x0000_t32" id="Прямая со стрелкой 566" o:spid="_x0000_s1148" style="position:absolute;left:4432629;top:775029;width:0;height:156460;flip:y" strokecolor="#000000" strokeweight="0.5pt" stroked="t" o:allowincell="t">
                  <v:stroke endarrow="block"/>
                </v:shape>
                <v:shape type="#_x0000_t32" id="Прямая со стрелкой 567" o:spid="_x0000_s1149" style="position:absolute;left:3375461;top:781829;width:0;height:737639" strokecolor="#000000" strokeweight="0.5pt" stroked="t" o:allowincell="t">
                  <v:stroke endarrow="block"/>
                </v:shape>
                <v:shape type="#_x0000_t32" id="Прямая со стрелкой 568" o:spid="_x0000_s1150" style="position:absolute;left:2716006;top:282137;width:3399;height:1247725;flip:x" strokecolor="#000000" strokeweight="0.5pt" stroked="t" o:allowincell="t">
                  <v:stroke endarrow="block"/>
                </v:shape>
                <v:shape type="#_x0000_t32" id="Прямая со стрелкой 569" o:spid="_x0000_s1151" style="position:absolute;left:1536464;top:282137;width:3399;height:1267922;flip:x y" strokecolor="#000000" strokeweight="0.5pt" stroked="t" o:allowincell="t">
                  <v:stroke endarrow="block"/>
                </v:shape>
                <v:shape type="#_x0000_t32" id="Прямая со стрелкой 570" o:spid="_x0000_s1152" style="position:absolute;left:1386897;top:1087761;width:2220281;height:6798" strokecolor="#000000" strokeweight="0.5pt" stroked="t" o:allowincell="t">
                  <v:stroke endarrow="block"/>
                </v:shape>
                <v:shape type="#_x0000_t32" id="Прямая со стрелкой 571" o:spid="_x0000_s1153" style="position:absolute;left:1172742;top:282137;width:0;height:652855;flip:y" strokecolor="#000000" strokeweight="0.5pt" stroked="t" o:allowincell="t">
                  <v:stroke endarrow="block"/>
                </v:shape>
              </v:group>
            </w:pict>
          </mc:Fallback>
        </mc:AlternateContent>
      </w:r>
      <w:r>
        <w:rPr>
          <w:rFonts w:ascii="Times New Roman" w:hAnsi="Times New Roman" w:cs="Times New Roman"/>
          <w:i w:val="1"/>
          <w:sz w:val="28"/>
          <w:szCs w:val="28"/>
        </w:rPr>
        <w:t xml:space="preserve"> </w:t>
      </w:r>
    </w:p>
    <w:p>
      <w:pPr>
        <w:spacing w:before="99" w:beforeAutospacing="0" w:afterAutospacing="0"/>
        <w:ind w:left="295"/>
        <w:rPr>
          <w:rFonts w:ascii="Times New Roman" w:hAnsi="Times New Roman" w:cs="Times New Roman"/>
          <w:sz w:val="28"/>
          <w:szCs w:val="28"/>
        </w:rPr>
      </w:pPr>
    </w:p>
    <w:p>
      <w:pPr>
        <w:spacing w:before="99" w:beforeAutospacing="0" w:afterAutospacing="0"/>
        <w:ind w:left="295"/>
        <w:rPr>
          <w:rFonts w:ascii="Times New Roman" w:hAnsi="Times New Roman" w:cs="Times New Roman"/>
          <w:sz w:val="28"/>
          <w:szCs w:val="28"/>
        </w:rPr>
      </w:pPr>
    </w:p>
    <w:p>
      <w:pPr>
        <w:spacing w:before="99" w:beforeAutospacing="0" w:afterAutospacing="0"/>
        <w:ind w:left="295"/>
        <w:rPr>
          <w:rFonts w:ascii="Times New Roman" w:hAnsi="Times New Roman" w:cs="Times New Roman"/>
          <w:sz w:val="28"/>
          <w:szCs w:val="28"/>
        </w:rPr>
      </w:pPr>
    </w:p>
    <w:p>
      <w:pPr>
        <w:spacing w:before="99" w:beforeAutospacing="0" w:afterAutospacing="0"/>
        <w:ind w:left="295"/>
        <w:rPr>
          <w:rFonts w:ascii="Times New Roman" w:hAnsi="Times New Roman" w:cs="Times New Roman"/>
          <w:sz w:val="28"/>
          <w:szCs w:val="28"/>
        </w:rPr>
      </w:pPr>
    </w:p>
    <w:p>
      <w:pPr>
        <w:spacing w:before="99" w:beforeAutospacing="0" w:afterAutospacing="0"/>
        <w:ind w:left="295"/>
        <w:rPr>
          <w:rFonts w:ascii="Times New Roman" w:hAnsi="Times New Roman" w:cs="Times New Roman"/>
          <w:sz w:val="28"/>
          <w:szCs w:val="28"/>
        </w:rPr>
      </w:pPr>
    </w:p>
    <w:p>
      <w:pPr>
        <w:spacing w:before="99" w:beforeAutospacing="0" w:afterAutospacing="0"/>
        <w:ind w:left="295"/>
        <w:rPr>
          <w:rFonts w:ascii="Times New Roman" w:hAnsi="Times New Roman" w:cs="Times New Roman"/>
          <w:sz w:val="28"/>
          <w:szCs w:val="28"/>
        </w:rPr>
      </w:pPr>
    </w:p>
    <w:p>
      <w:pPr>
        <w:spacing w:before="99" w:beforeAutospacing="0" w:afterAutospacing="0"/>
        <w:ind w:left="295"/>
        <w:rPr>
          <w:rFonts w:ascii="Times New Roman" w:hAnsi="Times New Roman" w:cs="Times New Roman"/>
          <w:sz w:val="28"/>
          <w:szCs w:val="28"/>
        </w:rPr>
      </w:pPr>
    </w:p>
    <w:p>
      <w:pPr>
        <w:spacing w:before="99" w:beforeAutospacing="0" w:afterAutospacing="0"/>
        <w:ind w:left="295"/>
        <w:jc w:val="center"/>
        <w:rPr>
          <w:rFonts w:ascii="Times New Roman" w:hAnsi="Times New Roman" w:cs="Times New Roman"/>
          <w:sz w:val="28"/>
          <w:szCs w:val="28"/>
        </w:rPr>
      </w:pPr>
    </w:p>
    <w:p>
      <w:pPr>
        <w:spacing w:before="99" w:beforeAutospacing="0" w:afterAutospacing="0"/>
        <w:ind w:left="295"/>
        <w:jc w:val="center"/>
        <w:rPr>
          <w:rFonts w:ascii="Times New Roman" w:hAnsi="Times New Roman" w:cs="Times New Roman"/>
          <w:sz w:val="28"/>
          <w:szCs w:val="28"/>
        </w:rPr>
      </w:pPr>
    </w:p>
    <w:p>
      <w:pPr>
        <w:spacing w:lineRule="auto" w:line="360" w:after="0" w:beforeAutospacing="0" w:afterAutospacing="0"/>
        <w:ind w:firstLine="709"/>
        <w:jc w:val="center"/>
        <w:rPr>
          <w:rFonts w:ascii="Times New Roman" w:hAnsi="Times New Roman" w:cs="Times New Roman"/>
          <w:sz w:val="28"/>
          <w:szCs w:val="28"/>
        </w:rPr>
      </w:pPr>
      <w:r>
        <w:rPr>
          <w:rFonts w:ascii="Times New Roman" w:hAnsi="Times New Roman" w:cs="Times New Roman"/>
          <w:sz w:val="28"/>
          <w:szCs w:val="28"/>
        </w:rPr>
        <w:t xml:space="preserve">Рисунок </w:t>
      </w:r>
      <w:r>
        <w:rPr>
          <w:rFonts w:ascii="Times New Roman" w:hAnsi="Times New Roman" w:cs="Times New Roman"/>
          <w:sz w:val="28"/>
          <w:szCs w:val="28"/>
          <w:highlight w:val="yellow"/>
        </w:rPr>
        <w:t>3.2</w:t>
      </w:r>
      <w:r>
        <w:rPr>
          <w:rFonts w:ascii="Times New Roman" w:hAnsi="Times New Roman" w:cs="Times New Roman"/>
          <w:sz w:val="28"/>
          <w:szCs w:val="28"/>
        </w:rPr>
        <w:t xml:space="preserve"> – Диаграмма DAG для исходной модели (составлено автором)</w:t>
      </w:r>
    </w:p>
    <w:p>
      <w:pPr>
        <w:pStyle w:val="P13"/>
        <w:spacing w:lineRule="auto" w:line="360" w:beforeAutospacing="0" w:afterAutospacing="0"/>
        <w:ind w:firstLine="709"/>
        <w:jc w:val="both"/>
        <w:rPr>
          <w:sz w:val="28"/>
          <w:szCs w:val="28"/>
          <w:lang w:val="ru-RU"/>
        </w:rPr>
      </w:pPr>
    </w:p>
    <w:p>
      <w:pPr>
        <w:pStyle w:val="P13"/>
        <w:spacing w:lineRule="auto" w:line="360" w:beforeAutospacing="0" w:afterAutospacing="0"/>
        <w:ind w:firstLine="709"/>
        <w:jc w:val="both"/>
        <w:rPr>
          <w:sz w:val="28"/>
          <w:szCs w:val="28"/>
          <w:lang w:val="ru-RU"/>
        </w:rPr>
      </w:pPr>
      <w:r>
        <w:rPr>
          <w:sz w:val="28"/>
          <w:szCs w:val="28"/>
          <w:lang w:val="ru-RU"/>
        </w:rPr>
        <w:t xml:space="preserve">Модели </w:t>
      </w:r>
      <w:r>
        <w:rPr>
          <w:sz w:val="28"/>
          <w:szCs w:val="28"/>
        </w:rPr>
        <w:t>PLS</w:t>
      </w:r>
      <w:r>
        <w:rPr>
          <w:sz w:val="28"/>
          <w:szCs w:val="28"/>
          <w:lang w:val="ru-RU"/>
        </w:rPr>
        <w:t xml:space="preserve"> часто визуализируются путем рисования схемы путей, состоящей из прямоугольников и кругов, соединенных стрелками. Измеряемые переменные представлены прямоугольным или квадратным прямоугольником, а скрытые или неизмеренные факторы представлены эллипсом. Однонаправленная стрелка используется для определения направленной связи в модели, а двунаправленная стрелка указывает на ковариацию или корреляцию между двумя переменными без причинно-следственной интерпретации [</w:t>
      </w:r>
      <w:r>
        <w:rPr>
          <w:sz w:val="28"/>
          <w:szCs w:val="28"/>
          <w:highlight w:val="yellow"/>
          <w:lang w:val="ru-RU"/>
        </w:rPr>
        <w:t>63</w:t>
      </w:r>
      <w:r>
        <w:rPr>
          <w:sz w:val="28"/>
          <w:szCs w:val="28"/>
          <w:lang w:val="ru-RU"/>
        </w:rPr>
        <w:t>].</w:t>
      </w:r>
    </w:p>
    <w:p>
      <w:pPr>
        <w:pStyle w:val="P13"/>
        <w:spacing w:lineRule="auto" w:line="360" w:beforeAutospacing="0" w:afterAutospacing="0"/>
        <w:ind w:firstLine="709"/>
        <w:jc w:val="both"/>
        <w:rPr>
          <w:sz w:val="28"/>
          <w:szCs w:val="28"/>
          <w:lang w:val="ru-RU"/>
        </w:rPr>
      </w:pPr>
      <w:r>
        <w:rPr>
          <w:sz w:val="28"/>
          <w:szCs w:val="28"/>
          <w:lang w:val="ru-RU"/>
        </w:rPr>
        <w:t xml:space="preserve">Модели </w:t>
      </w:r>
      <w:r>
        <w:rPr>
          <w:sz w:val="28"/>
          <w:szCs w:val="28"/>
        </w:rPr>
        <w:t>PLS</w:t>
      </w:r>
      <w:r>
        <w:rPr>
          <w:sz w:val="28"/>
          <w:szCs w:val="28"/>
          <w:lang w:val="ru-RU"/>
        </w:rPr>
        <w:t xml:space="preserve"> включают и оценивают как структурную модель, так и модель измерения в одном и том же анализе [</w:t>
      </w:r>
      <w:r>
        <w:rPr>
          <w:sz w:val="28"/>
          <w:szCs w:val="28"/>
          <w:highlight w:val="yellow"/>
          <w:lang w:val="ru-RU"/>
        </w:rPr>
        <w:t>121</w:t>
      </w:r>
      <w:r>
        <w:rPr>
          <w:sz w:val="28"/>
          <w:szCs w:val="28"/>
          <w:lang w:val="ru-RU"/>
        </w:rPr>
        <w:t>]. Структурная модель отражает предполагаемую причинно-следственную связь между набором зависимых и независимых конструкций, в то время как модель измерения показывает нагрузку наблюдаемых элементов на их ожидаемые скрытые переменные.</w:t>
      </w:r>
    </w:p>
    <w:p>
      <w:pPr>
        <w:pStyle w:val="P13"/>
        <w:spacing w:lineRule="auto" w:line="360" w:beforeAutospacing="0" w:afterAutospacing="0"/>
        <w:ind w:firstLine="709"/>
        <w:jc w:val="both"/>
        <w:rPr>
          <w:sz w:val="28"/>
          <w:szCs w:val="28"/>
          <w:lang w:val="ru-RU"/>
        </w:rPr>
      </w:pPr>
      <w:r>
        <w:rPr>
          <w:sz w:val="28"/>
          <w:szCs w:val="28"/>
          <w:lang w:val="ru-RU"/>
        </w:rPr>
        <w:t xml:space="preserve">В </w:t>
      </w:r>
      <w:r>
        <w:rPr>
          <w:sz w:val="28"/>
          <w:szCs w:val="28"/>
        </w:rPr>
        <w:t>PLS</w:t>
      </w:r>
      <w:r>
        <w:rPr>
          <w:sz w:val="28"/>
          <w:szCs w:val="28"/>
          <w:lang w:val="ru-RU"/>
        </w:rPr>
        <w:t xml:space="preserve"> мы должны указать модель, прежде чем мы сможем начать анализ. Спецификация модели обычно основывается на сочетании теории и эмпирических результатов предыдущих исследований. Для наших целей наша модель основана на результатах анализа </w:t>
      </w:r>
      <w:r>
        <w:rPr>
          <w:sz w:val="28"/>
          <w:szCs w:val="28"/>
        </w:rPr>
        <w:t>DAG</w:t>
      </w:r>
      <w:r>
        <w:rPr>
          <w:sz w:val="28"/>
          <w:szCs w:val="28"/>
          <w:lang w:val="ru-RU"/>
        </w:rPr>
        <w:t xml:space="preserve">. Процесс </w:t>
      </w:r>
      <w:r>
        <w:rPr>
          <w:sz w:val="28"/>
          <w:szCs w:val="28"/>
        </w:rPr>
        <w:t>PLS</w:t>
      </w:r>
      <w:r>
        <w:rPr>
          <w:sz w:val="28"/>
          <w:szCs w:val="28"/>
          <w:lang w:val="ru-RU"/>
        </w:rPr>
        <w:t xml:space="preserve"> состоит из двух последовательных анализов – модели измерения и структурного анализа.</w:t>
      </w:r>
    </w:p>
    <w:p>
      <w:pPr>
        <w:pStyle w:val="P13"/>
        <w:spacing w:lineRule="auto" w:line="360" w:beforeAutospacing="0" w:afterAutospacing="0"/>
        <w:ind w:firstLine="709"/>
        <w:jc w:val="both"/>
        <w:rPr>
          <w:sz w:val="28"/>
          <w:szCs w:val="28"/>
          <w:lang w:val="ru-RU"/>
        </w:rPr>
      </w:pPr>
      <w:r>
        <w:rPr>
          <w:sz w:val="28"/>
          <w:szCs w:val="28"/>
          <w:lang w:val="ru-RU"/>
        </w:rPr>
        <w:t xml:space="preserve">Первым шагом является проверка модели измерения путем представления взаимосвязи между конструкциями модели и их индикаторами. Следующим шагом является выполнение анализа пути для определения соответствия структурной модели путем определения взаимосвязей между скрытыми конструкциями. </w:t>
      </w:r>
      <w:r>
        <w:rPr>
          <w:sz w:val="28"/>
          <w:szCs w:val="28"/>
        </w:rPr>
        <w:t>PLS</w:t>
      </w:r>
      <w:r>
        <w:rPr>
          <w:sz w:val="28"/>
          <w:szCs w:val="28"/>
          <w:lang w:val="ru-RU"/>
        </w:rPr>
        <w:t xml:space="preserve"> был выбран потому, что он более надежный и с меньшим количеством проблем с идентификацией. Требования к размеру выборки менее жесткие (в нашем данные за период 2015–2024 годы), ненормальные данные приемлемы, а </w:t>
      </w:r>
      <w:r>
        <w:rPr>
          <w:sz w:val="28"/>
          <w:szCs w:val="28"/>
        </w:rPr>
        <w:t>PLS</w:t>
      </w:r>
      <w:r>
        <w:rPr>
          <w:sz w:val="28"/>
          <w:szCs w:val="28"/>
          <w:lang w:val="ru-RU"/>
        </w:rPr>
        <w:t xml:space="preserve"> наиболее эффективен именно в таких ситуациях [</w:t>
      </w:r>
      <w:r>
        <w:rPr>
          <w:sz w:val="28"/>
          <w:szCs w:val="28"/>
          <w:highlight w:val="yellow"/>
          <w:lang w:val="ru-RU"/>
        </w:rPr>
        <w:t>151</w:t>
      </w:r>
      <w:r>
        <w:rPr>
          <w:sz w:val="28"/>
          <w:szCs w:val="28"/>
          <w:lang w:val="ru-RU"/>
        </w:rPr>
        <w:t xml:space="preserve">]. Если более подробно, то </w:t>
      </w:r>
      <w:r>
        <w:rPr>
          <w:sz w:val="28"/>
          <w:szCs w:val="28"/>
        </w:rPr>
        <w:t>PLS</w:t>
      </w:r>
      <w:r>
        <w:rPr>
          <w:sz w:val="28"/>
          <w:szCs w:val="28"/>
          <w:lang w:val="ru-RU"/>
        </w:rPr>
        <w:t xml:space="preserve"> подходит как для формирующих, так и для рефлексивных моделей, также </w:t>
      </w:r>
      <w:r>
        <w:rPr>
          <w:sz w:val="28"/>
          <w:szCs w:val="28"/>
        </w:rPr>
        <w:t>PLS</w:t>
      </w:r>
      <w:r>
        <w:rPr>
          <w:sz w:val="28"/>
          <w:szCs w:val="28"/>
          <w:lang w:val="ru-RU"/>
        </w:rPr>
        <w:t xml:space="preserve"> считается более подходящим для исследований, которые не опираются на эмпирически подтвержденные теории. </w:t>
      </w:r>
    </w:p>
    <w:p>
      <w:pPr>
        <w:pStyle w:val="P13"/>
        <w:spacing w:lineRule="auto" w:line="360" w:beforeAutospacing="0" w:afterAutospacing="0"/>
        <w:ind w:firstLine="709"/>
        <w:jc w:val="both"/>
        <w:rPr>
          <w:sz w:val="28"/>
          <w:szCs w:val="28"/>
          <w:lang w:val="ru-RU"/>
        </w:rPr>
      </w:pPr>
      <w:r>
        <w:rPr>
          <w:sz w:val="28"/>
          <w:szCs w:val="28"/>
          <w:lang w:val="ru-RU"/>
        </w:rPr>
        <w:t xml:space="preserve">Таким образом, для наших целей мы решили использовать </w:t>
      </w:r>
      <w:r>
        <w:rPr>
          <w:sz w:val="28"/>
          <w:szCs w:val="28"/>
        </w:rPr>
        <w:t>PLS</w:t>
      </w:r>
      <w:r>
        <w:rPr>
          <w:sz w:val="28"/>
          <w:szCs w:val="28"/>
          <w:lang w:val="ru-RU"/>
        </w:rPr>
        <w:t xml:space="preserve"> из-за размера выборки, формирующих конструкций и исследовательского характера нашей модели, так как модель </w:t>
      </w:r>
      <w:r>
        <w:rPr>
          <w:sz w:val="28"/>
          <w:szCs w:val="28"/>
        </w:rPr>
        <w:t>PLS</w:t>
      </w:r>
      <w:r>
        <w:rPr>
          <w:sz w:val="28"/>
          <w:szCs w:val="28"/>
          <w:lang w:val="ru-RU"/>
        </w:rPr>
        <w:t xml:space="preserve"> можно использовать для выявления связей между конструкциями, что, в свою очередь, может привести к интерпретации конечного результата.</w:t>
      </w:r>
    </w:p>
    <w:p>
      <w:pPr>
        <w:pStyle w:val="P13"/>
        <w:spacing w:lineRule="auto" w:line="360" w:beforeAutospacing="0" w:afterAutospacing="0"/>
        <w:ind w:firstLine="709"/>
        <w:jc w:val="both"/>
        <w:rPr>
          <w:sz w:val="28"/>
          <w:szCs w:val="28"/>
          <w:lang w:val="ru-RU"/>
        </w:rPr>
      </w:pPr>
      <w:r>
        <w:rPr>
          <w:sz w:val="28"/>
          <w:szCs w:val="28"/>
          <w:lang w:val="ru-RU"/>
        </w:rPr>
        <w:t xml:space="preserve">Моделирование пути </w:t>
      </w:r>
      <w:r>
        <w:rPr>
          <w:sz w:val="28"/>
          <w:szCs w:val="28"/>
        </w:rPr>
        <w:t>PLS</w:t>
      </w:r>
      <w:r>
        <w:rPr>
          <w:sz w:val="28"/>
          <w:szCs w:val="28"/>
          <w:lang w:val="ru-RU"/>
        </w:rPr>
        <w:t xml:space="preserve"> представляет собой основанный на компонентах подход к моделированию структурными уравнениями, первоначально разработанный Х. Уолдом [</w:t>
      </w:r>
      <w:r>
        <w:rPr>
          <w:sz w:val="28"/>
          <w:szCs w:val="28"/>
          <w:highlight w:val="yellow"/>
          <w:lang w:val="ru-RU"/>
        </w:rPr>
        <w:t>186</w:t>
      </w:r>
      <w:r>
        <w:rPr>
          <w:sz w:val="28"/>
          <w:szCs w:val="28"/>
          <w:lang w:val="ru-RU"/>
        </w:rPr>
        <w:t xml:space="preserve">]. В отличие от моделей пути на основе ковариации, которые пытаются воспроизвести ковариационную матрицу, </w:t>
      </w:r>
      <w:r>
        <w:rPr>
          <w:sz w:val="28"/>
          <w:szCs w:val="28"/>
        </w:rPr>
        <w:t>PLS</w:t>
      </w:r>
      <w:r>
        <w:rPr>
          <w:sz w:val="28"/>
          <w:szCs w:val="28"/>
          <w:lang w:val="ru-RU"/>
        </w:rPr>
        <w:t xml:space="preserve"> стремится максимизировать величину дисперсии, наблюдаемой в зависимой переменной, которая объясняется независимыми переменными [</w:t>
      </w:r>
      <w:r>
        <w:rPr>
          <w:sz w:val="28"/>
          <w:szCs w:val="28"/>
          <w:highlight w:val="yellow"/>
          <w:lang w:val="ru-RU"/>
        </w:rPr>
        <w:t>95</w:t>
      </w:r>
      <w:r>
        <w:rPr>
          <w:sz w:val="28"/>
          <w:szCs w:val="28"/>
          <w:lang w:val="ru-RU"/>
        </w:rPr>
        <w:t xml:space="preserve">]. Вместо одновременной оценки модели измерения и конструкции, </w:t>
      </w:r>
      <w:r>
        <w:rPr>
          <w:sz w:val="28"/>
          <w:szCs w:val="28"/>
        </w:rPr>
        <w:t>PLS</w:t>
      </w:r>
      <w:r>
        <w:rPr>
          <w:sz w:val="28"/>
          <w:szCs w:val="28"/>
          <w:lang w:val="ru-RU"/>
        </w:rPr>
        <w:t xml:space="preserve"> следует двухэтапному подходу. На первом этапе алгоритм оценивает баллы скрытых конструкций в модели измерения посредством четырехэтапного итеративного процесса.</w:t>
      </w:r>
    </w:p>
    <w:p>
      <w:pPr>
        <w:pStyle w:val="P13"/>
        <w:spacing w:lineRule="auto" w:line="360" w:beforeAutospacing="0" w:afterAutospacing="0"/>
        <w:ind w:firstLine="709"/>
        <w:jc w:val="both"/>
        <w:rPr>
          <w:sz w:val="28"/>
          <w:szCs w:val="28"/>
          <w:lang w:val="ru-RU"/>
        </w:rPr>
      </w:pPr>
      <w:r>
        <w:rPr>
          <w:sz w:val="28"/>
          <w:szCs w:val="28"/>
          <w:lang w:val="ru-RU"/>
        </w:rPr>
        <w:t xml:space="preserve">На втором этапе вычисляются окончательные оценки внешних весов и нагрузок, а также коэффициент траектории модели конструкции с использованием обычного метода наименьших квадратов для каждой частичной регрессии в модели </w:t>
      </w:r>
      <w:r>
        <w:rPr>
          <w:sz w:val="28"/>
          <w:szCs w:val="28"/>
        </w:rPr>
        <w:t>PLS</w:t>
      </w:r>
      <w:r>
        <w:rPr>
          <w:sz w:val="28"/>
          <w:szCs w:val="28"/>
          <w:lang w:val="ru-RU"/>
        </w:rPr>
        <w:t xml:space="preserve"> [</w:t>
      </w:r>
      <w:r>
        <w:rPr>
          <w:sz w:val="28"/>
          <w:szCs w:val="28"/>
          <w:highlight w:val="yellow"/>
          <w:lang w:val="ru-RU"/>
        </w:rPr>
        <w:t>96</w:t>
      </w:r>
      <w:r>
        <w:rPr>
          <w:sz w:val="28"/>
          <w:szCs w:val="28"/>
          <w:lang w:val="ru-RU"/>
        </w:rPr>
        <w:t xml:space="preserve">]. Процесс моделирования пути называется частичным, потому что итеративный алгоритм </w:t>
      </w:r>
      <w:r>
        <w:rPr>
          <w:sz w:val="28"/>
          <w:szCs w:val="28"/>
        </w:rPr>
        <w:t>PLS</w:t>
      </w:r>
      <w:r>
        <w:rPr>
          <w:sz w:val="28"/>
          <w:szCs w:val="28"/>
          <w:lang w:val="ru-RU"/>
        </w:rPr>
        <w:t xml:space="preserve"> оценивает коэффициенты для частных моделей обычной регрессии наименьших квадратов как в моделях измерения, так и в структурной модели [</w:t>
      </w:r>
      <w:r>
        <w:rPr>
          <w:sz w:val="28"/>
          <w:szCs w:val="28"/>
          <w:highlight w:val="yellow"/>
          <w:lang w:val="ru-RU"/>
        </w:rPr>
        <w:t>96</w:t>
      </w:r>
      <w:r>
        <w:rPr>
          <w:sz w:val="28"/>
          <w:szCs w:val="28"/>
          <w:lang w:val="ru-RU"/>
        </w:rPr>
        <w:t>].</w:t>
      </w:r>
    </w:p>
    <w:p>
      <w:pPr>
        <w:pStyle w:val="P13"/>
        <w:spacing w:lineRule="auto" w:line="360" w:beforeAutospacing="0" w:afterAutospacing="0"/>
        <w:ind w:firstLine="709"/>
        <w:jc w:val="both"/>
        <w:rPr>
          <w:sz w:val="28"/>
          <w:szCs w:val="28"/>
          <w:lang w:val="ru-RU"/>
        </w:rPr>
      </w:pPr>
      <w:r>
        <w:rPr>
          <w:sz w:val="28"/>
          <w:szCs w:val="28"/>
          <w:lang w:val="ru-RU"/>
        </w:rPr>
        <w:t>Чтобы оценить объяснительную способность структурной модели, мы рассматриваем коэффициенты детерминации (</w:t>
      </w:r>
      <w:r>
        <w:rPr>
          <w:sz w:val="28"/>
          <w:szCs w:val="28"/>
        </w:rPr>
        <w:t>R</w:t>
      </w:r>
      <w:r>
        <w:rPr>
          <w:sz w:val="28"/>
          <w:szCs w:val="28"/>
          <w:vertAlign w:val="superscript"/>
          <w:lang w:val="ru-RU"/>
        </w:rPr>
        <w:t>2</w:t>
      </w:r>
      <w:r>
        <w:rPr>
          <w:sz w:val="28"/>
          <w:szCs w:val="28"/>
          <w:lang w:val="ru-RU"/>
        </w:rPr>
        <w:t xml:space="preserve">) и уровень значимости коэффициентов пути. Так как цель подхода </w:t>
      </w:r>
      <w:r>
        <w:rPr>
          <w:sz w:val="28"/>
          <w:szCs w:val="28"/>
        </w:rPr>
        <w:t>PLS</w:t>
      </w:r>
      <w:r>
        <w:rPr>
          <w:sz w:val="28"/>
          <w:szCs w:val="28"/>
          <w:lang w:val="ru-RU"/>
        </w:rPr>
        <w:t xml:space="preserve"> состоит в том, чтобы объяснить дисперсию эндогенных скрытых переменных, то уровень </w:t>
      </w:r>
      <w:r>
        <w:rPr>
          <w:sz w:val="28"/>
          <w:szCs w:val="28"/>
        </w:rPr>
        <w:t>R</w:t>
      </w:r>
      <w:r>
        <w:rPr>
          <w:sz w:val="28"/>
          <w:szCs w:val="28"/>
          <w:vertAlign w:val="superscript"/>
          <w:lang w:val="ru-RU"/>
        </w:rPr>
        <w:t>2</w:t>
      </w:r>
      <w:r>
        <w:rPr>
          <w:sz w:val="28"/>
          <w:szCs w:val="28"/>
          <w:lang w:val="ru-RU"/>
        </w:rPr>
        <w:t xml:space="preserve"> должен быть достаточно высоким. Суждение о том, какой уровень </w:t>
      </w:r>
      <w:r>
        <w:rPr>
          <w:sz w:val="28"/>
          <w:szCs w:val="28"/>
        </w:rPr>
        <w:t>R</w:t>
      </w:r>
      <w:r>
        <w:rPr>
          <w:sz w:val="28"/>
          <w:szCs w:val="28"/>
          <w:vertAlign w:val="superscript"/>
          <w:lang w:val="ru-RU"/>
        </w:rPr>
        <w:t>2</w:t>
      </w:r>
      <w:r>
        <w:rPr>
          <w:sz w:val="28"/>
          <w:szCs w:val="28"/>
          <w:lang w:val="ru-RU"/>
        </w:rPr>
        <w:t xml:space="preserve"> считается высоким, зависит от конкретной области исследований. Значения </w:t>
      </w:r>
      <w:r>
        <w:rPr>
          <w:sz w:val="28"/>
          <w:szCs w:val="28"/>
        </w:rPr>
        <w:t>R</w:t>
      </w:r>
      <w:r>
        <w:rPr>
          <w:sz w:val="28"/>
          <w:szCs w:val="28"/>
          <w:vertAlign w:val="superscript"/>
          <w:lang w:val="ru-RU"/>
        </w:rPr>
        <w:t>2</w:t>
      </w:r>
      <w:r>
        <w:rPr>
          <w:sz w:val="28"/>
          <w:szCs w:val="28"/>
          <w:lang w:val="ru-RU"/>
        </w:rPr>
        <w:t>, ​​равные 0,2, считаются высокими в таких областях исследований, как поведение потребителей, а 0,75 – высокими для исследований факторов успеха. В маркетинговых исследованиях 0,75, 0,50 или 0,25 можно охарактеризовать как существенный, умеренный или слабый соответственно [</w:t>
      </w:r>
      <w:r>
        <w:rPr>
          <w:sz w:val="28"/>
          <w:szCs w:val="28"/>
          <w:highlight w:val="yellow"/>
          <w:lang w:val="ru-RU"/>
        </w:rPr>
        <w:t>1</w:t>
      </w:r>
      <w:r>
        <w:rPr>
          <w:sz w:val="28"/>
          <w:szCs w:val="28"/>
          <w:lang w:val="ru-RU"/>
        </w:rPr>
        <w:t xml:space="preserve">]. Для целей нашего исследования мы будем использовать шкалу Чеддока: </w:t>
      </w:r>
      <w:r>
        <w:rPr>
          <w:sz w:val="28"/>
          <w:szCs w:val="28"/>
        </w:rPr>
        <w:t>R</w:t>
      </w:r>
      <w:r>
        <w:rPr>
          <w:sz w:val="28"/>
          <w:szCs w:val="28"/>
          <w:vertAlign w:val="superscript"/>
          <w:lang w:val="ru-RU"/>
        </w:rPr>
        <w:t>2</w:t>
      </w:r>
      <w:r>
        <w:rPr>
          <w:sz w:val="28"/>
          <w:szCs w:val="28"/>
          <w:lang w:val="ru-RU"/>
        </w:rPr>
        <w:t xml:space="preserve">&lt; 0,3 – низкий уровень значимости; 0,3 &gt; </w:t>
      </w:r>
      <w:r>
        <w:rPr>
          <w:sz w:val="28"/>
          <w:szCs w:val="28"/>
        </w:rPr>
        <w:t>R</w:t>
      </w:r>
      <w:r>
        <w:rPr>
          <w:sz w:val="28"/>
          <w:szCs w:val="28"/>
          <w:vertAlign w:val="superscript"/>
          <w:lang w:val="ru-RU"/>
        </w:rPr>
        <w:t>2</w:t>
      </w:r>
      <w:r>
        <w:rPr>
          <w:sz w:val="28"/>
          <w:szCs w:val="28"/>
          <w:lang w:val="ru-RU"/>
        </w:rPr>
        <w:t xml:space="preserve">&lt; 0,7 – средний уровень значимости; </w:t>
      </w:r>
      <w:r>
        <w:rPr>
          <w:sz w:val="28"/>
          <w:szCs w:val="28"/>
        </w:rPr>
        <w:t>R</w:t>
      </w:r>
      <w:r>
        <w:rPr>
          <w:sz w:val="28"/>
          <w:szCs w:val="28"/>
          <w:vertAlign w:val="superscript"/>
          <w:lang w:val="ru-RU"/>
        </w:rPr>
        <w:t>2</w:t>
      </w:r>
      <w:r>
        <w:rPr>
          <w:sz w:val="28"/>
          <w:szCs w:val="28"/>
          <w:lang w:val="ru-RU"/>
        </w:rPr>
        <w:t xml:space="preserve"> &gt;</w:t>
      </w:r>
      <w:r>
        <w:rPr>
          <w:sz w:val="28"/>
          <w:szCs w:val="28"/>
          <w:vertAlign w:val="superscript"/>
          <w:lang w:val="ru-RU"/>
        </w:rPr>
        <w:t xml:space="preserve"> </w:t>
      </w:r>
      <w:r>
        <w:rPr>
          <w:sz w:val="28"/>
          <w:szCs w:val="28"/>
          <w:lang w:val="ru-RU"/>
        </w:rPr>
        <w:t>0,7 – высокий уровень значимости.</w:t>
      </w:r>
    </w:p>
    <w:p>
      <w:pPr>
        <w:pStyle w:val="P13"/>
        <w:spacing w:lineRule="auto" w:line="360" w:beforeAutospacing="0" w:afterAutospacing="0"/>
        <w:ind w:firstLine="709"/>
        <w:jc w:val="both"/>
        <w:rPr>
          <w:sz w:val="28"/>
          <w:szCs w:val="28"/>
          <w:lang w:val="ru-RU"/>
        </w:rPr>
      </w:pPr>
      <w:r>
        <w:rPr>
          <w:sz w:val="28"/>
          <w:szCs w:val="28"/>
        </w:rPr>
        <w:t>PLS</w:t>
      </w:r>
      <w:r>
        <w:rPr>
          <w:sz w:val="28"/>
          <w:szCs w:val="28"/>
          <w:lang w:val="ru-RU"/>
        </w:rPr>
        <w:t xml:space="preserve"> также использует начальную загрузку для проверки значимости оценочных коэффициентов. Он применяет непараметрическую начальную загрузку, которая включает повторную случайную выборку с заменой исходной выборки для создания начальной выборки для получения стандартных ошибок для проверки гипотез. Процедура создает большое количество бутстреп-выборок путем случайного отбора случаев с заменой из исходной выборки (например, 5000 проб). Каждый пример начальной загрузки должен иметь такое же количество случаев, как и исходный образец. Алгоритм </w:t>
      </w:r>
      <w:r>
        <w:rPr>
          <w:sz w:val="28"/>
          <w:szCs w:val="28"/>
        </w:rPr>
        <w:t>PLS</w:t>
      </w:r>
      <w:r>
        <w:rPr>
          <w:sz w:val="28"/>
          <w:szCs w:val="28"/>
          <w:lang w:val="ru-RU"/>
        </w:rPr>
        <w:t xml:space="preserve"> оценивает результаты для каждой выборки начальной загрузки (например, 5000 оценок </w:t>
      </w:r>
      <w:r>
        <w:rPr>
          <w:sz w:val="28"/>
          <w:szCs w:val="28"/>
        </w:rPr>
        <w:t>PLS</w:t>
      </w:r>
      <w:r>
        <w:rPr>
          <w:sz w:val="28"/>
          <w:szCs w:val="28"/>
          <w:lang w:val="ru-RU"/>
        </w:rPr>
        <w:t xml:space="preserve">). Результирующие оценки модели пути образуют бутстрепное распределение, которое можно рассматривать как аппроксимацию выборочного распределения. Стандартные ошибки каждого элемента измерения затем могут быть вычислены из сгенерированного набора выборок. Для измерения значимости отношений модели пути можно выполнить </w:t>
      </w:r>
      <w:r>
        <w:rPr>
          <w:sz w:val="28"/>
          <w:szCs w:val="28"/>
        </w:rPr>
        <w:t>t</w:t>
      </w:r>
      <w:r>
        <w:rPr>
          <w:sz w:val="28"/>
          <w:szCs w:val="28"/>
          <w:lang w:val="ru-RU"/>
        </w:rPr>
        <w:t xml:space="preserve">-тест. Критические </w:t>
      </w:r>
      <w:r>
        <w:rPr>
          <w:sz w:val="28"/>
          <w:szCs w:val="28"/>
        </w:rPr>
        <w:t>t</w:t>
      </w:r>
      <w:r>
        <w:rPr>
          <w:sz w:val="28"/>
          <w:szCs w:val="28"/>
          <w:lang w:val="ru-RU"/>
        </w:rPr>
        <w:t>-значения для двустороннего теста составляют 1,96 (уровень значимости 5%) [</w:t>
      </w:r>
      <w:r>
        <w:rPr>
          <w:sz w:val="28"/>
          <w:szCs w:val="28"/>
          <w:highlight w:val="yellow"/>
          <w:lang w:val="ru-RU"/>
        </w:rPr>
        <w:t>96</w:t>
      </w:r>
      <w:r>
        <w:rPr>
          <w:sz w:val="28"/>
          <w:szCs w:val="28"/>
          <w:lang w:val="ru-RU"/>
        </w:rPr>
        <w:t xml:space="preserve">]. Цели устойчивого развития и их индикативные характеристики представлены в таблице </w:t>
      </w:r>
      <w:r>
        <w:rPr>
          <w:sz w:val="28"/>
          <w:szCs w:val="28"/>
          <w:highlight w:val="yellow"/>
          <w:lang w:val="ru-RU"/>
        </w:rPr>
        <w:t>3.1.</w:t>
      </w:r>
    </w:p>
    <w:p>
      <w:pPr>
        <w:pStyle w:val="P13"/>
        <w:spacing w:lineRule="auto" w:line="360" w:beforeAutospacing="0" w:afterAutospacing="0"/>
        <w:ind w:firstLine="709"/>
        <w:jc w:val="both"/>
        <w:rPr>
          <w:sz w:val="28"/>
          <w:szCs w:val="28"/>
          <w:lang w:val="ru-RU"/>
        </w:rPr>
      </w:pPr>
    </w:p>
    <w:p>
      <w:pPr>
        <w:pStyle w:val="P13"/>
        <w:spacing w:lineRule="auto" w:line="360" w:beforeAutospacing="0" w:afterAutospacing="0"/>
        <w:jc w:val="both"/>
        <w:rPr>
          <w:sz w:val="28"/>
          <w:szCs w:val="28"/>
          <w:lang w:val="ru-RU"/>
        </w:rPr>
      </w:pPr>
      <w:bookmarkStart w:id="25" w:name="_Hlk137748170"/>
      <w:r>
        <w:rPr>
          <w:sz w:val="28"/>
          <w:szCs w:val="28"/>
          <w:lang w:val="ru-RU"/>
        </w:rPr>
        <w:t xml:space="preserve">Таблица </w:t>
      </w:r>
      <w:r>
        <w:rPr>
          <w:sz w:val="28"/>
          <w:szCs w:val="28"/>
          <w:highlight w:val="yellow"/>
          <w:lang w:val="ru-RU"/>
        </w:rPr>
        <w:t>3.1</w:t>
      </w:r>
      <w:r>
        <w:rPr>
          <w:sz w:val="28"/>
          <w:szCs w:val="28"/>
          <w:lang w:val="ru-RU"/>
        </w:rPr>
        <w:t xml:space="preserve"> – Цели устойчивого развития и их индикативные характеристики, включенные в модель (составлено автором)</w:t>
      </w:r>
    </w:p>
    <w:tbl>
      <w:tblPr>
        <w:tblStyle w:val="T3"/>
        <w:tblW w:w="9634" w:type="dxa"/>
        <w:tblLook w:val="04A0"/>
      </w:tblPr>
      <w:tblGrid>
        <w:gridCol w:w="2689"/>
        <w:gridCol w:w="6095"/>
        <w:gridCol w:w="850"/>
      </w:tblGrid>
      <w:tr>
        <w:tc>
          <w:tcPr>
            <w:tcW w:w="2689" w:type="dxa"/>
          </w:tcPr>
          <w:p>
            <w:pPr>
              <w:jc w:val="center"/>
              <w:rPr>
                <w:rFonts w:ascii="Times New Roman" w:hAnsi="Times New Roman" w:cs="Times New Roman"/>
                <w:sz w:val="24"/>
                <w:szCs w:val="24"/>
              </w:rPr>
            </w:pPr>
            <w:r>
              <w:rPr>
                <w:rFonts w:ascii="Times New Roman" w:hAnsi="Times New Roman" w:cs="Times New Roman"/>
                <w:sz w:val="24"/>
                <w:szCs w:val="24"/>
              </w:rPr>
              <w:t>Цель</w:t>
            </w:r>
          </w:p>
        </w:tc>
        <w:tc>
          <w:tcPr>
            <w:tcW w:w="6095" w:type="dxa"/>
          </w:tcPr>
          <w:p>
            <w:pPr>
              <w:jc w:val="center"/>
              <w:rPr>
                <w:rFonts w:ascii="Times New Roman" w:hAnsi="Times New Roman" w:cs="Times New Roman"/>
                <w:sz w:val="24"/>
                <w:szCs w:val="24"/>
              </w:rPr>
            </w:pPr>
            <w:r>
              <w:rPr>
                <w:rFonts w:ascii="Times New Roman" w:hAnsi="Times New Roman" w:cs="Times New Roman"/>
                <w:sz w:val="24"/>
                <w:szCs w:val="24"/>
              </w:rPr>
              <w:t>Индикатор для мониторинга</w:t>
            </w:r>
          </w:p>
        </w:tc>
        <w:tc>
          <w:tcPr>
            <w:tcW w:w="850" w:type="dxa"/>
          </w:tcPr>
          <w:p>
            <w:pPr>
              <w:jc w:val="center"/>
              <w:rPr>
                <w:rFonts w:ascii="Times New Roman" w:hAnsi="Times New Roman" w:cs="Times New Roman"/>
                <w:sz w:val="24"/>
                <w:szCs w:val="24"/>
              </w:rPr>
            </w:pPr>
          </w:p>
        </w:tc>
      </w:tr>
      <w:tr>
        <w:tc>
          <w:tcPr>
            <w:tcW w:w="2689" w:type="dxa"/>
            <w:vMerge w:val="restart"/>
          </w:tcPr>
          <w:p>
            <w:pPr>
              <w:ind w:right="-106"/>
              <w:rPr>
                <w:rFonts w:ascii="Times New Roman" w:hAnsi="Times New Roman" w:cs="Times New Roman"/>
                <w:sz w:val="24"/>
                <w:szCs w:val="24"/>
              </w:rPr>
            </w:pPr>
            <w:r>
              <w:rPr>
                <w:rFonts w:ascii="Times New Roman" w:hAnsi="Times New Roman" w:cs="Times New Roman"/>
                <w:sz w:val="24"/>
                <w:szCs w:val="24"/>
              </w:rPr>
              <w:t xml:space="preserve">Достижение устойчивого экономического роста </w:t>
            </w:r>
          </w:p>
        </w:tc>
        <w:tc>
          <w:tcPr>
            <w:tcW w:w="6095" w:type="dxa"/>
          </w:tcPr>
          <w:p>
            <w:pPr>
              <w:ind w:right="-106"/>
              <w:rPr>
                <w:rFonts w:ascii="Times New Roman" w:hAnsi="Times New Roman" w:cs="Times New Roman"/>
                <w:sz w:val="24"/>
                <w:szCs w:val="24"/>
              </w:rPr>
            </w:pPr>
            <w:r>
              <w:rPr>
                <w:rFonts w:ascii="Times New Roman" w:hAnsi="Times New Roman" w:cs="Times New Roman"/>
                <w:sz w:val="24"/>
                <w:szCs w:val="24"/>
              </w:rPr>
              <w:t>Доля компаний, имеющих доступ к финансовым услугам</w:t>
            </w:r>
          </w:p>
        </w:tc>
        <w:tc>
          <w:tcPr>
            <w:tcW w:w="850" w:type="dxa"/>
          </w:tcPr>
          <w:p>
            <w:pPr>
              <w:jc w:val="center"/>
              <w:rPr>
                <w:rFonts w:ascii="Times New Roman" w:hAnsi="Times New Roman" w:cs="Times New Roman"/>
                <w:sz w:val="24"/>
                <w:szCs w:val="24"/>
              </w:rPr>
            </w:pPr>
            <w:r>
              <w:rPr>
                <w:rFonts w:ascii="Times New Roman" w:hAnsi="Times New Roman" w:cs="Times New Roman"/>
                <w:sz w:val="24"/>
                <w:szCs w:val="24"/>
                <w:lang w:val="en-US"/>
              </w:rPr>
              <w:t>FIN</w:t>
            </w:r>
          </w:p>
        </w:tc>
      </w:tr>
      <w:tr>
        <w:tc>
          <w:tcPr>
            <w:tcW w:w="2689" w:type="dxa"/>
            <w:vMerge w:val="continue"/>
          </w:tcPr>
          <w:p>
            <w:pPr>
              <w:ind w:right="-106"/>
              <w:rPr>
                <w:rFonts w:ascii="Times New Roman" w:hAnsi="Times New Roman" w:cs="Times New Roman"/>
                <w:sz w:val="24"/>
                <w:szCs w:val="24"/>
              </w:rPr>
            </w:pPr>
          </w:p>
        </w:tc>
        <w:tc>
          <w:tcPr>
            <w:tcW w:w="6095" w:type="dxa"/>
          </w:tcPr>
          <w:p>
            <w:pPr>
              <w:ind w:right="-106"/>
              <w:rPr>
                <w:rFonts w:ascii="Times New Roman" w:hAnsi="Times New Roman" w:cs="Times New Roman"/>
                <w:sz w:val="24"/>
                <w:szCs w:val="24"/>
              </w:rPr>
            </w:pPr>
            <w:r>
              <w:rPr>
                <w:rFonts w:ascii="Times New Roman" w:hAnsi="Times New Roman" w:cs="Times New Roman"/>
                <w:sz w:val="24"/>
                <w:szCs w:val="24"/>
              </w:rPr>
              <w:t>Доля занятых в сфере услуг</w:t>
            </w:r>
          </w:p>
        </w:tc>
        <w:tc>
          <w:tcPr>
            <w:tcW w:w="850" w:type="dxa"/>
          </w:tcPr>
          <w:p>
            <w:pPr>
              <w:jc w:val="center"/>
              <w:rPr>
                <w:rFonts w:ascii="Times New Roman" w:hAnsi="Times New Roman" w:cs="Times New Roman"/>
                <w:sz w:val="24"/>
                <w:szCs w:val="24"/>
              </w:rPr>
            </w:pPr>
            <w:r>
              <w:rPr>
                <w:rFonts w:ascii="Times New Roman" w:hAnsi="Times New Roman" w:cs="Times New Roman"/>
                <w:sz w:val="24"/>
                <w:szCs w:val="24"/>
                <w:lang w:val="en-US"/>
              </w:rPr>
              <w:t>SER</w:t>
            </w:r>
          </w:p>
        </w:tc>
      </w:tr>
      <w:tr>
        <w:tc>
          <w:tcPr>
            <w:tcW w:w="2689" w:type="dxa"/>
            <w:vMerge w:val="continue"/>
          </w:tcPr>
          <w:p>
            <w:pPr>
              <w:ind w:right="-106"/>
              <w:rPr>
                <w:rFonts w:ascii="Times New Roman" w:hAnsi="Times New Roman" w:cs="Times New Roman"/>
                <w:sz w:val="24"/>
                <w:szCs w:val="24"/>
              </w:rPr>
            </w:pPr>
          </w:p>
        </w:tc>
        <w:tc>
          <w:tcPr>
            <w:tcW w:w="6095" w:type="dxa"/>
          </w:tcPr>
          <w:p>
            <w:pPr>
              <w:ind w:right="-106"/>
              <w:rPr>
                <w:rFonts w:ascii="Times New Roman" w:hAnsi="Times New Roman" w:cs="Times New Roman"/>
                <w:sz w:val="24"/>
                <w:szCs w:val="24"/>
              </w:rPr>
            </w:pPr>
            <w:r>
              <w:rPr>
                <w:rFonts w:ascii="Times New Roman" w:hAnsi="Times New Roman" w:cs="Times New Roman"/>
                <w:sz w:val="24"/>
                <w:szCs w:val="24"/>
              </w:rPr>
              <w:t>Доля молодежи, которая не работает и не получает профессиональных навыков</w:t>
            </w:r>
          </w:p>
        </w:tc>
        <w:tc>
          <w:tcPr>
            <w:tcW w:w="850" w:type="dxa"/>
          </w:tcPr>
          <w:p>
            <w:pPr>
              <w:jc w:val="center"/>
              <w:rPr>
                <w:rFonts w:ascii="Times New Roman" w:hAnsi="Times New Roman" w:cs="Times New Roman"/>
                <w:sz w:val="24"/>
                <w:szCs w:val="24"/>
              </w:rPr>
            </w:pPr>
            <w:r>
              <w:rPr>
                <w:rFonts w:ascii="Times New Roman" w:hAnsi="Times New Roman" w:cs="Times New Roman"/>
                <w:sz w:val="24"/>
                <w:szCs w:val="24"/>
              </w:rPr>
              <w:t>U</w:t>
            </w:r>
            <w:r>
              <w:rPr>
                <w:rFonts w:ascii="Times New Roman" w:hAnsi="Times New Roman" w:cs="Times New Roman"/>
                <w:sz w:val="24"/>
                <w:szCs w:val="24"/>
                <w:lang w:val="en-US"/>
              </w:rPr>
              <w:t>NY</w:t>
            </w:r>
          </w:p>
        </w:tc>
      </w:tr>
      <w:tr>
        <w:trPr>
          <w:trHeight w:hRule="atLeast" w:val="339"/>
        </w:trPr>
        <w:tc>
          <w:tcPr>
            <w:tcW w:w="2689" w:type="dxa"/>
            <w:vMerge w:val="restart"/>
          </w:tcPr>
          <w:p>
            <w:pPr>
              <w:ind w:right="-106"/>
              <w:rPr>
                <w:rFonts w:ascii="Times New Roman" w:hAnsi="Times New Roman" w:cs="Times New Roman"/>
                <w:sz w:val="24"/>
                <w:szCs w:val="24"/>
              </w:rPr>
            </w:pPr>
            <w:r>
              <w:rPr>
                <w:rFonts w:ascii="Times New Roman" w:hAnsi="Times New Roman" w:cs="Times New Roman"/>
                <w:sz w:val="24"/>
                <w:szCs w:val="24"/>
              </w:rPr>
              <w:t>Обеспечение всеобщего начального образования</w:t>
            </w:r>
          </w:p>
        </w:tc>
        <w:tc>
          <w:tcPr>
            <w:tcW w:w="6095" w:type="dxa"/>
          </w:tcPr>
          <w:p>
            <w:pPr>
              <w:ind w:right="-106"/>
              <w:rPr>
                <w:rFonts w:ascii="Times New Roman" w:hAnsi="Times New Roman" w:cs="Times New Roman"/>
                <w:sz w:val="24"/>
                <w:szCs w:val="24"/>
              </w:rPr>
            </w:pPr>
            <w:r>
              <w:rPr>
                <w:rFonts w:ascii="Times New Roman" w:hAnsi="Times New Roman" w:cs="Times New Roman"/>
                <w:sz w:val="24"/>
                <w:szCs w:val="24"/>
              </w:rPr>
              <w:t>Чистый коэффициент охвата начальным образованием</w:t>
            </w:r>
          </w:p>
        </w:tc>
        <w:tc>
          <w:tcPr>
            <w:tcW w:w="850" w:type="dxa"/>
          </w:tcPr>
          <w:p>
            <w:pPr>
              <w:jc w:val="center"/>
              <w:rPr>
                <w:rFonts w:ascii="Times New Roman" w:hAnsi="Times New Roman" w:cs="Times New Roman"/>
                <w:sz w:val="24"/>
                <w:szCs w:val="24"/>
              </w:rPr>
            </w:pPr>
            <w:r>
              <w:rPr>
                <w:rFonts w:ascii="Times New Roman" w:hAnsi="Times New Roman" w:cs="Times New Roman"/>
                <w:sz w:val="24"/>
                <w:szCs w:val="24"/>
              </w:rPr>
              <w:t>GRD</w:t>
            </w:r>
          </w:p>
        </w:tc>
      </w:tr>
      <w:tr>
        <w:tc>
          <w:tcPr>
            <w:tcW w:w="2689" w:type="dxa"/>
            <w:vMerge w:val="continue"/>
          </w:tcPr>
          <w:p>
            <w:pPr>
              <w:ind w:right="-106"/>
              <w:rPr>
                <w:rFonts w:ascii="Times New Roman" w:hAnsi="Times New Roman" w:cs="Times New Roman"/>
                <w:sz w:val="24"/>
                <w:szCs w:val="24"/>
              </w:rPr>
            </w:pPr>
          </w:p>
        </w:tc>
        <w:tc>
          <w:tcPr>
            <w:tcW w:w="6095" w:type="dxa"/>
          </w:tcPr>
          <w:p>
            <w:pPr>
              <w:ind w:right="-106"/>
              <w:rPr>
                <w:rFonts w:ascii="Times New Roman" w:hAnsi="Times New Roman" w:cs="Times New Roman"/>
                <w:sz w:val="24"/>
                <w:szCs w:val="24"/>
              </w:rPr>
            </w:pPr>
            <w:r>
              <w:rPr>
                <w:rFonts w:ascii="Times New Roman" w:hAnsi="Times New Roman" w:cs="Times New Roman"/>
                <w:sz w:val="24"/>
                <w:szCs w:val="24"/>
              </w:rPr>
              <w:t>Доля учащихся, поступающих в 1 класс, и заканчивающих последний класс начальной школы</w:t>
            </w:r>
          </w:p>
        </w:tc>
        <w:tc>
          <w:tcPr>
            <w:tcW w:w="850" w:type="dxa"/>
          </w:tcPr>
          <w:p>
            <w:pPr>
              <w:jc w:val="center"/>
              <w:rPr>
                <w:rFonts w:ascii="Times New Roman" w:hAnsi="Times New Roman" w:cs="Times New Roman"/>
                <w:sz w:val="24"/>
                <w:szCs w:val="24"/>
              </w:rPr>
            </w:pPr>
            <w:r>
              <w:rPr>
                <w:rFonts w:ascii="Times New Roman" w:hAnsi="Times New Roman" w:cs="Times New Roman"/>
                <w:sz w:val="24"/>
                <w:szCs w:val="24"/>
              </w:rPr>
              <w:t>PRI</w:t>
            </w:r>
          </w:p>
          <w:p>
            <w:pPr>
              <w:rPr>
                <w:rFonts w:ascii="Times New Roman" w:hAnsi="Times New Roman" w:cs="Times New Roman"/>
                <w:sz w:val="24"/>
                <w:szCs w:val="24"/>
              </w:rPr>
            </w:pPr>
          </w:p>
        </w:tc>
      </w:tr>
      <w:tr>
        <w:tc>
          <w:tcPr>
            <w:tcW w:w="2689" w:type="dxa"/>
            <w:vMerge w:val="continue"/>
          </w:tcPr>
          <w:p>
            <w:pPr>
              <w:ind w:right="-106"/>
              <w:rPr>
                <w:rFonts w:ascii="Times New Roman" w:hAnsi="Times New Roman" w:cs="Times New Roman"/>
                <w:sz w:val="24"/>
                <w:szCs w:val="24"/>
              </w:rPr>
            </w:pPr>
          </w:p>
        </w:tc>
        <w:tc>
          <w:tcPr>
            <w:tcW w:w="6095" w:type="dxa"/>
          </w:tcPr>
          <w:p>
            <w:pPr>
              <w:ind w:right="-106"/>
              <w:rPr>
                <w:rFonts w:ascii="Times New Roman" w:hAnsi="Times New Roman" w:cs="Times New Roman"/>
                <w:sz w:val="24"/>
                <w:szCs w:val="24"/>
              </w:rPr>
            </w:pPr>
            <w:r>
              <w:rPr>
                <w:rFonts w:ascii="Times New Roman" w:hAnsi="Times New Roman" w:cs="Times New Roman"/>
                <w:sz w:val="24"/>
                <w:szCs w:val="24"/>
              </w:rPr>
              <w:t>Уровень грамотности женщин и мужчин в возрасте от 15 до 24 лет</w:t>
            </w:r>
          </w:p>
        </w:tc>
        <w:tc>
          <w:tcPr>
            <w:tcW w:w="850" w:type="dxa"/>
          </w:tcPr>
          <w:p>
            <w:pPr>
              <w:jc w:val="center"/>
              <w:rPr>
                <w:rFonts w:ascii="Times New Roman" w:hAnsi="Times New Roman" w:cs="Times New Roman"/>
                <w:sz w:val="24"/>
                <w:szCs w:val="24"/>
              </w:rPr>
            </w:pPr>
            <w:r>
              <w:rPr>
                <w:rFonts w:ascii="Times New Roman" w:hAnsi="Times New Roman" w:cs="Times New Roman"/>
                <w:sz w:val="24"/>
                <w:szCs w:val="24"/>
              </w:rPr>
              <w:t>LIT</w:t>
            </w:r>
          </w:p>
          <w:p>
            <w:pPr>
              <w:jc w:val="center"/>
              <w:rPr>
                <w:rFonts w:ascii="Times New Roman" w:hAnsi="Times New Roman" w:cs="Times New Roman"/>
                <w:sz w:val="24"/>
                <w:szCs w:val="24"/>
              </w:rPr>
            </w:pPr>
          </w:p>
        </w:tc>
      </w:tr>
      <w:tr>
        <w:tc>
          <w:tcPr>
            <w:tcW w:w="2689" w:type="dxa"/>
            <w:vMerge w:val="restart"/>
          </w:tcPr>
          <w:p>
            <w:pPr>
              <w:ind w:right="-106"/>
              <w:rPr>
                <w:rFonts w:ascii="Times New Roman" w:hAnsi="Times New Roman" w:cs="Times New Roman"/>
                <w:sz w:val="24"/>
                <w:szCs w:val="24"/>
              </w:rPr>
            </w:pPr>
            <w:r>
              <w:rPr>
                <w:rFonts w:ascii="Times New Roman" w:hAnsi="Times New Roman" w:cs="Times New Roman"/>
                <w:sz w:val="24"/>
                <w:szCs w:val="24"/>
              </w:rPr>
              <w:t>Достижение гендерного равенства и расширение прав и возможностей женщин</w:t>
            </w:r>
          </w:p>
        </w:tc>
        <w:tc>
          <w:tcPr>
            <w:tcW w:w="6095" w:type="dxa"/>
          </w:tcPr>
          <w:p>
            <w:pPr>
              <w:ind w:right="-106"/>
              <w:rPr>
                <w:rFonts w:ascii="Times New Roman" w:hAnsi="Times New Roman" w:cs="Times New Roman"/>
                <w:sz w:val="24"/>
                <w:szCs w:val="24"/>
              </w:rPr>
            </w:pPr>
            <w:r>
              <w:rPr>
                <w:rFonts w:ascii="Times New Roman" w:hAnsi="Times New Roman" w:cs="Times New Roman"/>
                <w:sz w:val="24"/>
                <w:szCs w:val="24"/>
              </w:rPr>
              <w:t>Соотношение девочек и мальчиков в системе начального и среднего образования</w:t>
            </w:r>
          </w:p>
        </w:tc>
        <w:tc>
          <w:tcPr>
            <w:tcW w:w="850" w:type="dxa"/>
          </w:tcPr>
          <w:p>
            <w:pPr>
              <w:jc w:val="center"/>
              <w:rPr>
                <w:rFonts w:ascii="Times New Roman" w:hAnsi="Times New Roman" w:cs="Times New Roman"/>
                <w:sz w:val="24"/>
                <w:szCs w:val="24"/>
              </w:rPr>
            </w:pPr>
            <w:r>
              <w:rPr>
                <w:rFonts w:ascii="Times New Roman" w:hAnsi="Times New Roman" w:cs="Times New Roman"/>
                <w:sz w:val="24"/>
                <w:szCs w:val="24"/>
              </w:rPr>
              <w:t>GBS</w:t>
            </w:r>
          </w:p>
          <w:p>
            <w:pPr>
              <w:rPr>
                <w:rFonts w:ascii="Times New Roman" w:hAnsi="Times New Roman" w:cs="Times New Roman"/>
                <w:sz w:val="24"/>
                <w:szCs w:val="24"/>
              </w:rPr>
            </w:pPr>
          </w:p>
        </w:tc>
      </w:tr>
      <w:tr>
        <w:tc>
          <w:tcPr>
            <w:tcW w:w="2689" w:type="dxa"/>
            <w:vMerge w:val="continue"/>
          </w:tcPr>
          <w:p>
            <w:pPr>
              <w:ind w:right="-106"/>
              <w:rPr>
                <w:rFonts w:ascii="Times New Roman" w:hAnsi="Times New Roman" w:cs="Times New Roman"/>
                <w:sz w:val="24"/>
                <w:szCs w:val="24"/>
              </w:rPr>
            </w:pPr>
          </w:p>
        </w:tc>
        <w:tc>
          <w:tcPr>
            <w:tcW w:w="6095" w:type="dxa"/>
          </w:tcPr>
          <w:p>
            <w:pPr>
              <w:ind w:right="-106"/>
              <w:rPr>
                <w:rFonts w:ascii="Times New Roman" w:hAnsi="Times New Roman" w:cs="Times New Roman"/>
                <w:sz w:val="24"/>
                <w:szCs w:val="24"/>
              </w:rPr>
            </w:pPr>
            <w:r>
              <w:rPr>
                <w:rFonts w:ascii="Times New Roman" w:hAnsi="Times New Roman" w:cs="Times New Roman"/>
                <w:sz w:val="24"/>
                <w:szCs w:val="24"/>
              </w:rPr>
              <w:t>Доля женщин на руководящих должностях</w:t>
            </w:r>
          </w:p>
        </w:tc>
        <w:tc>
          <w:tcPr>
            <w:tcW w:w="850" w:type="dxa"/>
          </w:tcPr>
          <w:p>
            <w:pPr>
              <w:jc w:val="center"/>
              <w:rPr>
                <w:rFonts w:ascii="Times New Roman" w:hAnsi="Times New Roman" w:cs="Times New Roman"/>
                <w:sz w:val="24"/>
                <w:szCs w:val="24"/>
              </w:rPr>
            </w:pPr>
            <w:r>
              <w:rPr>
                <w:rFonts w:ascii="Times New Roman" w:hAnsi="Times New Roman" w:cs="Times New Roman"/>
                <w:sz w:val="24"/>
                <w:szCs w:val="24"/>
              </w:rPr>
              <w:t>GBP</w:t>
            </w:r>
          </w:p>
        </w:tc>
      </w:tr>
      <w:tr>
        <w:tc>
          <w:tcPr>
            <w:tcW w:w="2689" w:type="dxa"/>
            <w:vMerge w:val="restart"/>
          </w:tcPr>
          <w:p>
            <w:pPr>
              <w:ind w:right="-106"/>
              <w:rPr>
                <w:rFonts w:ascii="Times New Roman" w:hAnsi="Times New Roman" w:cs="Times New Roman"/>
                <w:sz w:val="24"/>
                <w:szCs w:val="24"/>
              </w:rPr>
            </w:pPr>
            <w:r>
              <w:rPr>
                <w:rFonts w:ascii="Times New Roman" w:hAnsi="Times New Roman" w:cs="Times New Roman"/>
                <w:sz w:val="24"/>
                <w:szCs w:val="24"/>
              </w:rPr>
              <w:t>Снижение детской смертности</w:t>
            </w:r>
          </w:p>
        </w:tc>
        <w:tc>
          <w:tcPr>
            <w:tcW w:w="6095" w:type="dxa"/>
          </w:tcPr>
          <w:p>
            <w:pPr>
              <w:ind w:right="-106"/>
              <w:rPr>
                <w:rFonts w:ascii="Times New Roman" w:hAnsi="Times New Roman" w:cs="Times New Roman"/>
                <w:sz w:val="24"/>
                <w:szCs w:val="24"/>
              </w:rPr>
            </w:pPr>
            <w:r>
              <w:rPr>
                <w:rFonts w:ascii="Times New Roman" w:hAnsi="Times New Roman" w:cs="Times New Roman"/>
                <w:sz w:val="24"/>
                <w:szCs w:val="24"/>
              </w:rPr>
              <w:t>Уровень смертности детей в возрасте до пяти лет</w:t>
            </w:r>
          </w:p>
        </w:tc>
        <w:tc>
          <w:tcPr>
            <w:tcW w:w="850" w:type="dxa"/>
          </w:tcPr>
          <w:p>
            <w:pPr>
              <w:jc w:val="center"/>
              <w:rPr>
                <w:rFonts w:ascii="Times New Roman" w:hAnsi="Times New Roman" w:cs="Times New Roman"/>
                <w:sz w:val="24"/>
                <w:szCs w:val="24"/>
              </w:rPr>
            </w:pPr>
            <w:r>
              <w:rPr>
                <w:rFonts w:ascii="Times New Roman" w:hAnsi="Times New Roman" w:cs="Times New Roman"/>
                <w:sz w:val="24"/>
                <w:szCs w:val="24"/>
              </w:rPr>
              <w:t>MR5</w:t>
            </w:r>
          </w:p>
        </w:tc>
      </w:tr>
      <w:tr>
        <w:tc>
          <w:tcPr>
            <w:tcW w:w="2689" w:type="dxa"/>
            <w:vMerge w:val="continue"/>
          </w:tcPr>
          <w:p>
            <w:pPr>
              <w:ind w:right="-106"/>
              <w:rPr>
                <w:rFonts w:ascii="Times New Roman" w:hAnsi="Times New Roman" w:cs="Times New Roman"/>
                <w:sz w:val="24"/>
                <w:szCs w:val="24"/>
              </w:rPr>
            </w:pPr>
          </w:p>
        </w:tc>
        <w:tc>
          <w:tcPr>
            <w:tcW w:w="6095" w:type="dxa"/>
          </w:tcPr>
          <w:p>
            <w:pPr>
              <w:ind w:right="-106"/>
              <w:rPr>
                <w:rFonts w:ascii="Times New Roman" w:hAnsi="Times New Roman" w:cs="Times New Roman"/>
                <w:sz w:val="24"/>
                <w:szCs w:val="24"/>
              </w:rPr>
            </w:pPr>
            <w:r>
              <w:rPr>
                <w:rFonts w:ascii="Times New Roman" w:hAnsi="Times New Roman" w:cs="Times New Roman"/>
                <w:sz w:val="24"/>
                <w:szCs w:val="24"/>
              </w:rPr>
              <w:t>Коэффициент младенческой смертности</w:t>
            </w:r>
          </w:p>
        </w:tc>
        <w:tc>
          <w:tcPr>
            <w:tcW w:w="850" w:type="dxa"/>
          </w:tcPr>
          <w:p>
            <w:pPr>
              <w:jc w:val="center"/>
              <w:rPr>
                <w:rFonts w:ascii="Times New Roman" w:hAnsi="Times New Roman" w:cs="Times New Roman"/>
                <w:sz w:val="24"/>
                <w:szCs w:val="24"/>
              </w:rPr>
            </w:pPr>
            <w:r>
              <w:rPr>
                <w:rFonts w:ascii="Times New Roman" w:hAnsi="Times New Roman" w:cs="Times New Roman"/>
                <w:sz w:val="24"/>
                <w:szCs w:val="24"/>
              </w:rPr>
              <w:t>MRI</w:t>
            </w:r>
          </w:p>
        </w:tc>
      </w:tr>
      <w:tr>
        <w:tc>
          <w:tcPr>
            <w:tcW w:w="2689" w:type="dxa"/>
          </w:tcPr>
          <w:p>
            <w:pPr>
              <w:ind w:right="-106"/>
              <w:rPr>
                <w:rFonts w:ascii="Times New Roman" w:hAnsi="Times New Roman" w:cs="Times New Roman"/>
                <w:sz w:val="24"/>
                <w:szCs w:val="24"/>
              </w:rPr>
            </w:pPr>
            <w:r>
              <w:rPr>
                <w:rFonts w:ascii="Times New Roman" w:hAnsi="Times New Roman" w:cs="Times New Roman"/>
                <w:sz w:val="24"/>
                <w:szCs w:val="24"/>
              </w:rPr>
              <w:t>Улучшение материнского здоровья</w:t>
            </w:r>
          </w:p>
        </w:tc>
        <w:tc>
          <w:tcPr>
            <w:tcW w:w="6095" w:type="dxa"/>
          </w:tcPr>
          <w:p>
            <w:pPr>
              <w:ind w:right="-106"/>
              <w:rPr>
                <w:rFonts w:ascii="Times New Roman" w:hAnsi="Times New Roman" w:cs="Times New Roman"/>
                <w:sz w:val="24"/>
                <w:szCs w:val="24"/>
              </w:rPr>
            </w:pPr>
            <w:r>
              <w:rPr>
                <w:rFonts w:ascii="Times New Roman" w:hAnsi="Times New Roman" w:cs="Times New Roman"/>
                <w:sz w:val="24"/>
                <w:szCs w:val="24"/>
              </w:rPr>
              <w:t>Доля родов, принимаемых</w:t>
            </w:r>
          </w:p>
          <w:p>
            <w:pPr>
              <w:ind w:right="-106"/>
              <w:rPr>
                <w:rFonts w:ascii="Times New Roman" w:hAnsi="Times New Roman" w:cs="Times New Roman"/>
                <w:sz w:val="24"/>
                <w:szCs w:val="24"/>
              </w:rPr>
            </w:pPr>
            <w:r>
              <w:rPr>
                <w:rFonts w:ascii="Times New Roman" w:hAnsi="Times New Roman" w:cs="Times New Roman"/>
                <w:sz w:val="24"/>
                <w:szCs w:val="24"/>
              </w:rPr>
              <w:t>квалифицированным медицинским персоналом</w:t>
            </w:r>
          </w:p>
        </w:tc>
        <w:tc>
          <w:tcPr>
            <w:tcW w:w="850" w:type="dxa"/>
          </w:tcPr>
          <w:p>
            <w:pPr>
              <w:jc w:val="center"/>
              <w:rPr>
                <w:rFonts w:ascii="Times New Roman" w:hAnsi="Times New Roman" w:cs="Times New Roman"/>
                <w:sz w:val="24"/>
                <w:szCs w:val="24"/>
              </w:rPr>
            </w:pPr>
            <w:r>
              <w:rPr>
                <w:rFonts w:ascii="Times New Roman" w:hAnsi="Times New Roman" w:cs="Times New Roman"/>
                <w:sz w:val="24"/>
                <w:szCs w:val="24"/>
              </w:rPr>
              <w:t>BIR</w:t>
            </w:r>
          </w:p>
          <w:p>
            <w:pPr>
              <w:rPr>
                <w:rFonts w:ascii="Times New Roman" w:hAnsi="Times New Roman" w:cs="Times New Roman"/>
                <w:sz w:val="24"/>
                <w:szCs w:val="24"/>
              </w:rPr>
            </w:pPr>
          </w:p>
        </w:tc>
      </w:tr>
      <w:tr>
        <w:tc>
          <w:tcPr>
            <w:tcW w:w="2689" w:type="dxa"/>
            <w:vMerge w:val="restart"/>
          </w:tcPr>
          <w:p>
            <w:pPr>
              <w:ind w:right="-106"/>
              <w:rPr>
                <w:rFonts w:ascii="Times New Roman" w:hAnsi="Times New Roman" w:cs="Times New Roman"/>
                <w:sz w:val="24"/>
                <w:szCs w:val="24"/>
              </w:rPr>
            </w:pPr>
            <w:r>
              <w:rPr>
                <w:rFonts w:ascii="Times New Roman" w:hAnsi="Times New Roman" w:cs="Times New Roman"/>
                <w:sz w:val="24"/>
                <w:szCs w:val="24"/>
              </w:rPr>
              <w:t>Борьба с ВИЧ/СПИДом, малярией и другими заболеваниями</w:t>
            </w:r>
          </w:p>
        </w:tc>
        <w:tc>
          <w:tcPr>
            <w:tcW w:w="6095" w:type="dxa"/>
          </w:tcPr>
          <w:p>
            <w:pPr>
              <w:ind w:right="-106"/>
              <w:rPr>
                <w:rFonts w:ascii="Times New Roman" w:hAnsi="Times New Roman" w:cs="Times New Roman"/>
                <w:sz w:val="24"/>
                <w:szCs w:val="24"/>
              </w:rPr>
            </w:pPr>
            <w:r>
              <w:rPr>
                <w:rFonts w:ascii="Times New Roman" w:hAnsi="Times New Roman" w:cs="Times New Roman"/>
                <w:sz w:val="24"/>
                <w:szCs w:val="24"/>
              </w:rPr>
              <w:t>Распространенность ВИЧ среди населения</w:t>
            </w:r>
          </w:p>
          <w:p>
            <w:pPr>
              <w:ind w:right="-106"/>
              <w:rPr>
                <w:rFonts w:ascii="Times New Roman" w:hAnsi="Times New Roman" w:cs="Times New Roman"/>
                <w:sz w:val="24"/>
                <w:szCs w:val="24"/>
              </w:rPr>
            </w:pPr>
            <w:r>
              <w:rPr>
                <w:rFonts w:ascii="Times New Roman" w:hAnsi="Times New Roman" w:cs="Times New Roman"/>
                <w:sz w:val="24"/>
                <w:szCs w:val="24"/>
              </w:rPr>
              <w:t>в возрасте 15-24 лет</w:t>
            </w:r>
          </w:p>
        </w:tc>
        <w:tc>
          <w:tcPr>
            <w:tcW w:w="850" w:type="dxa"/>
          </w:tcPr>
          <w:p>
            <w:pPr>
              <w:jc w:val="center"/>
              <w:rPr>
                <w:rFonts w:ascii="Times New Roman" w:hAnsi="Times New Roman" w:cs="Times New Roman"/>
                <w:sz w:val="24"/>
                <w:szCs w:val="24"/>
              </w:rPr>
            </w:pPr>
            <w:r>
              <w:rPr>
                <w:rFonts w:ascii="Times New Roman" w:hAnsi="Times New Roman" w:cs="Times New Roman"/>
                <w:sz w:val="24"/>
                <w:szCs w:val="24"/>
              </w:rPr>
              <w:t>HIV</w:t>
            </w:r>
          </w:p>
          <w:p>
            <w:pPr>
              <w:rPr>
                <w:rFonts w:ascii="Times New Roman" w:hAnsi="Times New Roman" w:cs="Times New Roman"/>
                <w:sz w:val="24"/>
                <w:szCs w:val="24"/>
              </w:rPr>
            </w:pPr>
          </w:p>
        </w:tc>
      </w:tr>
      <w:tr>
        <w:tc>
          <w:tcPr>
            <w:tcW w:w="2689" w:type="dxa"/>
            <w:vMerge w:val="continue"/>
          </w:tcPr>
          <w:p>
            <w:pPr>
              <w:ind w:right="-106"/>
              <w:rPr>
                <w:rFonts w:ascii="Times New Roman" w:hAnsi="Times New Roman" w:cs="Times New Roman"/>
                <w:sz w:val="24"/>
                <w:szCs w:val="24"/>
              </w:rPr>
            </w:pPr>
          </w:p>
        </w:tc>
        <w:tc>
          <w:tcPr>
            <w:tcW w:w="6095" w:type="dxa"/>
          </w:tcPr>
          <w:p>
            <w:pPr>
              <w:ind w:right="-106"/>
              <w:rPr>
                <w:rFonts w:ascii="Times New Roman" w:hAnsi="Times New Roman" w:cs="Times New Roman"/>
                <w:sz w:val="24"/>
                <w:szCs w:val="24"/>
              </w:rPr>
            </w:pPr>
            <w:r>
              <w:rPr>
                <w:rFonts w:ascii="Times New Roman" w:hAnsi="Times New Roman" w:cs="Times New Roman"/>
                <w:sz w:val="24"/>
                <w:szCs w:val="24"/>
              </w:rPr>
              <w:t>Заболеваемость, распространенность и смертность, связанные с туберкулезом</w:t>
            </w:r>
          </w:p>
        </w:tc>
        <w:tc>
          <w:tcPr>
            <w:tcW w:w="850" w:type="dxa"/>
          </w:tcPr>
          <w:p>
            <w:pPr>
              <w:jc w:val="center"/>
              <w:rPr>
                <w:rFonts w:ascii="Times New Roman" w:hAnsi="Times New Roman" w:cs="Times New Roman"/>
                <w:sz w:val="24"/>
                <w:szCs w:val="24"/>
              </w:rPr>
            </w:pPr>
            <w:r>
              <w:rPr>
                <w:rFonts w:ascii="Times New Roman" w:hAnsi="Times New Roman" w:cs="Times New Roman"/>
                <w:sz w:val="24"/>
                <w:szCs w:val="24"/>
              </w:rPr>
              <w:t>TBR</w:t>
            </w:r>
          </w:p>
          <w:p>
            <w:pPr>
              <w:rPr>
                <w:rFonts w:ascii="Times New Roman" w:hAnsi="Times New Roman" w:cs="Times New Roman"/>
                <w:sz w:val="24"/>
                <w:szCs w:val="24"/>
              </w:rPr>
            </w:pPr>
          </w:p>
        </w:tc>
      </w:tr>
      <w:tr>
        <w:tc>
          <w:tcPr>
            <w:tcW w:w="2689" w:type="dxa"/>
            <w:vMerge w:val="restart"/>
          </w:tcPr>
          <w:p>
            <w:pPr>
              <w:ind w:right="-106"/>
              <w:rPr>
                <w:rFonts w:ascii="Times New Roman" w:hAnsi="Times New Roman" w:cs="Times New Roman"/>
                <w:sz w:val="24"/>
                <w:szCs w:val="24"/>
              </w:rPr>
            </w:pPr>
            <w:bookmarkStart w:id="26" w:name="_Hlk138268402"/>
            <w:r>
              <w:rPr>
                <w:rFonts w:ascii="Times New Roman" w:hAnsi="Times New Roman" w:cs="Times New Roman"/>
                <w:sz w:val="24"/>
                <w:szCs w:val="24"/>
              </w:rPr>
              <w:t>Обеспечение экологической устойчивости</w:t>
            </w:r>
            <w:bookmarkEnd w:id="26"/>
          </w:p>
        </w:tc>
        <w:tc>
          <w:tcPr>
            <w:tcW w:w="6095" w:type="dxa"/>
          </w:tcPr>
          <w:p>
            <w:pPr>
              <w:ind w:right="-106"/>
              <w:rPr>
                <w:rFonts w:ascii="Times New Roman" w:hAnsi="Times New Roman" w:cs="Times New Roman"/>
                <w:sz w:val="24"/>
                <w:szCs w:val="24"/>
              </w:rPr>
            </w:pPr>
            <w:r>
              <w:rPr>
                <w:rFonts w:ascii="Times New Roman" w:hAnsi="Times New Roman" w:cs="Times New Roman"/>
                <w:sz w:val="24"/>
                <w:szCs w:val="24"/>
              </w:rPr>
              <w:t>Доля населения, пользующегося</w:t>
            </w:r>
          </w:p>
          <w:p>
            <w:pPr>
              <w:ind w:right="-106"/>
              <w:rPr>
                <w:rFonts w:ascii="Times New Roman" w:hAnsi="Times New Roman" w:cs="Times New Roman"/>
                <w:sz w:val="24"/>
                <w:szCs w:val="24"/>
              </w:rPr>
            </w:pPr>
            <w:r>
              <w:rPr>
                <w:rFonts w:ascii="Times New Roman" w:hAnsi="Times New Roman" w:cs="Times New Roman"/>
                <w:sz w:val="24"/>
                <w:szCs w:val="24"/>
              </w:rPr>
              <w:t>улучшенным источником питьевой воды</w:t>
            </w:r>
          </w:p>
        </w:tc>
        <w:tc>
          <w:tcPr>
            <w:tcW w:w="850" w:type="dxa"/>
          </w:tcPr>
          <w:p>
            <w:pPr>
              <w:jc w:val="center"/>
              <w:rPr>
                <w:rFonts w:ascii="Times New Roman" w:hAnsi="Times New Roman" w:cs="Times New Roman"/>
                <w:sz w:val="24"/>
                <w:szCs w:val="24"/>
              </w:rPr>
            </w:pPr>
            <w:r>
              <w:rPr>
                <w:rFonts w:ascii="Times New Roman" w:hAnsi="Times New Roman" w:cs="Times New Roman"/>
                <w:sz w:val="24"/>
                <w:szCs w:val="24"/>
              </w:rPr>
              <w:t>H2O</w:t>
            </w:r>
          </w:p>
        </w:tc>
      </w:tr>
      <w:tr>
        <w:tc>
          <w:tcPr>
            <w:tcW w:w="2689" w:type="dxa"/>
            <w:vMerge w:val="continue"/>
          </w:tcPr>
          <w:p>
            <w:pPr>
              <w:ind w:right="-106"/>
              <w:rPr>
                <w:rFonts w:ascii="Times New Roman" w:hAnsi="Times New Roman" w:cs="Times New Roman"/>
                <w:sz w:val="24"/>
                <w:szCs w:val="24"/>
              </w:rPr>
            </w:pPr>
          </w:p>
        </w:tc>
        <w:tc>
          <w:tcPr>
            <w:tcW w:w="6095" w:type="dxa"/>
          </w:tcPr>
          <w:p>
            <w:pPr>
              <w:ind w:right="-106"/>
              <w:rPr>
                <w:rFonts w:ascii="Times New Roman" w:hAnsi="Times New Roman" w:cs="Times New Roman"/>
                <w:sz w:val="24"/>
                <w:szCs w:val="24"/>
              </w:rPr>
            </w:pPr>
            <w:r>
              <w:rPr>
                <w:rFonts w:ascii="Times New Roman" w:hAnsi="Times New Roman" w:cs="Times New Roman"/>
                <w:sz w:val="24"/>
                <w:szCs w:val="24"/>
              </w:rPr>
              <w:t>Доля населения, пользующегося</w:t>
            </w:r>
          </w:p>
          <w:p>
            <w:pPr>
              <w:ind w:right="-106"/>
              <w:rPr>
                <w:rFonts w:ascii="Times New Roman" w:hAnsi="Times New Roman" w:cs="Times New Roman"/>
                <w:sz w:val="24"/>
                <w:szCs w:val="24"/>
              </w:rPr>
            </w:pPr>
            <w:r>
              <w:rPr>
                <w:rFonts w:ascii="Times New Roman" w:hAnsi="Times New Roman" w:cs="Times New Roman"/>
                <w:sz w:val="24"/>
                <w:szCs w:val="24"/>
              </w:rPr>
              <w:t>улучшенными санитарными условиями</w:t>
            </w:r>
          </w:p>
        </w:tc>
        <w:tc>
          <w:tcPr>
            <w:tcW w:w="850" w:type="dxa"/>
          </w:tcPr>
          <w:p>
            <w:pPr>
              <w:jc w:val="center"/>
              <w:rPr>
                <w:rFonts w:ascii="Times New Roman" w:hAnsi="Times New Roman" w:cs="Times New Roman"/>
                <w:sz w:val="24"/>
                <w:szCs w:val="24"/>
              </w:rPr>
            </w:pPr>
            <w:r>
              <w:rPr>
                <w:rFonts w:ascii="Times New Roman" w:hAnsi="Times New Roman" w:cs="Times New Roman"/>
                <w:sz w:val="24"/>
                <w:szCs w:val="24"/>
              </w:rPr>
              <w:t>SAN</w:t>
            </w:r>
          </w:p>
          <w:p>
            <w:pPr>
              <w:jc w:val="center"/>
              <w:rPr>
                <w:rFonts w:ascii="Times New Roman" w:hAnsi="Times New Roman" w:cs="Times New Roman"/>
                <w:sz w:val="24"/>
                <w:szCs w:val="24"/>
              </w:rPr>
            </w:pPr>
          </w:p>
        </w:tc>
      </w:tr>
      <w:tr>
        <w:tc>
          <w:tcPr>
            <w:tcW w:w="2689" w:type="dxa"/>
            <w:vMerge w:val="restart"/>
          </w:tcPr>
          <w:p>
            <w:pPr>
              <w:ind w:right="-106"/>
              <w:rPr>
                <w:rFonts w:ascii="Times New Roman" w:hAnsi="Times New Roman" w:cs="Times New Roman"/>
                <w:sz w:val="24"/>
                <w:szCs w:val="24"/>
              </w:rPr>
            </w:pPr>
            <w:r>
              <w:rPr>
                <w:rFonts w:ascii="Times New Roman" w:hAnsi="Times New Roman" w:cs="Times New Roman"/>
                <w:sz w:val="24"/>
                <w:szCs w:val="24"/>
              </w:rPr>
              <w:t>Повышение доступности информационно-коммуникационных технологий (ИКТ)</w:t>
            </w:r>
          </w:p>
        </w:tc>
        <w:tc>
          <w:tcPr>
            <w:tcW w:w="6095" w:type="dxa"/>
          </w:tcPr>
          <w:p>
            <w:pPr>
              <w:ind w:right="-106"/>
              <w:rPr>
                <w:rFonts w:ascii="Times New Roman" w:hAnsi="Times New Roman" w:cs="Times New Roman"/>
                <w:sz w:val="24"/>
                <w:szCs w:val="24"/>
              </w:rPr>
            </w:pPr>
            <w:r>
              <w:rPr>
                <w:rFonts w:ascii="Times New Roman" w:hAnsi="Times New Roman" w:cs="Times New Roman"/>
                <w:sz w:val="24"/>
                <w:szCs w:val="24"/>
              </w:rPr>
              <w:t>Фиксированные телефонные линии на 100 жителей</w:t>
            </w:r>
          </w:p>
        </w:tc>
        <w:tc>
          <w:tcPr>
            <w:tcW w:w="850" w:type="dxa"/>
          </w:tcPr>
          <w:p>
            <w:pPr>
              <w:jc w:val="center"/>
              <w:rPr>
                <w:rFonts w:ascii="Times New Roman" w:hAnsi="Times New Roman" w:cs="Times New Roman"/>
                <w:sz w:val="24"/>
                <w:szCs w:val="24"/>
              </w:rPr>
            </w:pPr>
            <w:r>
              <w:rPr>
                <w:rFonts w:ascii="Times New Roman" w:hAnsi="Times New Roman" w:cs="Times New Roman"/>
                <w:sz w:val="24"/>
                <w:szCs w:val="24"/>
              </w:rPr>
              <w:t>TEL</w:t>
            </w:r>
          </w:p>
        </w:tc>
      </w:tr>
      <w:tr>
        <w:tc>
          <w:tcPr>
            <w:tcW w:w="2689" w:type="dxa"/>
            <w:vMerge w:val="continue"/>
          </w:tcPr>
          <w:p>
            <w:pPr>
              <w:rPr>
                <w:rFonts w:ascii="Times New Roman" w:hAnsi="Times New Roman" w:cs="Times New Roman"/>
                <w:sz w:val="24"/>
                <w:szCs w:val="24"/>
              </w:rPr>
            </w:pPr>
          </w:p>
        </w:tc>
        <w:tc>
          <w:tcPr>
            <w:tcW w:w="6095" w:type="dxa"/>
          </w:tcPr>
          <w:p>
            <w:pPr>
              <w:ind w:right="-106"/>
              <w:rPr>
                <w:rFonts w:ascii="Times New Roman" w:hAnsi="Times New Roman" w:cs="Times New Roman"/>
                <w:sz w:val="24"/>
                <w:szCs w:val="24"/>
              </w:rPr>
            </w:pPr>
            <w:r>
              <w:rPr>
                <w:rFonts w:ascii="Times New Roman" w:hAnsi="Times New Roman" w:cs="Times New Roman"/>
                <w:sz w:val="24"/>
                <w:szCs w:val="24"/>
              </w:rPr>
              <w:t>Количество абонентов мобильной сотовой связи на 100 жителей</w:t>
            </w:r>
          </w:p>
        </w:tc>
        <w:tc>
          <w:tcPr>
            <w:tcW w:w="850" w:type="dxa"/>
          </w:tcPr>
          <w:p>
            <w:pPr>
              <w:jc w:val="center"/>
              <w:rPr>
                <w:rFonts w:ascii="Times New Roman" w:hAnsi="Times New Roman" w:cs="Times New Roman"/>
                <w:sz w:val="24"/>
                <w:szCs w:val="24"/>
              </w:rPr>
            </w:pPr>
            <w:r>
              <w:rPr>
                <w:rFonts w:ascii="Times New Roman" w:hAnsi="Times New Roman" w:cs="Times New Roman"/>
                <w:sz w:val="24"/>
                <w:szCs w:val="24"/>
              </w:rPr>
              <w:t>CEL</w:t>
            </w:r>
          </w:p>
        </w:tc>
      </w:tr>
      <w:tr>
        <w:tc>
          <w:tcPr>
            <w:tcW w:w="2689" w:type="dxa"/>
            <w:vMerge w:val="continue"/>
          </w:tcPr>
          <w:p>
            <w:pPr>
              <w:rPr>
                <w:rFonts w:ascii="Times New Roman" w:hAnsi="Times New Roman" w:cs="Times New Roman"/>
                <w:sz w:val="24"/>
                <w:szCs w:val="24"/>
              </w:rPr>
            </w:pPr>
          </w:p>
        </w:tc>
        <w:tc>
          <w:tcPr>
            <w:tcW w:w="6095" w:type="dxa"/>
          </w:tcPr>
          <w:p>
            <w:pPr>
              <w:ind w:right="-106"/>
              <w:rPr>
                <w:rFonts w:ascii="Times New Roman" w:hAnsi="Times New Roman" w:cs="Times New Roman"/>
                <w:sz w:val="24"/>
                <w:szCs w:val="24"/>
              </w:rPr>
            </w:pPr>
            <w:r>
              <w:rPr>
                <w:rFonts w:ascii="Times New Roman" w:hAnsi="Times New Roman" w:cs="Times New Roman"/>
                <w:sz w:val="24"/>
                <w:szCs w:val="24"/>
              </w:rPr>
              <w:t>Число пользователей Интернета на 100 жителей</w:t>
            </w:r>
          </w:p>
        </w:tc>
        <w:tc>
          <w:tcPr>
            <w:tcW w:w="850" w:type="dxa"/>
          </w:tcPr>
          <w:p>
            <w:pPr>
              <w:jc w:val="center"/>
              <w:rPr>
                <w:rFonts w:ascii="Times New Roman" w:hAnsi="Times New Roman" w:cs="Times New Roman"/>
                <w:sz w:val="24"/>
                <w:szCs w:val="24"/>
              </w:rPr>
            </w:pPr>
            <w:r>
              <w:rPr>
                <w:rFonts w:ascii="Times New Roman" w:hAnsi="Times New Roman" w:cs="Times New Roman"/>
                <w:sz w:val="24"/>
                <w:szCs w:val="24"/>
              </w:rPr>
              <w:t>INT</w:t>
            </w:r>
          </w:p>
        </w:tc>
      </w:tr>
    </w:tbl>
    <w:p>
      <w:pPr>
        <w:pStyle w:val="P13"/>
        <w:spacing w:lineRule="auto" w:line="360" w:beforeAutospacing="0" w:afterAutospacing="0"/>
        <w:ind w:firstLine="709"/>
        <w:jc w:val="both"/>
        <w:rPr>
          <w:sz w:val="28"/>
          <w:szCs w:val="28"/>
          <w:lang w:val="ru-RU"/>
        </w:rPr>
      </w:pPr>
    </w:p>
    <w:p>
      <w:pPr>
        <w:pStyle w:val="P13"/>
        <w:spacing w:lineRule="auto" w:line="360" w:beforeAutospacing="0" w:afterAutospacing="0"/>
        <w:ind w:firstLine="709"/>
        <w:jc w:val="both"/>
        <w:rPr>
          <w:sz w:val="28"/>
          <w:szCs w:val="28"/>
          <w:lang w:val="ru-RU"/>
        </w:rPr>
      </w:pPr>
      <w:bookmarkEnd w:id="25"/>
      <w:r>
        <w:rPr>
          <w:sz w:val="28"/>
          <w:szCs w:val="28"/>
          <w:lang w:val="ru-RU"/>
        </w:rPr>
        <w:t xml:space="preserve">Таким образом, две методики </w:t>
      </w:r>
      <w:r>
        <w:rPr>
          <w:sz w:val="28"/>
          <w:szCs w:val="28"/>
        </w:rPr>
        <w:t>DAG</w:t>
      </w:r>
      <w:r>
        <w:rPr>
          <w:sz w:val="28"/>
          <w:szCs w:val="28"/>
          <w:lang w:val="ru-RU"/>
        </w:rPr>
        <w:t xml:space="preserve"> и </w:t>
      </w:r>
      <w:r>
        <w:rPr>
          <w:sz w:val="28"/>
          <w:szCs w:val="28"/>
        </w:rPr>
        <w:t>PLS</w:t>
      </w:r>
      <w:r>
        <w:rPr>
          <w:sz w:val="28"/>
          <w:szCs w:val="28"/>
          <w:lang w:val="ru-RU"/>
        </w:rPr>
        <w:t xml:space="preserve"> позволяют нам определить, существуют ли связи между ЦУР. Наш первый этап заключается в оценке </w:t>
      </w:r>
      <w:r>
        <w:rPr>
          <w:sz w:val="28"/>
          <w:szCs w:val="28"/>
        </w:rPr>
        <w:t>DAG</w:t>
      </w:r>
      <w:r>
        <w:rPr>
          <w:sz w:val="28"/>
          <w:szCs w:val="28"/>
          <w:lang w:val="ru-RU"/>
        </w:rPr>
        <w:t xml:space="preserve"> с помощью </w:t>
      </w:r>
      <w:r>
        <w:rPr>
          <w:sz w:val="28"/>
          <w:szCs w:val="28"/>
        </w:rPr>
        <w:t>TETRAD</w:t>
      </w:r>
      <w:r>
        <w:rPr>
          <w:sz w:val="28"/>
          <w:szCs w:val="28"/>
          <w:lang w:val="ru-RU"/>
        </w:rPr>
        <w:t xml:space="preserve">. Поскольку </w:t>
      </w:r>
      <w:r>
        <w:rPr>
          <w:sz w:val="28"/>
          <w:szCs w:val="28"/>
        </w:rPr>
        <w:t>TETRAD</w:t>
      </w:r>
      <w:r>
        <w:rPr>
          <w:sz w:val="28"/>
          <w:szCs w:val="28"/>
          <w:lang w:val="ru-RU"/>
        </w:rPr>
        <w:t xml:space="preserve"> не имеет предварительных знаний или гипотез о том, какие переменные являются потенциальными причинами, а какие – потенциальными следствиями, результаты будут определяться структурой данных. Направленные связи, которые будут найдены между различными парами целей, будут использоваться для построения </w:t>
      </w:r>
      <w:r>
        <w:rPr>
          <w:sz w:val="28"/>
          <w:szCs w:val="28"/>
        </w:rPr>
        <w:t>PLS</w:t>
      </w:r>
      <w:r>
        <w:rPr>
          <w:sz w:val="28"/>
          <w:szCs w:val="28"/>
          <w:lang w:val="ru-RU"/>
        </w:rPr>
        <w:t xml:space="preserve">. Спецификации модели </w:t>
      </w:r>
      <w:r>
        <w:rPr>
          <w:sz w:val="28"/>
          <w:szCs w:val="28"/>
        </w:rPr>
        <w:t>PLS</w:t>
      </w:r>
      <w:r>
        <w:rPr>
          <w:sz w:val="28"/>
          <w:szCs w:val="28"/>
          <w:lang w:val="ru-RU"/>
        </w:rPr>
        <w:t xml:space="preserve"> основаны на наших эмпирических результатах оценки </w:t>
      </w:r>
      <w:r>
        <w:rPr>
          <w:sz w:val="28"/>
          <w:szCs w:val="28"/>
        </w:rPr>
        <w:t>DAG</w:t>
      </w:r>
      <w:r>
        <w:rPr>
          <w:sz w:val="28"/>
          <w:szCs w:val="28"/>
          <w:lang w:val="ru-RU"/>
        </w:rPr>
        <w:t>. Это позволяет нам ответить на вопрос о том, существуют ли положительные и существенные связи между задачами ЦУР в Африке, и в итоге определить, какие цели обеспечения инновационно-инклюзивного роста могут быть приоритетными для правительства Республики Кот-д‘Ивуар.</w:t>
      </w:r>
    </w:p>
    <w:p>
      <w:pPr>
        <w:pStyle w:val="P13"/>
        <w:spacing w:lineRule="auto" w:line="360" w:beforeAutospacing="0" w:afterAutospacing="0"/>
        <w:ind w:firstLine="709"/>
        <w:jc w:val="both"/>
        <w:rPr>
          <w:sz w:val="28"/>
          <w:szCs w:val="28"/>
          <w:lang w:val="ru-RU"/>
        </w:rPr>
      </w:pPr>
      <w:r>
        <w:rPr>
          <w:sz w:val="28"/>
          <w:szCs w:val="28"/>
          <w:lang w:val="ru-RU"/>
        </w:rPr>
        <w:t xml:space="preserve">Помимо </w:t>
      </w:r>
      <w:r>
        <w:rPr>
          <w:sz w:val="28"/>
          <w:szCs w:val="28"/>
        </w:rPr>
        <w:t>TETRAD</w:t>
      </w:r>
      <w:r>
        <w:rPr>
          <w:sz w:val="28"/>
          <w:szCs w:val="28"/>
          <w:lang w:val="ru-RU"/>
        </w:rPr>
        <w:t xml:space="preserve"> в качестве инструментального обеспечения мы также используем программное обеспечение </w:t>
      </w:r>
      <w:r>
        <w:rPr>
          <w:sz w:val="28"/>
          <w:szCs w:val="28"/>
        </w:rPr>
        <w:t>SmartPLS</w:t>
      </w:r>
      <w:r>
        <w:rPr>
          <w:sz w:val="28"/>
          <w:szCs w:val="28"/>
          <w:lang w:val="ru-RU"/>
        </w:rPr>
        <w:t xml:space="preserve"> для построения и анализа модели </w:t>
      </w:r>
      <w:r>
        <w:rPr>
          <w:sz w:val="28"/>
          <w:szCs w:val="28"/>
        </w:rPr>
        <w:t>PLS</w:t>
      </w:r>
      <w:r>
        <w:rPr>
          <w:sz w:val="28"/>
          <w:szCs w:val="28"/>
          <w:lang w:val="ru-RU"/>
        </w:rPr>
        <w:t xml:space="preserve"> [</w:t>
      </w:r>
      <w:r>
        <w:rPr>
          <w:sz w:val="28"/>
          <w:szCs w:val="28"/>
          <w:highlight w:val="yellow"/>
          <w:lang w:val="ru-RU"/>
        </w:rPr>
        <w:t>162</w:t>
      </w:r>
      <w:r>
        <w:rPr>
          <w:sz w:val="28"/>
          <w:szCs w:val="28"/>
          <w:lang w:val="ru-RU"/>
        </w:rPr>
        <w:t xml:space="preserve">]. </w:t>
      </w:r>
      <w:r>
        <w:rPr>
          <w:sz w:val="28"/>
          <w:szCs w:val="28"/>
        </w:rPr>
        <w:t>SmartPLS</w:t>
      </w:r>
      <w:r>
        <w:rPr>
          <w:sz w:val="28"/>
          <w:szCs w:val="28"/>
          <w:lang w:val="ru-RU"/>
        </w:rPr>
        <w:t xml:space="preserve"> – это автономное программное обеспечение, предназначенное для оценки путей </w:t>
      </w:r>
      <w:r>
        <w:rPr>
          <w:sz w:val="28"/>
          <w:szCs w:val="28"/>
        </w:rPr>
        <w:t>PLS</w:t>
      </w:r>
      <w:r>
        <w:rPr>
          <w:sz w:val="28"/>
          <w:szCs w:val="28"/>
          <w:lang w:val="ru-RU"/>
        </w:rPr>
        <w:t>, оно поддерживает методы начальной загрузки, а также позволяет задавать эффекты взаимодействия.</w:t>
      </w:r>
    </w:p>
    <w:p>
      <w:pPr>
        <w:pStyle w:val="P13"/>
        <w:spacing w:lineRule="auto" w:line="360" w:beforeAutospacing="0" w:afterAutospacing="0"/>
        <w:ind w:firstLine="709"/>
        <w:jc w:val="both"/>
        <w:rPr>
          <w:sz w:val="28"/>
          <w:szCs w:val="28"/>
          <w:lang w:val="ru-RU"/>
        </w:rPr>
      </w:pPr>
      <w:r>
        <w:rPr>
          <w:sz w:val="28"/>
          <w:szCs w:val="28"/>
          <w:lang w:val="ru-RU"/>
        </w:rPr>
        <w:t xml:space="preserve">Мы преобразовали каждую из переменных с помощью натурального логарифма, чтобы убедиться, что мы удовлетворяем требованиям нормальности с помощью ПО </w:t>
      </w:r>
      <w:r>
        <w:rPr>
          <w:sz w:val="28"/>
          <w:szCs w:val="28"/>
        </w:rPr>
        <w:t>TETRAD</w:t>
      </w:r>
      <w:r>
        <w:rPr>
          <w:sz w:val="28"/>
          <w:szCs w:val="28"/>
          <w:lang w:val="ru-RU"/>
        </w:rPr>
        <w:t xml:space="preserve"> на основе теста Колмогорова-Смирнова. Все трансформированные логарифмические переменные оказались нормальными при уровне значимости 5%. </w:t>
      </w:r>
    </w:p>
    <w:p>
      <w:pPr>
        <w:pStyle w:val="P13"/>
        <w:spacing w:lineRule="auto" w:line="360" w:beforeAutospacing="0" w:afterAutospacing="0"/>
        <w:ind w:firstLine="709"/>
        <w:jc w:val="both"/>
        <w:rPr>
          <w:sz w:val="28"/>
          <w:szCs w:val="28"/>
          <w:lang w:val="ru-RU"/>
        </w:rPr>
      </w:pPr>
      <w:r>
        <w:rPr>
          <w:sz w:val="28"/>
          <w:szCs w:val="28"/>
          <w:lang w:val="ru-RU"/>
        </w:rPr>
        <w:t xml:space="preserve">После этого проведен анализ использования алгоритма </w:t>
      </w:r>
      <w:r>
        <w:rPr>
          <w:sz w:val="28"/>
          <w:szCs w:val="28"/>
        </w:rPr>
        <w:t>PC</w:t>
      </w:r>
      <w:r>
        <w:rPr>
          <w:sz w:val="28"/>
          <w:szCs w:val="28"/>
          <w:lang w:val="ru-RU"/>
        </w:rPr>
        <w:t xml:space="preserve"> в </w:t>
      </w:r>
      <w:r>
        <w:rPr>
          <w:sz w:val="28"/>
          <w:szCs w:val="28"/>
        </w:rPr>
        <w:t>TETRAD</w:t>
      </w:r>
      <w:r>
        <w:rPr>
          <w:sz w:val="28"/>
          <w:szCs w:val="28"/>
          <w:lang w:val="ru-RU"/>
        </w:rPr>
        <w:t xml:space="preserve">. В результате был получен граф </w:t>
      </w:r>
      <w:r>
        <w:rPr>
          <w:sz w:val="28"/>
          <w:szCs w:val="28"/>
        </w:rPr>
        <w:t>DAG</w:t>
      </w:r>
      <w:r>
        <w:rPr>
          <w:sz w:val="28"/>
          <w:szCs w:val="28"/>
          <w:lang w:val="ru-RU"/>
        </w:rPr>
        <w:t>, который имеет только направленные ребра. При этом начальное образование, бедность и улучшение здоровья матерей прямо влияет на детскую смертность; вода и санитария (</w:t>
      </w:r>
      <w:r>
        <w:rPr>
          <w:sz w:val="28"/>
          <w:szCs w:val="28"/>
        </w:rPr>
        <w:t>H</w:t>
      </w:r>
      <w:r>
        <w:rPr>
          <w:sz w:val="28"/>
          <w:szCs w:val="28"/>
          <w:lang w:val="ru-RU"/>
        </w:rPr>
        <w:t>2</w:t>
      </w:r>
      <w:r>
        <w:rPr>
          <w:sz w:val="28"/>
          <w:szCs w:val="28"/>
        </w:rPr>
        <w:t>O</w:t>
      </w:r>
      <w:r>
        <w:rPr>
          <w:sz w:val="28"/>
          <w:szCs w:val="28"/>
          <w:lang w:val="ru-RU"/>
        </w:rPr>
        <w:t>_</w:t>
      </w:r>
      <w:r>
        <w:rPr>
          <w:sz w:val="28"/>
          <w:szCs w:val="28"/>
        </w:rPr>
        <w:t>SAN</w:t>
      </w:r>
      <w:r>
        <w:rPr>
          <w:sz w:val="28"/>
          <w:szCs w:val="28"/>
          <w:lang w:val="ru-RU"/>
        </w:rPr>
        <w:t xml:space="preserve">) и ИКТ оказывают прямое влияние на бедность. Достижение гендерного равенства ведет к всеобщему начальному образованию, а борьба с болезнями ведет только к улучшению материнского здоровья. </w:t>
      </w:r>
      <w:r>
        <w:rPr>
          <w:sz w:val="28"/>
          <w:szCs w:val="28"/>
        </w:rPr>
        <w:t>TETRAD</w:t>
      </w:r>
      <w:r>
        <w:rPr>
          <w:sz w:val="28"/>
          <w:szCs w:val="28"/>
          <w:lang w:val="ru-RU"/>
        </w:rPr>
        <w:t xml:space="preserve"> позволил нам не только сделать вывод о существовании этих направленных связей, но и определить пары целей, которые связаны друг с другом или зависят друг от друга, учитывая все цели в рамках ЦУР.</w:t>
      </w:r>
    </w:p>
    <w:p>
      <w:pPr>
        <w:pStyle w:val="P13"/>
        <w:spacing w:lineRule="auto" w:line="360" w:beforeAutospacing="0" w:afterAutospacing="0"/>
        <w:ind w:firstLine="709"/>
        <w:jc w:val="both"/>
        <w:rPr>
          <w:sz w:val="28"/>
          <w:szCs w:val="28"/>
          <w:lang w:val="ru-RU"/>
        </w:rPr>
      </w:pPr>
      <w:r>
        <w:rPr>
          <w:sz w:val="28"/>
          <w:szCs w:val="28"/>
          <w:lang w:val="ru-RU"/>
        </w:rPr>
        <w:t xml:space="preserve">На втором этапе была проведена оценка выявленных связей с помощью </w:t>
      </w:r>
      <w:r>
        <w:rPr>
          <w:sz w:val="28"/>
          <w:szCs w:val="28"/>
        </w:rPr>
        <w:t>PLS</w:t>
      </w:r>
      <w:r>
        <w:rPr>
          <w:sz w:val="28"/>
          <w:szCs w:val="28"/>
          <w:lang w:val="ru-RU"/>
        </w:rPr>
        <w:t xml:space="preserve">. Мы оцениваем формирующую модель для наших латентных (составных) переменных, то есть цели ЦУР представляют собой составные переменные, которые обобщают общие различия в наборе показателей (рисунок </w:t>
      </w:r>
      <w:r>
        <w:rPr>
          <w:sz w:val="28"/>
          <w:szCs w:val="28"/>
          <w:highlight w:val="yellow"/>
          <w:lang w:val="ru-RU"/>
        </w:rPr>
        <w:t>3.3</w:t>
      </w:r>
      <w:r>
        <w:rPr>
          <w:sz w:val="28"/>
          <w:szCs w:val="28"/>
          <w:lang w:val="ru-RU"/>
        </w:rPr>
        <w:t xml:space="preserve">). </w:t>
      </w:r>
      <w:bookmarkStart w:id="27" w:name="_Hlk137748248"/>
    </w:p>
    <w:p>
      <w:pPr>
        <w:pStyle w:val="P13"/>
        <w:spacing w:lineRule="auto" w:line="360" w:beforeAutospacing="0" w:afterAutospacing="0"/>
        <w:ind w:firstLine="709"/>
        <w:jc w:val="both"/>
        <w:rPr>
          <w:sz w:val="28"/>
          <w:szCs w:val="28"/>
          <w:lang w:val="ru-RU"/>
        </w:rPr>
      </w:pPr>
    </w:p>
    <w:p>
      <w:pPr>
        <w:spacing w:lineRule="auto" w:line="360" w:after="0" w:beforeAutospacing="0" w:afterAutospacing="0"/>
        <w:ind w:firstLine="709"/>
        <w:rPr>
          <w:rFonts w:ascii="Times New Roman" w:hAnsi="Times New Roman" w:cs="Times New Roman"/>
          <w:i w:val="1"/>
          <w:sz w:val="28"/>
          <w:szCs w:val="28"/>
        </w:rPr>
      </w:pPr>
      <w:r>
        <w:rPr>
          <w:rFonts w:ascii="Times New Roman" w:hAnsi="Times New Roman" w:cs="Times New Roman"/>
          <w:i w:val="1"/>
          <w:noProof w:val="1"/>
          <w:sz w:val="28"/>
          <w:szCs w:val="28"/>
          <w:lang w:eastAsia="ru-RU"/>
        </w:rPr>
        <mc:AlternateContent>
          <mc:Choice Requires="wps">
            <w:drawing>
              <wp:anchor xmlns:wp="http://schemas.openxmlformats.org/drawingml/2006/wordprocessingDrawing" distT="0" distB="0" distL="114300" distR="114300" simplePos="0" relativeHeight="110" behindDoc="0" locked="0" layoutInCell="1" allowOverlap="1">
                <wp:simplePos x="0" y="0"/>
                <wp:positionH relativeFrom="column">
                  <wp:posOffset>5408295</wp:posOffset>
                </wp:positionH>
                <wp:positionV relativeFrom="paragraph">
                  <wp:posOffset>135255</wp:posOffset>
                </wp:positionV>
                <wp:extent cx="386715" cy="256540"/>
                <wp:effectExtent l="0" t="0" r="13335" b="10160"/>
                <wp:wrapNone/>
                <wp:docPr id="51" name="Овал 51"/>
                <wp:cNvGraphicFramePr/>
                <a:graphic xmlns:a="http://schemas.openxmlformats.org/drawingml/2006/main">
                  <a:graphicData uri="http://schemas.microsoft.com/office/word/2010/wordprocessingShape">
                    <wps:wsp>
                      <wps:cNvSpPr/>
                      <wps:spPr>
                        <a:xfrm>
                          <a:off x="0" y="0"/>
                          <a:ext cx="387118" cy="256967"/>
                        </a:xfrm>
                        <a:prstGeom prst="ellipse"/>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xmlns:o="urn:schemas-microsoft-com:office:office" id="Овал 51" o:spid="_x0000_s1154" style="position:absolute;width:30.45pt;height:20.2pt;z-index:110;mso-wrap-distance-left:9pt;mso-wrap-distance-top:0pt;mso-wrap-distance-right:9pt;mso-wrap-distance-bottom:0pt;margin-left:425.85pt;margin-top:10.65pt;mso-position-horizontal:absolute;mso-position-horizontal-relative:text;mso-position-vertical:absolute;mso-position-vertical-relative:text;v-text-anchor:middle" o:allowincell="t" filled="f" strokecolor="#000000" strokeweight="1pt" stroked="t"/>
            </w:pict>
          </mc:Fallback>
        </mc:AlternateContent>
      </w:r>
      <w:r>
        <w:rPr>
          <w:rFonts w:ascii="Times New Roman" w:hAnsi="Times New Roman" w:cs="Times New Roman"/>
          <w:i w:val="1"/>
          <w:noProof w:val="1"/>
          <w:sz w:val="28"/>
          <w:szCs w:val="28"/>
          <w:lang w:eastAsia="ru-RU"/>
        </w:rPr>
        <mc:AlternateContent>
          <mc:Choice Requires="wps">
            <w:drawing>
              <wp:anchor xmlns:wp="http://schemas.openxmlformats.org/drawingml/2006/wordprocessingDrawing" distT="0" distB="0" distL="114300" distR="114300" simplePos="0" relativeHeight="109" behindDoc="0" locked="0" layoutInCell="1" allowOverlap="1">
                <wp:simplePos x="0" y="0"/>
                <wp:positionH relativeFrom="column">
                  <wp:posOffset>4857115</wp:posOffset>
                </wp:positionH>
                <wp:positionV relativeFrom="paragraph">
                  <wp:posOffset>132715</wp:posOffset>
                </wp:positionV>
                <wp:extent cx="386715" cy="256540"/>
                <wp:effectExtent l="0" t="0" r="13335" b="10160"/>
                <wp:wrapNone/>
                <wp:docPr id="50" name="Овал 50"/>
                <wp:cNvGraphicFramePr/>
                <a:graphic xmlns:a="http://schemas.openxmlformats.org/drawingml/2006/main">
                  <a:graphicData uri="http://schemas.microsoft.com/office/word/2010/wordprocessingShape">
                    <wps:wsp>
                      <wps:cNvSpPr/>
                      <wps:spPr>
                        <a:xfrm>
                          <a:off x="0" y="0"/>
                          <a:ext cx="387118" cy="256967"/>
                        </a:xfrm>
                        <a:prstGeom prst="ellipse"/>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xmlns:o="urn:schemas-microsoft-com:office:office" id="Овал 50" o:spid="_x0000_s1155" style="position:absolute;width:30.45pt;height:20.2pt;z-index:109;mso-wrap-distance-left:9pt;mso-wrap-distance-top:0pt;mso-wrap-distance-right:9pt;mso-wrap-distance-bottom:0pt;margin-left:382.45pt;margin-top:10.45pt;mso-position-horizontal:absolute;mso-position-horizontal-relative:text;mso-position-vertical:absolute;mso-position-vertical-relative:text;v-text-anchor:middle" o:allowincell="t" filled="f" strokecolor="#000000" strokeweight="1pt" stroked="t"/>
            </w:pict>
          </mc:Fallback>
        </mc:AlternateContent>
      </w:r>
      <w:r>
        <w:rPr>
          <w:rFonts w:ascii="Times New Roman" w:hAnsi="Times New Roman" w:cs="Times New Roman"/>
          <w:i w:val="1"/>
          <w:noProof w:val="1"/>
          <w:sz w:val="28"/>
          <w:szCs w:val="28"/>
          <w:lang w:eastAsia="ru-RU"/>
        </w:rPr>
        <mc:AlternateContent>
          <mc:Choice Requires="wps">
            <w:drawing>
              <wp:anchor xmlns:wp="http://schemas.openxmlformats.org/drawingml/2006/wordprocessingDrawing" distT="0" distB="0" distL="114300" distR="114300" simplePos="0" relativeHeight="108" behindDoc="0" locked="0" layoutInCell="1" allowOverlap="1">
                <wp:simplePos x="0" y="0"/>
                <wp:positionH relativeFrom="column">
                  <wp:posOffset>4338955</wp:posOffset>
                </wp:positionH>
                <wp:positionV relativeFrom="paragraph">
                  <wp:posOffset>126365</wp:posOffset>
                </wp:positionV>
                <wp:extent cx="386715" cy="256540"/>
                <wp:effectExtent l="0" t="0" r="13335" b="10160"/>
                <wp:wrapNone/>
                <wp:docPr id="49" name="Овал 49"/>
                <wp:cNvGraphicFramePr/>
                <a:graphic xmlns:a="http://schemas.openxmlformats.org/drawingml/2006/main">
                  <a:graphicData uri="http://schemas.microsoft.com/office/word/2010/wordprocessingShape">
                    <wps:wsp>
                      <wps:cNvSpPr/>
                      <wps:spPr>
                        <a:xfrm>
                          <a:off x="0" y="0"/>
                          <a:ext cx="387118" cy="256967"/>
                        </a:xfrm>
                        <a:prstGeom prst="ellipse"/>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xmlns:o="urn:schemas-microsoft-com:office:office" id="Овал 49" o:spid="_x0000_s1156" style="position:absolute;width:30.45pt;height:20.2pt;z-index:108;mso-wrap-distance-left:9pt;mso-wrap-distance-top:0pt;mso-wrap-distance-right:9pt;mso-wrap-distance-bottom:0pt;margin-left:341.65pt;margin-top:9.95pt;mso-position-horizontal:absolute;mso-position-horizontal-relative:text;mso-position-vertical:absolute;mso-position-vertical-relative:text;v-text-anchor:middle" o:allowincell="t" filled="f" strokecolor="#000000" strokeweight="1pt" stroked="t"/>
            </w:pict>
          </mc:Fallback>
        </mc:AlternateContent>
      </w:r>
      <w:r>
        <w:rPr>
          <w:rFonts w:ascii="Times New Roman" w:hAnsi="Times New Roman" w:cs="Times New Roman"/>
          <w:i w:val="1"/>
          <w:noProof w:val="1"/>
          <w:sz w:val="28"/>
          <w:szCs w:val="28"/>
          <w:lang w:eastAsia="ru-RU"/>
        </w:rPr>
        <mc:AlternateContent>
          <mc:Choice Requires="wps">
            <w:drawing>
              <wp:anchor xmlns:wp="http://schemas.openxmlformats.org/drawingml/2006/wordprocessingDrawing" distT="0" distB="0" distL="114300" distR="114300" simplePos="0" relativeHeight="77" behindDoc="0" locked="0" layoutInCell="1" allowOverlap="1">
                <wp:simplePos x="0" y="0"/>
                <wp:positionH relativeFrom="column">
                  <wp:posOffset>5363845</wp:posOffset>
                </wp:positionH>
                <wp:positionV relativeFrom="paragraph">
                  <wp:posOffset>143510</wp:posOffset>
                </wp:positionV>
                <wp:extent cx="490855" cy="245110"/>
                <wp:effectExtent l="0" t="0" r="0" b="2540"/>
                <wp:wrapNone/>
                <wp:docPr id="574" name="Надпись 574"/>
                <wp:cNvGraphicFramePr/>
                <a:graphic xmlns:a="http://schemas.openxmlformats.org/drawingml/2006/main">
                  <a:graphicData uri="http://schemas.microsoft.com/office/word/2010/wordprocessingShape">
                    <wps:wsp>
                      <wps:cNvSpPr txBox="1"/>
                      <wps:spPr>
                        <a:xfrm>
                          <a:off x="0" y="0"/>
                          <a:ext cx="490954" cy="245110"/>
                        </a:xfrm>
                        <a:prstGeom prst="rect"/>
                        <a:noFill/>
                        <a:ln w="6350">
                          <a:noFill/>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spacing w:lineRule="auto" w:line="240" w:after="0" w:beforeAutospacing="0" w:afterAutospacing="0"/>
                              <w:jc w:val="center"/>
                              <w:rPr>
                                <w:rFonts w:ascii="Times New Roman" w:hAnsi="Times New Roman" w:cs="Times New Roman"/>
                                <w:sz w:val="20"/>
                                <w:szCs w:val="20"/>
                                <w:lang w:val="en-US"/>
                              </w:rPr>
                            </w:pPr>
                            <w:r>
                              <w:rPr>
                                <w:rFonts w:ascii="Times New Roman" w:hAnsi="Times New Roman" w:cs="Times New Roman"/>
                                <w:sz w:val="20"/>
                                <w:szCs w:val="20"/>
                                <w:lang w:val="en-US"/>
                              </w:rPr>
                              <w:t>GRD</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xmlns:o="urn:schemas-microsoft-com:office:office" type="#_x0000_t202" id="Надпись 574" o:spid="_x0000_s1157" style="position:absolute;width:38.65pt;height:19.3pt;z-index:77;mso-wrap-distance-left:9pt;mso-wrap-distance-top:0pt;mso-wrap-distance-right:9pt;mso-wrap-distance-bottom:0pt;margin-left:422.35pt;margin-top:11.3pt;mso-position-horizontal:absolute;mso-position-horizontal-relative:text;mso-position-vertical:absolute;mso-position-vertical-relative:text" o:allowincell="t" filled="f" strokeweight="0.5pt" stroked="f">
                <v:textbox inset="3mm,1mm,3mm,1mm">
                  <w:txbxContent>
                    <w:p>
                      <w:pPr>
                        <w:spacing w:lineRule="auto" w:line="240" w:after="0" w:beforeAutospacing="0" w:afterAutospacing="0"/>
                        <w:jc w:val="center"/>
                        <w:rPr>
                          <w:rFonts w:ascii="Times New Roman" w:hAnsi="Times New Roman" w:cs="Times New Roman"/>
                          <w:sz w:val="20"/>
                          <w:szCs w:val="20"/>
                          <w:lang w:val="en-US"/>
                        </w:rPr>
                      </w:pPr>
                      <w:r>
                        <w:rPr>
                          <w:rFonts w:ascii="Times New Roman" w:hAnsi="Times New Roman" w:cs="Times New Roman"/>
                          <w:sz w:val="20"/>
                          <w:szCs w:val="20"/>
                          <w:lang w:val="en-US"/>
                        </w:rPr>
                        <w:t>GRD</w:t>
                      </w:r>
                    </w:p>
                  </w:txbxContent>
                </v:textbox>
              </v:shape>
            </w:pict>
          </mc:Fallback>
        </mc:AlternateContent>
      </w:r>
      <w:r>
        <w:rPr>
          <w:rFonts w:ascii="Times New Roman" w:hAnsi="Times New Roman" w:cs="Times New Roman"/>
          <w:i w:val="1"/>
          <w:noProof w:val="1"/>
          <w:sz w:val="28"/>
          <w:szCs w:val="28"/>
          <w:lang w:eastAsia="ru-RU"/>
        </w:rPr>
        <mc:AlternateContent>
          <mc:Choice Requires="wps">
            <w:drawing>
              <wp:anchor xmlns:wp="http://schemas.openxmlformats.org/drawingml/2006/wordprocessingDrawing" distT="0" distB="0" distL="114300" distR="114300" simplePos="0" relativeHeight="78" behindDoc="0" locked="0" layoutInCell="1" allowOverlap="1">
                <wp:simplePos x="0" y="0"/>
                <wp:positionH relativeFrom="column">
                  <wp:posOffset>4825365</wp:posOffset>
                </wp:positionH>
                <wp:positionV relativeFrom="paragraph">
                  <wp:posOffset>144145</wp:posOffset>
                </wp:positionV>
                <wp:extent cx="453390" cy="245110"/>
                <wp:effectExtent l="0" t="0" r="0" b="2540"/>
                <wp:wrapNone/>
                <wp:docPr id="575" name="Надпись 575"/>
                <wp:cNvGraphicFramePr/>
                <a:graphic xmlns:a="http://schemas.openxmlformats.org/drawingml/2006/main">
                  <a:graphicData uri="http://schemas.microsoft.com/office/word/2010/wordprocessingShape">
                    <wps:wsp>
                      <wps:cNvSpPr txBox="1"/>
                      <wps:spPr>
                        <a:xfrm>
                          <a:off x="0" y="0"/>
                          <a:ext cx="453390" cy="245110"/>
                        </a:xfrm>
                        <a:prstGeom prst="rect"/>
                        <a:noFill/>
                        <a:ln w="6350">
                          <a:noFill/>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spacing w:lineRule="auto" w:line="240" w:after="0" w:beforeAutospacing="0" w:afterAutospacing="0"/>
                              <w:jc w:val="center"/>
                              <w:rPr>
                                <w:rFonts w:ascii="Times New Roman" w:hAnsi="Times New Roman" w:cs="Times New Roman"/>
                                <w:sz w:val="20"/>
                                <w:szCs w:val="20"/>
                                <w:lang w:val="en-US"/>
                              </w:rPr>
                            </w:pPr>
                            <w:r>
                              <w:rPr>
                                <w:rFonts w:ascii="Times New Roman" w:hAnsi="Times New Roman" w:cs="Times New Roman"/>
                                <w:sz w:val="20"/>
                                <w:szCs w:val="20"/>
                                <w:lang w:val="en-US"/>
                              </w:rPr>
                              <w:t>PRI</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xmlns:o="urn:schemas-microsoft-com:office:office" type="#_x0000_t202" id="Надпись 575" o:spid="_x0000_s1158" style="position:absolute;width:35.7pt;height:19.3pt;z-index:78;mso-wrap-distance-left:9pt;mso-wrap-distance-top:0pt;mso-wrap-distance-right:9pt;mso-wrap-distance-bottom:0pt;margin-left:379.95pt;margin-top:11.35pt;mso-position-horizontal:absolute;mso-position-horizontal-relative:text;mso-position-vertical:absolute;mso-position-vertical-relative:text" o:allowincell="t" filled="f" strokeweight="0.5pt" stroked="f">
                <v:textbox inset="3mm,1mm,3mm,1mm">
                  <w:txbxContent>
                    <w:p>
                      <w:pPr>
                        <w:spacing w:lineRule="auto" w:line="240" w:after="0" w:beforeAutospacing="0" w:afterAutospacing="0"/>
                        <w:jc w:val="center"/>
                        <w:rPr>
                          <w:rFonts w:ascii="Times New Roman" w:hAnsi="Times New Roman" w:cs="Times New Roman"/>
                          <w:sz w:val="20"/>
                          <w:szCs w:val="20"/>
                          <w:lang w:val="en-US"/>
                        </w:rPr>
                      </w:pPr>
                      <w:r>
                        <w:rPr>
                          <w:rFonts w:ascii="Times New Roman" w:hAnsi="Times New Roman" w:cs="Times New Roman"/>
                          <w:sz w:val="20"/>
                          <w:szCs w:val="20"/>
                          <w:lang w:val="en-US"/>
                        </w:rPr>
                        <w:t>PRI</w:t>
                      </w:r>
                    </w:p>
                  </w:txbxContent>
                </v:textbox>
              </v:shape>
            </w:pict>
          </mc:Fallback>
        </mc:AlternateContent>
      </w:r>
      <w:r>
        <w:rPr>
          <w:rFonts w:ascii="Times New Roman" w:hAnsi="Times New Roman" w:cs="Times New Roman"/>
          <w:i w:val="1"/>
          <w:noProof w:val="1"/>
          <w:sz w:val="28"/>
          <w:szCs w:val="28"/>
          <w:lang w:eastAsia="ru-RU"/>
        </w:rPr>
        <mc:AlternateContent>
          <mc:Choice Requires="wps">
            <w:drawing>
              <wp:anchor xmlns:wp="http://schemas.openxmlformats.org/drawingml/2006/wordprocessingDrawing" distT="0" distB="0" distL="114300" distR="114300" simplePos="0" relativeHeight="76" behindDoc="0" locked="0" layoutInCell="1" allowOverlap="1">
                <wp:simplePos x="0" y="0"/>
                <wp:positionH relativeFrom="column">
                  <wp:posOffset>4310380</wp:posOffset>
                </wp:positionH>
                <wp:positionV relativeFrom="paragraph">
                  <wp:posOffset>139700</wp:posOffset>
                </wp:positionV>
                <wp:extent cx="453390" cy="245110"/>
                <wp:effectExtent l="0" t="0" r="0" b="2540"/>
                <wp:wrapNone/>
                <wp:docPr id="282" name="Надпись 282"/>
                <wp:cNvGraphicFramePr/>
                <a:graphic xmlns:a="http://schemas.openxmlformats.org/drawingml/2006/main">
                  <a:graphicData uri="http://schemas.microsoft.com/office/word/2010/wordprocessingShape">
                    <wps:wsp>
                      <wps:cNvSpPr txBox="1"/>
                      <wps:spPr>
                        <a:xfrm>
                          <a:off x="0" y="0"/>
                          <a:ext cx="453390" cy="245110"/>
                        </a:xfrm>
                        <a:prstGeom prst="rect"/>
                        <a:noFill/>
                        <a:ln w="6350">
                          <a:noFill/>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spacing w:lineRule="auto" w:line="240" w:after="0" w:beforeAutospacing="0" w:afterAutospacing="0"/>
                              <w:jc w:val="center"/>
                              <w:rPr>
                                <w:rFonts w:ascii="Times New Roman" w:hAnsi="Times New Roman" w:cs="Times New Roman"/>
                                <w:sz w:val="20"/>
                                <w:szCs w:val="20"/>
                                <w:lang w:val="en-US"/>
                              </w:rPr>
                            </w:pPr>
                            <w:r>
                              <w:rPr>
                                <w:rFonts w:ascii="Times New Roman" w:hAnsi="Times New Roman" w:cs="Times New Roman"/>
                                <w:sz w:val="20"/>
                                <w:szCs w:val="20"/>
                                <w:lang w:val="en-US"/>
                              </w:rPr>
                              <w:t>LIT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xmlns:o="urn:schemas-microsoft-com:office:office" type="#_x0000_t202" id="Надпись 282" o:spid="_x0000_s1159" style="position:absolute;width:35.7pt;height:19.3pt;z-index:76;mso-wrap-distance-left:9pt;mso-wrap-distance-top:0pt;mso-wrap-distance-right:9pt;mso-wrap-distance-bottom:0pt;margin-left:339.4pt;margin-top:11pt;mso-position-horizontal:absolute;mso-position-horizontal-relative:text;mso-position-vertical:absolute;mso-position-vertical-relative:text" o:allowincell="t" filled="f" strokeweight="0.5pt" stroked="f">
                <v:textbox inset="3mm,1mm,3mm,1mm">
                  <w:txbxContent>
                    <w:p>
                      <w:pPr>
                        <w:spacing w:lineRule="auto" w:line="240" w:after="0" w:beforeAutospacing="0" w:afterAutospacing="0"/>
                        <w:jc w:val="center"/>
                        <w:rPr>
                          <w:rFonts w:ascii="Times New Roman" w:hAnsi="Times New Roman" w:cs="Times New Roman"/>
                          <w:sz w:val="20"/>
                          <w:szCs w:val="20"/>
                          <w:lang w:val="en-US"/>
                        </w:rPr>
                      </w:pPr>
                      <w:r>
                        <w:rPr>
                          <w:rFonts w:ascii="Times New Roman" w:hAnsi="Times New Roman" w:cs="Times New Roman"/>
                          <w:sz w:val="20"/>
                          <w:szCs w:val="20"/>
                          <w:lang w:val="en-US"/>
                        </w:rPr>
                        <w:t>LIT</w:t>
                      </w:r>
                    </w:p>
                  </w:txbxContent>
                </v:textbox>
              </v:shape>
            </w:pict>
          </mc:Fallback>
        </mc:AlternateContent>
      </w:r>
      <w:r>
        <w:rPr>
          <w:rFonts w:ascii="Times New Roman" w:hAnsi="Times New Roman" w:cs="Times New Roman"/>
          <w:i w:val="1"/>
          <w:noProof w:val="1"/>
          <w:sz w:val="28"/>
          <w:szCs w:val="28"/>
          <w:lang w:eastAsia="ru-RU"/>
        </w:rPr>
        <mc:AlternateContent>
          <mc:Choice Requires="wps">
            <w:drawing>
              <wp:anchor xmlns:wp="http://schemas.openxmlformats.org/drawingml/2006/wordprocessingDrawing" distT="0" distB="0" distL="114300" distR="114300" simplePos="0" relativeHeight="104" behindDoc="0" locked="0" layoutInCell="1" allowOverlap="1">
                <wp:simplePos x="0" y="0"/>
                <wp:positionH relativeFrom="column">
                  <wp:posOffset>2121535</wp:posOffset>
                </wp:positionH>
                <wp:positionV relativeFrom="paragraph">
                  <wp:posOffset>60325</wp:posOffset>
                </wp:positionV>
                <wp:extent cx="386715" cy="256540"/>
                <wp:effectExtent l="0" t="0" r="13335" b="10160"/>
                <wp:wrapNone/>
                <wp:docPr id="42" name="Овал 42"/>
                <wp:cNvGraphicFramePr/>
                <a:graphic xmlns:a="http://schemas.openxmlformats.org/drawingml/2006/main">
                  <a:graphicData uri="http://schemas.microsoft.com/office/word/2010/wordprocessingShape">
                    <wps:wsp>
                      <wps:cNvSpPr/>
                      <wps:spPr>
                        <a:xfrm>
                          <a:off x="0" y="0"/>
                          <a:ext cx="387118" cy="256967"/>
                        </a:xfrm>
                        <a:prstGeom prst="ellipse"/>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xmlns:o="urn:schemas-microsoft-com:office:office" id="Овал 42" o:spid="_x0000_s1160" style="position:absolute;width:30.45pt;height:20.2pt;z-index:104;mso-wrap-distance-left:9pt;mso-wrap-distance-top:0pt;mso-wrap-distance-right:9pt;mso-wrap-distance-bottom:0pt;margin-left:167.05pt;margin-top:4.75pt;mso-position-horizontal:absolute;mso-position-horizontal-relative:text;mso-position-vertical:absolute;mso-position-vertical-relative:text;v-text-anchor:middle" o:allowincell="t" filled="f" strokecolor="#000000" strokeweight="1pt" stroked="t"/>
            </w:pict>
          </mc:Fallback>
        </mc:AlternateContent>
      </w:r>
      <w:r>
        <w:rPr>
          <w:rFonts w:ascii="Times New Roman" w:hAnsi="Times New Roman" w:cs="Times New Roman"/>
          <w:i w:val="1"/>
          <w:noProof w:val="1"/>
          <w:sz w:val="28"/>
          <w:szCs w:val="28"/>
          <w:lang w:eastAsia="ru-RU"/>
        </w:rPr>
        <mc:AlternateContent>
          <mc:Choice Requires="wps">
            <w:drawing>
              <wp:anchor xmlns:wp="http://schemas.openxmlformats.org/drawingml/2006/wordprocessingDrawing" distT="0" distB="0" distL="114300" distR="114300" simplePos="0" relativeHeight="75" behindDoc="0" locked="0" layoutInCell="1" allowOverlap="1">
                <wp:simplePos x="0" y="0"/>
                <wp:positionH relativeFrom="column">
                  <wp:posOffset>2069465</wp:posOffset>
                </wp:positionH>
                <wp:positionV relativeFrom="paragraph">
                  <wp:posOffset>59055</wp:posOffset>
                </wp:positionV>
                <wp:extent cx="490855" cy="245110"/>
                <wp:effectExtent l="0" t="0" r="0" b="2540"/>
                <wp:wrapNone/>
                <wp:docPr id="572" name="Надпись 572"/>
                <wp:cNvGraphicFramePr/>
                <a:graphic xmlns:a="http://schemas.openxmlformats.org/drawingml/2006/main">
                  <a:graphicData uri="http://schemas.microsoft.com/office/word/2010/wordprocessingShape">
                    <wps:wsp>
                      <wps:cNvSpPr txBox="1"/>
                      <wps:spPr>
                        <a:xfrm>
                          <a:off x="0" y="0"/>
                          <a:ext cx="490954" cy="245110"/>
                        </a:xfrm>
                        <a:prstGeom prst="rect"/>
                        <a:noFill/>
                        <a:ln w="6350">
                          <a:noFill/>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spacing w:lineRule="auto" w:line="240" w:after="0" w:beforeAutospacing="0" w:afterAutospacing="0"/>
                              <w:jc w:val="center"/>
                              <w:rPr>
                                <w:rFonts w:ascii="Times New Roman" w:hAnsi="Times New Roman" w:cs="Times New Roman"/>
                                <w:sz w:val="20"/>
                                <w:szCs w:val="20"/>
                                <w:lang w:val="en-US"/>
                              </w:rPr>
                            </w:pPr>
                            <w:r>
                              <w:rPr>
                                <w:rFonts w:ascii="Times New Roman" w:hAnsi="Times New Roman" w:cs="Times New Roman"/>
                                <w:sz w:val="20"/>
                                <w:szCs w:val="20"/>
                                <w:lang w:val="en-US"/>
                              </w:rPr>
                              <w:t>SER</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xmlns:o="urn:schemas-microsoft-com:office:office" type="#_x0000_t202" id="Надпись 572" o:spid="_x0000_s1161" style="position:absolute;width:38.65pt;height:19.3pt;z-index:75;mso-wrap-distance-left:9pt;mso-wrap-distance-top:0pt;mso-wrap-distance-right:9pt;mso-wrap-distance-bottom:0pt;margin-left:162.95pt;margin-top:4.65pt;mso-position-horizontal:absolute;mso-position-horizontal-relative:text;mso-position-vertical:absolute;mso-position-vertical-relative:text" o:allowincell="t" filled="f" strokeweight="0.5pt" stroked="f">
                <v:textbox inset="3mm,1mm,3mm,1mm">
                  <w:txbxContent>
                    <w:p>
                      <w:pPr>
                        <w:spacing w:lineRule="auto" w:line="240" w:after="0" w:beforeAutospacing="0" w:afterAutospacing="0"/>
                        <w:jc w:val="center"/>
                        <w:rPr>
                          <w:rFonts w:ascii="Times New Roman" w:hAnsi="Times New Roman" w:cs="Times New Roman"/>
                          <w:sz w:val="20"/>
                          <w:szCs w:val="20"/>
                          <w:lang w:val="en-US"/>
                        </w:rPr>
                      </w:pPr>
                      <w:r>
                        <w:rPr>
                          <w:rFonts w:ascii="Times New Roman" w:hAnsi="Times New Roman" w:cs="Times New Roman"/>
                          <w:sz w:val="20"/>
                          <w:szCs w:val="20"/>
                          <w:lang w:val="en-US"/>
                        </w:rPr>
                        <w:t>SER</w:t>
                      </w:r>
                    </w:p>
                  </w:txbxContent>
                </v:textbox>
              </v:shape>
            </w:pict>
          </mc:Fallback>
        </mc:AlternateContent>
      </w:r>
    </w:p>
    <w:p>
      <w:pPr>
        <w:spacing w:lineRule="auto" w:line="360" w:after="0" w:beforeAutospacing="0" w:afterAutospacing="0"/>
        <w:ind w:firstLine="709"/>
        <w:rPr>
          <w:rFonts w:ascii="Times New Roman" w:hAnsi="Times New Roman" w:cs="Times New Roman"/>
          <w:i w:val="1"/>
          <w:sz w:val="28"/>
          <w:szCs w:val="28"/>
        </w:rPr>
      </w:pPr>
      <w:r>
        <w:rPr>
          <w:rFonts w:ascii="Times New Roman" w:hAnsi="Times New Roman" w:cs="Times New Roman"/>
          <w:i w:val="1"/>
          <w:noProof w:val="1"/>
          <w:sz w:val="28"/>
          <w:szCs w:val="28"/>
          <w:lang w:eastAsia="ru-RU"/>
        </w:rPr>
        <mc:AlternateContent>
          <mc:Choice Requires="wps">
            <w:drawing>
              <wp:anchor xmlns:wp="http://schemas.openxmlformats.org/drawingml/2006/wordprocessingDrawing" distT="0" distB="0" distL="114300" distR="114300" simplePos="0" relativeHeight="135" behindDoc="0" locked="0" layoutInCell="1" allowOverlap="1">
                <wp:simplePos x="0" y="0"/>
                <wp:positionH relativeFrom="column">
                  <wp:posOffset>1522095</wp:posOffset>
                </wp:positionH>
                <wp:positionV relativeFrom="paragraph">
                  <wp:posOffset>101600</wp:posOffset>
                </wp:positionV>
                <wp:extent cx="495300" cy="266700"/>
                <wp:effectExtent l="0" t="0" r="0" b="0"/>
                <wp:wrapNone/>
                <wp:docPr id="480" name="Надпись 480"/>
                <wp:cNvGraphicFramePr/>
                <a:graphic xmlns:a="http://schemas.openxmlformats.org/drawingml/2006/main">
                  <a:graphicData uri="http://schemas.microsoft.com/office/word/2010/wordprocessingShape">
                    <wps:wsp>
                      <wps:cNvSpPr txBox="1"/>
                      <wps:spPr>
                        <a:xfrm>
                          <a:off x="0" y="0"/>
                          <a:ext cx="495300" cy="266700"/>
                        </a:xfrm>
                        <a:prstGeom prst="rect"/>
                        <a:noFill/>
                        <a:ln w="6350">
                          <a:noFill/>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spacing w:lineRule="auto" w:line="240" w:after="0" w:beforeAutospacing="0" w:afterAutospacing="0"/>
                              <w:rPr>
                                <w:rFonts w:ascii="Times New Roman" w:hAnsi="Times New Roman" w:cs="Times New Roman"/>
                                <w:sz w:val="20"/>
                                <w:szCs w:val="20"/>
                              </w:rPr>
                            </w:pPr>
                            <w:r>
                              <w:rPr>
                                <w:rFonts w:ascii="Times New Roman" w:hAnsi="Times New Roman" w:cs="Times New Roman"/>
                                <w:sz w:val="20"/>
                                <w:szCs w:val="20"/>
                              </w:rPr>
                              <w:t>0,348</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xmlns:o="urn:schemas-microsoft-com:office:office" type="#_x0000_t202" id="Надпись 480" o:spid="_x0000_s1162" style="position:absolute;width:39pt;height:21pt;z-index:135;mso-wrap-distance-left:9pt;mso-wrap-distance-top:0pt;mso-wrap-distance-right:9pt;mso-wrap-distance-bottom:0pt;margin-left:119.85pt;margin-top:8pt;mso-position-horizontal:absolute;mso-position-horizontal-relative:text;mso-position-vertical:absolute;mso-position-vertical-relative:text" o:allowincell="t" filled="f" strokeweight="0.5pt" stroked="f">
                <v:textbox inset="3mm,1mm,3mm,1mm">
                  <w:txbxContent>
                    <w:p>
                      <w:pPr>
                        <w:spacing w:lineRule="auto" w:line="240" w:after="0" w:beforeAutospacing="0" w:afterAutospacing="0"/>
                        <w:rPr>
                          <w:rFonts w:ascii="Times New Roman" w:hAnsi="Times New Roman" w:cs="Times New Roman"/>
                          <w:sz w:val="20"/>
                          <w:szCs w:val="20"/>
                        </w:rPr>
                      </w:pPr>
                      <w:r>
                        <w:rPr>
                          <w:rFonts w:ascii="Times New Roman" w:hAnsi="Times New Roman" w:cs="Times New Roman"/>
                          <w:sz w:val="20"/>
                          <w:szCs w:val="20"/>
                        </w:rPr>
                        <w:t>0,348</w:t>
                      </w:r>
                    </w:p>
                  </w:txbxContent>
                </v:textbox>
              </v:shape>
            </w:pict>
          </mc:Fallback>
        </mc:AlternateContent>
      </w:r>
      <w:r>
        <w:rPr>
          <w:rFonts w:ascii="Times New Roman" w:hAnsi="Times New Roman" w:cs="Times New Roman"/>
          <w:i w:val="1"/>
          <w:noProof w:val="1"/>
          <w:sz w:val="28"/>
          <w:szCs w:val="28"/>
          <w:lang w:eastAsia="ru-RU"/>
        </w:rPr>
        <mc:AlternateContent>
          <mc:Choice Requires="wps">
            <w:drawing>
              <wp:anchor xmlns:wp="http://schemas.openxmlformats.org/drawingml/2006/wordprocessingDrawing" distT="0" distB="0" distL="114300" distR="114300" simplePos="0" relativeHeight="134" behindDoc="0" locked="0" layoutInCell="1" allowOverlap="1">
                <wp:simplePos x="0" y="0"/>
                <wp:positionH relativeFrom="column">
                  <wp:posOffset>2252345</wp:posOffset>
                </wp:positionH>
                <wp:positionV relativeFrom="paragraph">
                  <wp:posOffset>2540</wp:posOffset>
                </wp:positionV>
                <wp:extent cx="495300" cy="266700"/>
                <wp:effectExtent l="0" t="0" r="0" b="0"/>
                <wp:wrapNone/>
                <wp:docPr id="479" name="Надпись 479"/>
                <wp:cNvGraphicFramePr/>
                <a:graphic xmlns:a="http://schemas.openxmlformats.org/drawingml/2006/main">
                  <a:graphicData uri="http://schemas.microsoft.com/office/word/2010/wordprocessingShape">
                    <wps:wsp>
                      <wps:cNvSpPr txBox="1"/>
                      <wps:spPr>
                        <a:xfrm>
                          <a:off x="0" y="0"/>
                          <a:ext cx="495300" cy="266700"/>
                        </a:xfrm>
                        <a:prstGeom prst="rect"/>
                        <a:noFill/>
                        <a:ln w="6350">
                          <a:noFill/>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spacing w:lineRule="auto" w:line="240" w:after="0" w:beforeAutospacing="0" w:afterAutospacing="0"/>
                              <w:rPr>
                                <w:rFonts w:ascii="Times New Roman" w:hAnsi="Times New Roman" w:cs="Times New Roman"/>
                                <w:sz w:val="20"/>
                                <w:szCs w:val="20"/>
                              </w:rPr>
                            </w:pPr>
                            <w:r>
                              <w:rPr>
                                <w:rFonts w:ascii="Times New Roman" w:hAnsi="Times New Roman" w:cs="Times New Roman"/>
                                <w:sz w:val="20"/>
                                <w:szCs w:val="20"/>
                              </w:rPr>
                              <w:t>0,</w:t>
                            </w:r>
                            <w:r>
                              <w:rPr>
                                <w:rFonts w:ascii="Times New Roman" w:hAnsi="Times New Roman" w:cs="Times New Roman"/>
                                <w:sz w:val="20"/>
                                <w:szCs w:val="20"/>
                                <w:lang w:val="en-US"/>
                              </w:rPr>
                              <w:t>41</w:t>
                            </w:r>
                            <w:r>
                              <w:rPr>
                                <w:rFonts w:ascii="Times New Roman" w:hAnsi="Times New Roman" w:cs="Times New Roman"/>
                                <w:sz w:val="20"/>
                                <w:szCs w:val="20"/>
                              </w:rPr>
                              <w:t>9</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xmlns:o="urn:schemas-microsoft-com:office:office" type="#_x0000_t202" id="Надпись 479" o:spid="_x0000_s1163" style="position:absolute;width:39pt;height:21pt;z-index:134;mso-wrap-distance-left:9pt;mso-wrap-distance-top:0pt;mso-wrap-distance-right:9pt;mso-wrap-distance-bottom:0pt;margin-left:177.35pt;margin-top:0.2pt;mso-position-horizontal:absolute;mso-position-horizontal-relative:text;mso-position-vertical:absolute;mso-position-vertical-relative:text" o:allowincell="t" filled="f" strokeweight="0.5pt" stroked="f">
                <v:textbox inset="3mm,1mm,3mm,1mm">
                  <w:txbxContent>
                    <w:p>
                      <w:pPr>
                        <w:spacing w:lineRule="auto" w:line="240" w:after="0" w:beforeAutospacing="0" w:afterAutospacing="0"/>
                        <w:rPr>
                          <w:rFonts w:ascii="Times New Roman" w:hAnsi="Times New Roman" w:cs="Times New Roman"/>
                          <w:sz w:val="20"/>
                          <w:szCs w:val="20"/>
                        </w:rPr>
                      </w:pPr>
                      <w:r>
                        <w:rPr>
                          <w:rFonts w:ascii="Times New Roman" w:hAnsi="Times New Roman" w:cs="Times New Roman"/>
                          <w:sz w:val="20"/>
                          <w:szCs w:val="20"/>
                        </w:rPr>
                        <w:t>0,</w:t>
                      </w:r>
                      <w:r>
                        <w:rPr>
                          <w:rFonts w:ascii="Times New Roman" w:hAnsi="Times New Roman" w:cs="Times New Roman"/>
                          <w:sz w:val="20"/>
                          <w:szCs w:val="20"/>
                          <w:lang w:val="en-US"/>
                        </w:rPr>
                        <w:t>41</w:t>
                      </w:r>
                      <w:r>
                        <w:rPr>
                          <w:rFonts w:ascii="Times New Roman" w:hAnsi="Times New Roman" w:cs="Times New Roman"/>
                          <w:sz w:val="20"/>
                          <w:szCs w:val="20"/>
                        </w:rPr>
                        <w:t>9</w:t>
                      </w:r>
                    </w:p>
                  </w:txbxContent>
                </v:textbox>
              </v:shape>
            </w:pict>
          </mc:Fallback>
        </mc:AlternateContent>
      </w:r>
      <w:r>
        <w:rPr>
          <w:rFonts w:ascii="Times New Roman" w:hAnsi="Times New Roman" w:cs="Times New Roman"/>
          <w:i w:val="1"/>
          <w:noProof w:val="1"/>
          <w:sz w:val="28"/>
          <w:szCs w:val="28"/>
          <w:lang w:eastAsia="ru-RU"/>
        </w:rPr>
        <mc:AlternateContent>
          <mc:Choice Requires="wps">
            <w:drawing>
              <wp:anchor xmlns:wp="http://schemas.openxmlformats.org/drawingml/2006/wordprocessingDrawing" distT="0" distB="0" distL="114300" distR="114300" simplePos="0" relativeHeight="133" behindDoc="0" locked="0" layoutInCell="1" allowOverlap="1">
                <wp:simplePos x="0" y="0"/>
                <wp:positionH relativeFrom="column">
                  <wp:posOffset>4469765</wp:posOffset>
                </wp:positionH>
                <wp:positionV relativeFrom="paragraph">
                  <wp:posOffset>190500</wp:posOffset>
                </wp:positionV>
                <wp:extent cx="495300" cy="266700"/>
                <wp:effectExtent l="0" t="0" r="0" b="0"/>
                <wp:wrapNone/>
                <wp:docPr id="478" name="Надпись 478"/>
                <wp:cNvGraphicFramePr/>
                <a:graphic xmlns:a="http://schemas.openxmlformats.org/drawingml/2006/main">
                  <a:graphicData uri="http://schemas.microsoft.com/office/word/2010/wordprocessingShape">
                    <wps:wsp>
                      <wps:cNvSpPr txBox="1"/>
                      <wps:spPr>
                        <a:xfrm>
                          <a:off x="0" y="0"/>
                          <a:ext cx="495300" cy="266700"/>
                        </a:xfrm>
                        <a:prstGeom prst="rect"/>
                        <a:noFill/>
                        <a:ln w="6350">
                          <a:noFill/>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spacing w:lineRule="auto" w:line="240" w:after="0" w:beforeAutospacing="0" w:afterAutospacing="0"/>
                              <w:rPr>
                                <w:rFonts w:ascii="Times New Roman" w:hAnsi="Times New Roman" w:cs="Times New Roman"/>
                                <w:sz w:val="20"/>
                                <w:szCs w:val="20"/>
                              </w:rPr>
                            </w:pPr>
                            <w:r>
                              <w:rPr>
                                <w:rFonts w:ascii="Times New Roman" w:hAnsi="Times New Roman" w:cs="Times New Roman"/>
                                <w:sz w:val="20"/>
                                <w:szCs w:val="20"/>
                              </w:rPr>
                              <w:t>0,476</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xmlns:o="urn:schemas-microsoft-com:office:office" type="#_x0000_t202" id="Надпись 478" o:spid="_x0000_s1164" style="position:absolute;width:39pt;height:21pt;z-index:133;mso-wrap-distance-left:9pt;mso-wrap-distance-top:0pt;mso-wrap-distance-right:9pt;mso-wrap-distance-bottom:0pt;margin-left:351.95pt;margin-top:15pt;mso-position-horizontal:absolute;mso-position-horizontal-relative:text;mso-position-vertical:absolute;mso-position-vertical-relative:text" o:allowincell="t" filled="f" strokeweight="0.5pt" stroked="f">
                <v:textbox inset="3mm,1mm,3mm,1mm">
                  <w:txbxContent>
                    <w:p>
                      <w:pPr>
                        <w:spacing w:lineRule="auto" w:line="240" w:after="0" w:beforeAutospacing="0" w:afterAutospacing="0"/>
                        <w:rPr>
                          <w:rFonts w:ascii="Times New Roman" w:hAnsi="Times New Roman" w:cs="Times New Roman"/>
                          <w:sz w:val="20"/>
                          <w:szCs w:val="20"/>
                        </w:rPr>
                      </w:pPr>
                      <w:r>
                        <w:rPr>
                          <w:rFonts w:ascii="Times New Roman" w:hAnsi="Times New Roman" w:cs="Times New Roman"/>
                          <w:sz w:val="20"/>
                          <w:szCs w:val="20"/>
                        </w:rPr>
                        <w:t>0,476</w:t>
                      </w:r>
                    </w:p>
                  </w:txbxContent>
                </v:textbox>
              </v:shape>
            </w:pict>
          </mc:Fallback>
        </mc:AlternateContent>
      </w:r>
      <w:r>
        <w:rPr>
          <w:rFonts w:ascii="Times New Roman" w:hAnsi="Times New Roman" w:cs="Times New Roman"/>
          <w:i w:val="1"/>
          <w:noProof w:val="1"/>
          <w:sz w:val="28"/>
          <w:szCs w:val="28"/>
          <w:lang w:eastAsia="ru-RU"/>
        </w:rPr>
        <mc:AlternateContent>
          <mc:Choice Requires="wps">
            <w:drawing>
              <wp:anchor xmlns:wp="http://schemas.openxmlformats.org/drawingml/2006/wordprocessingDrawing" distT="0" distB="0" distL="114300" distR="114300" simplePos="0" relativeHeight="132" behindDoc="0" locked="0" layoutInCell="1" allowOverlap="1">
                <wp:simplePos x="0" y="0"/>
                <wp:positionH relativeFrom="column">
                  <wp:posOffset>5000625</wp:posOffset>
                </wp:positionH>
                <wp:positionV relativeFrom="paragraph">
                  <wp:posOffset>195580</wp:posOffset>
                </wp:positionV>
                <wp:extent cx="495300" cy="266700"/>
                <wp:effectExtent l="0" t="0" r="0" b="0"/>
                <wp:wrapNone/>
                <wp:docPr id="477" name="Надпись 477"/>
                <wp:cNvGraphicFramePr/>
                <a:graphic xmlns:a="http://schemas.openxmlformats.org/drawingml/2006/main">
                  <a:graphicData uri="http://schemas.microsoft.com/office/word/2010/wordprocessingShape">
                    <wps:wsp>
                      <wps:cNvSpPr txBox="1"/>
                      <wps:spPr>
                        <a:xfrm>
                          <a:off x="0" y="0"/>
                          <a:ext cx="495300" cy="266700"/>
                        </a:xfrm>
                        <a:prstGeom prst="rect"/>
                        <a:noFill/>
                        <a:ln w="6350">
                          <a:noFill/>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spacing w:lineRule="auto" w:line="240" w:after="0" w:beforeAutospacing="0" w:afterAutospacing="0"/>
                              <w:rPr>
                                <w:rFonts w:ascii="Times New Roman" w:hAnsi="Times New Roman" w:cs="Times New Roman"/>
                                <w:sz w:val="20"/>
                                <w:szCs w:val="20"/>
                              </w:rPr>
                            </w:pPr>
                            <w:r>
                              <w:rPr>
                                <w:rFonts w:ascii="Times New Roman" w:hAnsi="Times New Roman" w:cs="Times New Roman"/>
                                <w:sz w:val="20"/>
                                <w:szCs w:val="20"/>
                              </w:rPr>
                              <w:t>0,448</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xmlns:o="urn:schemas-microsoft-com:office:office" type="#_x0000_t202" id="Надпись 477" o:spid="_x0000_s1165" style="position:absolute;width:39pt;height:21pt;z-index:132;mso-wrap-distance-left:9pt;mso-wrap-distance-top:0pt;mso-wrap-distance-right:9pt;mso-wrap-distance-bottom:0pt;margin-left:393.75pt;margin-top:15.4pt;mso-position-horizontal:absolute;mso-position-horizontal-relative:text;mso-position-vertical:absolute;mso-position-vertical-relative:text" o:allowincell="t" filled="f" strokeweight="0.5pt" stroked="f">
                <v:textbox inset="3mm,1mm,3mm,1mm">
                  <w:txbxContent>
                    <w:p>
                      <w:pPr>
                        <w:spacing w:lineRule="auto" w:line="240" w:after="0" w:beforeAutospacing="0" w:afterAutospacing="0"/>
                        <w:rPr>
                          <w:rFonts w:ascii="Times New Roman" w:hAnsi="Times New Roman" w:cs="Times New Roman"/>
                          <w:sz w:val="20"/>
                          <w:szCs w:val="20"/>
                        </w:rPr>
                      </w:pPr>
                      <w:r>
                        <w:rPr>
                          <w:rFonts w:ascii="Times New Roman" w:hAnsi="Times New Roman" w:cs="Times New Roman"/>
                          <w:sz w:val="20"/>
                          <w:szCs w:val="20"/>
                        </w:rPr>
                        <w:t>0,448</w:t>
                      </w:r>
                    </w:p>
                  </w:txbxContent>
                </v:textbox>
              </v:shape>
            </w:pict>
          </mc:Fallback>
        </mc:AlternateContent>
      </w:r>
      <w:r>
        <w:rPr>
          <w:rFonts w:ascii="Times New Roman" w:hAnsi="Times New Roman" w:cs="Times New Roman"/>
          <w:i w:val="1"/>
          <w:noProof w:val="1"/>
          <w:sz w:val="28"/>
          <w:szCs w:val="28"/>
          <w:lang w:eastAsia="ru-RU"/>
        </w:rPr>
        <mc:AlternateContent>
          <mc:Choice Requires="wps">
            <w:drawing>
              <wp:anchor xmlns:wp="http://schemas.openxmlformats.org/drawingml/2006/wordprocessingDrawing" distT="0" distB="0" distL="114300" distR="114300" simplePos="0" relativeHeight="131" behindDoc="0" locked="0" layoutInCell="1" allowOverlap="1">
                <wp:simplePos x="0" y="0"/>
                <wp:positionH relativeFrom="column">
                  <wp:posOffset>5501005</wp:posOffset>
                </wp:positionH>
                <wp:positionV relativeFrom="paragraph">
                  <wp:posOffset>193040</wp:posOffset>
                </wp:positionV>
                <wp:extent cx="495300" cy="266700"/>
                <wp:effectExtent l="0" t="0" r="0" b="0"/>
                <wp:wrapNone/>
                <wp:docPr id="476" name="Надпись 476"/>
                <wp:cNvGraphicFramePr/>
                <a:graphic xmlns:a="http://schemas.openxmlformats.org/drawingml/2006/main">
                  <a:graphicData uri="http://schemas.microsoft.com/office/word/2010/wordprocessingShape">
                    <wps:wsp>
                      <wps:cNvSpPr txBox="1"/>
                      <wps:spPr>
                        <a:xfrm>
                          <a:off x="0" y="0"/>
                          <a:ext cx="495300" cy="266700"/>
                        </a:xfrm>
                        <a:prstGeom prst="rect"/>
                        <a:noFill/>
                        <a:ln w="6350">
                          <a:noFill/>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spacing w:lineRule="auto" w:line="240" w:after="0" w:beforeAutospacing="0" w:afterAutospacing="0"/>
                              <w:rPr>
                                <w:rFonts w:ascii="Times New Roman" w:hAnsi="Times New Roman" w:cs="Times New Roman"/>
                                <w:sz w:val="20"/>
                                <w:szCs w:val="20"/>
                              </w:rPr>
                            </w:pPr>
                            <w:r>
                              <w:rPr>
                                <w:rFonts w:ascii="Times New Roman" w:hAnsi="Times New Roman" w:cs="Times New Roman"/>
                                <w:sz w:val="20"/>
                                <w:szCs w:val="20"/>
                              </w:rPr>
                              <w:t>0,340</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xmlns:o="urn:schemas-microsoft-com:office:office" type="#_x0000_t202" id="Надпись 476" o:spid="_x0000_s1166" style="position:absolute;width:39pt;height:21pt;z-index:131;mso-wrap-distance-left:9pt;mso-wrap-distance-top:0pt;mso-wrap-distance-right:9pt;mso-wrap-distance-bottom:0pt;margin-left:433.15pt;margin-top:15.2pt;mso-position-horizontal:absolute;mso-position-horizontal-relative:text;mso-position-vertical:absolute;mso-position-vertical-relative:text" o:allowincell="t" filled="f" strokeweight="0.5pt" stroked="f">
                <v:textbox inset="3mm,1mm,3mm,1mm">
                  <w:txbxContent>
                    <w:p>
                      <w:pPr>
                        <w:spacing w:lineRule="auto" w:line="240" w:after="0" w:beforeAutospacing="0" w:afterAutospacing="0"/>
                        <w:rPr>
                          <w:rFonts w:ascii="Times New Roman" w:hAnsi="Times New Roman" w:cs="Times New Roman"/>
                          <w:sz w:val="20"/>
                          <w:szCs w:val="20"/>
                        </w:rPr>
                      </w:pPr>
                      <w:r>
                        <w:rPr>
                          <w:rFonts w:ascii="Times New Roman" w:hAnsi="Times New Roman" w:cs="Times New Roman"/>
                          <w:sz w:val="20"/>
                          <w:szCs w:val="20"/>
                        </w:rPr>
                        <w:t>0,340</w:t>
                      </w:r>
                    </w:p>
                  </w:txbxContent>
                </v:textbox>
              </v:shape>
            </w:pict>
          </mc:Fallback>
        </mc:AlternateContent>
      </w:r>
      <w:r>
        <w:rPr>
          <w:rFonts w:ascii="Times New Roman" w:hAnsi="Times New Roman" w:cs="Times New Roman"/>
          <w:i w:val="1"/>
          <w:noProof w:val="1"/>
          <w:sz w:val="28"/>
          <w:szCs w:val="28"/>
          <w:lang w:eastAsia="ru-RU"/>
        </w:rPr>
        <mc:AlternateContent>
          <mc:Choice Requires="wps">
            <w:drawing>
              <wp:anchor xmlns:wp="http://schemas.openxmlformats.org/drawingml/2006/wordprocessingDrawing" distT="0" distB="0" distL="114300" distR="114300" simplePos="0" relativeHeight="113" behindDoc="0" locked="0" layoutInCell="1" allowOverlap="1">
                <wp:simplePos x="0" y="0"/>
                <wp:positionH relativeFrom="column">
                  <wp:posOffset>5561965</wp:posOffset>
                </wp:positionH>
                <wp:positionV relativeFrom="paragraph">
                  <wp:posOffset>80645</wp:posOffset>
                </wp:positionV>
                <wp:extent cx="2540" cy="547370"/>
                <wp:effectExtent l="76200" t="0" r="73660" b="62230"/>
                <wp:wrapNone/>
                <wp:docPr id="54" name="Прямая со стрелкой 54"/>
                <wp:cNvGraphicFramePr/>
                <a:graphic xmlns:a="http://schemas.openxmlformats.org/drawingml/2006/main">
                  <a:graphicData uri="http://schemas.microsoft.com/office/word/2010/wordprocessingShape">
                    <wps:wsp>
                      <wps:cNvCnPr/>
                      <wps:spPr>
                        <a:xfrm>
                          <a:off x="0" y="0"/>
                          <a:ext cx="2540" cy="547370"/>
                        </a:xfrm>
                        <a:prstGeom prst="straightConnector1"/>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xmlns:o="urn:schemas-microsoft-com:office:office" type="#_x0000_t32" id="Прямая со стрелкой 54" o:spid="_x0000_s1167" style="position:absolute;width:0.2pt;height:43.1pt;z-index:113;mso-wrap-distance-left:9pt;mso-wrap-distance-top:0pt;mso-wrap-distance-right:9pt;mso-wrap-distance-bottom:0pt;margin-left:437.95pt;margin-top:6.35pt;mso-position-horizontal:absolute;mso-position-horizontal-relative:text;mso-position-vertical:absolute;mso-position-vertical-relative:text" strokecolor="#000000" strokeweight="0.5pt" stroked="t" o:allowincell="t">
                <v:stroke endarrow="block"/>
              </v:shape>
            </w:pict>
          </mc:Fallback>
        </mc:AlternateContent>
      </w:r>
      <w:r>
        <w:rPr>
          <w:rFonts w:ascii="Times New Roman" w:hAnsi="Times New Roman" w:cs="Times New Roman"/>
          <w:i w:val="1"/>
          <w:noProof w:val="1"/>
          <w:sz w:val="28"/>
          <w:szCs w:val="28"/>
          <w:lang w:eastAsia="ru-RU"/>
        </w:rPr>
        <mc:AlternateContent>
          <mc:Choice Requires="wps">
            <w:drawing>
              <wp:anchor xmlns:wp="http://schemas.openxmlformats.org/drawingml/2006/wordprocessingDrawing" distT="0" distB="0" distL="114300" distR="114300" simplePos="0" relativeHeight="112" behindDoc="0" locked="0" layoutInCell="1" allowOverlap="1">
                <wp:simplePos x="0" y="0"/>
                <wp:positionH relativeFrom="column">
                  <wp:posOffset>5051425</wp:posOffset>
                </wp:positionH>
                <wp:positionV relativeFrom="paragraph">
                  <wp:posOffset>79375</wp:posOffset>
                </wp:positionV>
                <wp:extent cx="2540" cy="547370"/>
                <wp:effectExtent l="76200" t="0" r="73660" b="62230"/>
                <wp:wrapNone/>
                <wp:docPr id="53" name="Прямая со стрелкой 53"/>
                <wp:cNvGraphicFramePr/>
                <a:graphic xmlns:a="http://schemas.openxmlformats.org/drawingml/2006/main">
                  <a:graphicData uri="http://schemas.microsoft.com/office/word/2010/wordprocessingShape">
                    <wps:wsp>
                      <wps:cNvCnPr/>
                      <wps:spPr>
                        <a:xfrm>
                          <a:off x="0" y="0"/>
                          <a:ext cx="2540" cy="547370"/>
                        </a:xfrm>
                        <a:prstGeom prst="straightConnector1"/>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xmlns:o="urn:schemas-microsoft-com:office:office" type="#_x0000_t32" id="Прямая со стрелкой 53" o:spid="_x0000_s1168" style="position:absolute;width:0.2pt;height:43.1pt;z-index:112;mso-wrap-distance-left:9pt;mso-wrap-distance-top:0pt;mso-wrap-distance-right:9pt;mso-wrap-distance-bottom:0pt;margin-left:397.75pt;margin-top:6.25pt;mso-position-horizontal:absolute;mso-position-horizontal-relative:text;mso-position-vertical:absolute;mso-position-vertical-relative:text" strokecolor="#000000" strokeweight="0.5pt" stroked="t" o:allowincell="t">
                <v:stroke endarrow="block"/>
              </v:shape>
            </w:pict>
          </mc:Fallback>
        </mc:AlternateContent>
      </w:r>
      <w:r>
        <w:rPr>
          <w:rFonts w:ascii="Times New Roman" w:hAnsi="Times New Roman" w:cs="Times New Roman"/>
          <w:i w:val="1"/>
          <w:noProof w:val="1"/>
          <w:sz w:val="28"/>
          <w:szCs w:val="28"/>
          <w:lang w:eastAsia="ru-RU"/>
        </w:rPr>
        <mc:AlternateContent>
          <mc:Choice Requires="wps">
            <w:drawing>
              <wp:anchor xmlns:wp="http://schemas.openxmlformats.org/drawingml/2006/wordprocessingDrawing" distT="0" distB="0" distL="114300" distR="114300" simplePos="0" relativeHeight="111" behindDoc="0" locked="0" layoutInCell="1" allowOverlap="1">
                <wp:simplePos x="0" y="0"/>
                <wp:positionH relativeFrom="column">
                  <wp:posOffset>4535805</wp:posOffset>
                </wp:positionH>
                <wp:positionV relativeFrom="paragraph">
                  <wp:posOffset>76835</wp:posOffset>
                </wp:positionV>
                <wp:extent cx="2540" cy="547370"/>
                <wp:effectExtent l="76200" t="0" r="73660" b="62230"/>
                <wp:wrapNone/>
                <wp:docPr id="52" name="Прямая со стрелкой 52"/>
                <wp:cNvGraphicFramePr/>
                <a:graphic xmlns:a="http://schemas.openxmlformats.org/drawingml/2006/main">
                  <a:graphicData uri="http://schemas.microsoft.com/office/word/2010/wordprocessingShape">
                    <wps:wsp>
                      <wps:cNvCnPr/>
                      <wps:spPr>
                        <a:xfrm>
                          <a:off x="0" y="0"/>
                          <a:ext cx="2540" cy="547370"/>
                        </a:xfrm>
                        <a:prstGeom prst="straightConnector1"/>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xmlns:o="urn:schemas-microsoft-com:office:office" type="#_x0000_t32" id="Прямая со стрелкой 52" o:spid="_x0000_s1169" style="position:absolute;width:0.2pt;height:43.1pt;z-index:111;mso-wrap-distance-left:9pt;mso-wrap-distance-top:0pt;mso-wrap-distance-right:9pt;mso-wrap-distance-bottom:0pt;margin-left:357.15pt;margin-top:6.05pt;mso-position-horizontal:absolute;mso-position-horizontal-relative:text;mso-position-vertical:absolute;mso-position-vertical-relative:text" strokecolor="#000000" strokeweight="0.5pt" stroked="t" o:allowincell="t">
                <v:stroke endarrow="block"/>
              </v:shape>
            </w:pict>
          </mc:Fallback>
        </mc:AlternateContent>
      </w:r>
      <w:r>
        <w:rPr>
          <w:rFonts w:ascii="Times New Roman" w:hAnsi="Times New Roman" w:cs="Times New Roman"/>
          <w:i w:val="1"/>
          <w:noProof w:val="1"/>
          <w:sz w:val="28"/>
          <w:szCs w:val="28"/>
          <w:lang w:eastAsia="ru-RU"/>
        </w:rPr>
        <mc:AlternateContent>
          <mc:Choice Requires="wps">
            <w:drawing>
              <wp:anchor xmlns:wp="http://schemas.openxmlformats.org/drawingml/2006/wordprocessingDrawing" distT="0" distB="0" distL="114300" distR="114300" simplePos="0" relativeHeight="106" behindDoc="0" locked="0" layoutInCell="1" allowOverlap="1">
                <wp:simplePos x="0" y="0"/>
                <wp:positionH relativeFrom="column">
                  <wp:posOffset>1473200</wp:posOffset>
                </wp:positionH>
                <wp:positionV relativeFrom="paragraph">
                  <wp:posOffset>288925</wp:posOffset>
                </wp:positionV>
                <wp:extent cx="601980" cy="116840"/>
                <wp:effectExtent l="0" t="0" r="64770" b="73660"/>
                <wp:wrapNone/>
                <wp:docPr id="47" name="Прямая со стрелкой 47"/>
                <wp:cNvGraphicFramePr/>
                <a:graphic xmlns:a="http://schemas.openxmlformats.org/drawingml/2006/main">
                  <a:graphicData uri="http://schemas.microsoft.com/office/word/2010/wordprocessingShape">
                    <wps:wsp>
                      <wps:cNvCnPr/>
                      <wps:spPr>
                        <a:xfrm>
                          <a:off x="0" y="0"/>
                          <a:ext cx="602573" cy="116840"/>
                        </a:xfrm>
                        <a:prstGeom prst="straightConnector1"/>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xmlns:o="urn:schemas-microsoft-com:office:office" type="#_x0000_t32" id="Прямая со стрелкой 47" o:spid="_x0000_s1170" style="position:absolute;width:47.4pt;height:9.2pt;z-index:106;mso-wrap-distance-left:9pt;mso-wrap-distance-top:0pt;mso-wrap-distance-right:9pt;mso-wrap-distance-bottom:0pt;margin-left:116pt;margin-top:22.75pt;mso-position-horizontal:absolute;mso-position-horizontal-relative:text;mso-position-vertical:absolute;mso-position-vertical-relative:text" strokecolor="#000000" strokeweight="0.5pt" stroked="t" o:allowincell="t">
                <v:stroke endarrow="block"/>
              </v:shape>
            </w:pict>
          </mc:Fallback>
        </mc:AlternateContent>
      </w:r>
      <w:r>
        <w:rPr>
          <w:rFonts w:ascii="Times New Roman" w:hAnsi="Times New Roman" w:cs="Times New Roman"/>
          <w:i w:val="1"/>
          <w:noProof w:val="1"/>
          <w:sz w:val="28"/>
          <w:szCs w:val="28"/>
          <w:lang w:eastAsia="ru-RU"/>
        </w:rPr>
        <mc:AlternateContent>
          <mc:Choice Requires="wps">
            <w:drawing>
              <wp:anchor xmlns:wp="http://schemas.openxmlformats.org/drawingml/2006/wordprocessingDrawing" distT="0" distB="0" distL="114300" distR="114300" simplePos="0" relativeHeight="105" behindDoc="0" locked="0" layoutInCell="1" allowOverlap="1">
                <wp:simplePos x="0" y="0"/>
                <wp:positionH relativeFrom="column">
                  <wp:posOffset>2315845</wp:posOffset>
                </wp:positionH>
                <wp:positionV relativeFrom="paragraph">
                  <wp:posOffset>12065</wp:posOffset>
                </wp:positionV>
                <wp:extent cx="0" cy="322580"/>
                <wp:effectExtent l="76200" t="0" r="76200" b="58420"/>
                <wp:wrapNone/>
                <wp:docPr id="44" name="Прямая со стрелкой 44"/>
                <wp:cNvGraphicFramePr/>
                <a:graphic xmlns:a="http://schemas.openxmlformats.org/drawingml/2006/main">
                  <a:graphicData uri="http://schemas.microsoft.com/office/word/2010/wordprocessingShape">
                    <wps:wsp>
                      <wps:cNvCnPr/>
                      <wps:spPr>
                        <a:xfrm>
                          <a:off x="0" y="0"/>
                          <a:ext cx="0" cy="322580"/>
                        </a:xfrm>
                        <a:prstGeom prst="straightConnector1"/>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xmlns:o="urn:schemas-microsoft-com:office:office" type="#_x0000_t32" id="Прямая со стрелкой 44" o:spid="_x0000_s1171" style="position:absolute;width:0pt;height:25.4pt;z-index:105;mso-wrap-distance-left:9pt;mso-wrap-distance-top:0pt;mso-wrap-distance-right:9pt;mso-wrap-distance-bottom:0pt;margin-left:182.35pt;margin-top:0.95pt;mso-position-horizontal:absolute;mso-position-horizontal-relative:text;mso-position-vertical:absolute;mso-position-vertical-relative:text" strokecolor="#000000" strokeweight="0.5pt" stroked="t" o:allowincell="t">
                <v:stroke endarrow="block"/>
              </v:shape>
            </w:pict>
          </mc:Fallback>
        </mc:AlternateContent>
      </w:r>
      <w:r>
        <w:rPr>
          <w:rFonts w:ascii="Times New Roman" w:hAnsi="Times New Roman" w:cs="Times New Roman"/>
          <w:i w:val="1"/>
          <w:noProof w:val="1"/>
          <w:sz w:val="28"/>
          <w:szCs w:val="28"/>
          <w:lang w:eastAsia="ru-RU"/>
        </w:rPr>
        <mc:AlternateContent>
          <mc:Choice Requires="wps">
            <w:drawing>
              <wp:anchor xmlns:wp="http://schemas.openxmlformats.org/drawingml/2006/wordprocessingDrawing" distT="0" distB="0" distL="114300" distR="114300" simplePos="0" relativeHeight="103" behindDoc="0" locked="0" layoutInCell="1" allowOverlap="1">
                <wp:simplePos x="0" y="0"/>
                <wp:positionH relativeFrom="column">
                  <wp:posOffset>1087755</wp:posOffset>
                </wp:positionH>
                <wp:positionV relativeFrom="paragraph">
                  <wp:posOffset>165100</wp:posOffset>
                </wp:positionV>
                <wp:extent cx="386715" cy="256540"/>
                <wp:effectExtent l="0" t="0" r="13335" b="10160"/>
                <wp:wrapNone/>
                <wp:docPr id="40" name="Овал 40"/>
                <wp:cNvGraphicFramePr/>
                <a:graphic xmlns:a="http://schemas.openxmlformats.org/drawingml/2006/main">
                  <a:graphicData uri="http://schemas.microsoft.com/office/word/2010/wordprocessingShape">
                    <wps:wsp>
                      <wps:cNvSpPr/>
                      <wps:spPr>
                        <a:xfrm>
                          <a:off x="0" y="0"/>
                          <a:ext cx="387118" cy="256967"/>
                        </a:xfrm>
                        <a:prstGeom prst="ellipse"/>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xmlns:o="urn:schemas-microsoft-com:office:office" id="Овал 40" o:spid="_x0000_s1172" style="position:absolute;width:30.45pt;height:20.2pt;z-index:103;mso-wrap-distance-left:9pt;mso-wrap-distance-top:0pt;mso-wrap-distance-right:9pt;mso-wrap-distance-bottom:0pt;margin-left:85.65pt;margin-top:13pt;mso-position-horizontal:absolute;mso-position-horizontal-relative:text;mso-position-vertical:absolute;mso-position-vertical-relative:text;v-text-anchor:middle" o:allowincell="t" filled="f" strokecolor="#000000" strokeweight="1pt" stroked="t"/>
            </w:pict>
          </mc:Fallback>
        </mc:AlternateContent>
      </w:r>
      <w:r>
        <w:rPr>
          <w:rFonts w:ascii="Times New Roman" w:hAnsi="Times New Roman" w:cs="Times New Roman"/>
          <w:i w:val="1"/>
          <w:noProof w:val="1"/>
          <w:sz w:val="28"/>
          <w:szCs w:val="28"/>
          <w:lang w:eastAsia="ru-RU"/>
        </w:rPr>
        <mc:AlternateContent>
          <mc:Choice Requires="wps">
            <w:drawing>
              <wp:anchor xmlns:wp="http://schemas.openxmlformats.org/drawingml/2006/wordprocessingDrawing" distT="0" distB="0" distL="114300" distR="114300" simplePos="0" relativeHeight="73" behindDoc="0" locked="0" layoutInCell="1" allowOverlap="1">
                <wp:simplePos x="0" y="0"/>
                <wp:positionH relativeFrom="column">
                  <wp:posOffset>1045210</wp:posOffset>
                </wp:positionH>
                <wp:positionV relativeFrom="paragraph">
                  <wp:posOffset>172085</wp:posOffset>
                </wp:positionV>
                <wp:extent cx="453390" cy="245110"/>
                <wp:effectExtent l="0" t="0" r="0" b="2540"/>
                <wp:wrapNone/>
                <wp:docPr id="296" name="Надпись 296"/>
                <wp:cNvGraphicFramePr/>
                <a:graphic xmlns:a="http://schemas.openxmlformats.org/drawingml/2006/main">
                  <a:graphicData uri="http://schemas.microsoft.com/office/word/2010/wordprocessingShape">
                    <wps:wsp>
                      <wps:cNvSpPr txBox="1"/>
                      <wps:spPr>
                        <a:xfrm>
                          <a:off x="0" y="0"/>
                          <a:ext cx="453390" cy="245110"/>
                        </a:xfrm>
                        <a:prstGeom prst="rect"/>
                        <a:noFill/>
                        <a:ln w="6350">
                          <a:noFill/>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spacing w:lineRule="auto" w:line="240" w:after="0" w:beforeAutospacing="0" w:afterAutospacing="0"/>
                              <w:jc w:val="center"/>
                              <w:rPr>
                                <w:rFonts w:ascii="Times New Roman" w:hAnsi="Times New Roman" w:cs="Times New Roman"/>
                                <w:sz w:val="20"/>
                                <w:szCs w:val="20"/>
                                <w:lang w:val="en-US"/>
                              </w:rPr>
                            </w:pPr>
                            <w:r>
                              <w:rPr>
                                <w:rFonts w:ascii="Times New Roman" w:hAnsi="Times New Roman" w:cs="Times New Roman"/>
                                <w:sz w:val="20"/>
                                <w:szCs w:val="20"/>
                                <w:lang w:val="en-US"/>
                              </w:rPr>
                              <w:t>FIN</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xmlns:o="urn:schemas-microsoft-com:office:office" type="#_x0000_t202" id="Надпись 296" o:spid="_x0000_s1173" style="position:absolute;width:35.7pt;height:19.3pt;z-index:73;mso-wrap-distance-left:9pt;mso-wrap-distance-top:0pt;mso-wrap-distance-right:9pt;mso-wrap-distance-bottom:0pt;margin-left:82.3pt;margin-top:13.55pt;mso-position-horizontal:absolute;mso-position-horizontal-relative:text;mso-position-vertical:absolute;mso-position-vertical-relative:text" o:allowincell="t" filled="f" strokeweight="0.5pt" stroked="f">
                <v:textbox inset="3mm,1mm,3mm,1mm">
                  <w:txbxContent>
                    <w:p>
                      <w:pPr>
                        <w:spacing w:lineRule="auto" w:line="240" w:after="0" w:beforeAutospacing="0" w:afterAutospacing="0"/>
                        <w:jc w:val="center"/>
                        <w:rPr>
                          <w:rFonts w:ascii="Times New Roman" w:hAnsi="Times New Roman" w:cs="Times New Roman"/>
                          <w:sz w:val="20"/>
                          <w:szCs w:val="20"/>
                          <w:lang w:val="en-US"/>
                        </w:rPr>
                      </w:pPr>
                      <w:r>
                        <w:rPr>
                          <w:rFonts w:ascii="Times New Roman" w:hAnsi="Times New Roman" w:cs="Times New Roman"/>
                          <w:sz w:val="20"/>
                          <w:szCs w:val="20"/>
                          <w:lang w:val="en-US"/>
                        </w:rPr>
                        <w:t>FIN</w:t>
                      </w:r>
                    </w:p>
                  </w:txbxContent>
                </v:textbox>
              </v:shape>
            </w:pict>
          </mc:Fallback>
        </mc:AlternateContent>
      </w:r>
    </w:p>
    <w:p>
      <w:pPr>
        <w:spacing w:lineRule="auto" w:line="360" w:after="0" w:beforeAutospacing="0" w:afterAutospacing="0"/>
        <w:ind w:firstLine="709"/>
        <w:rPr>
          <w:rFonts w:ascii="Times New Roman" w:hAnsi="Times New Roman" w:cs="Times New Roman"/>
          <w:i w:val="1"/>
          <w:sz w:val="28"/>
          <w:szCs w:val="28"/>
        </w:rPr>
      </w:pPr>
      <w:r>
        <w:rPr>
          <w:rFonts w:ascii="Times New Roman" w:hAnsi="Times New Roman" w:cs="Times New Roman"/>
          <w:i w:val="1"/>
          <w:noProof w:val="1"/>
          <w:sz w:val="28"/>
          <w:szCs w:val="28"/>
          <w:lang w:eastAsia="ru-RU"/>
        </w:rPr>
        <mc:AlternateContent>
          <mc:Choice Requires="wps">
            <w:drawing>
              <wp:anchor xmlns:wp="http://schemas.openxmlformats.org/drawingml/2006/wordprocessingDrawing" distT="0" distB="0" distL="114300" distR="114300" simplePos="0" relativeHeight="136" behindDoc="0" locked="0" layoutInCell="1" allowOverlap="1">
                <wp:simplePos x="0" y="0"/>
                <wp:positionH relativeFrom="column">
                  <wp:posOffset>1430020</wp:posOffset>
                </wp:positionH>
                <wp:positionV relativeFrom="paragraph">
                  <wp:posOffset>73025</wp:posOffset>
                </wp:positionV>
                <wp:extent cx="560705" cy="266700"/>
                <wp:effectExtent l="0" t="0" r="0" b="0"/>
                <wp:wrapNone/>
                <wp:docPr id="481" name="Надпись 481"/>
                <wp:cNvGraphicFramePr/>
                <a:graphic xmlns:a="http://schemas.openxmlformats.org/drawingml/2006/main">
                  <a:graphicData uri="http://schemas.microsoft.com/office/word/2010/wordprocessingShape">
                    <wps:wsp>
                      <wps:cNvSpPr txBox="1"/>
                      <wps:spPr>
                        <a:xfrm>
                          <a:off x="0" y="0"/>
                          <a:ext cx="560718" cy="266700"/>
                        </a:xfrm>
                        <a:prstGeom prst="rect"/>
                        <a:noFill/>
                        <a:ln w="6350">
                          <a:noFill/>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spacing w:lineRule="auto" w:line="240" w:after="0" w:beforeAutospacing="0" w:afterAutospacing="0"/>
                              <w:rPr>
                                <w:rFonts w:ascii="Times New Roman" w:hAnsi="Times New Roman" w:cs="Times New Roman"/>
                                <w:sz w:val="20"/>
                                <w:szCs w:val="20"/>
                                <w:lang w:val="en-US"/>
                              </w:rPr>
                            </w:pPr>
                            <w:r>
                              <w:rPr>
                                <w:rFonts w:ascii="Times New Roman" w:hAnsi="Times New Roman" w:cs="Times New Roman"/>
                                <w:sz w:val="20"/>
                                <w:szCs w:val="20"/>
                                <w:lang w:val="en-US"/>
                              </w:rPr>
                              <w:t>-</w:t>
                            </w:r>
                            <w:r>
                              <w:rPr>
                                <w:rFonts w:ascii="Times New Roman" w:hAnsi="Times New Roman" w:cs="Times New Roman"/>
                                <w:sz w:val="20"/>
                                <w:szCs w:val="20"/>
                              </w:rPr>
                              <w:t>0,</w:t>
                            </w:r>
                            <w:r>
                              <w:rPr>
                                <w:rFonts w:ascii="Times New Roman" w:hAnsi="Times New Roman" w:cs="Times New Roman"/>
                                <w:sz w:val="20"/>
                                <w:szCs w:val="20"/>
                                <w:lang w:val="en-US"/>
                              </w:rPr>
                              <w:t>204</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xmlns:o="urn:schemas-microsoft-com:office:office" type="#_x0000_t202" id="Надпись 481" o:spid="_x0000_s1174" style="position:absolute;width:44.15pt;height:21pt;z-index:136;mso-wrap-distance-left:9pt;mso-wrap-distance-top:0pt;mso-wrap-distance-right:9pt;mso-wrap-distance-bottom:0pt;margin-left:112.6pt;margin-top:5.75pt;mso-position-horizontal:absolute;mso-position-horizontal-relative:text;mso-position-vertical:absolute;mso-position-vertical-relative:text" o:allowincell="t" filled="f" strokeweight="0.5pt" stroked="f">
                <v:textbox inset="3mm,1mm,3mm,1mm">
                  <w:txbxContent>
                    <w:p>
                      <w:pPr>
                        <w:spacing w:lineRule="auto" w:line="240" w:after="0" w:beforeAutospacing="0" w:afterAutospacing="0"/>
                        <w:rPr>
                          <w:rFonts w:ascii="Times New Roman" w:hAnsi="Times New Roman" w:cs="Times New Roman"/>
                          <w:sz w:val="20"/>
                          <w:szCs w:val="20"/>
                          <w:lang w:val="en-US"/>
                        </w:rPr>
                      </w:pPr>
                      <w:r>
                        <w:rPr>
                          <w:rFonts w:ascii="Times New Roman" w:hAnsi="Times New Roman" w:cs="Times New Roman"/>
                          <w:sz w:val="20"/>
                          <w:szCs w:val="20"/>
                          <w:lang w:val="en-US"/>
                        </w:rPr>
                        <w:t>-</w:t>
                      </w:r>
                      <w:r>
                        <w:rPr>
                          <w:rFonts w:ascii="Times New Roman" w:hAnsi="Times New Roman" w:cs="Times New Roman"/>
                          <w:sz w:val="20"/>
                          <w:szCs w:val="20"/>
                        </w:rPr>
                        <w:t>0,</w:t>
                      </w:r>
                      <w:r>
                        <w:rPr>
                          <w:rFonts w:ascii="Times New Roman" w:hAnsi="Times New Roman" w:cs="Times New Roman"/>
                          <w:sz w:val="20"/>
                          <w:szCs w:val="20"/>
                          <w:lang w:val="en-US"/>
                        </w:rPr>
                        <w:t>204</w:t>
                      </w:r>
                    </w:p>
                  </w:txbxContent>
                </v:textbox>
              </v:shape>
            </w:pict>
          </mc:Fallback>
        </mc:AlternateContent>
      </w:r>
      <w:r>
        <w:rPr>
          <w:rFonts w:ascii="Times New Roman" w:hAnsi="Times New Roman" w:cs="Times New Roman"/>
          <w:i w:val="1"/>
          <w:noProof w:val="1"/>
          <w:sz w:val="28"/>
          <w:szCs w:val="28"/>
          <w:lang w:eastAsia="ru-RU"/>
        </w:rPr>
        <mc:AlternateContent>
          <mc:Choice Requires="wps">
            <w:drawing>
              <wp:anchor xmlns:wp="http://schemas.openxmlformats.org/drawingml/2006/wordprocessingDrawing" distT="0" distB="0" distL="114300" distR="114300" simplePos="0" relativeHeight="74" behindDoc="0" locked="0" layoutInCell="1" allowOverlap="1">
                <wp:simplePos x="0" y="0"/>
                <wp:positionH relativeFrom="column">
                  <wp:posOffset>1041400</wp:posOffset>
                </wp:positionH>
                <wp:positionV relativeFrom="paragraph">
                  <wp:posOffset>245745</wp:posOffset>
                </wp:positionV>
                <wp:extent cx="465455" cy="245110"/>
                <wp:effectExtent l="0" t="0" r="0" b="2540"/>
                <wp:wrapNone/>
                <wp:docPr id="303" name="Надпись 303"/>
                <wp:cNvGraphicFramePr/>
                <a:graphic xmlns:a="http://schemas.openxmlformats.org/drawingml/2006/main">
                  <a:graphicData uri="http://schemas.microsoft.com/office/word/2010/wordprocessingShape">
                    <wps:wsp>
                      <wps:cNvSpPr txBox="1"/>
                      <wps:spPr>
                        <a:xfrm>
                          <a:off x="0" y="0"/>
                          <a:ext cx="465827" cy="245110"/>
                        </a:xfrm>
                        <a:prstGeom prst="rect"/>
                        <a:noFill/>
                        <a:ln w="6350">
                          <a:noFill/>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spacing w:lineRule="auto" w:line="240" w:after="0" w:beforeAutospacing="0" w:afterAutospacing="0"/>
                              <w:jc w:val="center"/>
                              <w:rPr>
                                <w:rFonts w:ascii="Times New Roman" w:hAnsi="Times New Roman" w:cs="Times New Roman"/>
                                <w:sz w:val="20"/>
                                <w:szCs w:val="20"/>
                                <w:lang w:val="en-US"/>
                              </w:rPr>
                            </w:pPr>
                            <w:r>
                              <w:rPr>
                                <w:rFonts w:ascii="Times New Roman" w:hAnsi="Times New Roman" w:cs="Times New Roman"/>
                                <w:sz w:val="20"/>
                                <w:szCs w:val="20"/>
                              </w:rPr>
                              <w:t>U</w:t>
                            </w:r>
                            <w:r>
                              <w:rPr>
                                <w:rFonts w:ascii="Times New Roman" w:hAnsi="Times New Roman" w:cs="Times New Roman"/>
                                <w:sz w:val="20"/>
                                <w:szCs w:val="20"/>
                                <w:lang w:val="en-US"/>
                              </w:rPr>
                              <w:t>NY</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xmlns:o="urn:schemas-microsoft-com:office:office" type="#_x0000_t202" id="Надпись 303" o:spid="_x0000_s1175" style="position:absolute;width:36.65pt;height:19.3pt;z-index:74;mso-wrap-distance-left:9pt;mso-wrap-distance-top:0pt;mso-wrap-distance-right:9pt;mso-wrap-distance-bottom:0pt;margin-left:82pt;margin-top:19.35pt;mso-position-horizontal:absolute;mso-position-horizontal-relative:text;mso-position-vertical:absolute;mso-position-vertical-relative:text" o:allowincell="t" filled="f" strokeweight="0.5pt" stroked="f">
                <v:textbox inset="3mm,1mm,3mm,1mm">
                  <w:txbxContent>
                    <w:p>
                      <w:pPr>
                        <w:spacing w:lineRule="auto" w:line="240" w:after="0" w:beforeAutospacing="0" w:afterAutospacing="0"/>
                        <w:jc w:val="center"/>
                        <w:rPr>
                          <w:rFonts w:ascii="Times New Roman" w:hAnsi="Times New Roman" w:cs="Times New Roman"/>
                          <w:sz w:val="20"/>
                          <w:szCs w:val="20"/>
                          <w:lang w:val="en-US"/>
                        </w:rPr>
                      </w:pPr>
                      <w:r>
                        <w:rPr>
                          <w:rFonts w:ascii="Times New Roman" w:hAnsi="Times New Roman" w:cs="Times New Roman"/>
                          <w:sz w:val="20"/>
                          <w:szCs w:val="20"/>
                        </w:rPr>
                        <w:t>U</w:t>
                      </w:r>
                      <w:r>
                        <w:rPr>
                          <w:rFonts w:ascii="Times New Roman" w:hAnsi="Times New Roman" w:cs="Times New Roman"/>
                          <w:sz w:val="20"/>
                          <w:szCs w:val="20"/>
                          <w:lang w:val="en-US"/>
                        </w:rPr>
                        <w:t>NY</w:t>
                      </w:r>
                    </w:p>
                  </w:txbxContent>
                </v:textbox>
              </v:shape>
            </w:pict>
          </mc:Fallback>
        </mc:AlternateContent>
      </w:r>
      <w:r>
        <w:rPr>
          <w:rFonts w:ascii="Times New Roman" w:hAnsi="Times New Roman" w:cs="Times New Roman"/>
          <w:i w:val="1"/>
          <w:noProof w:val="1"/>
          <w:sz w:val="28"/>
          <w:szCs w:val="28"/>
          <w:lang w:eastAsia="ru-RU"/>
        </w:rPr>
        <mc:AlternateContent>
          <mc:Choice Requires="wpg">
            <w:drawing>
              <wp:anchor xmlns:wp="http://schemas.openxmlformats.org/drawingml/2006/wordprocessingDrawing" distT="0" distB="0" distL="114300" distR="114300" simplePos="0" relativeHeight="87" behindDoc="0" locked="0" layoutInCell="1" allowOverlap="1">
                <wp:simplePos x="0" y="0"/>
                <wp:positionH relativeFrom="margin">
                  <wp:posOffset>1024890</wp:posOffset>
                </wp:positionH>
                <wp:positionV relativeFrom="paragraph">
                  <wp:posOffset>13335</wp:posOffset>
                </wp:positionV>
                <wp:extent cx="4888230" cy="2717165"/>
                <wp:effectExtent l="19050" t="19050" r="26670" b="26035"/>
                <wp:wrapNone/>
                <wp:docPr id="304" name="Группа 304"/>
                <wp:cNvGraphicFramePr/>
                <a:graphic xmlns:a="http://schemas.openxmlformats.org/drawingml/2006/main">
                  <a:graphicData uri="http://schemas.microsoft.com/office/word/2010/wordprocessingGroup">
                    <wpg:wgp>
                      <wpg:cNvGrpSpPr/>
                      <wpg:grpSpPr>
                        <a:xfrm>
                          <a:off x="0" y="0"/>
                          <a:ext cx="4888852" cy="2717481"/>
                          <a:chOff x="0" y="-15072"/>
                          <a:chExt cx="4888852" cy="2717481"/>
                        </a:xfrm>
                      </wpg:grpSpPr>
                      <wps:wsp>
                        <wps:cNvPr id="305" name="Надпись 305"/>
                        <wps:cNvSpPr txBox="1"/>
                        <wps:spPr>
                          <a:xfrm>
                            <a:off x="1050236" y="-15072"/>
                            <a:ext cx="1862318" cy="297162"/>
                          </a:xfrm>
                          <a:prstGeom prst="rect"/>
                          <a:solidFill>
                            <a:schemeClr val="lt1"/>
                          </a:solidFill>
                          <a:ln w="28575">
                            <a:solidFill>
                              <a:prstClr val="black"/>
                            </a:solidFill>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jc w:val="center"/>
                                <w:rPr>
                                  <w:rFonts w:ascii="Times New Roman" w:hAnsi="Times New Roman" w:cs="Times New Roman"/>
                                  <w:sz w:val="24"/>
                                  <w:szCs w:val="24"/>
                                </w:rPr>
                              </w:pPr>
                              <w:r>
                                <w:rPr>
                                  <w:rFonts w:ascii="Times New Roman" w:hAnsi="Times New Roman" w:cs="Times New Roman"/>
                                  <w:sz w:val="24"/>
                                  <w:szCs w:val="24"/>
                                </w:rPr>
                                <w:t xml:space="preserve">Экономический рост </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306" name="Надпись 306"/>
                        <wps:cNvSpPr txBox="1"/>
                        <wps:spPr>
                          <a:xfrm>
                            <a:off x="3067712" y="292233"/>
                            <a:ext cx="1542840" cy="482694"/>
                          </a:xfrm>
                          <a:prstGeom prst="rect"/>
                          <a:solidFill>
                            <a:schemeClr val="lt1"/>
                          </a:solidFill>
                          <a:ln w="28575">
                            <a:solidFill>
                              <a:prstClr val="black"/>
                            </a:solidFill>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jc w:val="center"/>
                                <w:rPr>
                                  <w:rFonts w:ascii="Times New Roman" w:hAnsi="Times New Roman" w:cs="Times New Roman"/>
                                  <w:sz w:val="24"/>
                                  <w:szCs w:val="24"/>
                                </w:rPr>
                              </w:pPr>
                              <w:r>
                                <w:rPr>
                                  <w:rFonts w:ascii="Times New Roman" w:hAnsi="Times New Roman" w:cs="Times New Roman"/>
                                  <w:sz w:val="24"/>
                                  <w:szCs w:val="24"/>
                                </w:rPr>
                                <w:t xml:space="preserve">Начальное образование </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307" name="Надпись 307"/>
                        <wps:cNvSpPr txBox="1"/>
                        <wps:spPr>
                          <a:xfrm>
                            <a:off x="3496724" y="930898"/>
                            <a:ext cx="1392129" cy="482694"/>
                          </a:xfrm>
                          <a:prstGeom prst="rect"/>
                          <a:solidFill>
                            <a:schemeClr val="lt1"/>
                          </a:solidFill>
                          <a:ln w="28575">
                            <a:solidFill>
                              <a:prstClr val="black"/>
                            </a:solidFill>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jc w:val="center"/>
                                <w:rPr>
                                  <w:rFonts w:ascii="Times New Roman" w:hAnsi="Times New Roman" w:cs="Times New Roman"/>
                                  <w:sz w:val="24"/>
                                  <w:szCs w:val="24"/>
                                </w:rPr>
                              </w:pPr>
                              <w:r>
                                <w:rPr>
                                  <w:rFonts w:ascii="Times New Roman" w:hAnsi="Times New Roman" w:cs="Times New Roman"/>
                                  <w:sz w:val="24"/>
                                  <w:szCs w:val="24"/>
                                </w:rPr>
                                <w:t xml:space="preserve">Гендерное равенство </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308" name="Надпись 308"/>
                        <wps:cNvSpPr txBox="1"/>
                        <wps:spPr>
                          <a:xfrm>
                            <a:off x="2375615" y="1522595"/>
                            <a:ext cx="1519440" cy="482694"/>
                          </a:xfrm>
                          <a:prstGeom prst="rect"/>
                          <a:solidFill>
                            <a:schemeClr val="lt1"/>
                          </a:solidFill>
                          <a:ln w="28575">
                            <a:solidFill>
                              <a:prstClr val="black"/>
                            </a:solidFill>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spacing w:lineRule="auto" w:line="240" w:after="0" w:beforeAutospacing="0" w:afterAutospacing="0"/>
                                <w:jc w:val="center"/>
                                <w:rPr>
                                  <w:rFonts w:ascii="Times New Roman" w:hAnsi="Times New Roman" w:cs="Times New Roman"/>
                                  <w:sz w:val="24"/>
                                  <w:szCs w:val="24"/>
                                </w:rPr>
                              </w:pPr>
                              <w:r>
                                <w:rPr>
                                  <w:rFonts w:ascii="Times New Roman" w:hAnsi="Times New Roman" w:cs="Times New Roman"/>
                                  <w:sz w:val="24"/>
                                  <w:szCs w:val="24"/>
                                </w:rPr>
                                <w:t>Детская смертность</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309" name="Надпись 309"/>
                        <wps:cNvSpPr txBox="1"/>
                        <wps:spPr>
                          <a:xfrm>
                            <a:off x="1577256" y="2219714"/>
                            <a:ext cx="1298517" cy="482694"/>
                          </a:xfrm>
                          <a:prstGeom prst="rect"/>
                          <a:solidFill>
                            <a:schemeClr val="lt1"/>
                          </a:solidFill>
                          <a:ln w="28575">
                            <a:solidFill>
                              <a:prstClr val="black"/>
                            </a:solidFill>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jc w:val="center"/>
                                <w:rPr>
                                  <w:rFonts w:ascii="Times New Roman" w:hAnsi="Times New Roman" w:cs="Times New Roman"/>
                                  <w:sz w:val="24"/>
                                  <w:szCs w:val="24"/>
                                </w:rPr>
                              </w:pPr>
                              <w:r>
                                <w:rPr>
                                  <w:rFonts w:ascii="Times New Roman" w:hAnsi="Times New Roman" w:cs="Times New Roman"/>
                                  <w:sz w:val="24"/>
                                  <w:szCs w:val="24"/>
                                </w:rPr>
                                <w:t xml:space="preserve">Материнское здоровье </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310" name="Надпись 310"/>
                        <wps:cNvSpPr txBox="1"/>
                        <wps:spPr>
                          <a:xfrm>
                            <a:off x="20397" y="2219714"/>
                            <a:ext cx="1298517" cy="482694"/>
                          </a:xfrm>
                          <a:prstGeom prst="rect"/>
                          <a:solidFill>
                            <a:schemeClr val="lt1"/>
                          </a:solidFill>
                          <a:ln w="28575">
                            <a:solidFill>
                              <a:prstClr val="black"/>
                            </a:solidFill>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jc w:val="center"/>
                                <w:rPr>
                                  <w:rFonts w:ascii="Times New Roman" w:hAnsi="Times New Roman" w:cs="Times New Roman"/>
                                  <w:sz w:val="24"/>
                                  <w:szCs w:val="24"/>
                                </w:rPr>
                              </w:pPr>
                              <w:r>
                                <w:rPr>
                                  <w:rFonts w:ascii="Times New Roman" w:hAnsi="Times New Roman" w:cs="Times New Roman"/>
                                  <w:sz w:val="24"/>
                                  <w:szCs w:val="24"/>
                                </w:rPr>
                                <w:t>Заболевания</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311" name="Надпись 311"/>
                        <wps:cNvSpPr txBox="1"/>
                        <wps:spPr>
                          <a:xfrm>
                            <a:off x="0" y="1549785"/>
                            <a:ext cx="2018757" cy="482694"/>
                          </a:xfrm>
                          <a:prstGeom prst="rect"/>
                          <a:solidFill>
                            <a:schemeClr val="lt1"/>
                          </a:solidFill>
                          <a:ln w="28575">
                            <a:solidFill>
                              <a:prstClr val="black"/>
                            </a:solidFill>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jc w:val="center"/>
                                <w:rPr>
                                  <w:rFonts w:ascii="Times New Roman" w:hAnsi="Times New Roman" w:cs="Times New Roman"/>
                                  <w:sz w:val="24"/>
                                  <w:szCs w:val="24"/>
                                </w:rPr>
                              </w:pPr>
                              <w:r>
                                <w:rPr>
                                  <w:rFonts w:ascii="Times New Roman" w:hAnsi="Times New Roman" w:cs="Times New Roman"/>
                                  <w:sz w:val="24"/>
                                  <w:szCs w:val="24"/>
                                </w:rPr>
                                <w:t xml:space="preserve">Экологическая устойчивость </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312" name="Надпись 312"/>
                        <wps:cNvSpPr txBox="1"/>
                        <wps:spPr>
                          <a:xfrm>
                            <a:off x="319530" y="931397"/>
                            <a:ext cx="1067004" cy="295735"/>
                          </a:xfrm>
                          <a:prstGeom prst="rect"/>
                          <a:solidFill>
                            <a:schemeClr val="lt1"/>
                          </a:solidFill>
                          <a:ln w="28575">
                            <a:solidFill>
                              <a:prstClr val="black"/>
                            </a:solidFill>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jc w:val="center"/>
                                <w:rPr>
                                  <w:rFonts w:ascii="Times New Roman" w:hAnsi="Times New Roman" w:cs="Times New Roman"/>
                                  <w:sz w:val="24"/>
                                  <w:szCs w:val="24"/>
                                  <w:lang w:val="en-US"/>
                                </w:rPr>
                              </w:pPr>
                              <w:r>
                                <w:rPr>
                                  <w:rFonts w:ascii="Times New Roman" w:hAnsi="Times New Roman" w:cs="Times New Roman"/>
                                  <w:sz w:val="24"/>
                                  <w:szCs w:val="24"/>
                                </w:rPr>
                                <w:t xml:space="preserve">ИКТ </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313" name="Прямая со стрелкой 313"/>
                        <wps:cNvCnPr/>
                        <wps:spPr>
                          <a:xfrm>
                            <a:off x="1318911" y="2464462"/>
                            <a:ext cx="265354" cy="0"/>
                          </a:xfrm>
                          <a:prstGeom prst="straightConnector1"/>
                          <a:ln>
                            <a:tailEnd type="triangle"/>
                          </a:ln>
                        </wps:spPr>
                        <wps:style>
                          <a:lnRef idx="1">
                            <a:schemeClr val="dk1"/>
                          </a:lnRef>
                          <a:fillRef idx="0">
                            <a:schemeClr val="dk1"/>
                          </a:fillRef>
                          <a:effectRef idx="0">
                            <a:schemeClr val="dk1"/>
                          </a:effectRef>
                          <a:fontRef idx="minor">
                            <a:schemeClr val="tx1"/>
                          </a:fontRef>
                        </wps:style>
                        <wps:bodyPr/>
                      </wps:wsp>
                      <wps:wsp>
                        <wps:cNvPr id="314" name="Прямая со стрелкой 314"/>
                        <wps:cNvCnPr/>
                        <wps:spPr>
                          <a:xfrm flipV="1">
                            <a:off x="2719405" y="2005561"/>
                            <a:ext cx="0" cy="214248"/>
                          </a:xfrm>
                          <a:prstGeom prst="straightConnector1"/>
                          <a:ln>
                            <a:tailEnd type="triangle"/>
                          </a:ln>
                        </wps:spPr>
                        <wps:style>
                          <a:lnRef idx="1">
                            <a:schemeClr val="dk1"/>
                          </a:lnRef>
                          <a:fillRef idx="0">
                            <a:schemeClr val="dk1"/>
                          </a:fillRef>
                          <a:effectRef idx="0">
                            <a:schemeClr val="dk1"/>
                          </a:effectRef>
                          <a:fontRef idx="minor">
                            <a:schemeClr val="tx1"/>
                          </a:fontRef>
                        </wps:style>
                        <wps:bodyPr/>
                      </wps:wsp>
                      <wps:wsp>
                        <wps:cNvPr id="315" name="Прямая со стрелкой 315"/>
                        <wps:cNvCnPr/>
                        <wps:spPr>
                          <a:xfrm flipV="1">
                            <a:off x="4432630" y="775030"/>
                            <a:ext cx="0" cy="156461"/>
                          </a:xfrm>
                          <a:prstGeom prst="straightConnector1"/>
                          <a:ln>
                            <a:tailEnd type="triangle"/>
                          </a:ln>
                        </wps:spPr>
                        <wps:style>
                          <a:lnRef idx="1">
                            <a:schemeClr val="dk1"/>
                          </a:lnRef>
                          <a:fillRef idx="0">
                            <a:schemeClr val="dk1"/>
                          </a:fillRef>
                          <a:effectRef idx="0">
                            <a:schemeClr val="dk1"/>
                          </a:effectRef>
                          <a:fontRef idx="minor">
                            <a:schemeClr val="tx1"/>
                          </a:fontRef>
                        </wps:style>
                        <wps:bodyPr/>
                      </wps:wsp>
                      <wps:wsp>
                        <wps:cNvPr id="316" name="Прямая со стрелкой 316"/>
                        <wps:cNvCnPr/>
                        <wps:spPr>
                          <a:xfrm>
                            <a:off x="3375462" y="781830"/>
                            <a:ext cx="0" cy="737640"/>
                          </a:xfrm>
                          <a:prstGeom prst="straightConnector1"/>
                          <a:ln>
                            <a:tailEnd type="triangle"/>
                          </a:ln>
                        </wps:spPr>
                        <wps:style>
                          <a:lnRef idx="1">
                            <a:schemeClr val="dk1"/>
                          </a:lnRef>
                          <a:fillRef idx="0">
                            <a:schemeClr val="dk1"/>
                          </a:fillRef>
                          <a:effectRef idx="0">
                            <a:schemeClr val="dk1"/>
                          </a:effectRef>
                          <a:fontRef idx="minor">
                            <a:schemeClr val="tx1"/>
                          </a:fontRef>
                        </wps:style>
                        <wps:bodyPr/>
                      </wps:wsp>
                      <wps:wsp>
                        <wps:cNvPr id="317" name="Прямая со стрелкой 317"/>
                        <wps:cNvCnPr/>
                        <wps:spPr>
                          <a:xfrm flipH="1">
                            <a:off x="2716007" y="282138"/>
                            <a:ext cx="3400" cy="1247726"/>
                          </a:xfrm>
                          <a:prstGeom prst="straightConnector1"/>
                          <a:ln>
                            <a:tailEnd type="triangle"/>
                          </a:ln>
                        </wps:spPr>
                        <wps:style>
                          <a:lnRef idx="1">
                            <a:schemeClr val="dk1"/>
                          </a:lnRef>
                          <a:fillRef idx="0">
                            <a:schemeClr val="dk1"/>
                          </a:fillRef>
                          <a:effectRef idx="0">
                            <a:schemeClr val="dk1"/>
                          </a:effectRef>
                          <a:fontRef idx="minor">
                            <a:schemeClr val="tx1"/>
                          </a:fontRef>
                        </wps:style>
                        <wps:bodyPr/>
                      </wps:wsp>
                      <wps:wsp>
                        <wps:cNvPr id="318" name="Прямая со стрелкой 318"/>
                        <wps:cNvCnPr/>
                        <wps:spPr>
                          <a:xfrm flipV="1" flipH="1">
                            <a:off x="1536465" y="282138"/>
                            <a:ext cx="3400" cy="1267923"/>
                          </a:xfrm>
                          <a:prstGeom prst="straightConnector1"/>
                          <a:ln>
                            <a:tailEnd type="triangle"/>
                          </a:ln>
                        </wps:spPr>
                        <wps:style>
                          <a:lnRef idx="1">
                            <a:schemeClr val="dk1"/>
                          </a:lnRef>
                          <a:fillRef idx="0">
                            <a:schemeClr val="dk1"/>
                          </a:fillRef>
                          <a:effectRef idx="0">
                            <a:schemeClr val="dk1"/>
                          </a:effectRef>
                          <a:fontRef idx="minor">
                            <a:schemeClr val="tx1"/>
                          </a:fontRef>
                        </wps:style>
                        <wps:bodyPr/>
                      </wps:wsp>
                      <wps:wsp>
                        <wps:cNvPr id="384" name="Прямая со стрелкой 384"/>
                        <wps:cNvCnPr/>
                        <wps:spPr>
                          <a:xfrm flipV="1">
                            <a:off x="1172743" y="282138"/>
                            <a:ext cx="0" cy="652856"/>
                          </a:xfrm>
                          <a:prstGeom prst="straightConnector1"/>
                          <a:ln>
                            <a:tailEnd type="triangle"/>
                          </a:ln>
                        </wps:spPr>
                        <wps:style>
                          <a:lnRef idx="1">
                            <a:schemeClr val="dk1"/>
                          </a:lnRef>
                          <a:fillRef idx="0">
                            <a:schemeClr val="dk1"/>
                          </a:fillRef>
                          <a:effectRef idx="0">
                            <a:schemeClr val="dk1"/>
                          </a:effectRef>
                          <a:fontRef idx="minor">
                            <a:schemeClr val="tx1"/>
                          </a:fontRef>
                        </wps:style>
                        <wps:bodyPr/>
                      </wps:wsp>
                    </wpg:wgp>
                  </a:graphicData>
                </a:graphic>
              </wp:anchor>
            </w:drawing>
          </mc:Choice>
          <mc:Fallback>
            <w:pict>
              <v:group xmlns:o="urn:schemas-microsoft-com:office:office" id="Группа 304" style="position:absolute;width:384.9pt;height:213.95pt;z-index:87;mso-wrap-distance-left:9pt;mso-wrap-distance-top:0pt;mso-wrap-distance-right:9pt;mso-wrap-distance-bottom:0pt;margin-left:80.7pt;margin-top:1.05pt;mso-position-horizontal:absolute;mso-position-horizontal-relative:margin;mso-position-vertical:absolute;mso-position-vertical-relative:text" coordorigin="0,-15072" coordsize="4888851,2717480" o:allowincell="t">
                <v:shape type="#_x0000_t202" id="Надпись 305" o:spid="_x0000_s1177" style="position:absolute;left:1050235;top:-15072;width:1862317;height:297161" o:allowincell="t" fillcolor="#FFFFFF" strokecolor="#000000" strokeweight="2.25pt" stroked="t">
                  <v:textbox inset="3mm,1mm,3mm,1mm">
                    <w:txbxContent>
                      <w:p>
                        <w:pPr>
                          <w:jc w:val="center"/>
                          <w:rPr>
                            <w:rFonts w:ascii="Times New Roman" w:hAnsi="Times New Roman" w:cs="Times New Roman"/>
                            <w:sz w:val="24"/>
                            <w:szCs w:val="24"/>
                          </w:rPr>
                        </w:pPr>
                        <w:r>
                          <w:rPr>
                            <w:rFonts w:ascii="Times New Roman" w:hAnsi="Times New Roman" w:cs="Times New Roman"/>
                            <w:sz w:val="24"/>
                            <w:szCs w:val="24"/>
                          </w:rPr>
                          <w:t xml:space="preserve">Экономический рост </w:t>
                        </w:r>
                      </w:p>
                    </w:txbxContent>
                  </v:textbox>
                </v:shape>
                <v:shape type="#_x0000_t202" id="Надпись 306" o:spid="_x0000_s1178" style="position:absolute;left:3067711;top:292232;width:1542839;height:482693" o:allowincell="t" fillcolor="#FFFFFF" strokecolor="#000000" strokeweight="2.25pt" stroked="t">
                  <v:textbox inset="3mm,1mm,3mm,1mm">
                    <w:txbxContent>
                      <w:p>
                        <w:pPr>
                          <w:jc w:val="center"/>
                          <w:rPr>
                            <w:rFonts w:ascii="Times New Roman" w:hAnsi="Times New Roman" w:cs="Times New Roman"/>
                            <w:sz w:val="24"/>
                            <w:szCs w:val="24"/>
                          </w:rPr>
                        </w:pPr>
                        <w:r>
                          <w:rPr>
                            <w:rFonts w:ascii="Times New Roman" w:hAnsi="Times New Roman" w:cs="Times New Roman"/>
                            <w:sz w:val="24"/>
                            <w:szCs w:val="24"/>
                          </w:rPr>
                          <w:t xml:space="preserve">Начальное образование </w:t>
                        </w:r>
                      </w:p>
                    </w:txbxContent>
                  </v:textbox>
                </v:shape>
                <v:shape type="#_x0000_t202" id="Надпись 307" o:spid="_x0000_s1179" style="position:absolute;left:3496723;top:930897;width:1392128;height:482693" o:allowincell="t" fillcolor="#FFFFFF" strokecolor="#000000" strokeweight="2.25pt" stroked="t">
                  <v:textbox inset="3mm,1mm,3mm,1mm">
                    <w:txbxContent>
                      <w:p>
                        <w:pPr>
                          <w:jc w:val="center"/>
                          <w:rPr>
                            <w:rFonts w:ascii="Times New Roman" w:hAnsi="Times New Roman" w:cs="Times New Roman"/>
                            <w:sz w:val="24"/>
                            <w:szCs w:val="24"/>
                          </w:rPr>
                        </w:pPr>
                        <w:r>
                          <w:rPr>
                            <w:rFonts w:ascii="Times New Roman" w:hAnsi="Times New Roman" w:cs="Times New Roman"/>
                            <w:sz w:val="24"/>
                            <w:szCs w:val="24"/>
                          </w:rPr>
                          <w:t xml:space="preserve">Гендерное равенство </w:t>
                        </w:r>
                      </w:p>
                    </w:txbxContent>
                  </v:textbox>
                </v:shape>
                <v:shape type="#_x0000_t202" id="Надпись 308" o:spid="_x0000_s1180" style="position:absolute;left:2375614;top:1522594;width:1519439;height:482693" o:allowincell="t" fillcolor="#FFFFFF" strokecolor="#000000" strokeweight="2.25pt" stroked="t">
                  <v:textbox inset="3mm,1mm,3mm,1mm">
                    <w:txbxContent>
                      <w:p>
                        <w:pPr>
                          <w:spacing w:lineRule="auto" w:line="240" w:after="0" w:beforeAutospacing="0" w:afterAutospacing="0"/>
                          <w:jc w:val="center"/>
                          <w:rPr>
                            <w:rFonts w:ascii="Times New Roman" w:hAnsi="Times New Roman" w:cs="Times New Roman"/>
                            <w:sz w:val="24"/>
                            <w:szCs w:val="24"/>
                          </w:rPr>
                        </w:pPr>
                        <w:r>
                          <w:rPr>
                            <w:rFonts w:ascii="Times New Roman" w:hAnsi="Times New Roman" w:cs="Times New Roman"/>
                            <w:sz w:val="24"/>
                            <w:szCs w:val="24"/>
                          </w:rPr>
                          <w:t>Детская смертность</w:t>
                        </w:r>
                      </w:p>
                    </w:txbxContent>
                  </v:textbox>
                </v:shape>
                <v:shape type="#_x0000_t202" id="Надпись 309" o:spid="_x0000_s1181" style="position:absolute;left:1577255;top:2219713;width:1298516;height:482693" o:allowincell="t" fillcolor="#FFFFFF" strokecolor="#000000" strokeweight="2.25pt" stroked="t">
                  <v:textbox inset="3mm,1mm,3mm,1mm">
                    <w:txbxContent>
                      <w:p>
                        <w:pPr>
                          <w:jc w:val="center"/>
                          <w:rPr>
                            <w:rFonts w:ascii="Times New Roman" w:hAnsi="Times New Roman" w:cs="Times New Roman"/>
                            <w:sz w:val="24"/>
                            <w:szCs w:val="24"/>
                          </w:rPr>
                        </w:pPr>
                        <w:r>
                          <w:rPr>
                            <w:rFonts w:ascii="Times New Roman" w:hAnsi="Times New Roman" w:cs="Times New Roman"/>
                            <w:sz w:val="24"/>
                            <w:szCs w:val="24"/>
                          </w:rPr>
                          <w:t xml:space="preserve">Материнское здоровье </w:t>
                        </w:r>
                      </w:p>
                    </w:txbxContent>
                  </v:textbox>
                </v:shape>
                <v:shape type="#_x0000_t202" id="Надпись 310" o:spid="_x0000_s1182" style="position:absolute;left:20396;top:2219713;width:1298516;height:482693" o:allowincell="t" fillcolor="#FFFFFF" strokecolor="#000000" strokeweight="2.25pt" stroked="t">
                  <v:textbox inset="3mm,1mm,3mm,1mm">
                    <w:txbxContent>
                      <w:p>
                        <w:pPr>
                          <w:jc w:val="center"/>
                          <w:rPr>
                            <w:rFonts w:ascii="Times New Roman" w:hAnsi="Times New Roman" w:cs="Times New Roman"/>
                            <w:sz w:val="24"/>
                            <w:szCs w:val="24"/>
                          </w:rPr>
                        </w:pPr>
                        <w:r>
                          <w:rPr>
                            <w:rFonts w:ascii="Times New Roman" w:hAnsi="Times New Roman" w:cs="Times New Roman"/>
                            <w:sz w:val="24"/>
                            <w:szCs w:val="24"/>
                          </w:rPr>
                          <w:t>Заболевания</w:t>
                        </w:r>
                      </w:p>
                    </w:txbxContent>
                  </v:textbox>
                </v:shape>
                <v:shape type="#_x0000_t202" id="Надпись 311" o:spid="_x0000_s1183" style="position:absolute;top:1549784;width:2018756;height:482693" o:allowincell="t" fillcolor="#FFFFFF" strokecolor="#000000" strokeweight="2.25pt" stroked="t">
                  <v:textbox inset="3mm,1mm,3mm,1mm">
                    <w:txbxContent>
                      <w:p>
                        <w:pPr>
                          <w:jc w:val="center"/>
                          <w:rPr>
                            <w:rFonts w:ascii="Times New Roman" w:hAnsi="Times New Roman" w:cs="Times New Roman"/>
                            <w:sz w:val="24"/>
                            <w:szCs w:val="24"/>
                          </w:rPr>
                        </w:pPr>
                        <w:r>
                          <w:rPr>
                            <w:rFonts w:ascii="Times New Roman" w:hAnsi="Times New Roman" w:cs="Times New Roman"/>
                            <w:sz w:val="24"/>
                            <w:szCs w:val="24"/>
                          </w:rPr>
                          <w:t xml:space="preserve">Экологическая устойчивость </w:t>
                        </w:r>
                      </w:p>
                    </w:txbxContent>
                  </v:textbox>
                </v:shape>
                <v:shape type="#_x0000_t202" id="Надпись 312" o:spid="_x0000_s1184" style="position:absolute;left:319529;top:931396;width:1067003;height:295734" o:allowincell="t" fillcolor="#FFFFFF" strokecolor="#000000" strokeweight="2.25pt" stroked="t">
                  <v:textbox inset="3mm,1mm,3mm,1mm">
                    <w:txbxContent>
                      <w:p>
                        <w:pPr>
                          <w:jc w:val="center"/>
                          <w:rPr>
                            <w:rFonts w:ascii="Times New Roman" w:hAnsi="Times New Roman" w:cs="Times New Roman"/>
                            <w:sz w:val="24"/>
                            <w:szCs w:val="24"/>
                            <w:lang w:val="en-US"/>
                          </w:rPr>
                        </w:pPr>
                        <w:r>
                          <w:rPr>
                            <w:rFonts w:ascii="Times New Roman" w:hAnsi="Times New Roman" w:cs="Times New Roman"/>
                            <w:sz w:val="24"/>
                            <w:szCs w:val="24"/>
                          </w:rPr>
                          <w:t xml:space="preserve">ИКТ </w:t>
                        </w:r>
                      </w:p>
                    </w:txbxContent>
                  </v:textbox>
                </v:shape>
                <v:shape type="#_x0000_t32" id="Прямая со стрелкой 313" o:spid="_x0000_s1185" style="position:absolute;left:1318910;top:2464461;width:265353;height:0" strokecolor="#000000" strokeweight="0.5pt" stroked="t" o:allowincell="t">
                  <v:stroke endarrow="block"/>
                </v:shape>
                <v:shape type="#_x0000_t32" id="Прямая со стрелкой 314" o:spid="_x0000_s1186" style="position:absolute;left:2719404;top:2005560;width:0;height:214247;flip:y" strokecolor="#000000" strokeweight="0.5pt" stroked="t" o:allowincell="t">
                  <v:stroke endarrow="block"/>
                </v:shape>
                <v:shape type="#_x0000_t32" id="Прямая со стрелкой 315" o:spid="_x0000_s1187" style="position:absolute;left:4432629;top:775029;width:0;height:156460;flip:y" strokecolor="#000000" strokeweight="0.5pt" stroked="t" o:allowincell="t">
                  <v:stroke endarrow="block"/>
                </v:shape>
                <v:shape type="#_x0000_t32" id="Прямая со стрелкой 316" o:spid="_x0000_s1188" style="position:absolute;left:3375461;top:781829;width:0;height:737639" strokecolor="#000000" strokeweight="0.5pt" stroked="t" o:allowincell="t">
                  <v:stroke endarrow="block"/>
                </v:shape>
                <v:shape type="#_x0000_t32" id="Прямая со стрелкой 317" o:spid="_x0000_s1189" style="position:absolute;left:2716006;top:282137;width:3399;height:1247725;flip:x" strokecolor="#000000" strokeweight="0.5pt" stroked="t" o:allowincell="t">
                  <v:stroke endarrow="block"/>
                </v:shape>
                <v:shape type="#_x0000_t32" id="Прямая со стрелкой 318" o:spid="_x0000_s1190" style="position:absolute;left:1536464;top:282137;width:3399;height:1267922;flip:x y" strokecolor="#000000" strokeweight="0.5pt" stroked="t" o:allowincell="t">
                  <v:stroke endarrow="block"/>
                </v:shape>
                <v:shape type="#_x0000_t32" id="Прямая со стрелкой 384" o:spid="_x0000_s1191" style="position:absolute;left:1172742;top:282137;width:0;height:652855;flip:y" strokecolor="#000000" strokeweight="0.5pt" stroked="t" o:allowincell="t">
                  <v:stroke endarrow="block"/>
                </v:shape>
              </v:group>
            </w:pict>
          </mc:Fallback>
        </mc:AlternateContent>
      </w:r>
      <w:r>
        <w:rPr>
          <w:rFonts w:ascii="Times New Roman" w:hAnsi="Times New Roman" w:cs="Times New Roman"/>
          <w:i w:val="1"/>
          <w:noProof w:val="1"/>
          <w:sz w:val="28"/>
          <w:szCs w:val="28"/>
          <w:lang w:eastAsia="ru-RU"/>
        </w:rPr>
        <mc:AlternateContent>
          <mc:Choice Requires="wps">
            <w:drawing>
              <wp:anchor xmlns:wp="http://schemas.openxmlformats.org/drawingml/2006/wordprocessingDrawing" distT="0" distB="0" distL="114300" distR="114300" simplePos="0" relativeHeight="107" behindDoc="0" locked="0" layoutInCell="1" allowOverlap="1">
                <wp:simplePos x="0" y="0"/>
                <wp:positionH relativeFrom="column">
                  <wp:posOffset>1452880</wp:posOffset>
                </wp:positionH>
                <wp:positionV relativeFrom="paragraph">
                  <wp:posOffset>220980</wp:posOffset>
                </wp:positionV>
                <wp:extent cx="621665" cy="144780"/>
                <wp:effectExtent l="0" t="57150" r="0" b="26670"/>
                <wp:wrapNone/>
                <wp:docPr id="48" name="Прямая со стрелкой 48"/>
                <wp:cNvGraphicFramePr/>
                <a:graphic xmlns:a="http://schemas.openxmlformats.org/drawingml/2006/main">
                  <a:graphicData uri="http://schemas.microsoft.com/office/word/2010/wordprocessingShape">
                    <wps:wsp>
                      <wps:cNvCnPr/>
                      <wps:spPr>
                        <a:xfrm flipV="1">
                          <a:off x="0" y="0"/>
                          <a:ext cx="621665" cy="144780"/>
                        </a:xfrm>
                        <a:prstGeom prst="straightConnector1"/>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xmlns:o="urn:schemas-microsoft-com:office:office" type="#_x0000_t32" id="Прямая со стрелкой 48" o:spid="_x0000_s1192" style="position:absolute;width:48.95pt;height:11.4pt;flip:y;z-index:107;mso-wrap-distance-left:9pt;mso-wrap-distance-top:0pt;mso-wrap-distance-right:9pt;mso-wrap-distance-bottom:0pt;margin-left:114.4pt;margin-top:17.4pt;mso-position-horizontal:absolute;mso-position-horizontal-relative:text;mso-position-vertical:absolute;mso-position-vertical-relative:text" strokecolor="#000000" strokeweight="0.5pt" stroked="t" o:allowincell="t">
                <v:stroke endarrow="block"/>
              </v:shape>
            </w:pict>
          </mc:Fallback>
        </mc:AlternateContent>
      </w:r>
      <w:r>
        <w:rPr>
          <w:rFonts w:ascii="Times New Roman" w:hAnsi="Times New Roman" w:cs="Times New Roman"/>
          <w:i w:val="1"/>
          <w:noProof w:val="1"/>
          <w:sz w:val="28"/>
          <w:szCs w:val="28"/>
          <w:lang w:eastAsia="ru-RU"/>
        </w:rPr>
        <mc:AlternateContent>
          <mc:Choice Requires="wps">
            <w:drawing>
              <wp:anchor xmlns:wp="http://schemas.openxmlformats.org/drawingml/2006/wordprocessingDrawing" distT="0" distB="0" distL="114300" distR="114300" simplePos="0" relativeHeight="102" behindDoc="0" locked="0" layoutInCell="1" allowOverlap="1">
                <wp:simplePos x="0" y="0"/>
                <wp:positionH relativeFrom="column">
                  <wp:posOffset>1064895</wp:posOffset>
                </wp:positionH>
                <wp:positionV relativeFrom="paragraph">
                  <wp:posOffset>244475</wp:posOffset>
                </wp:positionV>
                <wp:extent cx="386715" cy="256540"/>
                <wp:effectExtent l="0" t="0" r="13335" b="10160"/>
                <wp:wrapNone/>
                <wp:docPr id="38" name="Овал 38"/>
                <wp:cNvGraphicFramePr/>
                <a:graphic xmlns:a="http://schemas.openxmlformats.org/drawingml/2006/main">
                  <a:graphicData uri="http://schemas.microsoft.com/office/word/2010/wordprocessingShape">
                    <wps:wsp>
                      <wps:cNvSpPr/>
                      <wps:spPr>
                        <a:xfrm>
                          <a:off x="0" y="0"/>
                          <a:ext cx="387118" cy="256967"/>
                        </a:xfrm>
                        <a:prstGeom prst="ellipse"/>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xmlns:o="urn:schemas-microsoft-com:office:office" id="Овал 38" o:spid="_x0000_s1193" style="position:absolute;width:30.45pt;height:20.2pt;z-index:102;mso-wrap-distance-left:9pt;mso-wrap-distance-top:0pt;mso-wrap-distance-right:9pt;mso-wrap-distance-bottom:0pt;margin-left:83.85pt;margin-top:19.25pt;mso-position-horizontal:absolute;mso-position-horizontal-relative:text;mso-position-vertical:absolute;mso-position-vertical-relative:text;v-text-anchor:middle" o:allowincell="t" filled="f" strokecolor="#000000" strokeweight="1pt" stroked="t"/>
            </w:pict>
          </mc:Fallback>
        </mc:AlternateContent>
      </w:r>
    </w:p>
    <w:p>
      <w:pPr>
        <w:spacing w:lineRule="auto" w:line="360" w:after="0" w:beforeAutospacing="0" w:afterAutospacing="0"/>
        <w:ind w:firstLine="709"/>
        <w:rPr>
          <w:rFonts w:ascii="Times New Roman" w:hAnsi="Times New Roman" w:cs="Times New Roman"/>
          <w:i w:val="1"/>
          <w:sz w:val="28"/>
          <w:szCs w:val="28"/>
        </w:rPr>
      </w:pPr>
      <w:r>
        <w:rPr>
          <w:rFonts w:ascii="Times New Roman" w:hAnsi="Times New Roman" w:cs="Times New Roman"/>
          <w:i w:val="1"/>
          <w:noProof w:val="1"/>
          <w:sz w:val="28"/>
          <w:szCs w:val="28"/>
          <w:lang w:eastAsia="ru-RU"/>
        </w:rPr>
        <mc:AlternateContent>
          <mc:Choice Requires="wps">
            <w:drawing>
              <wp:anchor xmlns:wp="http://schemas.openxmlformats.org/drawingml/2006/wordprocessingDrawing" distT="0" distB="0" distL="114300" distR="114300" simplePos="0" relativeHeight="145" behindDoc="0" locked="0" layoutInCell="1" allowOverlap="1">
                <wp:simplePos x="0" y="0"/>
                <wp:positionH relativeFrom="column">
                  <wp:posOffset>3198495</wp:posOffset>
                </wp:positionH>
                <wp:positionV relativeFrom="paragraph">
                  <wp:posOffset>24765</wp:posOffset>
                </wp:positionV>
                <wp:extent cx="667385" cy="266700"/>
                <wp:effectExtent l="0" t="0" r="0" b="0"/>
                <wp:wrapNone/>
                <wp:docPr id="490" name="Надпись 490"/>
                <wp:cNvGraphicFramePr/>
                <a:graphic xmlns:a="http://schemas.openxmlformats.org/drawingml/2006/main">
                  <a:graphicData uri="http://schemas.microsoft.com/office/word/2010/wordprocessingShape">
                    <wps:wsp>
                      <wps:cNvSpPr txBox="1"/>
                      <wps:spPr>
                        <a:xfrm>
                          <a:off x="0" y="0"/>
                          <a:ext cx="667876" cy="266700"/>
                        </a:xfrm>
                        <a:prstGeom prst="rect"/>
                        <a:noFill/>
                        <a:ln w="6350">
                          <a:noFill/>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spacing w:lineRule="auto" w:line="240" w:after="0" w:beforeAutospacing="0" w:afterAutospacing="0"/>
                              <w:rPr>
                                <w:rFonts w:ascii="Times New Roman" w:hAnsi="Times New Roman" w:cs="Times New Roman"/>
                                <w:sz w:val="20"/>
                                <w:szCs w:val="20"/>
                              </w:rPr>
                            </w:pPr>
                            <w:r>
                              <w:rPr>
                                <w:rFonts w:ascii="Times New Roman" w:hAnsi="Times New Roman" w:cs="Times New Roman"/>
                                <w:sz w:val="20"/>
                                <w:szCs w:val="20"/>
                              </w:rPr>
                              <w:t>-0,403</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xmlns:o="urn:schemas-microsoft-com:office:office" type="#_x0000_t202" id="Надпись 490" o:spid="_x0000_s1194" style="position:absolute;width:52.55pt;height:21pt;z-index:145;mso-wrap-distance-left:9pt;mso-wrap-distance-top:0pt;mso-wrap-distance-right:9pt;mso-wrap-distance-bottom:0pt;margin-left:251.85pt;margin-top:1.95pt;mso-position-horizontal:absolute;mso-position-horizontal-relative:text;mso-position-vertical:absolute;mso-position-vertical-relative:text" o:allowincell="t" filled="f" strokeweight="0.5pt" stroked="f">
                <v:textbox inset="3mm,1mm,3mm,1mm">
                  <w:txbxContent>
                    <w:p>
                      <w:pPr>
                        <w:spacing w:lineRule="auto" w:line="240" w:after="0" w:beforeAutospacing="0" w:afterAutospacing="0"/>
                        <w:rPr>
                          <w:rFonts w:ascii="Times New Roman" w:hAnsi="Times New Roman" w:cs="Times New Roman"/>
                          <w:sz w:val="20"/>
                          <w:szCs w:val="20"/>
                        </w:rPr>
                      </w:pPr>
                      <w:r>
                        <w:rPr>
                          <w:rFonts w:ascii="Times New Roman" w:hAnsi="Times New Roman" w:cs="Times New Roman"/>
                          <w:sz w:val="20"/>
                          <w:szCs w:val="20"/>
                        </w:rPr>
                        <w:t>-0,403</w:t>
                      </w:r>
                    </w:p>
                  </w:txbxContent>
                </v:textbox>
              </v:shape>
            </w:pict>
          </mc:Fallback>
        </mc:AlternateContent>
      </w:r>
      <w:r>
        <w:rPr>
          <w:rFonts w:ascii="Times New Roman" w:hAnsi="Times New Roman" w:cs="Times New Roman"/>
          <w:i w:val="1"/>
          <w:noProof w:val="1"/>
          <w:sz w:val="28"/>
          <w:szCs w:val="28"/>
          <w:lang w:eastAsia="ru-RU"/>
        </w:rPr>
        <mc:AlternateContent>
          <mc:Choice Requires="wps">
            <w:drawing>
              <wp:anchor xmlns:wp="http://schemas.openxmlformats.org/drawingml/2006/wordprocessingDrawing" distT="0" distB="0" distL="114300" distR="114300" simplePos="0" relativeHeight="141" behindDoc="0" locked="0" layoutInCell="1" allowOverlap="1">
                <wp:simplePos x="0" y="0"/>
                <wp:positionH relativeFrom="column">
                  <wp:posOffset>1698625</wp:posOffset>
                </wp:positionH>
                <wp:positionV relativeFrom="paragraph">
                  <wp:posOffset>247015</wp:posOffset>
                </wp:positionV>
                <wp:extent cx="538480" cy="266700"/>
                <wp:effectExtent l="0" t="0" r="0" b="0"/>
                <wp:wrapNone/>
                <wp:docPr id="486" name="Надпись 486"/>
                <wp:cNvGraphicFramePr/>
                <a:graphic xmlns:a="http://schemas.openxmlformats.org/drawingml/2006/main">
                  <a:graphicData uri="http://schemas.microsoft.com/office/word/2010/wordprocessingShape">
                    <wps:wsp>
                      <wps:cNvSpPr txBox="1"/>
                      <wps:spPr>
                        <a:xfrm>
                          <a:off x="0" y="0"/>
                          <a:ext cx="538480" cy="266700"/>
                        </a:xfrm>
                        <a:prstGeom prst="rect"/>
                        <a:noFill/>
                        <a:ln w="6350">
                          <a:noFill/>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spacing w:lineRule="auto" w:line="240" w:after="0" w:beforeAutospacing="0" w:afterAutospacing="0"/>
                              <w:rPr>
                                <w:rFonts w:ascii="Times New Roman" w:hAnsi="Times New Roman" w:cs="Times New Roman"/>
                                <w:sz w:val="20"/>
                                <w:szCs w:val="20"/>
                              </w:rPr>
                            </w:pPr>
                            <w:r>
                              <w:rPr>
                                <w:rFonts w:ascii="Times New Roman" w:hAnsi="Times New Roman" w:cs="Times New Roman"/>
                                <w:sz w:val="20"/>
                                <w:szCs w:val="20"/>
                              </w:rPr>
                              <w:t>0,561</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xmlns:o="urn:schemas-microsoft-com:office:office" type="#_x0000_t202" id="Надпись 486" o:spid="_x0000_s1195" style="position:absolute;width:42.4pt;height:21pt;z-index:141;mso-wrap-distance-left:9pt;mso-wrap-distance-top:0pt;mso-wrap-distance-right:9pt;mso-wrap-distance-bottom:0pt;margin-left:133.75pt;margin-top:19.45pt;mso-position-horizontal:absolute;mso-position-horizontal-relative:text;mso-position-vertical:absolute;mso-position-vertical-relative:text" o:allowincell="t" filled="f" strokeweight="0.5pt" stroked="f">
                <v:textbox inset="3mm,1mm,3mm,1mm">
                  <w:txbxContent>
                    <w:p>
                      <w:pPr>
                        <w:spacing w:lineRule="auto" w:line="240" w:after="0" w:beforeAutospacing="0" w:afterAutospacing="0"/>
                        <w:rPr>
                          <w:rFonts w:ascii="Times New Roman" w:hAnsi="Times New Roman" w:cs="Times New Roman"/>
                          <w:sz w:val="20"/>
                          <w:szCs w:val="20"/>
                        </w:rPr>
                      </w:pPr>
                      <w:r>
                        <w:rPr>
                          <w:rFonts w:ascii="Times New Roman" w:hAnsi="Times New Roman" w:cs="Times New Roman"/>
                          <w:sz w:val="20"/>
                          <w:szCs w:val="20"/>
                        </w:rPr>
                        <w:t>0,561</w:t>
                      </w:r>
                    </w:p>
                  </w:txbxContent>
                </v:textbox>
              </v:shape>
            </w:pict>
          </mc:Fallback>
        </mc:AlternateContent>
      </w:r>
      <w:r>
        <w:rPr>
          <w:rFonts w:ascii="Times New Roman" w:hAnsi="Times New Roman" w:cs="Times New Roman"/>
          <w:i w:val="1"/>
          <w:noProof w:val="1"/>
          <w:sz w:val="28"/>
          <w:szCs w:val="28"/>
          <w:lang w:eastAsia="ru-RU"/>
        </w:rPr>
        <mc:AlternateContent>
          <mc:Choice Requires="wps">
            <w:drawing>
              <wp:anchor xmlns:wp="http://schemas.openxmlformats.org/drawingml/2006/wordprocessingDrawing" distT="0" distB="0" distL="114300" distR="114300" simplePos="0" relativeHeight="127" behindDoc="0" locked="0" layoutInCell="1" allowOverlap="1">
                <wp:simplePos x="0" y="0"/>
                <wp:positionH relativeFrom="column">
                  <wp:posOffset>570865</wp:posOffset>
                </wp:positionH>
                <wp:positionV relativeFrom="paragraph">
                  <wp:posOffset>161290</wp:posOffset>
                </wp:positionV>
                <wp:extent cx="495300" cy="266700"/>
                <wp:effectExtent l="0" t="0" r="0" b="0"/>
                <wp:wrapNone/>
                <wp:docPr id="472" name="Надпись 472"/>
                <wp:cNvGraphicFramePr/>
                <a:graphic xmlns:a="http://schemas.openxmlformats.org/drawingml/2006/main">
                  <a:graphicData uri="http://schemas.microsoft.com/office/word/2010/wordprocessingShape">
                    <wps:wsp>
                      <wps:cNvSpPr txBox="1"/>
                      <wps:spPr>
                        <a:xfrm>
                          <a:off x="0" y="0"/>
                          <a:ext cx="495300" cy="266700"/>
                        </a:xfrm>
                        <a:prstGeom prst="rect"/>
                        <a:noFill/>
                        <a:ln w="6350">
                          <a:noFill/>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spacing w:lineRule="auto" w:line="240" w:after="0" w:beforeAutospacing="0" w:afterAutospacing="0"/>
                              <w:rPr>
                                <w:rFonts w:ascii="Times New Roman" w:hAnsi="Times New Roman" w:cs="Times New Roman"/>
                                <w:sz w:val="20"/>
                                <w:szCs w:val="20"/>
                              </w:rPr>
                            </w:pPr>
                            <w:r>
                              <w:rPr>
                                <w:rFonts w:ascii="Times New Roman" w:hAnsi="Times New Roman" w:cs="Times New Roman"/>
                                <w:sz w:val="20"/>
                                <w:szCs w:val="20"/>
                              </w:rPr>
                              <w:t>0,093</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xmlns:o="urn:schemas-microsoft-com:office:office" type="#_x0000_t202" id="Надпись 472" o:spid="_x0000_s1196" style="position:absolute;width:39pt;height:21pt;z-index:127;mso-wrap-distance-left:9pt;mso-wrap-distance-top:0pt;mso-wrap-distance-right:9pt;mso-wrap-distance-bottom:0pt;margin-left:44.95pt;margin-top:12.7pt;mso-position-horizontal:absolute;mso-position-horizontal-relative:text;mso-position-vertical:absolute;mso-position-vertical-relative:text" o:allowincell="t" filled="f" strokeweight="0.5pt" stroked="f">
                <v:textbox inset="3mm,1mm,3mm,1mm">
                  <w:txbxContent>
                    <w:p>
                      <w:pPr>
                        <w:spacing w:lineRule="auto" w:line="240" w:after="0" w:beforeAutospacing="0" w:afterAutospacing="0"/>
                        <w:rPr>
                          <w:rFonts w:ascii="Times New Roman" w:hAnsi="Times New Roman" w:cs="Times New Roman"/>
                          <w:sz w:val="20"/>
                          <w:szCs w:val="20"/>
                        </w:rPr>
                      </w:pPr>
                      <w:r>
                        <w:rPr>
                          <w:rFonts w:ascii="Times New Roman" w:hAnsi="Times New Roman" w:cs="Times New Roman"/>
                          <w:sz w:val="20"/>
                          <w:szCs w:val="20"/>
                        </w:rPr>
                        <w:t>0,093</w:t>
                      </w:r>
                    </w:p>
                  </w:txbxContent>
                </v:textbox>
              </v:shape>
            </w:pict>
          </mc:Fallback>
        </mc:AlternateContent>
      </w:r>
      <w:r>
        <w:rPr>
          <w:rFonts w:ascii="Times New Roman" w:hAnsi="Times New Roman" w:cs="Times New Roman"/>
          <w:i w:val="1"/>
          <w:noProof w:val="1"/>
          <w:sz w:val="28"/>
          <w:szCs w:val="28"/>
          <w:lang w:eastAsia="ru-RU"/>
        </w:rPr>
        <mc:AlternateContent>
          <mc:Choice Requires="wps">
            <w:drawing>
              <wp:anchor xmlns:wp="http://schemas.openxmlformats.org/drawingml/2006/wordprocessingDrawing" distT="0" distB="0" distL="114300" distR="114300" simplePos="0" relativeHeight="99" behindDoc="0" locked="0" layoutInCell="1" allowOverlap="1">
                <wp:simplePos x="0" y="0"/>
                <wp:positionH relativeFrom="column">
                  <wp:posOffset>528320</wp:posOffset>
                </wp:positionH>
                <wp:positionV relativeFrom="paragraph">
                  <wp:posOffset>285115</wp:posOffset>
                </wp:positionV>
                <wp:extent cx="816610" cy="388620"/>
                <wp:effectExtent l="0" t="0" r="59690" b="49530"/>
                <wp:wrapNone/>
                <wp:docPr id="35" name="Прямая со стрелкой 35"/>
                <wp:cNvGraphicFramePr/>
                <a:graphic xmlns:a="http://schemas.openxmlformats.org/drawingml/2006/main">
                  <a:graphicData uri="http://schemas.microsoft.com/office/word/2010/wordprocessingShape">
                    <wps:wsp>
                      <wps:cNvCnPr/>
                      <wps:spPr>
                        <a:xfrm>
                          <a:off x="0" y="0"/>
                          <a:ext cx="816698" cy="388620"/>
                        </a:xfrm>
                        <a:prstGeom prst="straightConnector1"/>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xmlns:o="urn:schemas-microsoft-com:office:office" type="#_x0000_t32" id="Прямая со стрелкой 35" o:spid="_x0000_s1197" style="position:absolute;width:64.3pt;height:30.6pt;z-index:99;mso-wrap-distance-left:9pt;mso-wrap-distance-top:0pt;mso-wrap-distance-right:9pt;mso-wrap-distance-bottom:0pt;margin-left:41.6pt;margin-top:22.45pt;mso-position-horizontal:absolute;mso-position-horizontal-relative:text;mso-position-vertical:absolute;mso-position-vertical-relative:text" strokecolor="#000000" strokeweight="0.5pt" stroked="t" o:allowincell="t">
                <v:stroke endarrow="block"/>
              </v:shape>
            </w:pict>
          </mc:Fallback>
        </mc:AlternateContent>
      </w:r>
      <w:r>
        <w:rPr>
          <w:rFonts w:ascii="Times New Roman" w:hAnsi="Times New Roman" w:cs="Times New Roman"/>
          <w:i w:val="1"/>
          <w:noProof w:val="1"/>
          <w:sz w:val="28"/>
          <w:szCs w:val="28"/>
          <w:lang w:eastAsia="ru-RU"/>
        </w:rPr>
        <mc:AlternateContent>
          <mc:Choice Requires="wps">
            <w:drawing>
              <wp:anchor xmlns:wp="http://schemas.openxmlformats.org/drawingml/2006/wordprocessingDrawing" distT="0" distB="0" distL="114300" distR="114300" simplePos="0" relativeHeight="98" behindDoc="0" locked="0" layoutInCell="1" allowOverlap="1">
                <wp:simplePos x="0" y="0"/>
                <wp:positionH relativeFrom="column">
                  <wp:posOffset>140335</wp:posOffset>
                </wp:positionH>
                <wp:positionV relativeFrom="paragraph">
                  <wp:posOffset>153670</wp:posOffset>
                </wp:positionV>
                <wp:extent cx="386715" cy="256540"/>
                <wp:effectExtent l="0" t="0" r="13335" b="10160"/>
                <wp:wrapNone/>
                <wp:docPr id="34" name="Овал 34"/>
                <wp:cNvGraphicFramePr/>
                <a:graphic xmlns:a="http://schemas.openxmlformats.org/drawingml/2006/main">
                  <a:graphicData uri="http://schemas.microsoft.com/office/word/2010/wordprocessingShape">
                    <wps:wsp>
                      <wps:cNvSpPr/>
                      <wps:spPr>
                        <a:xfrm>
                          <a:off x="0" y="0"/>
                          <a:ext cx="387118" cy="256967"/>
                        </a:xfrm>
                        <a:prstGeom prst="ellipse"/>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xmlns:o="urn:schemas-microsoft-com:office:office" id="Овал 34" o:spid="_x0000_s1198" style="position:absolute;width:30.45pt;height:20.2pt;z-index:98;mso-wrap-distance-left:9pt;mso-wrap-distance-top:0pt;mso-wrap-distance-right:9pt;mso-wrap-distance-bottom:0pt;margin-left:11.05pt;margin-top:12.1pt;mso-position-horizontal:absolute;mso-position-horizontal-relative:text;mso-position-vertical:absolute;mso-position-vertical-relative:text;v-text-anchor:middle" o:allowincell="t" filled="f" strokecolor="#000000" strokeweight="1pt" stroked="t"/>
            </w:pict>
          </mc:Fallback>
        </mc:AlternateContent>
      </w:r>
      <w:r>
        <w:rPr>
          <w:i w:val="1"/>
          <w:noProof w:val="1"/>
          <w:sz w:val="28"/>
          <w:szCs w:val="28"/>
          <w:lang w:eastAsia="ru-RU"/>
        </w:rPr>
        <mc:AlternateContent>
          <mc:Choice Requires="wps">
            <w:drawing>
              <wp:anchor xmlns:wp="http://schemas.openxmlformats.org/drawingml/2006/wordprocessingDrawing" distT="0" distB="0" distL="114300" distR="114300" simplePos="0" relativeHeight="72" behindDoc="0" locked="0" layoutInCell="1" allowOverlap="1">
                <wp:simplePos x="0" y="0"/>
                <wp:positionH relativeFrom="column">
                  <wp:posOffset>111125</wp:posOffset>
                </wp:positionH>
                <wp:positionV relativeFrom="paragraph">
                  <wp:posOffset>151765</wp:posOffset>
                </wp:positionV>
                <wp:extent cx="453390" cy="245110"/>
                <wp:effectExtent l="0" t="0" r="0" b="2540"/>
                <wp:wrapNone/>
                <wp:docPr id="385" name="Надпись 385"/>
                <wp:cNvGraphicFramePr/>
                <a:graphic xmlns:a="http://schemas.openxmlformats.org/drawingml/2006/main">
                  <a:graphicData uri="http://schemas.microsoft.com/office/word/2010/wordprocessingShape">
                    <wps:wsp>
                      <wps:cNvSpPr txBox="1"/>
                      <wps:spPr>
                        <a:xfrm>
                          <a:off x="0" y="0"/>
                          <a:ext cx="453505" cy="245477"/>
                        </a:xfrm>
                        <a:prstGeom prst="rect"/>
                        <a:noFill/>
                        <a:ln w="6350">
                          <a:noFill/>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spacing w:lineRule="auto" w:line="240" w:after="0" w:beforeAutospacing="0" w:afterAutospacing="0"/>
                              <w:jc w:val="center"/>
                              <w:rPr>
                                <w:rFonts w:ascii="Times New Roman" w:hAnsi="Times New Roman" w:cs="Times New Roman"/>
                                <w:sz w:val="20"/>
                                <w:szCs w:val="20"/>
                                <w:lang w:val="en-US"/>
                              </w:rPr>
                            </w:pPr>
                            <w:r>
                              <w:rPr>
                                <w:rFonts w:ascii="Times New Roman" w:hAnsi="Times New Roman" w:cs="Times New Roman"/>
                                <w:sz w:val="20"/>
                                <w:szCs w:val="20"/>
                                <w:lang w:val="en-US"/>
                              </w:rPr>
                              <w:t>TEL</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xmlns:o="urn:schemas-microsoft-com:office:office" type="#_x0000_t202" id="Надпись 385" o:spid="_x0000_s1199" style="position:absolute;width:35.7pt;height:19.3pt;z-index:72;mso-wrap-distance-left:9pt;mso-wrap-distance-top:0pt;mso-wrap-distance-right:9pt;mso-wrap-distance-bottom:0pt;margin-left:8.75pt;margin-top:11.95pt;mso-position-horizontal:absolute;mso-position-horizontal-relative:text;mso-position-vertical:absolute;mso-position-vertical-relative:text" o:allowincell="t" filled="f" strokeweight="0.5pt" stroked="f">
                <v:textbox inset="3mm,1mm,3mm,1mm">
                  <w:txbxContent>
                    <w:p>
                      <w:pPr>
                        <w:spacing w:lineRule="auto" w:line="240" w:after="0" w:beforeAutospacing="0" w:afterAutospacing="0"/>
                        <w:jc w:val="center"/>
                        <w:rPr>
                          <w:rFonts w:ascii="Times New Roman" w:hAnsi="Times New Roman" w:cs="Times New Roman"/>
                          <w:sz w:val="20"/>
                          <w:szCs w:val="20"/>
                          <w:lang w:val="en-US"/>
                        </w:rPr>
                      </w:pPr>
                      <w:r>
                        <w:rPr>
                          <w:rFonts w:ascii="Times New Roman" w:hAnsi="Times New Roman" w:cs="Times New Roman"/>
                          <w:sz w:val="20"/>
                          <w:szCs w:val="20"/>
                          <w:lang w:val="en-US"/>
                        </w:rPr>
                        <w:t>TEL</w:t>
                      </w:r>
                    </w:p>
                  </w:txbxContent>
                </v:textbox>
              </v:shape>
            </w:pict>
          </mc:Fallback>
        </mc:AlternateContent>
      </w:r>
    </w:p>
    <w:p>
      <w:pPr>
        <w:spacing w:lineRule="auto" w:line="360" w:after="0" w:beforeAutospacing="0" w:afterAutospacing="0"/>
        <w:ind w:firstLine="709"/>
        <w:rPr>
          <w:rFonts w:ascii="Times New Roman" w:hAnsi="Times New Roman" w:cs="Times New Roman"/>
          <w:i w:val="1"/>
          <w:sz w:val="28"/>
          <w:szCs w:val="28"/>
        </w:rPr>
      </w:pPr>
      <w:r>
        <w:rPr>
          <w:rFonts w:ascii="Times New Roman" w:hAnsi="Times New Roman" w:cs="Times New Roman"/>
          <w:i w:val="1"/>
          <w:noProof w:val="1"/>
          <w:sz w:val="28"/>
          <w:szCs w:val="28"/>
          <w:lang w:eastAsia="ru-RU"/>
        </w:rPr>
        <mc:AlternateContent>
          <mc:Choice Requires="wps">
            <w:drawing>
              <wp:anchor xmlns:wp="http://schemas.openxmlformats.org/drawingml/2006/wordprocessingDrawing" distT="0" distB="0" distL="114300" distR="114300" simplePos="0" relativeHeight="147" behindDoc="0" locked="0" layoutInCell="1" allowOverlap="1">
                <wp:simplePos x="0" y="0"/>
                <wp:positionH relativeFrom="column">
                  <wp:posOffset>5526405</wp:posOffset>
                </wp:positionH>
                <wp:positionV relativeFrom="paragraph">
                  <wp:posOffset>118745</wp:posOffset>
                </wp:positionV>
                <wp:extent cx="495300" cy="266700"/>
                <wp:effectExtent l="0" t="0" r="0" b="0"/>
                <wp:wrapNone/>
                <wp:docPr id="492" name="Надпись 492"/>
                <wp:cNvGraphicFramePr/>
                <a:graphic xmlns:a="http://schemas.openxmlformats.org/drawingml/2006/main">
                  <a:graphicData uri="http://schemas.microsoft.com/office/word/2010/wordprocessingShape">
                    <wps:wsp>
                      <wps:cNvSpPr txBox="1"/>
                      <wps:spPr>
                        <a:xfrm>
                          <a:off x="0" y="0"/>
                          <a:ext cx="495300" cy="266700"/>
                        </a:xfrm>
                        <a:prstGeom prst="rect"/>
                        <a:noFill/>
                        <a:ln w="6350">
                          <a:noFill/>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spacing w:lineRule="auto" w:line="240" w:after="0" w:beforeAutospacing="0" w:afterAutospacing="0"/>
                              <w:rPr>
                                <w:rFonts w:ascii="Times New Roman" w:hAnsi="Times New Roman" w:cs="Times New Roman"/>
                                <w:sz w:val="20"/>
                                <w:szCs w:val="20"/>
                              </w:rPr>
                            </w:pPr>
                            <w:r>
                              <w:rPr>
                                <w:rFonts w:ascii="Times New Roman" w:hAnsi="Times New Roman" w:cs="Times New Roman"/>
                                <w:sz w:val="20"/>
                                <w:szCs w:val="20"/>
                              </w:rPr>
                              <w:t>0,586</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xmlns:o="urn:schemas-microsoft-com:office:office" type="#_x0000_t202" id="Надпись 492" o:spid="_x0000_s1200" style="position:absolute;width:39pt;height:21pt;z-index:147;mso-wrap-distance-left:9pt;mso-wrap-distance-top:0pt;mso-wrap-distance-right:9pt;mso-wrap-distance-bottom:0pt;margin-left:435.15pt;margin-top:9.35pt;mso-position-horizontal:absolute;mso-position-horizontal-relative:text;mso-position-vertical:absolute;mso-position-vertical-relative:text" o:allowincell="t" filled="f" strokeweight="0.5pt" stroked="f">
                <v:textbox inset="3mm,1mm,3mm,1mm">
                  <w:txbxContent>
                    <w:p>
                      <w:pPr>
                        <w:spacing w:lineRule="auto" w:line="240" w:after="0" w:beforeAutospacing="0" w:afterAutospacing="0"/>
                        <w:rPr>
                          <w:rFonts w:ascii="Times New Roman" w:hAnsi="Times New Roman" w:cs="Times New Roman"/>
                          <w:sz w:val="20"/>
                          <w:szCs w:val="20"/>
                        </w:rPr>
                      </w:pPr>
                      <w:r>
                        <w:rPr>
                          <w:rFonts w:ascii="Times New Roman" w:hAnsi="Times New Roman" w:cs="Times New Roman"/>
                          <w:sz w:val="20"/>
                          <w:szCs w:val="20"/>
                        </w:rPr>
                        <w:t>0,586</w:t>
                      </w:r>
                    </w:p>
                  </w:txbxContent>
                </v:textbox>
              </v:shape>
            </w:pict>
          </mc:Fallback>
        </mc:AlternateContent>
      </w:r>
      <w:r>
        <w:rPr>
          <w:rFonts w:ascii="Times New Roman" w:hAnsi="Times New Roman" w:cs="Times New Roman"/>
          <w:i w:val="1"/>
          <w:noProof w:val="1"/>
          <w:sz w:val="28"/>
          <w:szCs w:val="28"/>
          <w:lang w:eastAsia="ru-RU"/>
        </w:rPr>
        <mc:AlternateContent>
          <mc:Choice Requires="wps">
            <w:drawing>
              <wp:anchor xmlns:wp="http://schemas.openxmlformats.org/drawingml/2006/wordprocessingDrawing" distT="0" distB="0" distL="114300" distR="114300" simplePos="0" relativeHeight="143" behindDoc="0" locked="0" layoutInCell="1" allowOverlap="1">
                <wp:simplePos x="0" y="0"/>
                <wp:positionH relativeFrom="column">
                  <wp:posOffset>3943985</wp:posOffset>
                </wp:positionH>
                <wp:positionV relativeFrom="paragraph">
                  <wp:posOffset>209550</wp:posOffset>
                </wp:positionV>
                <wp:extent cx="538480" cy="266700"/>
                <wp:effectExtent l="0" t="0" r="0" b="0"/>
                <wp:wrapNone/>
                <wp:docPr id="488" name="Надпись 488"/>
                <wp:cNvGraphicFramePr/>
                <a:graphic xmlns:a="http://schemas.openxmlformats.org/drawingml/2006/main">
                  <a:graphicData uri="http://schemas.microsoft.com/office/word/2010/wordprocessingShape">
                    <wps:wsp>
                      <wps:cNvSpPr txBox="1"/>
                      <wps:spPr>
                        <a:xfrm>
                          <a:off x="0" y="0"/>
                          <a:ext cx="538480" cy="266700"/>
                        </a:xfrm>
                        <a:prstGeom prst="rect"/>
                        <a:noFill/>
                        <a:ln w="6350">
                          <a:noFill/>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spacing w:lineRule="auto" w:line="240" w:after="0" w:beforeAutospacing="0" w:afterAutospacing="0"/>
                              <w:rPr>
                                <w:rFonts w:ascii="Times New Roman" w:hAnsi="Times New Roman" w:cs="Times New Roman"/>
                                <w:sz w:val="20"/>
                                <w:szCs w:val="20"/>
                              </w:rPr>
                            </w:pPr>
                            <w:r>
                              <w:rPr>
                                <w:rFonts w:ascii="Times New Roman" w:hAnsi="Times New Roman" w:cs="Times New Roman"/>
                                <w:sz w:val="20"/>
                                <w:szCs w:val="20"/>
                              </w:rPr>
                              <w:t>-0,373</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xmlns:o="urn:schemas-microsoft-com:office:office" type="#_x0000_t202" id="Надпись 488" o:spid="_x0000_s1201" style="position:absolute;width:42.4pt;height:21pt;z-index:143;mso-wrap-distance-left:9pt;mso-wrap-distance-top:0pt;mso-wrap-distance-right:9pt;mso-wrap-distance-bottom:0pt;margin-left:310.55pt;margin-top:16.5pt;mso-position-horizontal:absolute;mso-position-horizontal-relative:text;mso-position-vertical:absolute;mso-position-vertical-relative:text" o:allowincell="t" filled="f" strokeweight="0.5pt" stroked="f">
                <v:textbox inset="3mm,1mm,3mm,1mm">
                  <w:txbxContent>
                    <w:p>
                      <w:pPr>
                        <w:spacing w:lineRule="auto" w:line="240" w:after="0" w:beforeAutospacing="0" w:afterAutospacing="0"/>
                        <w:rPr>
                          <w:rFonts w:ascii="Times New Roman" w:hAnsi="Times New Roman" w:cs="Times New Roman"/>
                          <w:sz w:val="20"/>
                          <w:szCs w:val="20"/>
                        </w:rPr>
                      </w:pPr>
                      <w:r>
                        <w:rPr>
                          <w:rFonts w:ascii="Times New Roman" w:hAnsi="Times New Roman" w:cs="Times New Roman"/>
                          <w:sz w:val="20"/>
                          <w:szCs w:val="20"/>
                        </w:rPr>
                        <w:t>-0,373</w:t>
                      </w:r>
                    </w:p>
                  </w:txbxContent>
                </v:textbox>
              </v:shape>
            </w:pict>
          </mc:Fallback>
        </mc:AlternateContent>
      </w:r>
      <w:r>
        <w:rPr>
          <w:rFonts w:ascii="Times New Roman" w:hAnsi="Times New Roman" w:cs="Times New Roman"/>
          <w:i w:val="1"/>
          <w:noProof w:val="1"/>
          <w:sz w:val="28"/>
          <w:szCs w:val="28"/>
          <w:lang w:eastAsia="ru-RU"/>
        </w:rPr>
        <mc:AlternateContent>
          <mc:Choice Requires="wps">
            <w:drawing>
              <wp:anchor xmlns:wp="http://schemas.openxmlformats.org/drawingml/2006/wordprocessingDrawing" distT="0" distB="0" distL="114300" distR="114300" simplePos="0" relativeHeight="125" behindDoc="0" locked="0" layoutInCell="1" allowOverlap="1">
                <wp:simplePos x="0" y="0"/>
                <wp:positionH relativeFrom="column">
                  <wp:posOffset>559435</wp:posOffset>
                </wp:positionH>
                <wp:positionV relativeFrom="paragraph">
                  <wp:posOffset>146685</wp:posOffset>
                </wp:positionV>
                <wp:extent cx="495300" cy="266700"/>
                <wp:effectExtent l="0" t="0" r="0" b="0"/>
                <wp:wrapNone/>
                <wp:docPr id="470" name="Надпись 470"/>
                <wp:cNvGraphicFramePr/>
                <a:graphic xmlns:a="http://schemas.openxmlformats.org/drawingml/2006/main">
                  <a:graphicData uri="http://schemas.microsoft.com/office/word/2010/wordprocessingShape">
                    <wps:wsp>
                      <wps:cNvSpPr txBox="1"/>
                      <wps:spPr>
                        <a:xfrm>
                          <a:off x="0" y="0"/>
                          <a:ext cx="495300" cy="266700"/>
                        </a:xfrm>
                        <a:prstGeom prst="rect"/>
                        <a:noFill/>
                        <a:ln w="6350">
                          <a:noFill/>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spacing w:lineRule="auto" w:line="240" w:after="0" w:beforeAutospacing="0" w:afterAutospacing="0"/>
                              <w:rPr>
                                <w:rFonts w:ascii="Times New Roman" w:hAnsi="Times New Roman" w:cs="Times New Roman"/>
                                <w:sz w:val="20"/>
                                <w:szCs w:val="20"/>
                              </w:rPr>
                            </w:pPr>
                            <w:r>
                              <w:rPr>
                                <w:rFonts w:ascii="Times New Roman" w:hAnsi="Times New Roman" w:cs="Times New Roman"/>
                                <w:sz w:val="20"/>
                                <w:szCs w:val="20"/>
                              </w:rPr>
                              <w:t>0,673</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xmlns:o="urn:schemas-microsoft-com:office:office" type="#_x0000_t202" id="Надпись 470" o:spid="_x0000_s1202" style="position:absolute;width:39pt;height:21pt;z-index:125;mso-wrap-distance-left:9pt;mso-wrap-distance-top:0pt;mso-wrap-distance-right:9pt;mso-wrap-distance-bottom:0pt;margin-left:44.05pt;margin-top:11.55pt;mso-position-horizontal:absolute;mso-position-horizontal-relative:text;mso-position-vertical:absolute;mso-position-vertical-relative:text" o:allowincell="t" filled="f" strokeweight="0.5pt" stroked="f">
                <v:textbox inset="3mm,1mm,3mm,1mm">
                  <w:txbxContent>
                    <w:p>
                      <w:pPr>
                        <w:spacing w:lineRule="auto" w:line="240" w:after="0" w:beforeAutospacing="0" w:afterAutospacing="0"/>
                        <w:rPr>
                          <w:rFonts w:ascii="Times New Roman" w:hAnsi="Times New Roman" w:cs="Times New Roman"/>
                          <w:sz w:val="20"/>
                          <w:szCs w:val="20"/>
                        </w:rPr>
                      </w:pPr>
                      <w:r>
                        <w:rPr>
                          <w:rFonts w:ascii="Times New Roman" w:hAnsi="Times New Roman" w:cs="Times New Roman"/>
                          <w:sz w:val="20"/>
                          <w:szCs w:val="20"/>
                        </w:rPr>
                        <w:t>0,673</w:t>
                      </w:r>
                    </w:p>
                  </w:txbxContent>
                </v:textbox>
              </v:shape>
            </w:pict>
          </mc:Fallback>
        </mc:AlternateContent>
      </w:r>
      <w:r>
        <w:rPr>
          <w:rFonts w:ascii="Times New Roman" w:hAnsi="Times New Roman" w:cs="Times New Roman"/>
          <w:i w:val="1"/>
          <w:noProof w:val="1"/>
          <w:sz w:val="28"/>
          <w:szCs w:val="28"/>
          <w:lang w:eastAsia="ru-RU"/>
        </w:rPr>
        <mc:AlternateContent>
          <mc:Choice Requires="wps">
            <w:drawing>
              <wp:anchor xmlns:wp="http://schemas.openxmlformats.org/drawingml/2006/wordprocessingDrawing" distT="0" distB="0" distL="114300" distR="114300" simplePos="0" relativeHeight="97" behindDoc="0" locked="0" layoutInCell="1" allowOverlap="1">
                <wp:simplePos x="0" y="0"/>
                <wp:positionH relativeFrom="column">
                  <wp:posOffset>144780</wp:posOffset>
                </wp:positionH>
                <wp:positionV relativeFrom="paragraph">
                  <wp:posOffset>177165</wp:posOffset>
                </wp:positionV>
                <wp:extent cx="386715" cy="256540"/>
                <wp:effectExtent l="0" t="0" r="13335" b="10160"/>
                <wp:wrapNone/>
                <wp:docPr id="33" name="Овал 33"/>
                <wp:cNvGraphicFramePr/>
                <a:graphic xmlns:a="http://schemas.openxmlformats.org/drawingml/2006/main">
                  <a:graphicData uri="http://schemas.microsoft.com/office/word/2010/wordprocessingShape">
                    <wps:wsp>
                      <wps:cNvSpPr/>
                      <wps:spPr>
                        <a:xfrm>
                          <a:off x="0" y="0"/>
                          <a:ext cx="387118" cy="256967"/>
                        </a:xfrm>
                        <a:prstGeom prst="ellipse"/>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xmlns:o="urn:schemas-microsoft-com:office:office" id="Овал 33" o:spid="_x0000_s1203" style="position:absolute;width:30.45pt;height:20.2pt;z-index:97;mso-wrap-distance-left:9pt;mso-wrap-distance-top:0pt;mso-wrap-distance-right:9pt;mso-wrap-distance-bottom:0pt;margin-left:11.4pt;margin-top:13.95pt;mso-position-horizontal:absolute;mso-position-horizontal-relative:text;mso-position-vertical:absolute;mso-position-vertical-relative:text;v-text-anchor:middle" o:allowincell="t" filled="f" strokecolor="#000000" strokeweight="1pt" stroked="t"/>
            </w:pict>
          </mc:Fallback>
        </mc:AlternateContent>
      </w:r>
      <w:r>
        <w:rPr>
          <w:i w:val="1"/>
          <w:noProof w:val="1"/>
          <w:sz w:val="28"/>
          <w:szCs w:val="28"/>
          <w:lang w:eastAsia="ru-RU"/>
        </w:rPr>
        <mc:AlternateContent>
          <mc:Choice Requires="wps">
            <w:drawing>
              <wp:anchor xmlns:wp="http://schemas.openxmlformats.org/drawingml/2006/wordprocessingDrawing" distT="0" distB="0" distL="114300" distR="114300" simplePos="0" relativeHeight="70" behindDoc="0" locked="0" layoutInCell="1" allowOverlap="1">
                <wp:simplePos x="0" y="0"/>
                <wp:positionH relativeFrom="column">
                  <wp:posOffset>113665</wp:posOffset>
                </wp:positionH>
                <wp:positionV relativeFrom="paragraph">
                  <wp:posOffset>174625</wp:posOffset>
                </wp:positionV>
                <wp:extent cx="453390" cy="245110"/>
                <wp:effectExtent l="0" t="0" r="0" b="2540"/>
                <wp:wrapNone/>
                <wp:docPr id="387" name="Надпись 387"/>
                <wp:cNvGraphicFramePr/>
                <a:graphic xmlns:a="http://schemas.openxmlformats.org/drawingml/2006/main">
                  <a:graphicData uri="http://schemas.microsoft.com/office/word/2010/wordprocessingShape">
                    <wps:wsp>
                      <wps:cNvSpPr txBox="1"/>
                      <wps:spPr>
                        <a:xfrm>
                          <a:off x="0" y="0"/>
                          <a:ext cx="453505" cy="245477"/>
                        </a:xfrm>
                        <a:prstGeom prst="rect"/>
                        <a:noFill/>
                        <a:ln w="6350">
                          <a:noFill/>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spacing w:lineRule="auto" w:line="240" w:after="0" w:beforeAutospacing="0" w:afterAutospacing="0"/>
                              <w:jc w:val="center"/>
                              <w:rPr>
                                <w:rFonts w:ascii="Times New Roman" w:hAnsi="Times New Roman" w:cs="Times New Roman"/>
                                <w:sz w:val="20"/>
                                <w:szCs w:val="20"/>
                                <w:lang w:val="en-US"/>
                              </w:rPr>
                            </w:pPr>
                            <w:r>
                              <w:rPr>
                                <w:rFonts w:ascii="Times New Roman" w:hAnsi="Times New Roman" w:cs="Times New Roman"/>
                                <w:sz w:val="20"/>
                                <w:szCs w:val="20"/>
                                <w:lang w:val="en-US"/>
                              </w:rPr>
                              <w:t>CEL</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xmlns:o="urn:schemas-microsoft-com:office:office" type="#_x0000_t202" id="Надпись 387" o:spid="_x0000_s1204" style="position:absolute;width:35.7pt;height:19.3pt;z-index:70;mso-wrap-distance-left:9pt;mso-wrap-distance-top:0pt;mso-wrap-distance-right:9pt;mso-wrap-distance-bottom:0pt;margin-left:8.95pt;margin-top:13.75pt;mso-position-horizontal:absolute;mso-position-horizontal-relative:text;mso-position-vertical:absolute;mso-position-vertical-relative:text" o:allowincell="t" filled="f" strokeweight="0.5pt" stroked="f">
                <v:textbox inset="3mm,1mm,3mm,1mm">
                  <w:txbxContent>
                    <w:p>
                      <w:pPr>
                        <w:spacing w:lineRule="auto" w:line="240" w:after="0" w:beforeAutospacing="0" w:afterAutospacing="0"/>
                        <w:jc w:val="center"/>
                        <w:rPr>
                          <w:rFonts w:ascii="Times New Roman" w:hAnsi="Times New Roman" w:cs="Times New Roman"/>
                          <w:sz w:val="20"/>
                          <w:szCs w:val="20"/>
                          <w:lang w:val="en-US"/>
                        </w:rPr>
                      </w:pPr>
                      <w:r>
                        <w:rPr>
                          <w:rFonts w:ascii="Times New Roman" w:hAnsi="Times New Roman" w:cs="Times New Roman"/>
                          <w:sz w:val="20"/>
                          <w:szCs w:val="20"/>
                          <w:lang w:val="en-US"/>
                        </w:rPr>
                        <w:t>CEL</w:t>
                      </w:r>
                    </w:p>
                  </w:txbxContent>
                </v:textbox>
              </v:shape>
            </w:pict>
          </mc:Fallback>
        </mc:AlternateContent>
      </w:r>
    </w:p>
    <w:p>
      <w:pPr>
        <w:spacing w:lineRule="auto" w:line="360" w:after="0" w:beforeAutospacing="0" w:afterAutospacing="0"/>
        <w:ind w:firstLine="709"/>
        <w:rPr>
          <w:rFonts w:ascii="Times New Roman" w:hAnsi="Times New Roman" w:cs="Times New Roman"/>
          <w:i w:val="1"/>
          <w:sz w:val="28"/>
          <w:szCs w:val="28"/>
        </w:rPr>
      </w:pPr>
      <w:r>
        <w:rPr>
          <w:rFonts w:ascii="Times New Roman" w:hAnsi="Times New Roman" w:cs="Times New Roman"/>
          <w:i w:val="1"/>
          <w:noProof w:val="1"/>
          <w:sz w:val="28"/>
          <w:szCs w:val="28"/>
          <w:lang w:eastAsia="ru-RU"/>
        </w:rPr>
        <mc:AlternateContent>
          <mc:Choice Requires="wps">
            <w:drawing>
              <wp:anchor xmlns:wp="http://schemas.openxmlformats.org/drawingml/2006/wordprocessingDrawing" distT="0" distB="0" distL="114300" distR="114300" simplePos="0" relativeHeight="148" behindDoc="0" locked="0" layoutInCell="1" allowOverlap="1">
                <wp:simplePos x="0" y="0"/>
                <wp:positionH relativeFrom="column">
                  <wp:posOffset>2416810</wp:posOffset>
                </wp:positionH>
                <wp:positionV relativeFrom="paragraph">
                  <wp:posOffset>205740</wp:posOffset>
                </wp:positionV>
                <wp:extent cx="2089785" cy="6985"/>
                <wp:effectExtent l="0" t="76200" r="24765" b="88265"/>
                <wp:wrapNone/>
                <wp:docPr id="494" name="Прямая со стрелкой 494"/>
                <wp:cNvGraphicFramePr/>
                <a:graphic xmlns:a="http://schemas.openxmlformats.org/drawingml/2006/main">
                  <a:graphicData uri="http://schemas.microsoft.com/office/word/2010/wordprocessingShape">
                    <wps:wsp>
                      <wps:cNvCnPr/>
                      <wps:spPr>
                        <a:xfrm flipV="1">
                          <a:off x="0" y="0"/>
                          <a:ext cx="2090059" cy="7465"/>
                        </a:xfrm>
                        <a:prstGeom prst="straightConnector1"/>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xmlns:o="urn:schemas-microsoft-com:office:office" type="#_x0000_t32" id="Прямая со стрелкой 494" o:spid="_x0000_s1205" style="position:absolute;width:164.55pt;height:0.55pt;flip:y;z-index:148;mso-wrap-distance-left:9pt;mso-wrap-distance-top:0pt;mso-wrap-distance-right:9pt;mso-wrap-distance-bottom:0pt;margin-left:190.3pt;margin-top:16.2pt;mso-position-horizontal:absolute;mso-position-horizontal-relative:text;mso-position-vertical:absolute;mso-position-vertical-relative:text" strokecolor="#000000" strokeweight="0.5pt" stroked="t" o:allowincell="t">
                <v:stroke endarrow="block"/>
              </v:shape>
            </w:pict>
          </mc:Fallback>
        </mc:AlternateContent>
      </w:r>
      <w:r>
        <w:rPr>
          <w:rFonts w:ascii="Times New Roman" w:hAnsi="Times New Roman" w:cs="Times New Roman"/>
          <w:i w:val="1"/>
          <w:noProof w:val="1"/>
          <w:sz w:val="28"/>
          <w:szCs w:val="28"/>
          <w:lang w:eastAsia="ru-RU"/>
        </w:rPr>
        <mc:AlternateContent>
          <mc:Choice Requires="wps">
            <w:drawing>
              <wp:anchor xmlns:wp="http://schemas.openxmlformats.org/drawingml/2006/wordprocessingDrawing" distT="0" distB="0" distL="114300" distR="114300" simplePos="0" relativeHeight="144" behindDoc="0" locked="0" layoutInCell="1" allowOverlap="1">
                <wp:simplePos x="0" y="0"/>
                <wp:positionH relativeFrom="column">
                  <wp:posOffset>2544445</wp:posOffset>
                </wp:positionH>
                <wp:positionV relativeFrom="paragraph">
                  <wp:posOffset>1905</wp:posOffset>
                </wp:positionV>
                <wp:extent cx="538480" cy="266700"/>
                <wp:effectExtent l="0" t="0" r="0" b="0"/>
                <wp:wrapNone/>
                <wp:docPr id="489" name="Надпись 489"/>
                <wp:cNvGraphicFramePr/>
                <a:graphic xmlns:a="http://schemas.openxmlformats.org/drawingml/2006/main">
                  <a:graphicData uri="http://schemas.microsoft.com/office/word/2010/wordprocessingShape">
                    <wps:wsp>
                      <wps:cNvSpPr txBox="1"/>
                      <wps:spPr>
                        <a:xfrm>
                          <a:off x="0" y="0"/>
                          <a:ext cx="538480" cy="266700"/>
                        </a:xfrm>
                        <a:prstGeom prst="rect"/>
                        <a:noFill/>
                        <a:ln w="6350">
                          <a:noFill/>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spacing w:lineRule="auto" w:line="240" w:after="0" w:beforeAutospacing="0" w:afterAutospacing="0"/>
                              <w:rPr>
                                <w:rFonts w:ascii="Times New Roman" w:hAnsi="Times New Roman" w:cs="Times New Roman"/>
                                <w:sz w:val="20"/>
                                <w:szCs w:val="20"/>
                              </w:rPr>
                            </w:pPr>
                            <w:r>
                              <w:rPr>
                                <w:rFonts w:ascii="Times New Roman" w:hAnsi="Times New Roman" w:cs="Times New Roman"/>
                                <w:sz w:val="20"/>
                                <w:szCs w:val="20"/>
                              </w:rPr>
                              <w:t>0,490</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xmlns:o="urn:schemas-microsoft-com:office:office" type="#_x0000_t202" id="Надпись 489" o:spid="_x0000_s1206" style="position:absolute;width:42.4pt;height:21pt;z-index:144;mso-wrap-distance-left:9pt;mso-wrap-distance-top:0pt;mso-wrap-distance-right:9pt;mso-wrap-distance-bottom:0pt;margin-left:200.35pt;margin-top:0.15pt;mso-position-horizontal:absolute;mso-position-horizontal-relative:text;mso-position-vertical:absolute;mso-position-vertical-relative:text" o:allowincell="t" filled="f" strokeweight="0.5pt" stroked="f">
                <v:textbox inset="3mm,1mm,3mm,1mm">
                  <w:txbxContent>
                    <w:p>
                      <w:pPr>
                        <w:spacing w:lineRule="auto" w:line="240" w:after="0" w:beforeAutospacing="0" w:afterAutospacing="0"/>
                        <w:rPr>
                          <w:rFonts w:ascii="Times New Roman" w:hAnsi="Times New Roman" w:cs="Times New Roman"/>
                          <w:sz w:val="20"/>
                          <w:szCs w:val="20"/>
                        </w:rPr>
                      </w:pPr>
                      <w:r>
                        <w:rPr>
                          <w:rFonts w:ascii="Times New Roman" w:hAnsi="Times New Roman" w:cs="Times New Roman"/>
                          <w:sz w:val="20"/>
                          <w:szCs w:val="20"/>
                        </w:rPr>
                        <w:t>0,490</w:t>
                      </w:r>
                    </w:p>
                  </w:txbxContent>
                </v:textbox>
              </v:shape>
            </w:pict>
          </mc:Fallback>
        </mc:AlternateContent>
      </w:r>
      <w:r>
        <w:rPr>
          <w:rFonts w:ascii="Times New Roman" w:hAnsi="Times New Roman" w:cs="Times New Roman"/>
          <w:i w:val="1"/>
          <w:noProof w:val="1"/>
          <w:sz w:val="28"/>
          <w:szCs w:val="28"/>
          <w:lang w:eastAsia="ru-RU"/>
        </w:rPr>
        <mc:AlternateContent>
          <mc:Choice Requires="wps">
            <w:drawing>
              <wp:anchor xmlns:wp="http://schemas.openxmlformats.org/drawingml/2006/wordprocessingDrawing" distT="0" distB="0" distL="114300" distR="114300" simplePos="0" relativeHeight="126" behindDoc="0" locked="0" layoutInCell="1" allowOverlap="1">
                <wp:simplePos x="0" y="0"/>
                <wp:positionH relativeFrom="column">
                  <wp:posOffset>553085</wp:posOffset>
                </wp:positionH>
                <wp:positionV relativeFrom="paragraph">
                  <wp:posOffset>81280</wp:posOffset>
                </wp:positionV>
                <wp:extent cx="495300" cy="266700"/>
                <wp:effectExtent l="0" t="0" r="0" b="0"/>
                <wp:wrapNone/>
                <wp:docPr id="471" name="Надпись 471"/>
                <wp:cNvGraphicFramePr/>
                <a:graphic xmlns:a="http://schemas.openxmlformats.org/drawingml/2006/main">
                  <a:graphicData uri="http://schemas.microsoft.com/office/word/2010/wordprocessingShape">
                    <wps:wsp>
                      <wps:cNvSpPr txBox="1"/>
                      <wps:spPr>
                        <a:xfrm>
                          <a:off x="0" y="0"/>
                          <a:ext cx="495300" cy="266700"/>
                        </a:xfrm>
                        <a:prstGeom prst="rect"/>
                        <a:noFill/>
                        <a:ln w="6350">
                          <a:noFill/>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spacing w:lineRule="auto" w:line="240" w:after="0" w:beforeAutospacing="0" w:afterAutospacing="0"/>
                              <w:rPr>
                                <w:rFonts w:ascii="Times New Roman" w:hAnsi="Times New Roman" w:cs="Times New Roman"/>
                                <w:sz w:val="20"/>
                                <w:szCs w:val="20"/>
                              </w:rPr>
                            </w:pPr>
                            <w:r>
                              <w:rPr>
                                <w:rFonts w:ascii="Times New Roman" w:hAnsi="Times New Roman" w:cs="Times New Roman"/>
                                <w:sz w:val="20"/>
                                <w:szCs w:val="20"/>
                              </w:rPr>
                              <w:t>0,306</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xmlns:o="urn:schemas-microsoft-com:office:office" type="#_x0000_t202" id="Надпись 471" o:spid="_x0000_s1207" style="position:absolute;width:39pt;height:21pt;z-index:126;mso-wrap-distance-left:9pt;mso-wrap-distance-top:0pt;mso-wrap-distance-right:9pt;mso-wrap-distance-bottom:0pt;margin-left:43.55pt;margin-top:6.4pt;mso-position-horizontal:absolute;mso-position-horizontal-relative:text;mso-position-vertical:absolute;mso-position-vertical-relative:text" o:allowincell="t" filled="f" strokeweight="0.5pt" stroked="f">
                <v:textbox inset="3mm,1mm,3mm,1mm">
                  <w:txbxContent>
                    <w:p>
                      <w:pPr>
                        <w:spacing w:lineRule="auto" w:line="240" w:after="0" w:beforeAutospacing="0" w:afterAutospacing="0"/>
                        <w:rPr>
                          <w:rFonts w:ascii="Times New Roman" w:hAnsi="Times New Roman" w:cs="Times New Roman"/>
                          <w:sz w:val="20"/>
                          <w:szCs w:val="20"/>
                        </w:rPr>
                      </w:pPr>
                      <w:r>
                        <w:rPr>
                          <w:rFonts w:ascii="Times New Roman" w:hAnsi="Times New Roman" w:cs="Times New Roman"/>
                          <w:sz w:val="20"/>
                          <w:szCs w:val="20"/>
                        </w:rPr>
                        <w:t>0,306</w:t>
                      </w:r>
                    </w:p>
                  </w:txbxContent>
                </v:textbox>
              </v:shape>
            </w:pict>
          </mc:Fallback>
        </mc:AlternateContent>
      </w:r>
      <w:r>
        <w:rPr>
          <w:rFonts w:ascii="Times New Roman" w:hAnsi="Times New Roman" w:cs="Times New Roman"/>
          <w:i w:val="1"/>
          <w:noProof w:val="1"/>
          <w:sz w:val="28"/>
          <w:szCs w:val="28"/>
          <w:lang w:eastAsia="ru-RU"/>
        </w:rPr>
        <mc:AlternateContent>
          <mc:Choice Requires="wps">
            <w:drawing>
              <wp:anchor xmlns:wp="http://schemas.openxmlformats.org/drawingml/2006/wordprocessingDrawing" distT="0" distB="0" distL="114300" distR="114300" simplePos="0" relativeHeight="101" behindDoc="0" locked="0" layoutInCell="1" allowOverlap="1">
                <wp:simplePos x="0" y="0"/>
                <wp:positionH relativeFrom="column">
                  <wp:posOffset>525780</wp:posOffset>
                </wp:positionH>
                <wp:positionV relativeFrom="paragraph">
                  <wp:posOffset>271145</wp:posOffset>
                </wp:positionV>
                <wp:extent cx="814705" cy="40640"/>
                <wp:effectExtent l="0" t="57150" r="23495" b="54610"/>
                <wp:wrapNone/>
                <wp:docPr id="37" name="Прямая со стрелкой 37"/>
                <wp:cNvGraphicFramePr/>
                <a:graphic xmlns:a="http://schemas.openxmlformats.org/drawingml/2006/main">
                  <a:graphicData uri="http://schemas.microsoft.com/office/word/2010/wordprocessingShape">
                    <wps:wsp>
                      <wps:cNvCnPr/>
                      <wps:spPr>
                        <a:xfrm flipV="1">
                          <a:off x="0" y="0"/>
                          <a:ext cx="814705" cy="40640"/>
                        </a:xfrm>
                        <a:prstGeom prst="straightConnector1"/>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xmlns:o="urn:schemas-microsoft-com:office:office" type="#_x0000_t32" id="Прямая со стрелкой 37" o:spid="_x0000_s1208" style="position:absolute;width:64.15pt;height:3.2pt;flip:y;z-index:101;mso-wrap-distance-left:9pt;mso-wrap-distance-top:0pt;mso-wrap-distance-right:9pt;mso-wrap-distance-bottom:0pt;margin-left:41.4pt;margin-top:21.35pt;mso-position-horizontal:absolute;mso-position-horizontal-relative:text;mso-position-vertical:absolute;mso-position-vertical-relative:text" strokecolor="#000000" strokeweight="0.5pt" stroked="t" o:allowincell="t">
                <v:stroke endarrow="block"/>
              </v:shape>
            </w:pict>
          </mc:Fallback>
        </mc:AlternateContent>
      </w:r>
      <w:r>
        <w:rPr>
          <w:rFonts w:ascii="Times New Roman" w:hAnsi="Times New Roman" w:cs="Times New Roman"/>
          <w:i w:val="1"/>
          <w:noProof w:val="1"/>
          <w:sz w:val="28"/>
          <w:szCs w:val="28"/>
          <w:lang w:eastAsia="ru-RU"/>
        </w:rPr>
        <mc:AlternateContent>
          <mc:Choice Requires="wps">
            <w:drawing>
              <wp:anchor xmlns:wp="http://schemas.openxmlformats.org/drawingml/2006/wordprocessingDrawing" distT="0" distB="0" distL="114300" distR="114300" simplePos="0" relativeHeight="100" behindDoc="0" locked="0" layoutInCell="1" allowOverlap="1">
                <wp:simplePos x="0" y="0"/>
                <wp:positionH relativeFrom="column">
                  <wp:posOffset>527685</wp:posOffset>
                </wp:positionH>
                <wp:positionV relativeFrom="paragraph">
                  <wp:posOffset>6985</wp:posOffset>
                </wp:positionV>
                <wp:extent cx="817880" cy="167640"/>
                <wp:effectExtent l="0" t="0" r="77470" b="80010"/>
                <wp:wrapNone/>
                <wp:docPr id="36" name="Прямая со стрелкой 36"/>
                <wp:cNvGraphicFramePr/>
                <a:graphic xmlns:a="http://schemas.openxmlformats.org/drawingml/2006/main">
                  <a:graphicData uri="http://schemas.microsoft.com/office/word/2010/wordprocessingShape">
                    <wps:wsp>
                      <wps:cNvCnPr/>
                      <wps:spPr>
                        <a:xfrm>
                          <a:off x="0" y="0"/>
                          <a:ext cx="817880" cy="167640"/>
                        </a:xfrm>
                        <a:prstGeom prst="straightConnector1"/>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xmlns:o="urn:schemas-microsoft-com:office:office" type="#_x0000_t32" id="Прямая со стрелкой 36" o:spid="_x0000_s1209" style="position:absolute;width:64.4pt;height:13.2pt;z-index:100;mso-wrap-distance-left:9pt;mso-wrap-distance-top:0pt;mso-wrap-distance-right:9pt;mso-wrap-distance-bottom:0pt;margin-left:41.55pt;margin-top:0.55pt;mso-position-horizontal:absolute;mso-position-horizontal-relative:text;mso-position-vertical:absolute;mso-position-vertical-relative:text" strokecolor="#000000" strokeweight="0.5pt" stroked="t" o:allowincell="t">
                <v:stroke endarrow="block"/>
              </v:shape>
            </w:pict>
          </mc:Fallback>
        </mc:AlternateContent>
      </w:r>
      <w:r>
        <w:rPr>
          <w:rFonts w:ascii="Times New Roman" w:hAnsi="Times New Roman" w:cs="Times New Roman"/>
          <w:i w:val="1"/>
          <w:noProof w:val="1"/>
          <w:sz w:val="28"/>
          <w:szCs w:val="28"/>
          <w:lang w:eastAsia="ru-RU"/>
        </w:rPr>
        <mc:AlternateContent>
          <mc:Choice Requires="wps">
            <w:drawing>
              <wp:anchor xmlns:wp="http://schemas.openxmlformats.org/drawingml/2006/wordprocessingDrawing" distT="0" distB="0" distL="114300" distR="114300" simplePos="0" relativeHeight="96" behindDoc="0" locked="0" layoutInCell="1" allowOverlap="1">
                <wp:simplePos x="0" y="0"/>
                <wp:positionH relativeFrom="column">
                  <wp:posOffset>139700</wp:posOffset>
                </wp:positionH>
                <wp:positionV relativeFrom="paragraph">
                  <wp:posOffset>182880</wp:posOffset>
                </wp:positionV>
                <wp:extent cx="386715" cy="256540"/>
                <wp:effectExtent l="0" t="0" r="13335" b="10160"/>
                <wp:wrapNone/>
                <wp:docPr id="32" name="Овал 32"/>
                <wp:cNvGraphicFramePr/>
                <a:graphic xmlns:a="http://schemas.openxmlformats.org/drawingml/2006/main">
                  <a:graphicData uri="http://schemas.microsoft.com/office/word/2010/wordprocessingShape">
                    <wps:wsp>
                      <wps:cNvSpPr/>
                      <wps:spPr>
                        <a:xfrm>
                          <a:off x="0" y="0"/>
                          <a:ext cx="387118" cy="256967"/>
                        </a:xfrm>
                        <a:prstGeom prst="ellipse"/>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xmlns:o="urn:schemas-microsoft-com:office:office" id="Овал 32" o:spid="_x0000_s1210" style="position:absolute;width:30.45pt;height:20.2pt;z-index:96;mso-wrap-distance-left:9pt;mso-wrap-distance-top:0pt;mso-wrap-distance-right:9pt;mso-wrap-distance-bottom:0pt;margin-left:11pt;margin-top:14.4pt;mso-position-horizontal:absolute;mso-position-horizontal-relative:text;mso-position-vertical:absolute;mso-position-vertical-relative:text;v-text-anchor:middle" o:allowincell="t" filled="f" strokecolor="#000000" strokeweight="1pt" stroked="t"/>
            </w:pict>
          </mc:Fallback>
        </mc:AlternateContent>
      </w:r>
      <w:r>
        <w:rPr>
          <w:i w:val="1"/>
          <w:noProof w:val="1"/>
          <w:sz w:val="28"/>
          <w:szCs w:val="28"/>
          <w:lang w:eastAsia="ru-RU"/>
        </w:rPr>
        <mc:AlternateContent>
          <mc:Choice Requires="wps">
            <w:drawing>
              <wp:anchor xmlns:wp="http://schemas.openxmlformats.org/drawingml/2006/wordprocessingDrawing" distT="0" distB="0" distL="114300" distR="114300" simplePos="0" relativeHeight="71" behindDoc="0" locked="0" layoutInCell="1" allowOverlap="1">
                <wp:simplePos x="0" y="0"/>
                <wp:positionH relativeFrom="column">
                  <wp:posOffset>113030</wp:posOffset>
                </wp:positionH>
                <wp:positionV relativeFrom="paragraph">
                  <wp:posOffset>189230</wp:posOffset>
                </wp:positionV>
                <wp:extent cx="453390" cy="245110"/>
                <wp:effectExtent l="0" t="0" r="0" b="2540"/>
                <wp:wrapNone/>
                <wp:docPr id="390" name="Надпись 390"/>
                <wp:cNvGraphicFramePr/>
                <a:graphic xmlns:a="http://schemas.openxmlformats.org/drawingml/2006/main">
                  <a:graphicData uri="http://schemas.microsoft.com/office/word/2010/wordprocessingShape">
                    <wps:wsp>
                      <wps:cNvSpPr txBox="1"/>
                      <wps:spPr>
                        <a:xfrm>
                          <a:off x="0" y="0"/>
                          <a:ext cx="453505" cy="245477"/>
                        </a:xfrm>
                        <a:prstGeom prst="rect"/>
                        <a:noFill/>
                        <a:ln w="6350">
                          <a:noFill/>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spacing w:lineRule="auto" w:line="240" w:after="0" w:beforeAutospacing="0" w:afterAutospacing="0"/>
                              <w:jc w:val="center"/>
                              <w:rPr>
                                <w:rFonts w:ascii="Times New Roman" w:hAnsi="Times New Roman" w:cs="Times New Roman"/>
                                <w:sz w:val="20"/>
                                <w:szCs w:val="20"/>
                                <w:lang w:val="en-US"/>
                              </w:rPr>
                            </w:pPr>
                            <w:r>
                              <w:rPr>
                                <w:rFonts w:ascii="Times New Roman" w:hAnsi="Times New Roman" w:cs="Times New Roman"/>
                                <w:sz w:val="20"/>
                                <w:szCs w:val="20"/>
                                <w:lang w:val="en-US"/>
                              </w:rPr>
                              <w:t>INT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xmlns:o="urn:schemas-microsoft-com:office:office" type="#_x0000_t202" id="Надпись 390" o:spid="_x0000_s1211" style="position:absolute;width:35.7pt;height:19.3pt;z-index:71;mso-wrap-distance-left:9pt;mso-wrap-distance-top:0pt;mso-wrap-distance-right:9pt;mso-wrap-distance-bottom:0pt;margin-left:8.9pt;margin-top:14.9pt;mso-position-horizontal:absolute;mso-position-horizontal-relative:text;mso-position-vertical:absolute;mso-position-vertical-relative:text" o:allowincell="t" filled="f" strokeweight="0.5pt" stroked="f">
                <v:textbox inset="3mm,1mm,3mm,1mm">
                  <w:txbxContent>
                    <w:p>
                      <w:pPr>
                        <w:spacing w:lineRule="auto" w:line="240" w:after="0" w:beforeAutospacing="0" w:afterAutospacing="0"/>
                        <w:jc w:val="center"/>
                        <w:rPr>
                          <w:rFonts w:ascii="Times New Roman" w:hAnsi="Times New Roman" w:cs="Times New Roman"/>
                          <w:sz w:val="20"/>
                          <w:szCs w:val="20"/>
                          <w:lang w:val="en-US"/>
                        </w:rPr>
                      </w:pPr>
                      <w:r>
                        <w:rPr>
                          <w:rFonts w:ascii="Times New Roman" w:hAnsi="Times New Roman" w:cs="Times New Roman"/>
                          <w:sz w:val="20"/>
                          <w:szCs w:val="20"/>
                          <w:lang w:val="en-US"/>
                        </w:rPr>
                        <w:t>INT</w:t>
                      </w:r>
                    </w:p>
                  </w:txbxContent>
                </v:textbox>
              </v:shape>
            </w:pict>
          </mc:Fallback>
        </mc:AlternateContent>
      </w:r>
    </w:p>
    <w:p>
      <w:pPr>
        <w:spacing w:lineRule="auto" w:line="360" w:after="0" w:beforeAutospacing="0" w:afterAutospacing="0"/>
        <w:ind w:firstLine="709"/>
        <w:rPr>
          <w:rFonts w:ascii="Times New Roman" w:hAnsi="Times New Roman" w:cs="Times New Roman"/>
          <w:i w:val="1"/>
          <w:sz w:val="28"/>
          <w:szCs w:val="28"/>
        </w:rPr>
      </w:pPr>
      <w:r>
        <w:rPr>
          <w:rFonts w:ascii="Times New Roman" w:hAnsi="Times New Roman" w:cs="Times New Roman"/>
          <w:i w:val="1"/>
          <w:noProof w:val="1"/>
          <w:sz w:val="28"/>
          <w:szCs w:val="28"/>
          <w:lang w:eastAsia="ru-RU"/>
        </w:rPr>
        <mc:AlternateContent>
          <mc:Choice Requires="wps">
            <w:drawing>
              <wp:anchor xmlns:wp="http://schemas.openxmlformats.org/drawingml/2006/wordprocessingDrawing" distT="0" distB="0" distL="114300" distR="114300" simplePos="0" relativeHeight="142" behindDoc="0" locked="0" layoutInCell="1" allowOverlap="1">
                <wp:simplePos x="0" y="0"/>
                <wp:positionH relativeFrom="column">
                  <wp:posOffset>2099945</wp:posOffset>
                </wp:positionH>
                <wp:positionV relativeFrom="paragraph">
                  <wp:posOffset>68580</wp:posOffset>
                </wp:positionV>
                <wp:extent cx="538480" cy="266700"/>
                <wp:effectExtent l="0" t="0" r="0" b="0"/>
                <wp:wrapNone/>
                <wp:docPr id="487" name="Надпись 487"/>
                <wp:cNvGraphicFramePr/>
                <a:graphic xmlns:a="http://schemas.openxmlformats.org/drawingml/2006/main">
                  <a:graphicData uri="http://schemas.microsoft.com/office/word/2010/wordprocessingShape">
                    <wps:wsp>
                      <wps:cNvSpPr txBox="1"/>
                      <wps:spPr>
                        <a:xfrm>
                          <a:off x="0" y="0"/>
                          <a:ext cx="538480" cy="266700"/>
                        </a:xfrm>
                        <a:prstGeom prst="rect"/>
                        <a:noFill/>
                        <a:ln w="6350">
                          <a:noFill/>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spacing w:lineRule="auto" w:line="240" w:after="0" w:beforeAutospacing="0" w:afterAutospacing="0"/>
                              <w:rPr>
                                <w:rFonts w:ascii="Times New Roman" w:hAnsi="Times New Roman" w:cs="Times New Roman"/>
                                <w:sz w:val="20"/>
                                <w:szCs w:val="20"/>
                              </w:rPr>
                            </w:pPr>
                            <w:r>
                              <w:rPr>
                                <w:rFonts w:ascii="Times New Roman" w:hAnsi="Times New Roman" w:cs="Times New Roman"/>
                                <w:sz w:val="20"/>
                                <w:szCs w:val="20"/>
                              </w:rPr>
                              <w:t>0,117</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xmlns:o="urn:schemas-microsoft-com:office:office" type="#_x0000_t202" id="Надпись 487" o:spid="_x0000_s1212" style="position:absolute;width:42.4pt;height:21pt;z-index:142;mso-wrap-distance-left:9pt;mso-wrap-distance-top:0pt;mso-wrap-distance-right:9pt;mso-wrap-distance-bottom:0pt;margin-left:165.35pt;margin-top:5.4pt;mso-position-horizontal:absolute;mso-position-horizontal-relative:text;mso-position-vertical:absolute;mso-position-vertical-relative:text" o:allowincell="t" filled="f" strokeweight="0.5pt" stroked="f">
                <v:textbox inset="3mm,1mm,3mm,1mm">
                  <w:txbxContent>
                    <w:p>
                      <w:pPr>
                        <w:spacing w:lineRule="auto" w:line="240" w:after="0" w:beforeAutospacing="0" w:afterAutospacing="0"/>
                        <w:rPr>
                          <w:rFonts w:ascii="Times New Roman" w:hAnsi="Times New Roman" w:cs="Times New Roman"/>
                          <w:sz w:val="20"/>
                          <w:szCs w:val="20"/>
                        </w:rPr>
                      </w:pPr>
                      <w:r>
                        <w:rPr>
                          <w:rFonts w:ascii="Times New Roman" w:hAnsi="Times New Roman" w:cs="Times New Roman"/>
                          <w:sz w:val="20"/>
                          <w:szCs w:val="20"/>
                        </w:rPr>
                        <w:t>0,117</w:t>
                      </w:r>
                    </w:p>
                  </w:txbxContent>
                </v:textbox>
              </v:shape>
            </w:pict>
          </mc:Fallback>
        </mc:AlternateContent>
      </w:r>
      <w:r>
        <w:rPr>
          <w:rFonts w:ascii="Times New Roman" w:hAnsi="Times New Roman" w:cs="Times New Roman"/>
          <w:i w:val="1"/>
          <w:noProof w:val="1"/>
          <w:sz w:val="28"/>
          <w:szCs w:val="28"/>
          <w:lang w:eastAsia="ru-RU"/>
        </w:rPr>
        <mc:AlternateContent>
          <mc:Choice Requires="wps">
            <w:drawing>
              <wp:anchor xmlns:wp="http://schemas.openxmlformats.org/drawingml/2006/wordprocessingDrawing" distT="0" distB="0" distL="114300" distR="114300" simplePos="0" relativeHeight="128" behindDoc="0" locked="0" layoutInCell="1" allowOverlap="1">
                <wp:simplePos x="0" y="0"/>
                <wp:positionH relativeFrom="column">
                  <wp:posOffset>479425</wp:posOffset>
                </wp:positionH>
                <wp:positionV relativeFrom="paragraph">
                  <wp:posOffset>247015</wp:posOffset>
                </wp:positionV>
                <wp:extent cx="495300" cy="266700"/>
                <wp:effectExtent l="0" t="0" r="0" b="0"/>
                <wp:wrapNone/>
                <wp:docPr id="473" name="Надпись 473"/>
                <wp:cNvGraphicFramePr/>
                <a:graphic xmlns:a="http://schemas.openxmlformats.org/drawingml/2006/main">
                  <a:graphicData uri="http://schemas.microsoft.com/office/word/2010/wordprocessingShape">
                    <wps:wsp>
                      <wps:cNvSpPr txBox="1"/>
                      <wps:spPr>
                        <a:xfrm>
                          <a:off x="0" y="0"/>
                          <a:ext cx="495300" cy="266700"/>
                        </a:xfrm>
                        <a:prstGeom prst="rect"/>
                        <a:noFill/>
                        <a:ln w="6350">
                          <a:noFill/>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spacing w:lineRule="auto" w:line="240" w:after="0" w:beforeAutospacing="0" w:afterAutospacing="0"/>
                              <w:rPr>
                                <w:rFonts w:ascii="Times New Roman" w:hAnsi="Times New Roman" w:cs="Times New Roman"/>
                                <w:sz w:val="20"/>
                                <w:szCs w:val="20"/>
                              </w:rPr>
                            </w:pPr>
                            <w:r>
                              <w:rPr>
                                <w:rFonts w:ascii="Times New Roman" w:hAnsi="Times New Roman" w:cs="Times New Roman"/>
                                <w:sz w:val="20"/>
                                <w:szCs w:val="20"/>
                              </w:rPr>
                              <w:t>0,614</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xmlns:o="urn:schemas-microsoft-com:office:office" type="#_x0000_t202" id="Надпись 473" o:spid="_x0000_s1213" style="position:absolute;width:39pt;height:21pt;z-index:128;mso-wrap-distance-left:9pt;mso-wrap-distance-top:0pt;mso-wrap-distance-right:9pt;mso-wrap-distance-bottom:0pt;margin-left:37.75pt;margin-top:19.45pt;mso-position-horizontal:absolute;mso-position-horizontal-relative:text;mso-position-vertical:absolute;mso-position-vertical-relative:text" o:allowincell="t" filled="f" strokeweight="0.5pt" stroked="f">
                <v:textbox inset="3mm,1mm,3mm,1mm">
                  <w:txbxContent>
                    <w:p>
                      <w:pPr>
                        <w:spacing w:lineRule="auto" w:line="240" w:after="0" w:beforeAutospacing="0" w:afterAutospacing="0"/>
                        <w:rPr>
                          <w:rFonts w:ascii="Times New Roman" w:hAnsi="Times New Roman" w:cs="Times New Roman"/>
                          <w:sz w:val="20"/>
                          <w:szCs w:val="20"/>
                        </w:rPr>
                      </w:pPr>
                      <w:r>
                        <w:rPr>
                          <w:rFonts w:ascii="Times New Roman" w:hAnsi="Times New Roman" w:cs="Times New Roman"/>
                          <w:sz w:val="20"/>
                          <w:szCs w:val="20"/>
                        </w:rPr>
                        <w:t>0,614</w:t>
                      </w:r>
                    </w:p>
                  </w:txbxContent>
                </v:textbox>
              </v:shape>
            </w:pict>
          </mc:Fallback>
        </mc:AlternateContent>
      </w:r>
      <w:r>
        <w:rPr>
          <w:rFonts w:ascii="Times New Roman" w:hAnsi="Times New Roman" w:cs="Times New Roman"/>
          <w:i w:val="1"/>
          <w:noProof w:val="1"/>
          <w:sz w:val="28"/>
          <w:szCs w:val="28"/>
          <w:lang w:eastAsia="ru-RU"/>
        </w:rPr>
        <mc:AlternateContent>
          <mc:Choice Requires="wps">
            <w:drawing>
              <wp:anchor xmlns:wp="http://schemas.openxmlformats.org/drawingml/2006/wordprocessingDrawing" distT="0" distB="0" distL="114300" distR="114300" simplePos="0" relativeHeight="124" behindDoc="0" locked="0" layoutInCell="1" allowOverlap="1">
                <wp:simplePos x="0" y="0"/>
                <wp:positionH relativeFrom="column">
                  <wp:posOffset>5788025</wp:posOffset>
                </wp:positionH>
                <wp:positionV relativeFrom="paragraph">
                  <wp:posOffset>216535</wp:posOffset>
                </wp:positionV>
                <wp:extent cx="2540" cy="394335"/>
                <wp:effectExtent l="76200" t="38100" r="73660" b="24765"/>
                <wp:wrapNone/>
                <wp:docPr id="463" name="Прямая со стрелкой 463"/>
                <wp:cNvGraphicFramePr/>
                <a:graphic xmlns:a="http://schemas.openxmlformats.org/drawingml/2006/main">
                  <a:graphicData uri="http://schemas.microsoft.com/office/word/2010/wordprocessingShape">
                    <wps:wsp>
                      <wps:cNvCnPr/>
                      <wps:spPr>
                        <a:xfrm flipV="1" flipH="1">
                          <a:off x="0" y="0"/>
                          <a:ext cx="2540" cy="394642"/>
                        </a:xfrm>
                        <a:prstGeom prst="straightConnector1"/>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xmlns:o="urn:schemas-microsoft-com:office:office" type="#_x0000_t32" id="Прямая со стрелкой 463" o:spid="_x0000_s1214" style="position:absolute;width:0.2pt;height:31.05pt;flip:x y;z-index:124;mso-wrap-distance-left:9pt;mso-wrap-distance-top:0pt;mso-wrap-distance-right:9pt;mso-wrap-distance-bottom:0pt;margin-left:455.75pt;margin-top:17.05pt;mso-position-horizontal:absolute;mso-position-horizontal-relative:text;mso-position-vertical:absolute;mso-position-vertical-relative:text" strokecolor="#000000" strokeweight="0.5pt" stroked="t" o:allowincell="t">
                <v:stroke endarrow="block"/>
              </v:shape>
            </w:pict>
          </mc:Fallback>
        </mc:AlternateContent>
      </w:r>
      <w:r>
        <w:rPr>
          <w:rFonts w:ascii="Times New Roman" w:hAnsi="Times New Roman" w:cs="Times New Roman"/>
          <w:i w:val="1"/>
          <w:noProof w:val="1"/>
          <w:sz w:val="28"/>
          <w:szCs w:val="28"/>
          <w:lang w:eastAsia="ru-RU"/>
        </w:rPr>
        <mc:AlternateContent>
          <mc:Choice Requires="wps">
            <w:drawing>
              <wp:anchor xmlns:wp="http://schemas.openxmlformats.org/drawingml/2006/wordprocessingDrawing" distT="0" distB="0" distL="114300" distR="114300" simplePos="0" relativeHeight="123" behindDoc="0" locked="0" layoutInCell="1" allowOverlap="1">
                <wp:simplePos x="0" y="0"/>
                <wp:positionH relativeFrom="column">
                  <wp:posOffset>5272405</wp:posOffset>
                </wp:positionH>
                <wp:positionV relativeFrom="paragraph">
                  <wp:posOffset>214630</wp:posOffset>
                </wp:positionV>
                <wp:extent cx="2540" cy="394335"/>
                <wp:effectExtent l="76200" t="38100" r="73660" b="24765"/>
                <wp:wrapNone/>
                <wp:docPr id="462" name="Прямая со стрелкой 462"/>
                <wp:cNvGraphicFramePr/>
                <a:graphic xmlns:a="http://schemas.openxmlformats.org/drawingml/2006/main">
                  <a:graphicData uri="http://schemas.microsoft.com/office/word/2010/wordprocessingShape">
                    <wps:wsp>
                      <wps:cNvCnPr/>
                      <wps:spPr>
                        <a:xfrm flipV="1" flipH="1">
                          <a:off x="0" y="0"/>
                          <a:ext cx="2540" cy="394642"/>
                        </a:xfrm>
                        <a:prstGeom prst="straightConnector1"/>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xmlns:o="urn:schemas-microsoft-com:office:office" type="#_x0000_t32" id="Прямая со стрелкой 462" o:spid="_x0000_s1215" style="position:absolute;width:0.2pt;height:31.05pt;flip:x y;z-index:123;mso-wrap-distance-left:9pt;mso-wrap-distance-top:0pt;mso-wrap-distance-right:9pt;mso-wrap-distance-bottom:0pt;margin-left:415.15pt;margin-top:16.9pt;mso-position-horizontal:absolute;mso-position-horizontal-relative:text;mso-position-vertical:absolute;mso-position-vertical-relative:text" strokecolor="#000000" strokeweight="0.5pt" stroked="t" o:allowincell="t">
                <v:stroke endarrow="block"/>
              </v:shape>
            </w:pict>
          </mc:Fallback>
        </mc:AlternateContent>
      </w:r>
    </w:p>
    <w:p>
      <w:pPr>
        <w:spacing w:lineRule="auto" w:line="360" w:after="0" w:beforeAutospacing="0" w:afterAutospacing="0"/>
        <w:ind w:firstLine="709"/>
        <w:rPr>
          <w:rFonts w:ascii="Times New Roman" w:hAnsi="Times New Roman" w:cs="Times New Roman"/>
          <w:i w:val="1"/>
          <w:sz w:val="28"/>
          <w:szCs w:val="28"/>
        </w:rPr>
      </w:pPr>
      <w:r>
        <w:rPr>
          <w:rFonts w:ascii="Times New Roman" w:hAnsi="Times New Roman" w:cs="Times New Roman"/>
          <w:i w:val="1"/>
          <w:noProof w:val="1"/>
          <w:sz w:val="28"/>
          <w:szCs w:val="28"/>
          <w:lang w:eastAsia="ru-RU"/>
        </w:rPr>
        <mc:AlternateContent>
          <mc:Choice Requires="wps">
            <w:drawing>
              <wp:anchor xmlns:wp="http://schemas.openxmlformats.org/drawingml/2006/wordprocessingDrawing" distT="0" distB="0" distL="114300" distR="114300" simplePos="0" relativeHeight="140" behindDoc="0" locked="0" layoutInCell="1" allowOverlap="1">
                <wp:simplePos x="0" y="0"/>
                <wp:positionH relativeFrom="column">
                  <wp:posOffset>5376545</wp:posOffset>
                </wp:positionH>
                <wp:positionV relativeFrom="paragraph">
                  <wp:posOffset>54610</wp:posOffset>
                </wp:positionV>
                <wp:extent cx="495300" cy="266700"/>
                <wp:effectExtent l="0" t="0" r="0" b="0"/>
                <wp:wrapNone/>
                <wp:docPr id="485" name="Надпись 485"/>
                <wp:cNvGraphicFramePr/>
                <a:graphic xmlns:a="http://schemas.openxmlformats.org/drawingml/2006/main">
                  <a:graphicData uri="http://schemas.microsoft.com/office/word/2010/wordprocessingShape">
                    <wps:wsp>
                      <wps:cNvSpPr txBox="1"/>
                      <wps:spPr>
                        <a:xfrm>
                          <a:off x="0" y="0"/>
                          <a:ext cx="495300" cy="266700"/>
                        </a:xfrm>
                        <a:prstGeom prst="rect"/>
                        <a:noFill/>
                        <a:ln w="6350">
                          <a:noFill/>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spacing w:lineRule="auto" w:line="240" w:after="0" w:beforeAutospacing="0" w:afterAutospacing="0"/>
                              <w:rPr>
                                <w:rFonts w:ascii="Times New Roman" w:hAnsi="Times New Roman" w:cs="Times New Roman"/>
                                <w:sz w:val="20"/>
                                <w:szCs w:val="20"/>
                              </w:rPr>
                            </w:pPr>
                            <w:r>
                              <w:rPr>
                                <w:rFonts w:ascii="Times New Roman" w:hAnsi="Times New Roman" w:cs="Times New Roman"/>
                                <w:sz w:val="20"/>
                                <w:szCs w:val="20"/>
                              </w:rPr>
                              <w:t>0,429</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xmlns:o="urn:schemas-microsoft-com:office:office" type="#_x0000_t202" id="Надпись 485" o:spid="_x0000_s1216" style="position:absolute;width:39pt;height:21pt;z-index:140;mso-wrap-distance-left:9pt;mso-wrap-distance-top:0pt;mso-wrap-distance-right:9pt;mso-wrap-distance-bottom:0pt;margin-left:423.35pt;margin-top:4.3pt;mso-position-horizontal:absolute;mso-position-horizontal-relative:text;mso-position-vertical:absolute;mso-position-vertical-relative:text" o:allowincell="t" filled="f" strokeweight="0.5pt" stroked="f">
                <v:textbox inset="3mm,1mm,3mm,1mm">
                  <w:txbxContent>
                    <w:p>
                      <w:pPr>
                        <w:spacing w:lineRule="auto" w:line="240" w:after="0" w:beforeAutospacing="0" w:afterAutospacing="0"/>
                        <w:rPr>
                          <w:rFonts w:ascii="Times New Roman" w:hAnsi="Times New Roman" w:cs="Times New Roman"/>
                          <w:sz w:val="20"/>
                          <w:szCs w:val="20"/>
                        </w:rPr>
                      </w:pPr>
                      <w:r>
                        <w:rPr>
                          <w:rFonts w:ascii="Times New Roman" w:hAnsi="Times New Roman" w:cs="Times New Roman"/>
                          <w:sz w:val="20"/>
                          <w:szCs w:val="20"/>
                        </w:rPr>
                        <w:t>0,429</w:t>
                      </w:r>
                    </w:p>
                  </w:txbxContent>
                </v:textbox>
              </v:shape>
            </w:pict>
          </mc:Fallback>
        </mc:AlternateContent>
      </w:r>
      <w:r>
        <w:rPr>
          <w:rFonts w:ascii="Times New Roman" w:hAnsi="Times New Roman" w:cs="Times New Roman"/>
          <w:i w:val="1"/>
          <w:noProof w:val="1"/>
          <w:sz w:val="28"/>
          <w:szCs w:val="28"/>
          <w:lang w:eastAsia="ru-RU"/>
        </w:rPr>
        <mc:AlternateContent>
          <mc:Choice Requires="wps">
            <w:drawing>
              <wp:anchor xmlns:wp="http://schemas.openxmlformats.org/drawingml/2006/wordprocessingDrawing" distT="0" distB="0" distL="114300" distR="114300" simplePos="0" relativeHeight="137" behindDoc="0" locked="0" layoutInCell="1" allowOverlap="1">
                <wp:simplePos x="0" y="0"/>
                <wp:positionH relativeFrom="column">
                  <wp:posOffset>4873625</wp:posOffset>
                </wp:positionH>
                <wp:positionV relativeFrom="paragraph">
                  <wp:posOffset>64770</wp:posOffset>
                </wp:positionV>
                <wp:extent cx="495300" cy="266700"/>
                <wp:effectExtent l="0" t="0" r="0" b="0"/>
                <wp:wrapNone/>
                <wp:docPr id="482" name="Надпись 482"/>
                <wp:cNvGraphicFramePr/>
                <a:graphic xmlns:a="http://schemas.openxmlformats.org/drawingml/2006/main">
                  <a:graphicData uri="http://schemas.microsoft.com/office/word/2010/wordprocessingShape">
                    <wps:wsp>
                      <wps:cNvSpPr txBox="1"/>
                      <wps:spPr>
                        <a:xfrm>
                          <a:off x="0" y="0"/>
                          <a:ext cx="495300" cy="266700"/>
                        </a:xfrm>
                        <a:prstGeom prst="rect"/>
                        <a:noFill/>
                        <a:ln w="6350">
                          <a:noFill/>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spacing w:lineRule="auto" w:line="240" w:after="0" w:beforeAutospacing="0" w:afterAutospacing="0"/>
                              <w:rPr>
                                <w:rFonts w:ascii="Times New Roman" w:hAnsi="Times New Roman" w:cs="Times New Roman"/>
                                <w:sz w:val="20"/>
                                <w:szCs w:val="20"/>
                              </w:rPr>
                            </w:pPr>
                            <w:r>
                              <w:rPr>
                                <w:rFonts w:ascii="Times New Roman" w:hAnsi="Times New Roman" w:cs="Times New Roman"/>
                                <w:sz w:val="20"/>
                                <w:szCs w:val="20"/>
                              </w:rPr>
                              <w:t>0,660</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xmlns:o="urn:schemas-microsoft-com:office:office" type="#_x0000_t202" id="Надпись 482" o:spid="_x0000_s1217" style="position:absolute;width:39pt;height:21pt;z-index:137;mso-wrap-distance-left:9pt;mso-wrap-distance-top:0pt;mso-wrap-distance-right:9pt;mso-wrap-distance-bottom:0pt;margin-left:383.75pt;margin-top:5.1pt;mso-position-horizontal:absolute;mso-position-horizontal-relative:text;mso-position-vertical:absolute;mso-position-vertical-relative:text" o:allowincell="t" filled="f" strokeweight="0.5pt" stroked="f">
                <v:textbox inset="3mm,1mm,3mm,1mm">
                  <w:txbxContent>
                    <w:p>
                      <w:pPr>
                        <w:spacing w:lineRule="auto" w:line="240" w:after="0" w:beforeAutospacing="0" w:afterAutospacing="0"/>
                        <w:rPr>
                          <w:rFonts w:ascii="Times New Roman" w:hAnsi="Times New Roman" w:cs="Times New Roman"/>
                          <w:sz w:val="20"/>
                          <w:szCs w:val="20"/>
                        </w:rPr>
                      </w:pPr>
                      <w:r>
                        <w:rPr>
                          <w:rFonts w:ascii="Times New Roman" w:hAnsi="Times New Roman" w:cs="Times New Roman"/>
                          <w:sz w:val="20"/>
                          <w:szCs w:val="20"/>
                        </w:rPr>
                        <w:t>0,660</w:t>
                      </w:r>
                    </w:p>
                  </w:txbxContent>
                </v:textbox>
              </v:shape>
            </w:pict>
          </mc:Fallback>
        </mc:AlternateContent>
      </w:r>
      <w:r>
        <w:rPr>
          <w:rFonts w:ascii="Times New Roman" w:hAnsi="Times New Roman" w:cs="Times New Roman"/>
          <w:i w:val="1"/>
          <w:noProof w:val="1"/>
          <w:sz w:val="28"/>
          <w:szCs w:val="28"/>
          <w:lang w:eastAsia="ru-RU"/>
        </w:rPr>
        <mc:AlternateContent>
          <mc:Choice Requires="wps">
            <w:drawing>
              <wp:anchor xmlns:wp="http://schemas.openxmlformats.org/drawingml/2006/wordprocessingDrawing" distT="0" distB="0" distL="114300" distR="114300" simplePos="0" relativeHeight="129" behindDoc="0" locked="0" layoutInCell="1" allowOverlap="1">
                <wp:simplePos x="0" y="0"/>
                <wp:positionH relativeFrom="column">
                  <wp:posOffset>441325</wp:posOffset>
                </wp:positionH>
                <wp:positionV relativeFrom="paragraph">
                  <wp:posOffset>262890</wp:posOffset>
                </wp:positionV>
                <wp:extent cx="495300" cy="266700"/>
                <wp:effectExtent l="0" t="0" r="0" b="0"/>
                <wp:wrapNone/>
                <wp:docPr id="474" name="Надпись 474"/>
                <wp:cNvGraphicFramePr/>
                <a:graphic xmlns:a="http://schemas.openxmlformats.org/drawingml/2006/main">
                  <a:graphicData uri="http://schemas.microsoft.com/office/word/2010/wordprocessingShape">
                    <wps:wsp>
                      <wps:cNvSpPr txBox="1"/>
                      <wps:spPr>
                        <a:xfrm>
                          <a:off x="0" y="0"/>
                          <a:ext cx="495300" cy="266700"/>
                        </a:xfrm>
                        <a:prstGeom prst="rect"/>
                        <a:noFill/>
                        <a:ln w="6350">
                          <a:noFill/>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spacing w:lineRule="auto" w:line="240" w:after="0" w:beforeAutospacing="0" w:afterAutospacing="0"/>
                              <w:rPr>
                                <w:rFonts w:ascii="Times New Roman" w:hAnsi="Times New Roman" w:cs="Times New Roman"/>
                                <w:sz w:val="20"/>
                                <w:szCs w:val="20"/>
                              </w:rPr>
                            </w:pPr>
                            <w:r>
                              <w:rPr>
                                <w:rFonts w:ascii="Times New Roman" w:hAnsi="Times New Roman" w:cs="Times New Roman"/>
                                <w:sz w:val="20"/>
                                <w:szCs w:val="20"/>
                              </w:rPr>
                              <w:t>0,505</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xmlns:o="urn:schemas-microsoft-com:office:office" type="#_x0000_t202" id="Надпись 474" o:spid="_x0000_s1218" style="position:absolute;width:39pt;height:21pt;z-index:129;mso-wrap-distance-left:9pt;mso-wrap-distance-top:0pt;mso-wrap-distance-right:9pt;mso-wrap-distance-bottom:0pt;margin-left:34.75pt;margin-top:20.7pt;mso-position-horizontal:absolute;mso-position-horizontal-relative:text;mso-position-vertical:absolute;mso-position-vertical-relative:text" o:allowincell="t" filled="f" strokeweight="0.5pt" stroked="f">
                <v:textbox inset="3mm,1mm,3mm,1mm">
                  <w:txbxContent>
                    <w:p>
                      <w:pPr>
                        <w:spacing w:lineRule="auto" w:line="240" w:after="0" w:beforeAutospacing="0" w:afterAutospacing="0"/>
                        <w:rPr>
                          <w:rFonts w:ascii="Times New Roman" w:hAnsi="Times New Roman" w:cs="Times New Roman"/>
                          <w:sz w:val="20"/>
                          <w:szCs w:val="20"/>
                        </w:rPr>
                      </w:pPr>
                      <w:r>
                        <w:rPr>
                          <w:rFonts w:ascii="Times New Roman" w:hAnsi="Times New Roman" w:cs="Times New Roman"/>
                          <w:sz w:val="20"/>
                          <w:szCs w:val="20"/>
                        </w:rPr>
                        <w:t>0,505</w:t>
                      </w:r>
                    </w:p>
                  </w:txbxContent>
                </v:textbox>
              </v:shape>
            </w:pict>
          </mc:Fallback>
        </mc:AlternateContent>
      </w:r>
      <w:r>
        <w:rPr>
          <w:rFonts w:ascii="Times New Roman" w:hAnsi="Times New Roman" w:cs="Times New Roman"/>
          <w:i w:val="1"/>
          <w:noProof w:val="1"/>
          <w:sz w:val="28"/>
          <w:szCs w:val="28"/>
          <w:lang w:eastAsia="ru-RU"/>
        </w:rPr>
        <mc:AlternateContent>
          <mc:Choice Requires="wps">
            <w:drawing>
              <wp:anchor xmlns:wp="http://schemas.openxmlformats.org/drawingml/2006/wordprocessingDrawing" distT="0" distB="0" distL="114300" distR="114300" simplePos="0" relativeHeight="79" behindDoc="0" locked="0" layoutInCell="1" allowOverlap="1">
                <wp:simplePos x="0" y="0"/>
                <wp:positionH relativeFrom="column">
                  <wp:posOffset>5552440</wp:posOffset>
                </wp:positionH>
                <wp:positionV relativeFrom="paragraph">
                  <wp:posOffset>302260</wp:posOffset>
                </wp:positionV>
                <wp:extent cx="490855" cy="245110"/>
                <wp:effectExtent l="0" t="0" r="0" b="2540"/>
                <wp:wrapNone/>
                <wp:docPr id="393" name="Надпись 393"/>
                <wp:cNvGraphicFramePr/>
                <a:graphic xmlns:a="http://schemas.openxmlformats.org/drawingml/2006/main">
                  <a:graphicData uri="http://schemas.microsoft.com/office/word/2010/wordprocessingShape">
                    <wps:wsp>
                      <wps:cNvSpPr txBox="1"/>
                      <wps:spPr>
                        <a:xfrm>
                          <a:off x="0" y="0"/>
                          <a:ext cx="490855" cy="245110"/>
                        </a:xfrm>
                        <a:prstGeom prst="rect"/>
                        <a:noFill/>
                        <a:ln w="6350">
                          <a:noFill/>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spacing w:lineRule="auto" w:line="240" w:after="0" w:beforeAutospacing="0" w:afterAutospacing="0"/>
                              <w:jc w:val="center"/>
                              <w:rPr>
                                <w:rFonts w:ascii="Times New Roman" w:hAnsi="Times New Roman" w:cs="Times New Roman"/>
                                <w:sz w:val="20"/>
                                <w:szCs w:val="20"/>
                                <w:lang w:val="en-US"/>
                              </w:rPr>
                            </w:pPr>
                            <w:r>
                              <w:rPr>
                                <w:rFonts w:ascii="Times New Roman" w:hAnsi="Times New Roman" w:cs="Times New Roman"/>
                                <w:sz w:val="20"/>
                                <w:szCs w:val="20"/>
                                <w:lang w:val="en-US"/>
                              </w:rPr>
                              <w:t>GBS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xmlns:o="urn:schemas-microsoft-com:office:office" type="#_x0000_t202" id="Надпись 393" o:spid="_x0000_s1219" style="position:absolute;width:38.65pt;height:19.3pt;z-index:79;mso-wrap-distance-left:9pt;mso-wrap-distance-top:0pt;mso-wrap-distance-right:9pt;mso-wrap-distance-bottom:0pt;margin-left:437.2pt;margin-top:23.8pt;mso-position-horizontal:absolute;mso-position-horizontal-relative:text;mso-position-vertical:absolute;mso-position-vertical-relative:text" o:allowincell="t" filled="f" strokeweight="0.5pt" stroked="f">
                <v:textbox inset="3mm,1mm,3mm,1mm">
                  <w:txbxContent>
                    <w:p>
                      <w:pPr>
                        <w:spacing w:lineRule="auto" w:line="240" w:after="0" w:beforeAutospacing="0" w:afterAutospacing="0"/>
                        <w:jc w:val="center"/>
                        <w:rPr>
                          <w:rFonts w:ascii="Times New Roman" w:hAnsi="Times New Roman" w:cs="Times New Roman"/>
                          <w:sz w:val="20"/>
                          <w:szCs w:val="20"/>
                          <w:lang w:val="en-US"/>
                        </w:rPr>
                      </w:pPr>
                      <w:r>
                        <w:rPr>
                          <w:rFonts w:ascii="Times New Roman" w:hAnsi="Times New Roman" w:cs="Times New Roman"/>
                          <w:sz w:val="20"/>
                          <w:szCs w:val="20"/>
                          <w:lang w:val="en-US"/>
                        </w:rPr>
                        <w:t>GBS</w:t>
                      </w:r>
                    </w:p>
                  </w:txbxContent>
                </v:textbox>
              </v:shape>
            </w:pict>
          </mc:Fallback>
        </mc:AlternateContent>
      </w:r>
      <w:r>
        <w:rPr>
          <w:rFonts w:ascii="Times New Roman" w:hAnsi="Times New Roman" w:cs="Times New Roman"/>
          <w:i w:val="1"/>
          <w:noProof w:val="1"/>
          <w:sz w:val="28"/>
          <w:szCs w:val="28"/>
          <w:lang w:eastAsia="ru-RU"/>
        </w:rPr>
        <mc:AlternateContent>
          <mc:Choice Requires="wps">
            <w:drawing>
              <wp:anchor xmlns:wp="http://schemas.openxmlformats.org/drawingml/2006/wordprocessingDrawing" distT="0" distB="0" distL="114300" distR="114300" simplePos="0" relativeHeight="94" behindDoc="0" locked="0" layoutInCell="1" allowOverlap="1">
                <wp:simplePos x="0" y="0"/>
                <wp:positionH relativeFrom="column">
                  <wp:posOffset>497840</wp:posOffset>
                </wp:positionH>
                <wp:positionV relativeFrom="paragraph">
                  <wp:posOffset>163195</wp:posOffset>
                </wp:positionV>
                <wp:extent cx="527685" cy="2540"/>
                <wp:effectExtent l="0" t="76200" r="24765" b="92710"/>
                <wp:wrapNone/>
                <wp:docPr id="30" name="Прямая со стрелкой 30"/>
                <wp:cNvGraphicFramePr/>
                <a:graphic xmlns:a="http://schemas.openxmlformats.org/drawingml/2006/main">
                  <a:graphicData uri="http://schemas.microsoft.com/office/word/2010/wordprocessingShape">
                    <wps:wsp>
                      <wps:cNvCnPr/>
                      <wps:spPr>
                        <a:xfrm>
                          <a:off x="0" y="0"/>
                          <a:ext cx="527685" cy="2540"/>
                        </a:xfrm>
                        <a:prstGeom prst="straightConnector1"/>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xmlns:o="urn:schemas-microsoft-com:office:office" type="#_x0000_t32" id="Прямая со стрелкой 30" o:spid="_x0000_s1220" style="position:absolute;width:41.55pt;height:0.2pt;z-index:94;mso-wrap-distance-left:9pt;mso-wrap-distance-top:0pt;mso-wrap-distance-right:9pt;mso-wrap-distance-bottom:0pt;margin-left:39.2pt;margin-top:12.85pt;mso-position-horizontal:absolute;mso-position-horizontal-relative:text;mso-position-vertical:absolute;mso-position-vertical-relative:text" strokecolor="#000000" strokeweight="0.5pt" stroked="t" o:allowincell="t">
                <v:stroke endarrow="block"/>
              </v:shape>
            </w:pict>
          </mc:Fallback>
        </mc:AlternateContent>
      </w:r>
      <w:r>
        <w:rPr>
          <w:rFonts w:ascii="Times New Roman" w:hAnsi="Times New Roman" w:cs="Times New Roman"/>
          <w:i w:val="1"/>
          <w:noProof w:val="1"/>
          <w:sz w:val="28"/>
          <w:szCs w:val="28"/>
          <w:lang w:eastAsia="ru-RU"/>
        </w:rPr>
        <mc:AlternateContent>
          <mc:Choice Requires="wps">
            <w:drawing>
              <wp:anchor xmlns:wp="http://schemas.openxmlformats.org/drawingml/2006/wordprocessingDrawing" distT="0" distB="0" distL="114300" distR="114300" simplePos="0" relativeHeight="92" behindDoc="0" locked="0" layoutInCell="1" allowOverlap="1">
                <wp:simplePos x="0" y="0"/>
                <wp:positionH relativeFrom="column">
                  <wp:posOffset>111760</wp:posOffset>
                </wp:positionH>
                <wp:positionV relativeFrom="paragraph">
                  <wp:posOffset>34925</wp:posOffset>
                </wp:positionV>
                <wp:extent cx="386715" cy="256540"/>
                <wp:effectExtent l="0" t="0" r="13335" b="10160"/>
                <wp:wrapNone/>
                <wp:docPr id="28" name="Овал 28"/>
                <wp:cNvGraphicFramePr/>
                <a:graphic xmlns:a="http://schemas.openxmlformats.org/drawingml/2006/main">
                  <a:graphicData uri="http://schemas.microsoft.com/office/word/2010/wordprocessingShape">
                    <wps:wsp>
                      <wps:cNvSpPr/>
                      <wps:spPr>
                        <a:xfrm>
                          <a:off x="0" y="0"/>
                          <a:ext cx="387118" cy="256967"/>
                        </a:xfrm>
                        <a:prstGeom prst="ellipse"/>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xmlns:o="urn:schemas-microsoft-com:office:office" id="Овал 28" o:spid="_x0000_s1221" style="position:absolute;width:30.45pt;height:20.2pt;z-index:92;mso-wrap-distance-left:9pt;mso-wrap-distance-top:0pt;mso-wrap-distance-right:9pt;mso-wrap-distance-bottom:0pt;margin-left:8.8pt;margin-top:2.75pt;mso-position-horizontal:absolute;mso-position-horizontal-relative:text;mso-position-vertical:absolute;mso-position-vertical-relative:text;v-text-anchor:middle" o:allowincell="t" filled="f" strokecolor="#000000" strokeweight="1pt" stroked="t"/>
            </w:pict>
          </mc:Fallback>
        </mc:AlternateContent>
      </w:r>
      <w:r>
        <w:rPr>
          <w:rFonts w:ascii="Times New Roman" w:hAnsi="Times New Roman" w:cs="Times New Roman"/>
          <w:i w:val="1"/>
          <w:noProof w:val="1"/>
          <w:sz w:val="28"/>
          <w:szCs w:val="28"/>
          <w:lang w:eastAsia="ru-RU"/>
        </w:rPr>
        <mc:AlternateContent>
          <mc:Choice Requires="wps">
            <w:drawing>
              <wp:anchor xmlns:wp="http://schemas.openxmlformats.org/drawingml/2006/wordprocessingDrawing" distT="0" distB="0" distL="114300" distR="114300" simplePos="0" relativeHeight="86" behindDoc="0" locked="0" layoutInCell="1" allowOverlap="1">
                <wp:simplePos x="0" y="0"/>
                <wp:positionH relativeFrom="column">
                  <wp:posOffset>80645</wp:posOffset>
                </wp:positionH>
                <wp:positionV relativeFrom="paragraph">
                  <wp:posOffset>38735</wp:posOffset>
                </wp:positionV>
                <wp:extent cx="453390" cy="245110"/>
                <wp:effectExtent l="0" t="0" r="0" b="2540"/>
                <wp:wrapNone/>
                <wp:docPr id="396" name="Надпись 396"/>
                <wp:cNvGraphicFramePr/>
                <a:graphic xmlns:a="http://schemas.openxmlformats.org/drawingml/2006/main">
                  <a:graphicData uri="http://schemas.microsoft.com/office/word/2010/wordprocessingShape">
                    <wps:wsp>
                      <wps:cNvSpPr txBox="1"/>
                      <wps:spPr>
                        <a:xfrm>
                          <a:off x="0" y="0"/>
                          <a:ext cx="453390" cy="245110"/>
                        </a:xfrm>
                        <a:prstGeom prst="rect"/>
                        <a:noFill/>
                        <a:ln w="6350">
                          <a:noFill/>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spacing w:lineRule="auto" w:line="240" w:after="0" w:beforeAutospacing="0" w:afterAutospacing="0"/>
                              <w:jc w:val="center"/>
                              <w:rPr>
                                <w:rFonts w:ascii="Times New Roman" w:hAnsi="Times New Roman" w:cs="Times New Roman"/>
                                <w:sz w:val="20"/>
                                <w:szCs w:val="20"/>
                                <w:lang w:val="en-US"/>
                              </w:rPr>
                            </w:pPr>
                            <w:r>
                              <w:rPr>
                                <w:rFonts w:ascii="Times New Roman" w:hAnsi="Times New Roman" w:cs="Times New Roman"/>
                                <w:sz w:val="20"/>
                                <w:szCs w:val="20"/>
                                <w:lang w:val="en-US"/>
                              </w:rPr>
                              <w:t>H2O</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xmlns:o="urn:schemas-microsoft-com:office:office" type="#_x0000_t202" id="Надпись 396" o:spid="_x0000_s1222" style="position:absolute;width:35.7pt;height:19.3pt;z-index:86;mso-wrap-distance-left:9pt;mso-wrap-distance-top:0pt;mso-wrap-distance-right:9pt;mso-wrap-distance-bottom:0pt;margin-left:6.35pt;margin-top:3.05pt;mso-position-horizontal:absolute;mso-position-horizontal-relative:text;mso-position-vertical:absolute;mso-position-vertical-relative:text" o:allowincell="t" filled="f" strokeweight="0.5pt" stroked="f">
                <v:textbox inset="3mm,1mm,3mm,1mm">
                  <w:txbxContent>
                    <w:p>
                      <w:pPr>
                        <w:spacing w:lineRule="auto" w:line="240" w:after="0" w:beforeAutospacing="0" w:afterAutospacing="0"/>
                        <w:jc w:val="center"/>
                        <w:rPr>
                          <w:rFonts w:ascii="Times New Roman" w:hAnsi="Times New Roman" w:cs="Times New Roman"/>
                          <w:sz w:val="20"/>
                          <w:szCs w:val="20"/>
                          <w:lang w:val="en-US"/>
                        </w:rPr>
                      </w:pPr>
                      <w:r>
                        <w:rPr>
                          <w:rFonts w:ascii="Times New Roman" w:hAnsi="Times New Roman" w:cs="Times New Roman"/>
                          <w:sz w:val="20"/>
                          <w:szCs w:val="20"/>
                          <w:lang w:val="en-US"/>
                        </w:rPr>
                        <w:t>H2O</w:t>
                      </w:r>
                    </w:p>
                  </w:txbxContent>
                </v:textbox>
              </v:shape>
            </w:pict>
          </mc:Fallback>
        </mc:AlternateContent>
      </w:r>
    </w:p>
    <w:p>
      <w:pPr>
        <w:spacing w:lineRule="auto" w:line="360" w:after="0" w:beforeAutospacing="0" w:afterAutospacing="0"/>
        <w:ind w:firstLine="709"/>
        <w:rPr>
          <w:rFonts w:ascii="Times New Roman" w:hAnsi="Times New Roman" w:cs="Times New Roman"/>
          <w:i w:val="1"/>
          <w:sz w:val="28"/>
          <w:szCs w:val="28"/>
        </w:rPr>
      </w:pPr>
      <w:r>
        <w:rPr>
          <w:rFonts w:ascii="Times New Roman" w:hAnsi="Times New Roman" w:cs="Times New Roman"/>
          <w:i w:val="1"/>
          <w:noProof w:val="1"/>
          <w:sz w:val="28"/>
          <w:szCs w:val="28"/>
          <w:lang w:eastAsia="ru-RU"/>
        </w:rPr>
        <mc:AlternateContent>
          <mc:Choice Requires="wps">
            <w:drawing>
              <wp:anchor xmlns:wp="http://schemas.openxmlformats.org/drawingml/2006/wordprocessingDrawing" distT="0" distB="0" distL="114300" distR="114300" simplePos="0" relativeHeight="149" behindDoc="0" locked="0" layoutInCell="1" allowOverlap="1">
                <wp:simplePos x="0" y="0"/>
                <wp:positionH relativeFrom="column">
                  <wp:posOffset>2204720</wp:posOffset>
                </wp:positionH>
                <wp:positionV relativeFrom="paragraph">
                  <wp:posOffset>199390</wp:posOffset>
                </wp:positionV>
                <wp:extent cx="538480" cy="266700"/>
                <wp:effectExtent l="0" t="0" r="0" b="0"/>
                <wp:wrapNone/>
                <wp:docPr id="12" name="Надпись 12"/>
                <wp:cNvGraphicFramePr/>
                <a:graphic xmlns:a="http://schemas.openxmlformats.org/drawingml/2006/main">
                  <a:graphicData uri="http://schemas.microsoft.com/office/word/2010/wordprocessingShape">
                    <wps:wsp>
                      <wps:cNvSpPr txBox="1"/>
                      <wps:spPr>
                        <a:xfrm>
                          <a:off x="0" y="0"/>
                          <a:ext cx="538480" cy="266700"/>
                        </a:xfrm>
                        <a:prstGeom prst="rect"/>
                        <a:noFill/>
                        <a:ln w="6350">
                          <a:noFill/>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spacing w:lineRule="auto" w:line="240" w:after="0" w:beforeAutospacing="0" w:afterAutospacing="0"/>
                              <w:rPr>
                                <w:rFonts w:ascii="Times New Roman" w:hAnsi="Times New Roman" w:cs="Times New Roman"/>
                                <w:sz w:val="20"/>
                                <w:szCs w:val="20"/>
                              </w:rPr>
                            </w:pPr>
                            <w:r>
                              <w:rPr>
                                <w:rFonts w:ascii="Times New Roman" w:hAnsi="Times New Roman" w:cs="Times New Roman"/>
                                <w:sz w:val="20"/>
                                <w:szCs w:val="20"/>
                              </w:rPr>
                              <w:t>-0,</w:t>
                            </w:r>
                            <w:r>
                              <w:rPr>
                                <w:rFonts w:ascii="Times New Roman" w:hAnsi="Times New Roman" w:cs="Times New Roman"/>
                                <w:sz w:val="20"/>
                                <w:szCs w:val="20"/>
                                <w:lang w:val="en-US"/>
                              </w:rPr>
                              <w:t>004</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xmlns:o="urn:schemas-microsoft-com:office:office" type="#_x0000_t202" id="Надпись 12" o:spid="_x0000_s1223" style="position:absolute;width:42.4pt;height:21pt;z-index:149;mso-wrap-distance-left:9pt;mso-wrap-distance-top:0pt;mso-wrap-distance-right:9pt;mso-wrap-distance-bottom:0pt;margin-left:173.6pt;margin-top:15.7pt;mso-position-horizontal:absolute;mso-position-horizontal-relative:text;mso-position-vertical:absolute;mso-position-vertical-relative:text" o:allowincell="t" filled="f" strokeweight="0.5pt" stroked="f">
                <v:textbox inset="3mm,1mm,3mm,1mm">
                  <w:txbxContent>
                    <w:p>
                      <w:pPr>
                        <w:spacing w:lineRule="auto" w:line="240" w:after="0" w:beforeAutospacing="0" w:afterAutospacing="0"/>
                        <w:rPr>
                          <w:rFonts w:ascii="Times New Roman" w:hAnsi="Times New Roman" w:cs="Times New Roman"/>
                          <w:sz w:val="20"/>
                          <w:szCs w:val="20"/>
                        </w:rPr>
                      </w:pPr>
                      <w:r>
                        <w:rPr>
                          <w:rFonts w:ascii="Times New Roman" w:hAnsi="Times New Roman" w:cs="Times New Roman"/>
                          <w:sz w:val="20"/>
                          <w:szCs w:val="20"/>
                        </w:rPr>
                        <w:t>-0,</w:t>
                      </w:r>
                      <w:r>
                        <w:rPr>
                          <w:rFonts w:ascii="Times New Roman" w:hAnsi="Times New Roman" w:cs="Times New Roman"/>
                          <w:sz w:val="20"/>
                          <w:szCs w:val="20"/>
                          <w:lang w:val="en-US"/>
                        </w:rPr>
                        <w:t>004</w:t>
                      </w:r>
                    </w:p>
                  </w:txbxContent>
                </v:textbox>
              </v:shape>
            </w:pict>
          </mc:Fallback>
        </mc:AlternateContent>
      </w:r>
      <w:r>
        <w:rPr>
          <w:rFonts w:ascii="Times New Roman" w:hAnsi="Times New Roman" w:cs="Times New Roman"/>
          <w:i w:val="1"/>
          <w:noProof w:val="1"/>
          <w:sz w:val="28"/>
          <w:szCs w:val="28"/>
          <w:lang w:eastAsia="ru-RU"/>
        </w:rPr>
        <mc:AlternateContent>
          <mc:Choice Requires="wps">
            <w:drawing>
              <wp:anchor xmlns:wp="http://schemas.openxmlformats.org/drawingml/2006/wordprocessingDrawing" distT="0" distB="0" distL="114300" distR="114300" simplePos="0" relativeHeight="146" behindDoc="0" locked="0" layoutInCell="1" allowOverlap="1">
                <wp:simplePos x="0" y="0"/>
                <wp:positionH relativeFrom="column">
                  <wp:posOffset>3242945</wp:posOffset>
                </wp:positionH>
                <wp:positionV relativeFrom="paragraph">
                  <wp:posOffset>163830</wp:posOffset>
                </wp:positionV>
                <wp:extent cx="538480" cy="266700"/>
                <wp:effectExtent l="0" t="0" r="0" b="0"/>
                <wp:wrapNone/>
                <wp:docPr id="491" name="Надпись 491"/>
                <wp:cNvGraphicFramePr/>
                <a:graphic xmlns:a="http://schemas.openxmlformats.org/drawingml/2006/main">
                  <a:graphicData uri="http://schemas.microsoft.com/office/word/2010/wordprocessingShape">
                    <wps:wsp>
                      <wps:cNvSpPr txBox="1"/>
                      <wps:spPr>
                        <a:xfrm>
                          <a:off x="0" y="0"/>
                          <a:ext cx="538480" cy="266700"/>
                        </a:xfrm>
                        <a:prstGeom prst="rect"/>
                        <a:noFill/>
                        <a:ln w="6350">
                          <a:noFill/>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spacing w:lineRule="auto" w:line="240" w:after="0" w:beforeAutospacing="0" w:afterAutospacing="0"/>
                              <w:rPr>
                                <w:rFonts w:ascii="Times New Roman" w:hAnsi="Times New Roman" w:cs="Times New Roman"/>
                                <w:sz w:val="20"/>
                                <w:szCs w:val="20"/>
                              </w:rPr>
                            </w:pPr>
                            <w:r>
                              <w:rPr>
                                <w:rFonts w:ascii="Times New Roman" w:hAnsi="Times New Roman" w:cs="Times New Roman"/>
                                <w:sz w:val="20"/>
                                <w:szCs w:val="20"/>
                              </w:rPr>
                              <w:t>-0,196</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xmlns:o="urn:schemas-microsoft-com:office:office" type="#_x0000_t202" id="Надпись 491" o:spid="_x0000_s1224" style="position:absolute;width:42.4pt;height:21pt;z-index:146;mso-wrap-distance-left:9pt;mso-wrap-distance-top:0pt;mso-wrap-distance-right:9pt;mso-wrap-distance-bottom:0pt;margin-left:255.35pt;margin-top:12.9pt;mso-position-horizontal:absolute;mso-position-horizontal-relative:text;mso-position-vertical:absolute;mso-position-vertical-relative:text" o:allowincell="t" filled="f" strokeweight="0.5pt" stroked="f">
                <v:textbox inset="3mm,1mm,3mm,1mm">
                  <w:txbxContent>
                    <w:p>
                      <w:pPr>
                        <w:spacing w:lineRule="auto" w:line="240" w:after="0" w:beforeAutospacing="0" w:afterAutospacing="0"/>
                        <w:rPr>
                          <w:rFonts w:ascii="Times New Roman" w:hAnsi="Times New Roman" w:cs="Times New Roman"/>
                          <w:sz w:val="20"/>
                          <w:szCs w:val="20"/>
                        </w:rPr>
                      </w:pPr>
                      <w:r>
                        <w:rPr>
                          <w:rFonts w:ascii="Times New Roman" w:hAnsi="Times New Roman" w:cs="Times New Roman"/>
                          <w:sz w:val="20"/>
                          <w:szCs w:val="20"/>
                        </w:rPr>
                        <w:t>-0,196</w:t>
                      </w:r>
                    </w:p>
                  </w:txbxContent>
                </v:textbox>
              </v:shape>
            </w:pict>
          </mc:Fallback>
        </mc:AlternateContent>
      </w:r>
      <w:r>
        <w:rPr>
          <w:rFonts w:ascii="Times New Roman" w:hAnsi="Times New Roman" w:cs="Times New Roman"/>
          <w:i w:val="1"/>
          <w:noProof w:val="1"/>
          <w:sz w:val="28"/>
          <w:szCs w:val="28"/>
          <w:lang w:eastAsia="ru-RU"/>
        </w:rPr>
        <mc:AlternateContent>
          <mc:Choice Requires="wps">
            <w:drawing>
              <wp:anchor xmlns:wp="http://schemas.openxmlformats.org/drawingml/2006/wordprocessingDrawing" distT="0" distB="0" distL="114300" distR="114300" simplePos="0" relativeHeight="122" behindDoc="0" locked="0" layoutInCell="1" allowOverlap="1">
                <wp:simplePos x="0" y="0"/>
                <wp:positionH relativeFrom="column">
                  <wp:posOffset>5601970</wp:posOffset>
                </wp:positionH>
                <wp:positionV relativeFrom="paragraph">
                  <wp:posOffset>635</wp:posOffset>
                </wp:positionV>
                <wp:extent cx="386715" cy="256540"/>
                <wp:effectExtent l="0" t="0" r="13335" b="10160"/>
                <wp:wrapNone/>
                <wp:docPr id="448" name="Овал 448"/>
                <wp:cNvGraphicFramePr/>
                <a:graphic xmlns:a="http://schemas.openxmlformats.org/drawingml/2006/main">
                  <a:graphicData uri="http://schemas.microsoft.com/office/word/2010/wordprocessingShape">
                    <wps:wsp>
                      <wps:cNvSpPr/>
                      <wps:spPr>
                        <a:xfrm>
                          <a:off x="0" y="0"/>
                          <a:ext cx="387118" cy="256967"/>
                        </a:xfrm>
                        <a:prstGeom prst="ellipse"/>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xmlns:o="urn:schemas-microsoft-com:office:office" id="Овал 448" o:spid="_x0000_s1225" style="position:absolute;width:30.45pt;height:20.2pt;z-index:122;mso-wrap-distance-left:9pt;mso-wrap-distance-top:0pt;mso-wrap-distance-right:9pt;mso-wrap-distance-bottom:0pt;margin-left:441.1pt;margin-top:0.05pt;mso-position-horizontal:absolute;mso-position-horizontal-relative:text;mso-position-vertical:absolute;mso-position-vertical-relative:text;v-text-anchor:middle" o:allowincell="t" filled="f" strokecolor="#000000" strokeweight="1pt" stroked="t"/>
            </w:pict>
          </mc:Fallback>
        </mc:AlternateContent>
      </w:r>
      <w:r>
        <w:rPr>
          <w:rFonts w:ascii="Times New Roman" w:hAnsi="Times New Roman" w:cs="Times New Roman"/>
          <w:i w:val="1"/>
          <w:noProof w:val="1"/>
          <w:sz w:val="28"/>
          <w:szCs w:val="28"/>
          <w:lang w:eastAsia="ru-RU"/>
        </w:rPr>
        <mc:AlternateContent>
          <mc:Choice Requires="wps">
            <w:drawing>
              <wp:anchor xmlns:wp="http://schemas.openxmlformats.org/drawingml/2006/wordprocessingDrawing" distT="0" distB="0" distL="114300" distR="114300" simplePos="0" relativeHeight="121" behindDoc="0" locked="0" layoutInCell="1" allowOverlap="1">
                <wp:simplePos x="0" y="0"/>
                <wp:positionH relativeFrom="column">
                  <wp:posOffset>5073650</wp:posOffset>
                </wp:positionH>
                <wp:positionV relativeFrom="paragraph">
                  <wp:posOffset>4445</wp:posOffset>
                </wp:positionV>
                <wp:extent cx="386715" cy="256540"/>
                <wp:effectExtent l="0" t="0" r="13335" b="10160"/>
                <wp:wrapNone/>
                <wp:docPr id="63" name="Овал 63"/>
                <wp:cNvGraphicFramePr/>
                <a:graphic xmlns:a="http://schemas.openxmlformats.org/drawingml/2006/main">
                  <a:graphicData uri="http://schemas.microsoft.com/office/word/2010/wordprocessingShape">
                    <wps:wsp>
                      <wps:cNvSpPr/>
                      <wps:spPr>
                        <a:xfrm>
                          <a:off x="0" y="0"/>
                          <a:ext cx="387118" cy="256967"/>
                        </a:xfrm>
                        <a:prstGeom prst="ellipse"/>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xmlns:o="urn:schemas-microsoft-com:office:office" id="Овал 63" o:spid="_x0000_s1226" style="position:absolute;width:30.45pt;height:20.2pt;z-index:121;mso-wrap-distance-left:9pt;mso-wrap-distance-top:0pt;mso-wrap-distance-right:9pt;mso-wrap-distance-bottom:0pt;margin-left:399.5pt;margin-top:0.35pt;mso-position-horizontal:absolute;mso-position-horizontal-relative:text;mso-position-vertical:absolute;mso-position-vertical-relative:text;v-text-anchor:middle" o:allowincell="t" filled="f" strokecolor="#000000" strokeweight="1pt" stroked="t"/>
            </w:pict>
          </mc:Fallback>
        </mc:AlternateContent>
      </w:r>
      <w:r>
        <w:rPr>
          <w:rFonts w:ascii="Times New Roman" w:hAnsi="Times New Roman" w:cs="Times New Roman"/>
          <w:i w:val="1"/>
          <w:noProof w:val="1"/>
          <w:sz w:val="28"/>
          <w:szCs w:val="28"/>
          <w:lang w:eastAsia="ru-RU"/>
        </w:rPr>
        <mc:AlternateContent>
          <mc:Choice Requires="wps">
            <w:drawing>
              <wp:anchor xmlns:wp="http://schemas.openxmlformats.org/drawingml/2006/wordprocessingDrawing" distT="0" distB="0" distL="114300" distR="114300" simplePos="0" relativeHeight="80" behindDoc="0" locked="0" layoutInCell="1" allowOverlap="1">
                <wp:simplePos x="0" y="0"/>
                <wp:positionH relativeFrom="column">
                  <wp:posOffset>5033010</wp:posOffset>
                </wp:positionH>
                <wp:positionV relativeFrom="paragraph">
                  <wp:posOffset>635</wp:posOffset>
                </wp:positionV>
                <wp:extent cx="453390" cy="245110"/>
                <wp:effectExtent l="0" t="0" r="0" b="2540"/>
                <wp:wrapNone/>
                <wp:docPr id="394" name="Надпись 394"/>
                <wp:cNvGraphicFramePr/>
                <a:graphic xmlns:a="http://schemas.openxmlformats.org/drawingml/2006/main">
                  <a:graphicData uri="http://schemas.microsoft.com/office/word/2010/wordprocessingShape">
                    <wps:wsp>
                      <wps:cNvSpPr txBox="1"/>
                      <wps:spPr>
                        <a:xfrm>
                          <a:off x="0" y="0"/>
                          <a:ext cx="453390" cy="245110"/>
                        </a:xfrm>
                        <a:prstGeom prst="rect"/>
                        <a:noFill/>
                        <a:ln w="6350">
                          <a:noFill/>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spacing w:lineRule="auto" w:line="240" w:after="0" w:beforeAutospacing="0" w:afterAutospacing="0"/>
                              <w:jc w:val="center"/>
                              <w:rPr>
                                <w:rFonts w:ascii="Times New Roman" w:hAnsi="Times New Roman" w:cs="Times New Roman"/>
                                <w:sz w:val="20"/>
                                <w:szCs w:val="20"/>
                                <w:lang w:val="en-US"/>
                              </w:rPr>
                            </w:pPr>
                            <w:r>
                              <w:rPr>
                                <w:rFonts w:ascii="Times New Roman" w:hAnsi="Times New Roman" w:cs="Times New Roman"/>
                                <w:sz w:val="20"/>
                                <w:szCs w:val="20"/>
                                <w:lang w:val="en-US"/>
                              </w:rPr>
                              <w:t>GBP</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xmlns:o="urn:schemas-microsoft-com:office:office" type="#_x0000_t202" id="Надпись 394" o:spid="_x0000_s1227" style="position:absolute;width:35.7pt;height:19.3pt;z-index:80;mso-wrap-distance-left:9pt;mso-wrap-distance-top:0pt;mso-wrap-distance-right:9pt;mso-wrap-distance-bottom:0pt;margin-left:396.3pt;margin-top:0.05pt;mso-position-horizontal:absolute;mso-position-horizontal-relative:text;mso-position-vertical:absolute;mso-position-vertical-relative:text" o:allowincell="t" filled="f" strokeweight="0.5pt" stroked="f">
                <v:textbox inset="3mm,1mm,3mm,1mm">
                  <w:txbxContent>
                    <w:p>
                      <w:pPr>
                        <w:spacing w:lineRule="auto" w:line="240" w:after="0" w:beforeAutospacing="0" w:afterAutospacing="0"/>
                        <w:jc w:val="center"/>
                        <w:rPr>
                          <w:rFonts w:ascii="Times New Roman" w:hAnsi="Times New Roman" w:cs="Times New Roman"/>
                          <w:sz w:val="20"/>
                          <w:szCs w:val="20"/>
                          <w:lang w:val="en-US"/>
                        </w:rPr>
                      </w:pPr>
                      <w:r>
                        <w:rPr>
                          <w:rFonts w:ascii="Times New Roman" w:hAnsi="Times New Roman" w:cs="Times New Roman"/>
                          <w:sz w:val="20"/>
                          <w:szCs w:val="20"/>
                          <w:lang w:val="en-US"/>
                        </w:rPr>
                        <w:t>GBP</w:t>
                      </w:r>
                    </w:p>
                  </w:txbxContent>
                </v:textbox>
              </v:shape>
            </w:pict>
          </mc:Fallback>
        </mc:AlternateContent>
      </w:r>
      <w:r>
        <w:rPr>
          <w:rFonts w:ascii="Times New Roman" w:hAnsi="Times New Roman" w:cs="Times New Roman"/>
          <w:i w:val="1"/>
          <w:noProof w:val="1"/>
          <w:sz w:val="28"/>
          <w:szCs w:val="28"/>
          <w:lang w:eastAsia="ru-RU"/>
        </w:rPr>
        <mc:AlternateContent>
          <mc:Choice Requires="wps">
            <w:drawing>
              <wp:anchor xmlns:wp="http://schemas.openxmlformats.org/drawingml/2006/wordprocessingDrawing" distT="0" distB="0" distL="114300" distR="114300" simplePos="0" relativeHeight="120" behindDoc="0" locked="0" layoutInCell="1" allowOverlap="1">
                <wp:simplePos x="0" y="0"/>
                <wp:positionH relativeFrom="column">
                  <wp:posOffset>4901565</wp:posOffset>
                </wp:positionH>
                <wp:positionV relativeFrom="paragraph">
                  <wp:posOffset>192405</wp:posOffset>
                </wp:positionV>
                <wp:extent cx="2540" cy="429260"/>
                <wp:effectExtent l="76200" t="38100" r="73660" b="27940"/>
                <wp:wrapNone/>
                <wp:docPr id="61" name="Прямая со стрелкой 61"/>
                <wp:cNvGraphicFramePr/>
                <a:graphic xmlns:a="http://schemas.openxmlformats.org/drawingml/2006/main">
                  <a:graphicData uri="http://schemas.microsoft.com/office/word/2010/wordprocessingShape">
                    <wps:wsp>
                      <wps:cNvCnPr/>
                      <wps:spPr>
                        <a:xfrm flipV="1" flipH="1">
                          <a:off x="0" y="0"/>
                          <a:ext cx="2540" cy="429260"/>
                        </a:xfrm>
                        <a:prstGeom prst="straightConnector1"/>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xmlns:o="urn:schemas-microsoft-com:office:office" type="#_x0000_t32" id="Прямая со стрелкой 61" o:spid="_x0000_s1228" style="position:absolute;width:0.2pt;height:33.8pt;flip:x y;z-index:120;mso-wrap-distance-left:9pt;mso-wrap-distance-top:0pt;mso-wrap-distance-right:9pt;mso-wrap-distance-bottom:0pt;margin-left:385.95pt;margin-top:15.15pt;mso-position-horizontal:absolute;mso-position-horizontal-relative:text;mso-position-vertical:absolute;mso-position-vertical-relative:text" strokecolor="#000000" strokeweight="0.5pt" stroked="t" o:allowincell="t">
                <v:stroke endarrow="block"/>
              </v:shape>
            </w:pict>
          </mc:Fallback>
        </mc:AlternateContent>
      </w:r>
      <w:r>
        <w:rPr>
          <w:rFonts w:ascii="Times New Roman" w:hAnsi="Times New Roman" w:cs="Times New Roman"/>
          <w:i w:val="1"/>
          <w:noProof w:val="1"/>
          <w:sz w:val="28"/>
          <w:szCs w:val="28"/>
          <w:lang w:eastAsia="ru-RU"/>
        </w:rPr>
        <mc:AlternateContent>
          <mc:Choice Requires="wps">
            <w:drawing>
              <wp:anchor xmlns:wp="http://schemas.openxmlformats.org/drawingml/2006/wordprocessingDrawing" distT="0" distB="0" distL="114300" distR="114300" simplePos="0" relativeHeight="119" behindDoc="0" locked="0" layoutInCell="1" allowOverlap="1">
                <wp:simplePos x="0" y="0"/>
                <wp:positionH relativeFrom="column">
                  <wp:posOffset>4330065</wp:posOffset>
                </wp:positionH>
                <wp:positionV relativeFrom="paragraph">
                  <wp:posOffset>184150</wp:posOffset>
                </wp:positionV>
                <wp:extent cx="2540" cy="429260"/>
                <wp:effectExtent l="76200" t="38100" r="73660" b="27940"/>
                <wp:wrapNone/>
                <wp:docPr id="60" name="Прямая со стрелкой 60"/>
                <wp:cNvGraphicFramePr/>
                <a:graphic xmlns:a="http://schemas.openxmlformats.org/drawingml/2006/main">
                  <a:graphicData uri="http://schemas.microsoft.com/office/word/2010/wordprocessingShape">
                    <wps:wsp>
                      <wps:cNvCnPr/>
                      <wps:spPr>
                        <a:xfrm flipV="1" flipH="1">
                          <a:off x="0" y="0"/>
                          <a:ext cx="2540" cy="429260"/>
                        </a:xfrm>
                        <a:prstGeom prst="straightConnector1"/>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xmlns:o="urn:schemas-microsoft-com:office:office" type="#_x0000_t32" id="Прямая со стрелкой 60" o:spid="_x0000_s1229" style="position:absolute;width:0.2pt;height:33.8pt;flip:x y;z-index:119;mso-wrap-distance-left:9pt;mso-wrap-distance-top:0pt;mso-wrap-distance-right:9pt;mso-wrap-distance-bottom:0pt;margin-left:340.95pt;margin-top:14.5pt;mso-position-horizontal:absolute;mso-position-horizontal-relative:text;mso-position-vertical:absolute;mso-position-vertical-relative:text" strokecolor="#000000" strokeweight="0.5pt" stroked="t" o:allowincell="t">
                <v:stroke endarrow="block"/>
              </v:shape>
            </w:pict>
          </mc:Fallback>
        </mc:AlternateContent>
      </w:r>
      <w:r>
        <w:rPr>
          <w:rFonts w:ascii="Times New Roman" w:hAnsi="Times New Roman" w:cs="Times New Roman"/>
          <w:i w:val="1"/>
          <w:noProof w:val="1"/>
          <w:sz w:val="28"/>
          <w:szCs w:val="28"/>
          <w:lang w:eastAsia="ru-RU"/>
        </w:rPr>
        <mc:AlternateContent>
          <mc:Choice Requires="wps">
            <w:drawing>
              <wp:anchor xmlns:wp="http://schemas.openxmlformats.org/drawingml/2006/wordprocessingDrawing" distT="0" distB="0" distL="114300" distR="114300" simplePos="0" relativeHeight="95" behindDoc="0" locked="0" layoutInCell="1" allowOverlap="1">
                <wp:simplePos x="0" y="0"/>
                <wp:positionH relativeFrom="column">
                  <wp:posOffset>494665</wp:posOffset>
                </wp:positionH>
                <wp:positionV relativeFrom="paragraph">
                  <wp:posOffset>62230</wp:posOffset>
                </wp:positionV>
                <wp:extent cx="530225" cy="261620"/>
                <wp:effectExtent l="0" t="38100" r="60325" b="24130"/>
                <wp:wrapNone/>
                <wp:docPr id="31" name="Прямая со стрелкой 31"/>
                <wp:cNvGraphicFramePr/>
                <a:graphic xmlns:a="http://schemas.openxmlformats.org/drawingml/2006/main">
                  <a:graphicData uri="http://schemas.microsoft.com/office/word/2010/wordprocessingShape">
                    <wps:wsp>
                      <wps:cNvCnPr/>
                      <wps:spPr>
                        <a:xfrm flipV="1">
                          <a:off x="0" y="0"/>
                          <a:ext cx="530225" cy="261620"/>
                        </a:xfrm>
                        <a:prstGeom prst="straightConnector1"/>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xmlns:o="urn:schemas-microsoft-com:office:office" type="#_x0000_t32" id="Прямая со стрелкой 31" o:spid="_x0000_s1230" style="position:absolute;width:41.75pt;height:20.6pt;flip:y;z-index:95;mso-wrap-distance-left:9pt;mso-wrap-distance-top:0pt;mso-wrap-distance-right:9pt;mso-wrap-distance-bottom:0pt;margin-left:38.95pt;margin-top:4.9pt;mso-position-horizontal:absolute;mso-position-horizontal-relative:text;mso-position-vertical:absolute;mso-position-vertical-relative:text" strokecolor="#000000" strokeweight="0.5pt" stroked="t" o:allowincell="t">
                <v:stroke endarrow="block"/>
              </v:shape>
            </w:pict>
          </mc:Fallback>
        </mc:AlternateContent>
      </w:r>
      <w:r>
        <w:rPr>
          <w:rFonts w:ascii="Times New Roman" w:hAnsi="Times New Roman" w:cs="Times New Roman"/>
          <w:i w:val="1"/>
          <w:noProof w:val="1"/>
          <w:sz w:val="28"/>
          <w:szCs w:val="28"/>
          <w:lang w:eastAsia="ru-RU"/>
        </w:rPr>
        <mc:AlternateContent>
          <mc:Choice Requires="wps">
            <w:drawing>
              <wp:anchor xmlns:wp="http://schemas.openxmlformats.org/drawingml/2006/wordprocessingDrawing" distT="0" distB="0" distL="114300" distR="114300" simplePos="0" relativeHeight="93" behindDoc="0" locked="0" layoutInCell="1" allowOverlap="1">
                <wp:simplePos x="0" y="0"/>
                <wp:positionH relativeFrom="column">
                  <wp:posOffset>111760</wp:posOffset>
                </wp:positionH>
                <wp:positionV relativeFrom="paragraph">
                  <wp:posOffset>198120</wp:posOffset>
                </wp:positionV>
                <wp:extent cx="386715" cy="256540"/>
                <wp:effectExtent l="0" t="0" r="13335" b="10160"/>
                <wp:wrapNone/>
                <wp:docPr id="29" name="Овал 29"/>
                <wp:cNvGraphicFramePr/>
                <a:graphic xmlns:a="http://schemas.openxmlformats.org/drawingml/2006/main">
                  <a:graphicData uri="http://schemas.microsoft.com/office/word/2010/wordprocessingShape">
                    <wps:wsp>
                      <wps:cNvSpPr/>
                      <wps:spPr>
                        <a:xfrm>
                          <a:off x="0" y="0"/>
                          <a:ext cx="387118" cy="256967"/>
                        </a:xfrm>
                        <a:prstGeom prst="ellipse"/>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xmlns:o="urn:schemas-microsoft-com:office:office" id="Овал 29" o:spid="_x0000_s1231" style="position:absolute;width:30.45pt;height:20.2pt;z-index:93;mso-wrap-distance-left:9pt;mso-wrap-distance-top:0pt;mso-wrap-distance-right:9pt;mso-wrap-distance-bottom:0pt;margin-left:8.8pt;margin-top:15.6pt;mso-position-horizontal:absolute;mso-position-horizontal-relative:text;mso-position-vertical:absolute;mso-position-vertical-relative:text;v-text-anchor:middle" o:allowincell="t" filled="f" strokecolor="#000000" strokeweight="1pt" stroked="t"/>
            </w:pict>
          </mc:Fallback>
        </mc:AlternateContent>
      </w:r>
      <w:r>
        <w:rPr>
          <w:rFonts w:ascii="Times New Roman" w:hAnsi="Times New Roman" w:cs="Times New Roman"/>
          <w:i w:val="1"/>
          <w:noProof w:val="1"/>
          <w:sz w:val="28"/>
          <w:szCs w:val="28"/>
          <w:lang w:eastAsia="ru-RU"/>
        </w:rPr>
        <mc:AlternateContent>
          <mc:Choice Requires="wps">
            <w:drawing>
              <wp:anchor xmlns:wp="http://schemas.openxmlformats.org/drawingml/2006/wordprocessingDrawing" distT="0" distB="0" distL="114300" distR="114300" simplePos="0" relativeHeight="85" behindDoc="0" locked="0" layoutInCell="1" allowOverlap="1">
                <wp:simplePos x="0" y="0"/>
                <wp:positionH relativeFrom="column">
                  <wp:posOffset>75565</wp:posOffset>
                </wp:positionH>
                <wp:positionV relativeFrom="paragraph">
                  <wp:posOffset>200660</wp:posOffset>
                </wp:positionV>
                <wp:extent cx="458470" cy="245110"/>
                <wp:effectExtent l="0" t="0" r="0" b="2540"/>
                <wp:wrapNone/>
                <wp:docPr id="400" name="Надпись 400"/>
                <wp:cNvGraphicFramePr/>
                <a:graphic xmlns:a="http://schemas.openxmlformats.org/drawingml/2006/main">
                  <a:graphicData uri="http://schemas.microsoft.com/office/word/2010/wordprocessingShape">
                    <wps:wsp>
                      <wps:cNvSpPr txBox="1"/>
                      <wps:spPr>
                        <a:xfrm>
                          <a:off x="0" y="0"/>
                          <a:ext cx="458690" cy="245110"/>
                        </a:xfrm>
                        <a:prstGeom prst="rect"/>
                        <a:noFill/>
                        <a:ln w="6350">
                          <a:noFill/>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spacing w:lineRule="auto" w:line="240" w:after="0" w:beforeAutospacing="0" w:afterAutospacing="0"/>
                              <w:jc w:val="center"/>
                              <w:rPr>
                                <w:rFonts w:ascii="Times New Roman" w:hAnsi="Times New Roman" w:cs="Times New Roman"/>
                                <w:sz w:val="20"/>
                                <w:szCs w:val="20"/>
                                <w:lang w:val="en-US"/>
                              </w:rPr>
                            </w:pPr>
                            <w:r>
                              <w:rPr>
                                <w:rFonts w:ascii="Times New Roman" w:hAnsi="Times New Roman" w:cs="Times New Roman"/>
                                <w:sz w:val="20"/>
                                <w:szCs w:val="20"/>
                                <w:lang w:val="en-US"/>
                              </w:rPr>
                              <w:t>SAN</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xmlns:o="urn:schemas-microsoft-com:office:office" type="#_x0000_t202" id="Надпись 400" o:spid="_x0000_s1232" style="position:absolute;width:36.1pt;height:19.3pt;z-index:85;mso-wrap-distance-left:9pt;mso-wrap-distance-top:0pt;mso-wrap-distance-right:9pt;mso-wrap-distance-bottom:0pt;margin-left:5.95pt;margin-top:15.8pt;mso-position-horizontal:absolute;mso-position-horizontal-relative:text;mso-position-vertical:absolute;mso-position-vertical-relative:text" o:allowincell="t" filled="f" strokeweight="0.5pt" stroked="f">
                <v:textbox inset="3mm,1mm,3mm,1mm">
                  <w:txbxContent>
                    <w:p>
                      <w:pPr>
                        <w:spacing w:lineRule="auto" w:line="240" w:after="0" w:beforeAutospacing="0" w:afterAutospacing="0"/>
                        <w:jc w:val="center"/>
                        <w:rPr>
                          <w:rFonts w:ascii="Times New Roman" w:hAnsi="Times New Roman" w:cs="Times New Roman"/>
                          <w:sz w:val="20"/>
                          <w:szCs w:val="20"/>
                          <w:lang w:val="en-US"/>
                        </w:rPr>
                      </w:pPr>
                      <w:r>
                        <w:rPr>
                          <w:rFonts w:ascii="Times New Roman" w:hAnsi="Times New Roman" w:cs="Times New Roman"/>
                          <w:sz w:val="20"/>
                          <w:szCs w:val="20"/>
                          <w:lang w:val="en-US"/>
                        </w:rPr>
                        <w:t>SAN</w:t>
                      </w:r>
                    </w:p>
                  </w:txbxContent>
                </v:textbox>
              </v:shape>
            </w:pict>
          </mc:Fallback>
        </mc:AlternateContent>
      </w:r>
    </w:p>
    <w:p>
      <w:pPr>
        <w:spacing w:lineRule="auto" w:line="360" w:after="0" w:beforeAutospacing="0" w:afterAutospacing="0"/>
        <w:ind w:firstLine="709"/>
        <w:rPr>
          <w:rFonts w:ascii="Times New Roman" w:hAnsi="Times New Roman" w:cs="Times New Roman"/>
          <w:i w:val="1"/>
          <w:sz w:val="28"/>
          <w:szCs w:val="28"/>
        </w:rPr>
      </w:pPr>
      <w:r>
        <w:rPr>
          <w:rFonts w:ascii="Times New Roman" w:hAnsi="Times New Roman" w:cs="Times New Roman"/>
          <w:i w:val="1"/>
          <w:noProof w:val="1"/>
          <w:sz w:val="28"/>
          <w:szCs w:val="28"/>
          <w:lang w:eastAsia="ru-RU"/>
        </w:rPr>
        <mc:AlternateContent>
          <mc:Choice Requires="wps">
            <w:drawing>
              <wp:anchor xmlns:wp="http://schemas.openxmlformats.org/drawingml/2006/wordprocessingDrawing" distT="0" distB="0" distL="114300" distR="114300" simplePos="0" relativeHeight="139" behindDoc="0" locked="0" layoutInCell="1" allowOverlap="1">
                <wp:simplePos x="0" y="0"/>
                <wp:positionH relativeFrom="column">
                  <wp:posOffset>4274185</wp:posOffset>
                </wp:positionH>
                <wp:positionV relativeFrom="paragraph">
                  <wp:posOffset>61595</wp:posOffset>
                </wp:positionV>
                <wp:extent cx="495300" cy="266700"/>
                <wp:effectExtent l="0" t="0" r="0" b="0"/>
                <wp:wrapNone/>
                <wp:docPr id="484" name="Надпись 484"/>
                <wp:cNvGraphicFramePr/>
                <a:graphic xmlns:a="http://schemas.openxmlformats.org/drawingml/2006/main">
                  <a:graphicData uri="http://schemas.microsoft.com/office/word/2010/wordprocessingShape">
                    <wps:wsp>
                      <wps:cNvSpPr txBox="1"/>
                      <wps:spPr>
                        <a:xfrm>
                          <a:off x="0" y="0"/>
                          <a:ext cx="495300" cy="266700"/>
                        </a:xfrm>
                        <a:prstGeom prst="rect"/>
                        <a:noFill/>
                        <a:ln w="6350">
                          <a:noFill/>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spacing w:lineRule="auto" w:line="240" w:after="0" w:beforeAutospacing="0" w:afterAutospacing="0"/>
                              <w:rPr>
                                <w:rFonts w:ascii="Times New Roman" w:hAnsi="Times New Roman" w:cs="Times New Roman"/>
                                <w:sz w:val="20"/>
                                <w:szCs w:val="20"/>
                              </w:rPr>
                            </w:pPr>
                            <w:r>
                              <w:rPr>
                                <w:rFonts w:ascii="Times New Roman" w:hAnsi="Times New Roman" w:cs="Times New Roman"/>
                                <w:sz w:val="20"/>
                                <w:szCs w:val="20"/>
                              </w:rPr>
                              <w:t>0,063</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xmlns:o="urn:schemas-microsoft-com:office:office" type="#_x0000_t202" id="Надпись 484" o:spid="_x0000_s1233" style="position:absolute;width:39pt;height:21pt;z-index:139;mso-wrap-distance-left:9pt;mso-wrap-distance-top:0pt;mso-wrap-distance-right:9pt;mso-wrap-distance-bottom:0pt;margin-left:336.55pt;margin-top:4.85pt;mso-position-horizontal:absolute;mso-position-horizontal-relative:text;mso-position-vertical:absolute;mso-position-vertical-relative:text" o:allowincell="t" filled="f" strokeweight="0.5pt" stroked="f">
                <v:textbox inset="3mm,1mm,3mm,1mm">
                  <w:txbxContent>
                    <w:p>
                      <w:pPr>
                        <w:spacing w:lineRule="auto" w:line="240" w:after="0" w:beforeAutospacing="0" w:afterAutospacing="0"/>
                        <w:rPr>
                          <w:rFonts w:ascii="Times New Roman" w:hAnsi="Times New Roman" w:cs="Times New Roman"/>
                          <w:sz w:val="20"/>
                          <w:szCs w:val="20"/>
                        </w:rPr>
                      </w:pPr>
                      <w:r>
                        <w:rPr>
                          <w:rFonts w:ascii="Times New Roman" w:hAnsi="Times New Roman" w:cs="Times New Roman"/>
                          <w:sz w:val="20"/>
                          <w:szCs w:val="20"/>
                        </w:rPr>
                        <w:t>0,063</w:t>
                      </w:r>
                    </w:p>
                  </w:txbxContent>
                </v:textbox>
              </v:shape>
            </w:pict>
          </mc:Fallback>
        </mc:AlternateContent>
      </w:r>
      <w:r>
        <w:rPr>
          <w:rFonts w:ascii="Times New Roman" w:hAnsi="Times New Roman" w:cs="Times New Roman"/>
          <w:i w:val="1"/>
          <w:noProof w:val="1"/>
          <w:sz w:val="28"/>
          <w:szCs w:val="28"/>
          <w:lang w:eastAsia="ru-RU"/>
        </w:rPr>
        <mc:AlternateContent>
          <mc:Choice Requires="wps">
            <w:drawing>
              <wp:anchor xmlns:wp="http://schemas.openxmlformats.org/drawingml/2006/wordprocessingDrawing" distT="0" distB="0" distL="114300" distR="114300" simplePos="0" relativeHeight="138" behindDoc="0" locked="0" layoutInCell="1" allowOverlap="1">
                <wp:simplePos x="0" y="0"/>
                <wp:positionH relativeFrom="column">
                  <wp:posOffset>4863465</wp:posOffset>
                </wp:positionH>
                <wp:positionV relativeFrom="paragraph">
                  <wp:posOffset>56515</wp:posOffset>
                </wp:positionV>
                <wp:extent cx="495300" cy="266700"/>
                <wp:effectExtent l="0" t="0" r="0" b="0"/>
                <wp:wrapNone/>
                <wp:docPr id="483" name="Надпись 483"/>
                <wp:cNvGraphicFramePr/>
                <a:graphic xmlns:a="http://schemas.openxmlformats.org/drawingml/2006/main">
                  <a:graphicData uri="http://schemas.microsoft.com/office/word/2010/wordprocessingShape">
                    <wps:wsp>
                      <wps:cNvSpPr txBox="1"/>
                      <wps:spPr>
                        <a:xfrm>
                          <a:off x="0" y="0"/>
                          <a:ext cx="495300" cy="266700"/>
                        </a:xfrm>
                        <a:prstGeom prst="rect"/>
                        <a:noFill/>
                        <a:ln w="6350">
                          <a:noFill/>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spacing w:lineRule="auto" w:line="240" w:after="0" w:beforeAutospacing="0" w:afterAutospacing="0"/>
                              <w:rPr>
                                <w:rFonts w:ascii="Times New Roman" w:hAnsi="Times New Roman" w:cs="Times New Roman"/>
                                <w:sz w:val="20"/>
                                <w:szCs w:val="20"/>
                              </w:rPr>
                            </w:pPr>
                            <w:r>
                              <w:rPr>
                                <w:rFonts w:ascii="Times New Roman" w:hAnsi="Times New Roman" w:cs="Times New Roman"/>
                                <w:sz w:val="20"/>
                                <w:szCs w:val="20"/>
                              </w:rPr>
                              <w:t>0,061</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xmlns:o="urn:schemas-microsoft-com:office:office" type="#_x0000_t202" id="Надпись 483" o:spid="_x0000_s1234" style="position:absolute;width:39pt;height:21pt;z-index:138;mso-wrap-distance-left:9pt;mso-wrap-distance-top:0pt;mso-wrap-distance-right:9pt;mso-wrap-distance-bottom:0pt;margin-left:382.95pt;margin-top:4.45pt;mso-position-horizontal:absolute;mso-position-horizontal-relative:text;mso-position-vertical:absolute;mso-position-vertical-relative:text" o:allowincell="t" filled="f" strokeweight="0.5pt" stroked="f">
                <v:textbox inset="3mm,1mm,3mm,1mm">
                  <w:txbxContent>
                    <w:p>
                      <w:pPr>
                        <w:spacing w:lineRule="auto" w:line="240" w:after="0" w:beforeAutospacing="0" w:afterAutospacing="0"/>
                        <w:rPr>
                          <w:rFonts w:ascii="Times New Roman" w:hAnsi="Times New Roman" w:cs="Times New Roman"/>
                          <w:sz w:val="20"/>
                          <w:szCs w:val="20"/>
                        </w:rPr>
                      </w:pPr>
                      <w:r>
                        <w:rPr>
                          <w:rFonts w:ascii="Times New Roman" w:hAnsi="Times New Roman" w:cs="Times New Roman"/>
                          <w:sz w:val="20"/>
                          <w:szCs w:val="20"/>
                        </w:rPr>
                        <w:t>0,061</w:t>
                      </w:r>
                    </w:p>
                  </w:txbxContent>
                </v:textbox>
              </v:shape>
            </w:pict>
          </mc:Fallback>
        </mc:AlternateContent>
      </w:r>
    </w:p>
    <w:p>
      <w:pPr>
        <w:spacing w:lineRule="auto" w:line="360" w:after="0" w:beforeAutospacing="0" w:afterAutospacing="0"/>
        <w:ind w:firstLine="709"/>
        <w:rPr>
          <w:rFonts w:ascii="Times New Roman" w:hAnsi="Times New Roman" w:cs="Times New Roman"/>
          <w:i w:val="1"/>
          <w:sz w:val="28"/>
          <w:szCs w:val="28"/>
        </w:rPr>
      </w:pPr>
      <w:r>
        <w:rPr>
          <w:rFonts w:ascii="Times New Roman" w:hAnsi="Times New Roman" w:cs="Times New Roman"/>
          <w:i w:val="1"/>
          <w:noProof w:val="1"/>
          <w:sz w:val="28"/>
          <w:szCs w:val="28"/>
          <w:lang w:eastAsia="ru-RU"/>
        </w:rPr>
        <mc:AlternateContent>
          <mc:Choice Requires="wps">
            <w:drawing>
              <wp:anchor xmlns:wp="http://schemas.openxmlformats.org/drawingml/2006/wordprocessingDrawing" distT="0" distB="0" distL="114300" distR="114300" simplePos="0" relativeHeight="118" behindDoc="0" locked="0" layoutInCell="1" allowOverlap="1">
                <wp:simplePos x="0" y="0"/>
                <wp:positionH relativeFrom="column">
                  <wp:posOffset>4766310</wp:posOffset>
                </wp:positionH>
                <wp:positionV relativeFrom="paragraph">
                  <wp:posOffset>3810</wp:posOffset>
                </wp:positionV>
                <wp:extent cx="386715" cy="256540"/>
                <wp:effectExtent l="0" t="0" r="13335" b="10160"/>
                <wp:wrapNone/>
                <wp:docPr id="59" name="Овал 59"/>
                <wp:cNvGraphicFramePr/>
                <a:graphic xmlns:a="http://schemas.openxmlformats.org/drawingml/2006/main">
                  <a:graphicData uri="http://schemas.microsoft.com/office/word/2010/wordprocessingShape">
                    <wps:wsp>
                      <wps:cNvSpPr/>
                      <wps:spPr>
                        <a:xfrm>
                          <a:off x="0" y="0"/>
                          <a:ext cx="387118" cy="256967"/>
                        </a:xfrm>
                        <a:prstGeom prst="ellipse"/>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xmlns:o="urn:schemas-microsoft-com:office:office" id="Овал 59" o:spid="_x0000_s1235" style="position:absolute;width:30.45pt;height:20.2pt;z-index:118;mso-wrap-distance-left:9pt;mso-wrap-distance-top:0pt;mso-wrap-distance-right:9pt;mso-wrap-distance-bottom:0pt;margin-left:375.3pt;margin-top:0.3pt;mso-position-horizontal:absolute;mso-position-horizontal-relative:text;mso-position-vertical:absolute;mso-position-vertical-relative:text;v-text-anchor:middle" o:allowincell="t" filled="f" strokecolor="#000000" strokeweight="1pt" stroked="t"/>
            </w:pict>
          </mc:Fallback>
        </mc:AlternateContent>
      </w:r>
      <w:r>
        <w:rPr>
          <w:rFonts w:ascii="Times New Roman" w:hAnsi="Times New Roman" w:cs="Times New Roman"/>
          <w:i w:val="1"/>
          <w:noProof w:val="1"/>
          <w:sz w:val="28"/>
          <w:szCs w:val="28"/>
          <w:lang w:eastAsia="ru-RU"/>
        </w:rPr>
        <mc:AlternateContent>
          <mc:Choice Requires="wps">
            <w:drawing>
              <wp:anchor xmlns:wp="http://schemas.openxmlformats.org/drawingml/2006/wordprocessingDrawing" distT="0" distB="0" distL="114300" distR="114300" simplePos="0" relativeHeight="117" behindDoc="0" locked="0" layoutInCell="1" allowOverlap="1">
                <wp:simplePos x="0" y="0"/>
                <wp:positionH relativeFrom="column">
                  <wp:posOffset>4139565</wp:posOffset>
                </wp:positionH>
                <wp:positionV relativeFrom="paragraph">
                  <wp:posOffset>6350</wp:posOffset>
                </wp:positionV>
                <wp:extent cx="386715" cy="256540"/>
                <wp:effectExtent l="0" t="0" r="13335" b="10160"/>
                <wp:wrapNone/>
                <wp:docPr id="58" name="Овал 58"/>
                <wp:cNvGraphicFramePr/>
                <a:graphic xmlns:a="http://schemas.openxmlformats.org/drawingml/2006/main">
                  <a:graphicData uri="http://schemas.microsoft.com/office/word/2010/wordprocessingShape">
                    <wps:wsp>
                      <wps:cNvSpPr/>
                      <wps:spPr>
                        <a:xfrm>
                          <a:off x="0" y="0"/>
                          <a:ext cx="387118" cy="256967"/>
                        </a:xfrm>
                        <a:prstGeom prst="ellipse"/>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xmlns:o="urn:schemas-microsoft-com:office:office" id="Овал 58" o:spid="_x0000_s1236" style="position:absolute;width:30.45pt;height:20.2pt;z-index:117;mso-wrap-distance-left:9pt;mso-wrap-distance-top:0pt;mso-wrap-distance-right:9pt;mso-wrap-distance-bottom:0pt;margin-left:325.95pt;margin-top:0.5pt;mso-position-horizontal:absolute;mso-position-horizontal-relative:text;mso-position-vertical:absolute;mso-position-vertical-relative:text;v-text-anchor:middle" o:allowincell="t" filled="f" strokecolor="#000000" strokeweight="1pt" stroked="t"/>
            </w:pict>
          </mc:Fallback>
        </mc:AlternateContent>
      </w:r>
      <w:r>
        <w:rPr>
          <w:rFonts w:ascii="Times New Roman" w:hAnsi="Times New Roman" w:cs="Times New Roman"/>
          <w:i w:val="1"/>
          <w:noProof w:val="1"/>
          <w:sz w:val="28"/>
          <w:szCs w:val="28"/>
          <w:lang w:eastAsia="ru-RU"/>
        </w:rPr>
        <mc:AlternateContent>
          <mc:Choice Requires="wps">
            <w:drawing>
              <wp:anchor xmlns:wp="http://schemas.openxmlformats.org/drawingml/2006/wordprocessingDrawing" distT="0" distB="0" distL="114300" distR="114300" simplePos="0" relativeHeight="81" behindDoc="0" locked="0" layoutInCell="1" allowOverlap="1">
                <wp:simplePos x="0" y="0"/>
                <wp:positionH relativeFrom="column">
                  <wp:posOffset>4709795</wp:posOffset>
                </wp:positionH>
                <wp:positionV relativeFrom="paragraph">
                  <wp:posOffset>3810</wp:posOffset>
                </wp:positionV>
                <wp:extent cx="490855" cy="245110"/>
                <wp:effectExtent l="0" t="0" r="0" b="2540"/>
                <wp:wrapNone/>
                <wp:docPr id="403" name="Надпись 403"/>
                <wp:cNvGraphicFramePr/>
                <a:graphic xmlns:a="http://schemas.openxmlformats.org/drawingml/2006/main">
                  <a:graphicData uri="http://schemas.microsoft.com/office/word/2010/wordprocessingShape">
                    <wps:wsp>
                      <wps:cNvSpPr txBox="1"/>
                      <wps:spPr>
                        <a:xfrm>
                          <a:off x="0" y="0"/>
                          <a:ext cx="490855" cy="245110"/>
                        </a:xfrm>
                        <a:prstGeom prst="rect"/>
                        <a:noFill/>
                        <a:ln w="6350">
                          <a:noFill/>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spacing w:lineRule="auto" w:line="240" w:after="0" w:beforeAutospacing="0" w:afterAutospacing="0"/>
                              <w:jc w:val="center"/>
                              <w:rPr>
                                <w:rFonts w:ascii="Times New Roman" w:hAnsi="Times New Roman" w:cs="Times New Roman"/>
                                <w:sz w:val="20"/>
                                <w:szCs w:val="20"/>
                                <w:lang w:val="en-US"/>
                              </w:rPr>
                            </w:pPr>
                            <w:r>
                              <w:rPr>
                                <w:rFonts w:ascii="Times New Roman" w:hAnsi="Times New Roman" w:cs="Times New Roman"/>
                                <w:sz w:val="20"/>
                                <w:szCs w:val="20"/>
                                <w:lang w:val="en-US"/>
                              </w:rPr>
                              <w:t>MRI</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xmlns:o="urn:schemas-microsoft-com:office:office" type="#_x0000_t202" id="Надпись 403" o:spid="_x0000_s1237" style="position:absolute;width:38.65pt;height:19.3pt;z-index:81;mso-wrap-distance-left:9pt;mso-wrap-distance-top:0pt;mso-wrap-distance-right:9pt;mso-wrap-distance-bottom:0pt;margin-left:370.85pt;margin-top:0.3pt;mso-position-horizontal:absolute;mso-position-horizontal-relative:text;mso-position-vertical:absolute;mso-position-vertical-relative:text" o:allowincell="t" filled="f" strokeweight="0.5pt" stroked="f">
                <v:textbox inset="3mm,1mm,3mm,1mm">
                  <w:txbxContent>
                    <w:p>
                      <w:pPr>
                        <w:spacing w:lineRule="auto" w:line="240" w:after="0" w:beforeAutospacing="0" w:afterAutospacing="0"/>
                        <w:jc w:val="center"/>
                        <w:rPr>
                          <w:rFonts w:ascii="Times New Roman" w:hAnsi="Times New Roman" w:cs="Times New Roman"/>
                          <w:sz w:val="20"/>
                          <w:szCs w:val="20"/>
                          <w:lang w:val="en-US"/>
                        </w:rPr>
                      </w:pPr>
                      <w:r>
                        <w:rPr>
                          <w:rFonts w:ascii="Times New Roman" w:hAnsi="Times New Roman" w:cs="Times New Roman"/>
                          <w:sz w:val="20"/>
                          <w:szCs w:val="20"/>
                          <w:lang w:val="en-US"/>
                        </w:rPr>
                        <w:t>MRI</w:t>
                      </w:r>
                    </w:p>
                  </w:txbxContent>
                </v:textbox>
              </v:shape>
            </w:pict>
          </mc:Fallback>
        </mc:AlternateContent>
      </w:r>
      <w:r>
        <w:rPr>
          <w:rFonts w:ascii="Times New Roman" w:hAnsi="Times New Roman" w:cs="Times New Roman"/>
          <w:i w:val="1"/>
          <w:noProof w:val="1"/>
          <w:sz w:val="28"/>
          <w:szCs w:val="28"/>
          <w:lang w:eastAsia="ru-RU"/>
        </w:rPr>
        <mc:AlternateContent>
          <mc:Choice Requires="wps">
            <w:drawing>
              <wp:anchor xmlns:wp="http://schemas.openxmlformats.org/drawingml/2006/wordprocessingDrawing" distT="0" distB="0" distL="114300" distR="114300" simplePos="0" relativeHeight="82" behindDoc="0" locked="0" layoutInCell="1" allowOverlap="1">
                <wp:simplePos x="0" y="0"/>
                <wp:positionH relativeFrom="column">
                  <wp:posOffset>4095750</wp:posOffset>
                </wp:positionH>
                <wp:positionV relativeFrom="paragraph">
                  <wp:posOffset>3175</wp:posOffset>
                </wp:positionV>
                <wp:extent cx="453390" cy="245110"/>
                <wp:effectExtent l="0" t="0" r="0" b="2540"/>
                <wp:wrapNone/>
                <wp:docPr id="404" name="Надпись 404"/>
                <wp:cNvGraphicFramePr/>
                <a:graphic xmlns:a="http://schemas.openxmlformats.org/drawingml/2006/main">
                  <a:graphicData uri="http://schemas.microsoft.com/office/word/2010/wordprocessingShape">
                    <wps:wsp>
                      <wps:cNvSpPr txBox="1"/>
                      <wps:spPr>
                        <a:xfrm>
                          <a:off x="0" y="0"/>
                          <a:ext cx="453390" cy="245110"/>
                        </a:xfrm>
                        <a:prstGeom prst="rect"/>
                        <a:noFill/>
                        <a:ln w="6350">
                          <a:noFill/>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spacing w:lineRule="auto" w:line="240" w:after="0" w:beforeAutospacing="0" w:afterAutospacing="0"/>
                              <w:jc w:val="center"/>
                              <w:rPr>
                                <w:rFonts w:ascii="Times New Roman" w:hAnsi="Times New Roman" w:cs="Times New Roman"/>
                                <w:sz w:val="20"/>
                                <w:szCs w:val="20"/>
                                <w:lang w:val="en-US"/>
                              </w:rPr>
                            </w:pPr>
                            <w:r>
                              <w:rPr>
                                <w:rFonts w:ascii="Times New Roman" w:hAnsi="Times New Roman" w:cs="Times New Roman"/>
                                <w:sz w:val="20"/>
                                <w:szCs w:val="20"/>
                                <w:lang w:val="en-US"/>
                              </w:rPr>
                              <w:t>MR5</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xmlns:o="urn:schemas-microsoft-com:office:office" type="#_x0000_t202" id="Надпись 404" o:spid="_x0000_s1238" style="position:absolute;width:35.7pt;height:19.3pt;z-index:82;mso-wrap-distance-left:9pt;mso-wrap-distance-top:0pt;mso-wrap-distance-right:9pt;mso-wrap-distance-bottom:0pt;margin-left:322.5pt;margin-top:0.25pt;mso-position-horizontal:absolute;mso-position-horizontal-relative:text;mso-position-vertical:absolute;mso-position-vertical-relative:text" o:allowincell="t" filled="f" strokeweight="0.5pt" stroked="f">
                <v:textbox inset="3mm,1mm,3mm,1mm">
                  <w:txbxContent>
                    <w:p>
                      <w:pPr>
                        <w:spacing w:lineRule="auto" w:line="240" w:after="0" w:beforeAutospacing="0" w:afterAutospacing="0"/>
                        <w:jc w:val="center"/>
                        <w:rPr>
                          <w:rFonts w:ascii="Times New Roman" w:hAnsi="Times New Roman" w:cs="Times New Roman"/>
                          <w:sz w:val="20"/>
                          <w:szCs w:val="20"/>
                          <w:lang w:val="en-US"/>
                        </w:rPr>
                      </w:pPr>
                      <w:r>
                        <w:rPr>
                          <w:rFonts w:ascii="Times New Roman" w:hAnsi="Times New Roman" w:cs="Times New Roman"/>
                          <w:sz w:val="20"/>
                          <w:szCs w:val="20"/>
                          <w:lang w:val="en-US"/>
                        </w:rPr>
                        <w:t>MR5</w:t>
                      </w:r>
                    </w:p>
                  </w:txbxContent>
                </v:textbox>
              </v:shape>
            </w:pict>
          </mc:Fallback>
        </mc:AlternateContent>
      </w:r>
      <w:r>
        <w:rPr>
          <w:rFonts w:ascii="Times New Roman" w:hAnsi="Times New Roman" w:cs="Times New Roman"/>
          <w:i w:val="1"/>
          <w:noProof w:val="1"/>
          <w:sz w:val="28"/>
          <w:szCs w:val="28"/>
          <w:lang w:eastAsia="ru-RU"/>
        </w:rPr>
        <mc:AlternateContent>
          <mc:Choice Requires="wps">
            <w:drawing>
              <wp:anchor xmlns:wp="http://schemas.openxmlformats.org/drawingml/2006/wordprocessingDrawing" distT="0" distB="0" distL="114300" distR="114300" simplePos="0" relativeHeight="116" behindDoc="0" locked="0" layoutInCell="1" allowOverlap="1">
                <wp:simplePos x="0" y="0"/>
                <wp:positionH relativeFrom="column">
                  <wp:posOffset>3204210</wp:posOffset>
                </wp:positionH>
                <wp:positionV relativeFrom="paragraph">
                  <wp:posOffset>276225</wp:posOffset>
                </wp:positionV>
                <wp:extent cx="2540" cy="323215"/>
                <wp:effectExtent l="76200" t="38100" r="73660" b="19685"/>
                <wp:wrapNone/>
                <wp:docPr id="57" name="Прямая со стрелкой 57"/>
                <wp:cNvGraphicFramePr/>
                <a:graphic xmlns:a="http://schemas.openxmlformats.org/drawingml/2006/main">
                  <a:graphicData uri="http://schemas.microsoft.com/office/word/2010/wordprocessingShape">
                    <wps:wsp>
                      <wps:cNvCnPr/>
                      <wps:spPr>
                        <a:xfrm flipV="1" flipH="1">
                          <a:off x="0" y="0"/>
                          <a:ext cx="3087" cy="323215"/>
                        </a:xfrm>
                        <a:prstGeom prst="straightConnector1"/>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xmlns:o="urn:schemas-microsoft-com:office:office" type="#_x0000_t32" id="Прямая со стрелкой 57" o:spid="_x0000_s1239" style="position:absolute;width:0.2pt;height:25.45pt;flip:x y;z-index:116;mso-wrap-distance-left:9pt;mso-wrap-distance-top:0pt;mso-wrap-distance-right:9pt;mso-wrap-distance-bottom:0pt;margin-left:252.3pt;margin-top:21.75pt;mso-position-horizontal:absolute;mso-position-horizontal-relative:text;mso-position-vertical:absolute;mso-position-vertical-relative:text" strokecolor="#000000" strokeweight="0.5pt" stroked="t" o:allowincell="t">
                <v:stroke endarrow="block"/>
              </v:shape>
            </w:pict>
          </mc:Fallback>
        </mc:AlternateContent>
      </w:r>
      <w:r>
        <w:rPr>
          <w:rFonts w:ascii="Times New Roman" w:hAnsi="Times New Roman" w:cs="Times New Roman"/>
          <w:i w:val="1"/>
          <w:noProof w:val="1"/>
          <w:sz w:val="28"/>
          <w:szCs w:val="28"/>
          <w:lang w:eastAsia="ru-RU"/>
        </w:rPr>
        <mc:AlternateContent>
          <mc:Choice Requires="wps">
            <w:drawing>
              <wp:anchor xmlns:wp="http://schemas.openxmlformats.org/drawingml/2006/wordprocessingDrawing" distT="0" distB="0" distL="114300" distR="114300" simplePos="0" relativeHeight="91" behindDoc="0" locked="0" layoutInCell="1" allowOverlap="1">
                <wp:simplePos x="0" y="0"/>
                <wp:positionH relativeFrom="column">
                  <wp:posOffset>1916430</wp:posOffset>
                </wp:positionH>
                <wp:positionV relativeFrom="paragraph">
                  <wp:posOffset>278765</wp:posOffset>
                </wp:positionV>
                <wp:extent cx="2540" cy="323215"/>
                <wp:effectExtent l="76200" t="38100" r="73660" b="19685"/>
                <wp:wrapNone/>
                <wp:docPr id="27" name="Прямая со стрелкой 27"/>
                <wp:cNvGraphicFramePr/>
                <a:graphic xmlns:a="http://schemas.openxmlformats.org/drawingml/2006/main">
                  <a:graphicData uri="http://schemas.microsoft.com/office/word/2010/wordprocessingShape">
                    <wps:wsp>
                      <wps:cNvCnPr/>
                      <wps:spPr>
                        <a:xfrm flipV="1" flipH="1">
                          <a:off x="0" y="0"/>
                          <a:ext cx="3087" cy="323215"/>
                        </a:xfrm>
                        <a:prstGeom prst="straightConnector1"/>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xmlns:o="urn:schemas-microsoft-com:office:office" type="#_x0000_t32" id="Прямая со стрелкой 27" o:spid="_x0000_s1240" style="position:absolute;width:0.2pt;height:25.45pt;flip:x y;z-index:91;mso-wrap-distance-left:9pt;mso-wrap-distance-top:0pt;mso-wrap-distance-right:9pt;mso-wrap-distance-bottom:0pt;margin-left:150.9pt;margin-top:21.95pt;mso-position-horizontal:absolute;mso-position-horizontal-relative:text;mso-position-vertical:absolute;mso-position-vertical-relative:text" strokecolor="#000000" strokeweight="0.5pt" stroked="t" o:allowincell="t">
                <v:stroke endarrow="block"/>
              </v:shape>
            </w:pict>
          </mc:Fallback>
        </mc:AlternateContent>
      </w:r>
      <w:r>
        <w:rPr>
          <w:rFonts w:ascii="Times New Roman" w:hAnsi="Times New Roman" w:cs="Times New Roman"/>
          <w:i w:val="1"/>
          <w:noProof w:val="1"/>
          <w:sz w:val="28"/>
          <w:szCs w:val="28"/>
          <w:lang w:eastAsia="ru-RU"/>
        </w:rPr>
        <mc:AlternateContent>
          <mc:Choice Requires="wps">
            <w:drawing>
              <wp:anchor xmlns:wp="http://schemas.openxmlformats.org/drawingml/2006/wordprocessingDrawing" distT="0" distB="0" distL="114300" distR="114300" simplePos="0" relativeHeight="90" behindDoc="0" locked="0" layoutInCell="1" allowOverlap="1">
                <wp:simplePos x="0" y="0"/>
                <wp:positionH relativeFrom="column">
                  <wp:posOffset>1344930</wp:posOffset>
                </wp:positionH>
                <wp:positionV relativeFrom="paragraph">
                  <wp:posOffset>276860</wp:posOffset>
                </wp:positionV>
                <wp:extent cx="2540" cy="323215"/>
                <wp:effectExtent l="76200" t="38100" r="73660" b="19685"/>
                <wp:wrapNone/>
                <wp:docPr id="26" name="Прямая со стрелкой 26"/>
                <wp:cNvGraphicFramePr/>
                <a:graphic xmlns:a="http://schemas.openxmlformats.org/drawingml/2006/main">
                  <a:graphicData uri="http://schemas.microsoft.com/office/word/2010/wordprocessingShape">
                    <wps:wsp>
                      <wps:cNvCnPr/>
                      <wps:spPr>
                        <a:xfrm flipV="1" flipH="1">
                          <a:off x="0" y="0"/>
                          <a:ext cx="3087" cy="323215"/>
                        </a:xfrm>
                        <a:prstGeom prst="straightConnector1"/>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xmlns:o="urn:schemas-microsoft-com:office:office" type="#_x0000_t32" id="Прямая со стрелкой 26" o:spid="_x0000_s1241" style="position:absolute;width:0.2pt;height:25.45pt;flip:x y;z-index:90;mso-wrap-distance-left:9pt;mso-wrap-distance-top:0pt;mso-wrap-distance-right:9pt;mso-wrap-distance-bottom:0pt;margin-left:105.9pt;margin-top:21.8pt;mso-position-horizontal:absolute;mso-position-horizontal-relative:text;mso-position-vertical:absolute;mso-position-vertical-relative:text" strokecolor="#000000" strokeweight="0.5pt" stroked="t" o:allowincell="t">
                <v:stroke endarrow="block"/>
              </v:shape>
            </w:pict>
          </mc:Fallback>
        </mc:AlternateContent>
      </w:r>
    </w:p>
    <w:p>
      <w:pPr>
        <w:spacing w:lineRule="auto" w:line="360" w:after="0" w:beforeAutospacing="0" w:afterAutospacing="0"/>
        <w:ind w:firstLine="709"/>
        <w:rPr>
          <w:rFonts w:ascii="Times New Roman" w:hAnsi="Times New Roman" w:cs="Times New Roman"/>
          <w:i w:val="1"/>
          <w:sz w:val="28"/>
          <w:szCs w:val="28"/>
        </w:rPr>
      </w:pPr>
      <w:r>
        <w:rPr>
          <w:rFonts w:ascii="Times New Roman" w:hAnsi="Times New Roman" w:cs="Times New Roman"/>
          <w:i w:val="1"/>
          <w:noProof w:val="1"/>
          <w:sz w:val="28"/>
          <w:szCs w:val="28"/>
          <w:lang w:eastAsia="ru-RU"/>
        </w:rPr>
        <mc:AlternateContent>
          <mc:Choice Requires="wps">
            <w:drawing>
              <wp:anchor xmlns:wp="http://schemas.openxmlformats.org/drawingml/2006/wordprocessingDrawing" distT="0" distB="0" distL="114300" distR="114300" simplePos="0" relativeHeight="151" behindDoc="0" locked="0" layoutInCell="1" allowOverlap="1">
                <wp:simplePos x="0" y="0"/>
                <wp:positionH relativeFrom="column">
                  <wp:posOffset>1292225</wp:posOffset>
                </wp:positionH>
                <wp:positionV relativeFrom="paragraph">
                  <wp:posOffset>36830</wp:posOffset>
                </wp:positionV>
                <wp:extent cx="495300" cy="266700"/>
                <wp:effectExtent l="0" t="0" r="0" b="0"/>
                <wp:wrapNone/>
                <wp:docPr id="14" name="Надпись 14"/>
                <wp:cNvGraphicFramePr/>
                <a:graphic xmlns:a="http://schemas.openxmlformats.org/drawingml/2006/main">
                  <a:graphicData uri="http://schemas.microsoft.com/office/word/2010/wordprocessingShape">
                    <wps:wsp>
                      <wps:cNvSpPr txBox="1"/>
                      <wps:spPr>
                        <a:xfrm>
                          <a:off x="0" y="0"/>
                          <a:ext cx="495300" cy="266700"/>
                        </a:xfrm>
                        <a:prstGeom prst="rect"/>
                        <a:noFill/>
                        <a:ln w="6350">
                          <a:noFill/>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spacing w:lineRule="auto" w:line="240" w:after="0" w:beforeAutospacing="0" w:afterAutospacing="0"/>
                              <w:rPr>
                                <w:rFonts w:ascii="Times New Roman" w:hAnsi="Times New Roman" w:cs="Times New Roman"/>
                                <w:sz w:val="20"/>
                                <w:szCs w:val="20"/>
                                <w:lang w:val="en-US"/>
                              </w:rPr>
                            </w:pPr>
                            <w:r>
                              <w:rPr>
                                <w:rFonts w:ascii="Times New Roman" w:hAnsi="Times New Roman" w:cs="Times New Roman"/>
                                <w:sz w:val="20"/>
                                <w:szCs w:val="20"/>
                              </w:rPr>
                              <w:t>0,</w:t>
                            </w:r>
                            <w:r>
                              <w:rPr>
                                <w:rFonts w:ascii="Times New Roman" w:hAnsi="Times New Roman" w:cs="Times New Roman"/>
                                <w:sz w:val="20"/>
                                <w:szCs w:val="20"/>
                                <w:lang w:val="en-US"/>
                              </w:rPr>
                              <w:t>112</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xmlns:o="urn:schemas-microsoft-com:office:office" type="#_x0000_t202" id="Надпись 14" o:spid="_x0000_s1242" style="position:absolute;width:39pt;height:21pt;z-index:151;mso-wrap-distance-left:9pt;mso-wrap-distance-top:0pt;mso-wrap-distance-right:9pt;mso-wrap-distance-bottom:0pt;margin-left:101.75pt;margin-top:2.9pt;mso-position-horizontal:absolute;mso-position-horizontal-relative:text;mso-position-vertical:absolute;mso-position-vertical-relative:text" o:allowincell="t" filled="f" strokeweight="0.5pt" stroked="f">
                <v:textbox inset="3mm,1mm,3mm,1mm">
                  <w:txbxContent>
                    <w:p>
                      <w:pPr>
                        <w:spacing w:lineRule="auto" w:line="240" w:after="0" w:beforeAutospacing="0" w:afterAutospacing="0"/>
                        <w:rPr>
                          <w:rFonts w:ascii="Times New Roman" w:hAnsi="Times New Roman" w:cs="Times New Roman"/>
                          <w:sz w:val="20"/>
                          <w:szCs w:val="20"/>
                          <w:lang w:val="en-US"/>
                        </w:rPr>
                      </w:pPr>
                      <w:r>
                        <w:rPr>
                          <w:rFonts w:ascii="Times New Roman" w:hAnsi="Times New Roman" w:cs="Times New Roman"/>
                          <w:sz w:val="20"/>
                          <w:szCs w:val="20"/>
                        </w:rPr>
                        <w:t>0,</w:t>
                      </w:r>
                      <w:r>
                        <w:rPr>
                          <w:rFonts w:ascii="Times New Roman" w:hAnsi="Times New Roman" w:cs="Times New Roman"/>
                          <w:sz w:val="20"/>
                          <w:szCs w:val="20"/>
                          <w:lang w:val="en-US"/>
                        </w:rPr>
                        <w:t>112</w:t>
                      </w:r>
                    </w:p>
                  </w:txbxContent>
                </v:textbox>
              </v:shape>
            </w:pict>
          </mc:Fallback>
        </mc:AlternateContent>
      </w:r>
      <w:r>
        <w:rPr>
          <w:rFonts w:ascii="Times New Roman" w:hAnsi="Times New Roman" w:cs="Times New Roman"/>
          <w:i w:val="1"/>
          <w:noProof w:val="1"/>
          <w:sz w:val="28"/>
          <w:szCs w:val="28"/>
          <w:lang w:eastAsia="ru-RU"/>
        </w:rPr>
        <mc:AlternateContent>
          <mc:Choice Requires="wps">
            <w:drawing>
              <wp:anchor xmlns:wp="http://schemas.openxmlformats.org/drawingml/2006/wordprocessingDrawing" distT="0" distB="0" distL="114300" distR="114300" simplePos="0" relativeHeight="150" behindDoc="0" locked="0" layoutInCell="1" allowOverlap="1">
                <wp:simplePos x="0" y="0"/>
                <wp:positionH relativeFrom="column">
                  <wp:posOffset>1864995</wp:posOffset>
                </wp:positionH>
                <wp:positionV relativeFrom="paragraph">
                  <wp:posOffset>36830</wp:posOffset>
                </wp:positionV>
                <wp:extent cx="495300" cy="266700"/>
                <wp:effectExtent l="0" t="0" r="0" b="0"/>
                <wp:wrapNone/>
                <wp:docPr id="13" name="Надпись 13"/>
                <wp:cNvGraphicFramePr/>
                <a:graphic xmlns:a="http://schemas.openxmlformats.org/drawingml/2006/main">
                  <a:graphicData uri="http://schemas.microsoft.com/office/word/2010/wordprocessingShape">
                    <wps:wsp>
                      <wps:cNvSpPr txBox="1"/>
                      <wps:spPr>
                        <a:xfrm>
                          <a:off x="0" y="0"/>
                          <a:ext cx="495300" cy="266700"/>
                        </a:xfrm>
                        <a:prstGeom prst="rect"/>
                        <a:noFill/>
                        <a:ln w="6350">
                          <a:noFill/>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spacing w:lineRule="auto" w:line="240" w:after="0" w:beforeAutospacing="0" w:afterAutospacing="0"/>
                              <w:rPr>
                                <w:rFonts w:ascii="Times New Roman" w:hAnsi="Times New Roman" w:cs="Times New Roman"/>
                                <w:sz w:val="20"/>
                                <w:szCs w:val="20"/>
                                <w:lang w:val="en-US"/>
                              </w:rPr>
                            </w:pPr>
                            <w:r>
                              <w:rPr>
                                <w:rFonts w:ascii="Times New Roman" w:hAnsi="Times New Roman" w:cs="Times New Roman"/>
                                <w:sz w:val="20"/>
                                <w:szCs w:val="20"/>
                              </w:rPr>
                              <w:t>0,</w:t>
                            </w:r>
                            <w:r>
                              <w:rPr>
                                <w:rFonts w:ascii="Times New Roman" w:hAnsi="Times New Roman" w:cs="Times New Roman"/>
                                <w:sz w:val="20"/>
                                <w:szCs w:val="20"/>
                                <w:lang w:val="en-US"/>
                              </w:rPr>
                              <w:t>048</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xmlns:o="urn:schemas-microsoft-com:office:office" type="#_x0000_t202" id="Надпись 13" o:spid="_x0000_s1243" style="position:absolute;width:39pt;height:21pt;z-index:150;mso-wrap-distance-left:9pt;mso-wrap-distance-top:0pt;mso-wrap-distance-right:9pt;mso-wrap-distance-bottom:0pt;margin-left:146.85pt;margin-top:2.9pt;mso-position-horizontal:absolute;mso-position-horizontal-relative:text;mso-position-vertical:absolute;mso-position-vertical-relative:text" o:allowincell="t" filled="f" strokeweight="0.5pt" stroked="f">
                <v:textbox inset="3mm,1mm,3mm,1mm">
                  <w:txbxContent>
                    <w:p>
                      <w:pPr>
                        <w:spacing w:lineRule="auto" w:line="240" w:after="0" w:beforeAutospacing="0" w:afterAutospacing="0"/>
                        <w:rPr>
                          <w:rFonts w:ascii="Times New Roman" w:hAnsi="Times New Roman" w:cs="Times New Roman"/>
                          <w:sz w:val="20"/>
                          <w:szCs w:val="20"/>
                          <w:lang w:val="en-US"/>
                        </w:rPr>
                      </w:pPr>
                      <w:r>
                        <w:rPr>
                          <w:rFonts w:ascii="Times New Roman" w:hAnsi="Times New Roman" w:cs="Times New Roman"/>
                          <w:sz w:val="20"/>
                          <w:szCs w:val="20"/>
                        </w:rPr>
                        <w:t>0,</w:t>
                      </w:r>
                      <w:r>
                        <w:rPr>
                          <w:rFonts w:ascii="Times New Roman" w:hAnsi="Times New Roman" w:cs="Times New Roman"/>
                          <w:sz w:val="20"/>
                          <w:szCs w:val="20"/>
                          <w:lang w:val="en-US"/>
                        </w:rPr>
                        <w:t>048</w:t>
                      </w:r>
                    </w:p>
                  </w:txbxContent>
                </v:textbox>
              </v:shape>
            </w:pict>
          </mc:Fallback>
        </mc:AlternateContent>
      </w:r>
      <w:r>
        <w:rPr>
          <w:rFonts w:ascii="Times New Roman" w:hAnsi="Times New Roman" w:cs="Times New Roman"/>
          <w:i w:val="1"/>
          <w:noProof w:val="1"/>
          <w:sz w:val="28"/>
          <w:szCs w:val="28"/>
          <w:lang w:eastAsia="ru-RU"/>
        </w:rPr>
        <mc:AlternateContent>
          <mc:Choice Requires="wps">
            <w:drawing>
              <wp:anchor xmlns:wp="http://schemas.openxmlformats.org/drawingml/2006/wordprocessingDrawing" distT="0" distB="0" distL="114300" distR="114300" simplePos="0" relativeHeight="130" behindDoc="0" locked="0" layoutInCell="1" allowOverlap="1">
                <wp:simplePos x="0" y="0"/>
                <wp:positionH relativeFrom="column">
                  <wp:posOffset>3148965</wp:posOffset>
                </wp:positionH>
                <wp:positionV relativeFrom="paragraph">
                  <wp:posOffset>41275</wp:posOffset>
                </wp:positionV>
                <wp:extent cx="495300" cy="266700"/>
                <wp:effectExtent l="0" t="0" r="0" b="0"/>
                <wp:wrapNone/>
                <wp:docPr id="475" name="Надпись 475"/>
                <wp:cNvGraphicFramePr/>
                <a:graphic xmlns:a="http://schemas.openxmlformats.org/drawingml/2006/main">
                  <a:graphicData uri="http://schemas.microsoft.com/office/word/2010/wordprocessingShape">
                    <wps:wsp>
                      <wps:cNvSpPr txBox="1"/>
                      <wps:spPr>
                        <a:xfrm>
                          <a:off x="0" y="0"/>
                          <a:ext cx="495300" cy="266700"/>
                        </a:xfrm>
                        <a:prstGeom prst="rect"/>
                        <a:noFill/>
                        <a:ln w="6350">
                          <a:noFill/>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spacing w:lineRule="auto" w:line="240" w:after="0" w:beforeAutospacing="0" w:afterAutospacing="0"/>
                              <w:rPr>
                                <w:rFonts w:ascii="Times New Roman" w:hAnsi="Times New Roman" w:cs="Times New Roman"/>
                                <w:sz w:val="20"/>
                                <w:szCs w:val="20"/>
                              </w:rPr>
                            </w:pPr>
                            <w:r>
                              <w:rPr>
                                <w:rFonts w:ascii="Times New Roman" w:hAnsi="Times New Roman" w:cs="Times New Roman"/>
                                <w:sz w:val="20"/>
                                <w:szCs w:val="20"/>
                              </w:rPr>
                              <w:t>1,000</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xmlns:o="urn:schemas-microsoft-com:office:office" type="#_x0000_t202" id="Надпись 475" o:spid="_x0000_s1244" style="position:absolute;width:39pt;height:21pt;z-index:130;mso-wrap-distance-left:9pt;mso-wrap-distance-top:0pt;mso-wrap-distance-right:9pt;mso-wrap-distance-bottom:0pt;margin-left:247.95pt;margin-top:3.25pt;mso-position-horizontal:absolute;mso-position-horizontal-relative:text;mso-position-vertical:absolute;mso-position-vertical-relative:text" o:allowincell="t" filled="f" strokeweight="0.5pt" stroked="f">
                <v:textbox inset="3mm,1mm,3mm,1mm">
                  <w:txbxContent>
                    <w:p>
                      <w:pPr>
                        <w:spacing w:lineRule="auto" w:line="240" w:after="0" w:beforeAutospacing="0" w:afterAutospacing="0"/>
                        <w:rPr>
                          <w:rFonts w:ascii="Times New Roman" w:hAnsi="Times New Roman" w:cs="Times New Roman"/>
                          <w:sz w:val="20"/>
                          <w:szCs w:val="20"/>
                        </w:rPr>
                      </w:pPr>
                      <w:r>
                        <w:rPr>
                          <w:rFonts w:ascii="Times New Roman" w:hAnsi="Times New Roman" w:cs="Times New Roman"/>
                          <w:sz w:val="20"/>
                          <w:szCs w:val="20"/>
                        </w:rPr>
                        <w:t>1,000</w:t>
                      </w:r>
                    </w:p>
                  </w:txbxContent>
                </v:textbox>
              </v:shape>
            </w:pict>
          </mc:Fallback>
        </mc:AlternateContent>
      </w:r>
      <w:r>
        <w:rPr>
          <w:rFonts w:ascii="Times New Roman" w:hAnsi="Times New Roman" w:cs="Times New Roman"/>
          <w:i w:val="1"/>
          <w:noProof w:val="1"/>
          <w:sz w:val="28"/>
          <w:szCs w:val="28"/>
          <w:lang w:eastAsia="ru-RU"/>
        </w:rPr>
        <mc:AlternateContent>
          <mc:Choice Requires="wps">
            <w:drawing>
              <wp:anchor xmlns:wp="http://schemas.openxmlformats.org/drawingml/2006/wordprocessingDrawing" distT="0" distB="0" distL="114300" distR="114300" simplePos="0" relativeHeight="115" behindDoc="0" locked="0" layoutInCell="1" allowOverlap="1">
                <wp:simplePos x="0" y="0"/>
                <wp:positionH relativeFrom="column">
                  <wp:posOffset>3014345</wp:posOffset>
                </wp:positionH>
                <wp:positionV relativeFrom="paragraph">
                  <wp:posOffset>294005</wp:posOffset>
                </wp:positionV>
                <wp:extent cx="386715" cy="256540"/>
                <wp:effectExtent l="0" t="0" r="13335" b="10160"/>
                <wp:wrapNone/>
                <wp:docPr id="56" name="Овал 56"/>
                <wp:cNvGraphicFramePr/>
                <a:graphic xmlns:a="http://schemas.openxmlformats.org/drawingml/2006/main">
                  <a:graphicData uri="http://schemas.microsoft.com/office/word/2010/wordprocessingShape">
                    <wps:wsp>
                      <wps:cNvSpPr/>
                      <wps:spPr>
                        <a:xfrm>
                          <a:off x="0" y="0"/>
                          <a:ext cx="387118" cy="256967"/>
                        </a:xfrm>
                        <a:prstGeom prst="ellipse"/>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xmlns:o="urn:schemas-microsoft-com:office:office" id="Овал 56" o:spid="_x0000_s1245" style="position:absolute;width:30.45pt;height:20.2pt;z-index:115;mso-wrap-distance-left:9pt;mso-wrap-distance-top:0pt;mso-wrap-distance-right:9pt;mso-wrap-distance-bottom:0pt;margin-left:237.35pt;margin-top:23.15pt;mso-position-horizontal:absolute;mso-position-horizontal-relative:text;mso-position-vertical:absolute;mso-position-vertical-relative:text;v-text-anchor:middle" o:allowincell="t" filled="f" strokecolor="#000000" strokeweight="1pt" stroked="t"/>
            </w:pict>
          </mc:Fallback>
        </mc:AlternateContent>
      </w:r>
      <w:r>
        <w:rPr>
          <w:rFonts w:ascii="Times New Roman" w:hAnsi="Times New Roman" w:cs="Times New Roman"/>
          <w:i w:val="1"/>
          <w:noProof w:val="1"/>
          <w:sz w:val="28"/>
          <w:szCs w:val="28"/>
          <w:lang w:eastAsia="ru-RU"/>
        </w:rPr>
        <mc:AlternateContent>
          <mc:Choice Requires="wps">
            <w:drawing>
              <wp:anchor xmlns:wp="http://schemas.openxmlformats.org/drawingml/2006/wordprocessingDrawing" distT="0" distB="0" distL="114300" distR="114300" simplePos="0" relativeHeight="114" behindDoc="0" locked="0" layoutInCell="1" allowOverlap="1">
                <wp:simplePos x="0" y="0"/>
                <wp:positionH relativeFrom="column">
                  <wp:posOffset>2962910</wp:posOffset>
                </wp:positionH>
                <wp:positionV relativeFrom="paragraph">
                  <wp:posOffset>285115</wp:posOffset>
                </wp:positionV>
                <wp:extent cx="490855" cy="245110"/>
                <wp:effectExtent l="0" t="0" r="0" b="2540"/>
                <wp:wrapNone/>
                <wp:docPr id="55" name="Надпись 55"/>
                <wp:cNvGraphicFramePr/>
                <a:graphic xmlns:a="http://schemas.openxmlformats.org/drawingml/2006/main">
                  <a:graphicData uri="http://schemas.microsoft.com/office/word/2010/wordprocessingShape">
                    <wps:wsp>
                      <wps:cNvSpPr txBox="1"/>
                      <wps:spPr>
                        <a:xfrm>
                          <a:off x="0" y="0"/>
                          <a:ext cx="490855" cy="245110"/>
                        </a:xfrm>
                        <a:prstGeom prst="rect"/>
                        <a:noFill/>
                        <a:ln w="6350">
                          <a:noFill/>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spacing w:lineRule="auto" w:line="240" w:after="0" w:beforeAutospacing="0" w:afterAutospacing="0"/>
                              <w:jc w:val="center"/>
                              <w:rPr>
                                <w:rFonts w:ascii="Times New Roman" w:hAnsi="Times New Roman" w:cs="Times New Roman"/>
                                <w:sz w:val="20"/>
                                <w:szCs w:val="20"/>
                                <w:lang w:val="en-US"/>
                              </w:rPr>
                            </w:pPr>
                            <w:r>
                              <w:rPr>
                                <w:rFonts w:ascii="Times New Roman" w:hAnsi="Times New Roman" w:cs="Times New Roman"/>
                                <w:sz w:val="20"/>
                                <w:szCs w:val="20"/>
                                <w:lang w:val="en-US"/>
                              </w:rPr>
                              <w:t>BIR</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xmlns:o="urn:schemas-microsoft-com:office:office" type="#_x0000_t202" id="Надпись 55" o:spid="_x0000_s1246" style="position:absolute;width:38.65pt;height:19.3pt;z-index:114;mso-wrap-distance-left:9pt;mso-wrap-distance-top:0pt;mso-wrap-distance-right:9pt;mso-wrap-distance-bottom:0pt;margin-left:233.3pt;margin-top:22.45pt;mso-position-horizontal:absolute;mso-position-horizontal-relative:text;mso-position-vertical:absolute;mso-position-vertical-relative:text" o:allowincell="t" filled="f" strokeweight="0.5pt" stroked="f">
                <v:textbox inset="3mm,1mm,3mm,1mm">
                  <w:txbxContent>
                    <w:p>
                      <w:pPr>
                        <w:spacing w:lineRule="auto" w:line="240" w:after="0" w:beforeAutospacing="0" w:afterAutospacing="0"/>
                        <w:jc w:val="center"/>
                        <w:rPr>
                          <w:rFonts w:ascii="Times New Roman" w:hAnsi="Times New Roman" w:cs="Times New Roman"/>
                          <w:sz w:val="20"/>
                          <w:szCs w:val="20"/>
                          <w:lang w:val="en-US"/>
                        </w:rPr>
                      </w:pPr>
                      <w:r>
                        <w:rPr>
                          <w:rFonts w:ascii="Times New Roman" w:hAnsi="Times New Roman" w:cs="Times New Roman"/>
                          <w:sz w:val="20"/>
                          <w:szCs w:val="20"/>
                          <w:lang w:val="en-US"/>
                        </w:rPr>
                        <w:t>BIR</w:t>
                      </w:r>
                    </w:p>
                  </w:txbxContent>
                </v:textbox>
              </v:shape>
            </w:pict>
          </mc:Fallback>
        </mc:AlternateContent>
      </w:r>
      <w:r>
        <w:rPr>
          <w:rFonts w:ascii="Times New Roman" w:hAnsi="Times New Roman" w:cs="Times New Roman"/>
          <w:i w:val="1"/>
          <w:noProof w:val="1"/>
          <w:sz w:val="28"/>
          <w:szCs w:val="28"/>
          <w:lang w:eastAsia="ru-RU"/>
        </w:rPr>
        <mc:AlternateContent>
          <mc:Choice Requires="wps">
            <w:drawing>
              <wp:anchor xmlns:wp="http://schemas.openxmlformats.org/drawingml/2006/wordprocessingDrawing" distT="0" distB="0" distL="114300" distR="114300" simplePos="0" relativeHeight="89" behindDoc="0" locked="0" layoutInCell="1" allowOverlap="1">
                <wp:simplePos x="0" y="0"/>
                <wp:positionH relativeFrom="column">
                  <wp:posOffset>1155700</wp:posOffset>
                </wp:positionH>
                <wp:positionV relativeFrom="paragraph">
                  <wp:posOffset>299085</wp:posOffset>
                </wp:positionV>
                <wp:extent cx="386715" cy="256540"/>
                <wp:effectExtent l="0" t="0" r="13335" b="10160"/>
                <wp:wrapNone/>
                <wp:docPr id="25" name="Овал 25"/>
                <wp:cNvGraphicFramePr/>
                <a:graphic xmlns:a="http://schemas.openxmlformats.org/drawingml/2006/main">
                  <a:graphicData uri="http://schemas.microsoft.com/office/word/2010/wordprocessingShape">
                    <wps:wsp>
                      <wps:cNvSpPr/>
                      <wps:spPr>
                        <a:xfrm>
                          <a:off x="0" y="0"/>
                          <a:ext cx="387118" cy="256967"/>
                        </a:xfrm>
                        <a:prstGeom prst="ellipse"/>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xmlns:o="urn:schemas-microsoft-com:office:office" id="Овал 25" o:spid="_x0000_s1247" style="position:absolute;width:30.45pt;height:20.2pt;z-index:89;mso-wrap-distance-left:9pt;mso-wrap-distance-top:0pt;mso-wrap-distance-right:9pt;mso-wrap-distance-bottom:0pt;margin-left:91pt;margin-top:23.55pt;mso-position-horizontal:absolute;mso-position-horizontal-relative:text;mso-position-vertical:absolute;mso-position-vertical-relative:text;v-text-anchor:middle" o:allowincell="t" filled="f" strokecolor="#000000" strokeweight="1pt" stroked="t"/>
            </w:pict>
          </mc:Fallback>
        </mc:AlternateContent>
      </w:r>
      <w:r>
        <w:rPr>
          <w:rFonts w:ascii="Times New Roman" w:hAnsi="Times New Roman" w:cs="Times New Roman"/>
          <w:i w:val="1"/>
          <w:noProof w:val="1"/>
          <w:sz w:val="28"/>
          <w:szCs w:val="28"/>
          <w:lang w:eastAsia="ru-RU"/>
        </w:rPr>
        <mc:AlternateContent>
          <mc:Choice Requires="wps">
            <w:drawing>
              <wp:anchor xmlns:wp="http://schemas.openxmlformats.org/drawingml/2006/wordprocessingDrawing" distT="0" distB="0" distL="114300" distR="114300" simplePos="0" relativeHeight="84" behindDoc="0" locked="0" layoutInCell="1" allowOverlap="1">
                <wp:simplePos x="0" y="0"/>
                <wp:positionH relativeFrom="column">
                  <wp:posOffset>1123950</wp:posOffset>
                </wp:positionH>
                <wp:positionV relativeFrom="paragraph">
                  <wp:posOffset>298450</wp:posOffset>
                </wp:positionV>
                <wp:extent cx="453390" cy="245110"/>
                <wp:effectExtent l="0" t="0" r="0" b="2540"/>
                <wp:wrapNone/>
                <wp:docPr id="402" name="Надпись 402"/>
                <wp:cNvGraphicFramePr/>
                <a:graphic xmlns:a="http://schemas.openxmlformats.org/drawingml/2006/main">
                  <a:graphicData uri="http://schemas.microsoft.com/office/word/2010/wordprocessingShape">
                    <wps:wsp>
                      <wps:cNvSpPr txBox="1"/>
                      <wps:spPr>
                        <a:xfrm>
                          <a:off x="0" y="0"/>
                          <a:ext cx="453390" cy="245110"/>
                        </a:xfrm>
                        <a:prstGeom prst="rect"/>
                        <a:noFill/>
                        <a:ln w="6350">
                          <a:noFill/>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spacing w:lineRule="auto" w:line="240" w:after="0" w:beforeAutospacing="0" w:afterAutospacing="0"/>
                              <w:jc w:val="center"/>
                              <w:rPr>
                                <w:rFonts w:ascii="Times New Roman" w:hAnsi="Times New Roman" w:cs="Times New Roman"/>
                                <w:sz w:val="20"/>
                                <w:szCs w:val="20"/>
                                <w:lang w:val="en-US"/>
                              </w:rPr>
                            </w:pPr>
                            <w:r>
                              <w:rPr>
                                <w:rFonts w:ascii="Times New Roman" w:hAnsi="Times New Roman" w:cs="Times New Roman"/>
                                <w:sz w:val="20"/>
                                <w:szCs w:val="20"/>
                                <w:lang w:val="en-US"/>
                              </w:rPr>
                              <w:t>HIV</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xmlns:o="urn:schemas-microsoft-com:office:office" type="#_x0000_t202" id="Надпись 402" o:spid="_x0000_s1248" style="position:absolute;width:35.7pt;height:19.3pt;z-index:84;mso-wrap-distance-left:9pt;mso-wrap-distance-top:0pt;mso-wrap-distance-right:9pt;mso-wrap-distance-bottom:0pt;margin-left:88.5pt;margin-top:23.5pt;mso-position-horizontal:absolute;mso-position-horizontal-relative:text;mso-position-vertical:absolute;mso-position-vertical-relative:text" o:allowincell="t" filled="f" strokeweight="0.5pt" stroked="f">
                <v:textbox inset="3mm,1mm,3mm,1mm">
                  <w:txbxContent>
                    <w:p>
                      <w:pPr>
                        <w:spacing w:lineRule="auto" w:line="240" w:after="0" w:beforeAutospacing="0" w:afterAutospacing="0"/>
                        <w:jc w:val="center"/>
                        <w:rPr>
                          <w:rFonts w:ascii="Times New Roman" w:hAnsi="Times New Roman" w:cs="Times New Roman"/>
                          <w:sz w:val="20"/>
                          <w:szCs w:val="20"/>
                          <w:lang w:val="en-US"/>
                        </w:rPr>
                      </w:pPr>
                      <w:r>
                        <w:rPr>
                          <w:rFonts w:ascii="Times New Roman" w:hAnsi="Times New Roman" w:cs="Times New Roman"/>
                          <w:sz w:val="20"/>
                          <w:szCs w:val="20"/>
                          <w:lang w:val="en-US"/>
                        </w:rPr>
                        <w:t>HIV</w:t>
                      </w:r>
                    </w:p>
                  </w:txbxContent>
                </v:textbox>
              </v:shape>
            </w:pict>
          </mc:Fallback>
        </mc:AlternateContent>
      </w:r>
      <w:r>
        <w:rPr>
          <w:rFonts w:ascii="Times New Roman" w:hAnsi="Times New Roman" w:cs="Times New Roman"/>
          <w:i w:val="1"/>
          <w:noProof w:val="1"/>
          <w:sz w:val="28"/>
          <w:szCs w:val="28"/>
          <w:lang w:eastAsia="ru-RU"/>
        </w:rPr>
        <mc:AlternateContent>
          <mc:Choice Requires="wps">
            <w:drawing>
              <wp:anchor xmlns:wp="http://schemas.openxmlformats.org/drawingml/2006/wordprocessingDrawing" distT="0" distB="0" distL="114300" distR="114300" simplePos="0" relativeHeight="88" behindDoc="0" locked="0" layoutInCell="1" allowOverlap="1">
                <wp:simplePos x="0" y="0"/>
                <wp:positionH relativeFrom="column">
                  <wp:posOffset>1729740</wp:posOffset>
                </wp:positionH>
                <wp:positionV relativeFrom="paragraph">
                  <wp:posOffset>295910</wp:posOffset>
                </wp:positionV>
                <wp:extent cx="386715" cy="256540"/>
                <wp:effectExtent l="0" t="0" r="13335" b="10160"/>
                <wp:wrapNone/>
                <wp:docPr id="513" name="Овал 513"/>
                <wp:cNvGraphicFramePr/>
                <a:graphic xmlns:a="http://schemas.openxmlformats.org/drawingml/2006/main">
                  <a:graphicData uri="http://schemas.microsoft.com/office/word/2010/wordprocessingShape">
                    <wps:wsp>
                      <wps:cNvSpPr/>
                      <wps:spPr>
                        <a:xfrm>
                          <a:off x="0" y="0"/>
                          <a:ext cx="387118" cy="256967"/>
                        </a:xfrm>
                        <a:prstGeom prst="ellipse"/>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xmlns:o="urn:schemas-microsoft-com:office:office" id="Овал 513" o:spid="_x0000_s1249" style="position:absolute;width:30.45pt;height:20.2pt;z-index:88;mso-wrap-distance-left:9pt;mso-wrap-distance-top:0pt;mso-wrap-distance-right:9pt;mso-wrap-distance-bottom:0pt;margin-left:136.2pt;margin-top:23.3pt;mso-position-horizontal:absolute;mso-position-horizontal-relative:text;mso-position-vertical:absolute;mso-position-vertical-relative:text;v-text-anchor:middle" o:allowincell="t" filled="f" strokecolor="#000000" strokeweight="1pt" stroked="t"/>
            </w:pict>
          </mc:Fallback>
        </mc:AlternateContent>
      </w:r>
      <w:r>
        <w:rPr>
          <w:rFonts w:ascii="Times New Roman" w:hAnsi="Times New Roman" w:cs="Times New Roman"/>
          <w:i w:val="1"/>
          <w:noProof w:val="1"/>
          <w:sz w:val="28"/>
          <w:szCs w:val="28"/>
          <w:lang w:eastAsia="ru-RU"/>
        </w:rPr>
        <mc:AlternateContent>
          <mc:Choice Requires="wps">
            <w:drawing>
              <wp:anchor xmlns:wp="http://schemas.openxmlformats.org/drawingml/2006/wordprocessingDrawing" distT="0" distB="0" distL="114300" distR="114300" simplePos="0" relativeHeight="83" behindDoc="0" locked="0" layoutInCell="1" allowOverlap="1">
                <wp:simplePos x="0" y="0"/>
                <wp:positionH relativeFrom="column">
                  <wp:posOffset>1694815</wp:posOffset>
                </wp:positionH>
                <wp:positionV relativeFrom="paragraph">
                  <wp:posOffset>287020</wp:posOffset>
                </wp:positionV>
                <wp:extent cx="460375" cy="245110"/>
                <wp:effectExtent l="0" t="0" r="0" b="2540"/>
                <wp:wrapNone/>
                <wp:docPr id="407" name="Надпись 407"/>
                <wp:cNvGraphicFramePr/>
                <a:graphic xmlns:a="http://schemas.openxmlformats.org/drawingml/2006/main">
                  <a:graphicData uri="http://schemas.microsoft.com/office/word/2010/wordprocessingShape">
                    <wps:wsp>
                      <wps:cNvSpPr txBox="1"/>
                      <wps:spPr>
                        <a:xfrm>
                          <a:off x="0" y="0"/>
                          <a:ext cx="460857" cy="245110"/>
                        </a:xfrm>
                        <a:prstGeom prst="rect"/>
                        <a:noFill/>
                        <a:ln w="6350">
                          <a:noFill/>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spacing w:lineRule="auto" w:line="240" w:after="0" w:beforeAutospacing="0" w:afterAutospacing="0"/>
                              <w:jc w:val="center"/>
                              <w:rPr>
                                <w:rFonts w:ascii="Times New Roman" w:hAnsi="Times New Roman" w:cs="Times New Roman"/>
                                <w:sz w:val="20"/>
                                <w:szCs w:val="20"/>
                                <w:lang w:val="en-US"/>
                              </w:rPr>
                            </w:pPr>
                            <w:r>
                              <w:rPr>
                                <w:rFonts w:ascii="Times New Roman" w:hAnsi="Times New Roman" w:cs="Times New Roman"/>
                                <w:sz w:val="20"/>
                                <w:szCs w:val="20"/>
                                <w:lang w:val="en-US"/>
                              </w:rPr>
                              <w:t>TBR</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xmlns:o="urn:schemas-microsoft-com:office:office" type="#_x0000_t202" id="Надпись 407" o:spid="_x0000_s1250" style="position:absolute;width:36.25pt;height:19.3pt;z-index:83;mso-wrap-distance-left:9pt;mso-wrap-distance-top:0pt;mso-wrap-distance-right:9pt;mso-wrap-distance-bottom:0pt;margin-left:133.45pt;margin-top:22.6pt;mso-position-horizontal:absolute;mso-position-horizontal-relative:text;mso-position-vertical:absolute;mso-position-vertical-relative:text" o:allowincell="t" filled="f" strokeweight="0.5pt" stroked="f">
                <v:textbox inset="3mm,1mm,3mm,1mm">
                  <w:txbxContent>
                    <w:p>
                      <w:pPr>
                        <w:spacing w:lineRule="auto" w:line="240" w:after="0" w:beforeAutospacing="0" w:afterAutospacing="0"/>
                        <w:jc w:val="center"/>
                        <w:rPr>
                          <w:rFonts w:ascii="Times New Roman" w:hAnsi="Times New Roman" w:cs="Times New Roman"/>
                          <w:sz w:val="20"/>
                          <w:szCs w:val="20"/>
                          <w:lang w:val="en-US"/>
                        </w:rPr>
                      </w:pPr>
                      <w:r>
                        <w:rPr>
                          <w:rFonts w:ascii="Times New Roman" w:hAnsi="Times New Roman" w:cs="Times New Roman"/>
                          <w:sz w:val="20"/>
                          <w:szCs w:val="20"/>
                          <w:lang w:val="en-US"/>
                        </w:rPr>
                        <w:t>TBR</w:t>
                      </w:r>
                    </w:p>
                  </w:txbxContent>
                </v:textbox>
              </v:shape>
            </w:pict>
          </mc:Fallback>
        </mc:AlternateContent>
      </w:r>
    </w:p>
    <w:p>
      <w:pPr>
        <w:spacing w:lineRule="auto" w:line="360" w:after="0" w:beforeAutospacing="0" w:afterAutospacing="0"/>
        <w:ind w:firstLine="709"/>
        <w:jc w:val="center"/>
        <w:rPr>
          <w:rFonts w:ascii="Times New Roman" w:hAnsi="Times New Roman" w:cs="Times New Roman"/>
          <w:sz w:val="28"/>
          <w:szCs w:val="28"/>
        </w:rPr>
      </w:pPr>
    </w:p>
    <w:p>
      <w:pPr>
        <w:spacing w:lineRule="auto" w:line="360" w:after="0" w:beforeAutospacing="0" w:afterAutospacing="0"/>
        <w:ind w:firstLine="709"/>
        <w:jc w:val="center"/>
        <w:rPr>
          <w:rFonts w:ascii="Times New Roman" w:hAnsi="Times New Roman" w:cs="Times New Roman"/>
          <w:sz w:val="28"/>
          <w:szCs w:val="28"/>
        </w:rPr>
      </w:pPr>
      <w:r>
        <w:rPr>
          <w:rFonts w:ascii="Times New Roman" w:hAnsi="Times New Roman" w:cs="Times New Roman"/>
          <w:sz w:val="28"/>
          <w:szCs w:val="28"/>
        </w:rPr>
        <w:t xml:space="preserve">Рисунок </w:t>
      </w:r>
      <w:r>
        <w:rPr>
          <w:rFonts w:ascii="Times New Roman" w:hAnsi="Times New Roman" w:cs="Times New Roman"/>
          <w:sz w:val="28"/>
          <w:szCs w:val="28"/>
          <w:highlight w:val="yellow"/>
        </w:rPr>
        <w:t>3.3</w:t>
      </w:r>
      <w:r>
        <w:rPr>
          <w:rFonts w:ascii="Times New Roman" w:hAnsi="Times New Roman" w:cs="Times New Roman"/>
          <w:sz w:val="28"/>
          <w:szCs w:val="28"/>
        </w:rPr>
        <w:t xml:space="preserve"> –</w:t>
      </w:r>
      <w:r>
        <w:rPr>
          <w:rFonts w:ascii="Times New Roman" w:hAnsi="Times New Roman" w:cs="Times New Roman"/>
          <w:i w:val="1"/>
          <w:sz w:val="28"/>
          <w:szCs w:val="28"/>
        </w:rPr>
        <w:t xml:space="preserve"> </w:t>
      </w:r>
      <w:r>
        <w:rPr>
          <w:rFonts w:ascii="Times New Roman" w:hAnsi="Times New Roman" w:cs="Times New Roman"/>
          <w:sz w:val="28"/>
          <w:szCs w:val="28"/>
        </w:rPr>
        <w:t>Модельные оценки эффектов взаимодействия между индикаторами устойчивого развития и обеспечением инновационно-инклюзивного роста (составлено автором)</w:t>
      </w:r>
    </w:p>
    <w:p>
      <w:pPr>
        <w:pStyle w:val="P13"/>
        <w:spacing w:lineRule="auto" w:line="360" w:beforeAutospacing="0" w:afterAutospacing="0"/>
        <w:ind w:firstLine="709"/>
        <w:jc w:val="both"/>
        <w:rPr>
          <w:sz w:val="28"/>
          <w:szCs w:val="28"/>
          <w:lang w:val="ru-RU"/>
        </w:rPr>
      </w:pPr>
      <w:bookmarkEnd w:id="27"/>
    </w:p>
    <w:p>
      <w:pPr>
        <w:pStyle w:val="P13"/>
        <w:spacing w:lineRule="auto" w:line="360" w:beforeAutospacing="0" w:afterAutospacing="0"/>
        <w:ind w:firstLine="709"/>
        <w:jc w:val="both"/>
        <w:rPr>
          <w:sz w:val="28"/>
          <w:szCs w:val="28"/>
          <w:lang w:val="ru-RU"/>
        </w:rPr>
      </w:pPr>
      <w:r>
        <w:rPr>
          <w:sz w:val="28"/>
          <w:szCs w:val="28"/>
          <w:lang w:val="ru-RU"/>
        </w:rPr>
        <w:t>В частности, причинное действие перетекает от независимых переменных (показателей) к составной переменной. Например, в нашей модели цель ИКТ имеет три показателя: количество абонентов мобильной связи, стационарных телефонных линий и пользователей Интернета. Если количество пользователей Интернета увеличивается, то уровень цели ИКТ увеличивается, даже если количество абонентов мобильной связи и фиксированных телефонных линий остается прежним. Увеличение цели ИКТ не означает одновременного изменения остальных показателей.</w:t>
      </w:r>
    </w:p>
    <w:p>
      <w:pPr>
        <w:pStyle w:val="P13"/>
        <w:spacing w:lineRule="auto" w:line="360" w:beforeAutospacing="0" w:afterAutospacing="0"/>
        <w:ind w:firstLine="709"/>
        <w:jc w:val="both"/>
        <w:rPr>
          <w:sz w:val="28"/>
          <w:szCs w:val="28"/>
          <w:lang w:val="ru-RU"/>
        </w:rPr>
      </w:pPr>
      <w:r>
        <w:rPr>
          <w:sz w:val="28"/>
          <w:szCs w:val="28"/>
          <w:lang w:val="ru-RU"/>
        </w:rPr>
        <w:t>На рисунке показан вес каждого индикатора на ссылке для соответствующей латентной конструкции, а также предполагаемые коэффициенты пути для каждой связи между конструкциями.</w:t>
      </w:r>
    </w:p>
    <w:p>
      <w:pPr>
        <w:spacing w:lineRule="auto" w:line="360" w:after="0" w:beforeAutospacing="0" w:afterAutospacing="0"/>
        <w:ind w:firstLine="708"/>
        <w:jc w:val="both"/>
        <w:rPr>
          <w:rFonts w:ascii="Times New Roman" w:hAnsi="Times New Roman" w:cs="Times New Roman"/>
          <w:sz w:val="28"/>
          <w:szCs w:val="28"/>
        </w:rPr>
      </w:pPr>
      <w:r>
        <w:rPr>
          <w:rFonts w:ascii="Times New Roman" w:hAnsi="Times New Roman" w:cs="Times New Roman"/>
          <w:sz w:val="28"/>
          <w:szCs w:val="28"/>
        </w:rPr>
        <w:t>Как видно, все нагрузки всех индикаторов на соответствующие конструкции были значительными, за исключением показателя «доля родов, принимаемых квалифицированным медицинским персоналом». Модель обнаруживает положительную связь между ИКТ и гендерным равенством с коэффициентом 0,49. Это убедительный показатель того, что рост использования ИКТ положительно влияет на гендерное равенство при приеме в начальную и среднюю школу и что рост данной переменной положительно влияет на охват школьным образованием. Молодое поколение активно пользуется Интернетом, особенно с помощью своих мобильных телефонов. Также более широкое внедрение ИКТ приводит к повышению осведомленности, особенно среди групп населения, которые традиционно страдали от изоляции в этих сообществах, таких как женщины. Повышается осведомленность о праве девочек на образование, а также осознание возможности доступа к информации, которая раньше была в значительной степени недоступна. ИКТ сами по себе могут быть целью, которую нужно достичь, но они также могут использоваться как инструмент для достижения других целей.</w:t>
      </w:r>
    </w:p>
    <w:p>
      <w:pPr>
        <w:pStyle w:val="P13"/>
        <w:spacing w:lineRule="auto" w:line="360" w:beforeAutospacing="0" w:afterAutospacing="0"/>
        <w:ind w:firstLine="709"/>
        <w:jc w:val="both"/>
        <w:rPr>
          <w:sz w:val="28"/>
          <w:szCs w:val="28"/>
          <w:lang w:val="ru-RU"/>
        </w:rPr>
      </w:pPr>
      <w:r>
        <w:rPr>
          <w:sz w:val="28"/>
          <w:szCs w:val="28"/>
          <w:lang w:val="ru-RU"/>
        </w:rPr>
        <w:t>Основываясь на нашей модели, мы видим, что индикатор начальное образование оказывает отрицательное влияние (-0,373) на цель «снижение детской смертности», также, как и экономический рост (-0,403). В свою очередь цель «повышение доступности ИКТ» достаточно сильно коррелирует с формированием устойчивых темпов экономического роста, которые в соответствии с ЦУР установлены на уровне 7 % для наименее развитых стран, тогда как «обеспечение экологической устойчивости» практически не влияет на достижение данной цели (0,561 и -0,117 соответственно).</w:t>
      </w:r>
    </w:p>
    <w:p>
      <w:pPr>
        <w:pStyle w:val="P13"/>
        <w:spacing w:lineRule="auto" w:line="360" w:beforeAutospacing="0" w:afterAutospacing="0"/>
        <w:ind w:firstLine="709"/>
        <w:jc w:val="both"/>
        <w:rPr>
          <w:sz w:val="28"/>
          <w:szCs w:val="28"/>
          <w:lang w:val="ru-RU"/>
        </w:rPr>
      </w:pPr>
      <w:r>
        <w:rPr>
          <w:sz w:val="28"/>
          <w:szCs w:val="28"/>
          <w:lang w:val="ru-RU"/>
        </w:rPr>
        <w:t xml:space="preserve">В соответствии с рекомендациями, содержащимися в литературе по этому вопросу, была выполнена процедура начальной загрузки с использованием 5000 подвыборок для оценки статистической значимости каждого коэффициента пути. В таблице </w:t>
      </w:r>
      <w:r>
        <w:rPr>
          <w:sz w:val="28"/>
          <w:szCs w:val="28"/>
          <w:highlight w:val="yellow"/>
          <w:lang w:val="ru-RU"/>
        </w:rPr>
        <w:t>3.2</w:t>
      </w:r>
      <w:r>
        <w:rPr>
          <w:sz w:val="28"/>
          <w:szCs w:val="28"/>
          <w:lang w:val="ru-RU"/>
        </w:rPr>
        <w:t xml:space="preserve"> показаны расчетные коэффициенты пути вместе с их значениями начальной загрузки и значениями </w:t>
      </w:r>
      <w:r>
        <w:rPr>
          <w:sz w:val="28"/>
          <w:szCs w:val="28"/>
        </w:rPr>
        <w:t>t</w:t>
      </w:r>
      <w:r>
        <w:rPr>
          <w:sz w:val="28"/>
          <w:szCs w:val="28"/>
          <w:lang w:val="ru-RU"/>
        </w:rPr>
        <w:t xml:space="preserve">-статистик. </w:t>
      </w:r>
    </w:p>
    <w:p>
      <w:pPr>
        <w:spacing w:lineRule="auto" w:line="360" w:after="0" w:beforeAutospacing="0" w:afterAutospacing="0"/>
        <w:ind w:firstLine="709"/>
        <w:jc w:val="both"/>
        <w:rPr>
          <w:rFonts w:ascii="Times New Roman" w:hAnsi="Times New Roman" w:cs="Times New Roman"/>
          <w:sz w:val="28"/>
          <w:szCs w:val="28"/>
        </w:rPr>
      </w:pPr>
    </w:p>
    <w:p>
      <w:pPr>
        <w:spacing w:lineRule="auto" w:line="360" w:after="0" w:beforeAutospacing="0" w:afterAutospacing="0"/>
        <w:jc w:val="both"/>
        <w:rPr>
          <w:rFonts w:ascii="Times New Roman" w:hAnsi="Times New Roman" w:cs="Times New Roman"/>
          <w:sz w:val="28"/>
          <w:szCs w:val="28"/>
        </w:rPr>
      </w:pPr>
      <w:r>
        <w:rPr>
          <w:rFonts w:ascii="Times New Roman" w:hAnsi="Times New Roman" w:cs="Times New Roman"/>
          <w:sz w:val="28"/>
          <w:szCs w:val="28"/>
        </w:rPr>
        <w:t xml:space="preserve">Таблица </w:t>
      </w:r>
      <w:r>
        <w:rPr>
          <w:rFonts w:ascii="Times New Roman" w:hAnsi="Times New Roman" w:cs="Times New Roman"/>
          <w:sz w:val="28"/>
          <w:szCs w:val="28"/>
          <w:highlight w:val="yellow"/>
        </w:rPr>
        <w:t>3.2</w:t>
      </w:r>
      <w:r>
        <w:rPr>
          <w:rFonts w:ascii="Times New Roman" w:hAnsi="Times New Roman" w:cs="Times New Roman"/>
          <w:sz w:val="28"/>
          <w:szCs w:val="28"/>
        </w:rPr>
        <w:t xml:space="preserve"> – Загрузка индикаторов и результаты начальной загрузки (составлено автором)</w:t>
      </w:r>
    </w:p>
    <w:tbl>
      <w:tblPr>
        <w:tblStyle w:val="T3"/>
        <w:tblW w:w="9918" w:type="dxa"/>
        <w:tblLook w:val="04A0"/>
      </w:tblPr>
      <w:tblGrid>
        <w:gridCol w:w="3114"/>
        <w:gridCol w:w="1500"/>
        <w:gridCol w:w="1760"/>
        <w:gridCol w:w="1701"/>
        <w:gridCol w:w="1843"/>
      </w:tblGrid>
      <w:tr>
        <w:tc>
          <w:tcPr>
            <w:tcW w:w="3114" w:type="dxa"/>
          </w:tcPr>
          <w:p>
            <w:pPr>
              <w:pStyle w:val="P13"/>
              <w:spacing w:before="9" w:beforeAutospacing="0" w:afterAutospacing="0"/>
              <w:rPr>
                <w:sz w:val="28"/>
                <w:szCs w:val="28"/>
                <w:lang w:val="ru-RU"/>
              </w:rPr>
            </w:pPr>
          </w:p>
          <w:p>
            <w:pPr>
              <w:pStyle w:val="P13"/>
              <w:spacing w:before="9" w:beforeAutospacing="0" w:afterAutospacing="0"/>
              <w:rPr>
                <w:sz w:val="28"/>
                <w:szCs w:val="28"/>
                <w:lang w:val="ru-RU"/>
              </w:rPr>
            </w:pPr>
          </w:p>
          <w:p>
            <w:pPr>
              <w:pStyle w:val="P13"/>
              <w:spacing w:before="9" w:beforeAutospacing="0" w:afterAutospacing="0"/>
              <w:rPr>
                <w:sz w:val="24"/>
                <w:szCs w:val="24"/>
                <w:lang w:val="ru-RU"/>
              </w:rPr>
            </w:pPr>
          </w:p>
        </w:tc>
        <w:tc>
          <w:tcPr>
            <w:tcW w:w="1500" w:type="dxa"/>
          </w:tcPr>
          <w:p>
            <w:pPr>
              <w:pStyle w:val="P13"/>
              <w:spacing w:before="9" w:beforeAutospacing="0" w:afterAutospacing="0"/>
              <w:jc w:val="center"/>
              <w:rPr>
                <w:sz w:val="24"/>
                <w:szCs w:val="24"/>
                <w:lang w:val="ru-RU"/>
              </w:rPr>
            </w:pPr>
            <w:r>
              <w:rPr>
                <w:bCs w:val="1"/>
                <w:sz w:val="24"/>
                <w:szCs w:val="24"/>
              </w:rPr>
              <w:t>Исходный образец (О)</w:t>
            </w:r>
          </w:p>
        </w:tc>
        <w:tc>
          <w:tcPr>
            <w:tcW w:w="1760" w:type="dxa"/>
          </w:tcPr>
          <w:p>
            <w:pPr>
              <w:pStyle w:val="P13"/>
              <w:spacing w:before="9" w:beforeAutospacing="0" w:afterAutospacing="0"/>
              <w:jc w:val="center"/>
              <w:rPr>
                <w:sz w:val="24"/>
                <w:szCs w:val="24"/>
                <w:lang w:val="ru-RU"/>
              </w:rPr>
            </w:pPr>
            <w:r>
              <w:rPr>
                <w:bCs w:val="1"/>
                <w:sz w:val="24"/>
                <w:szCs w:val="24"/>
                <w:lang w:val="ru-RU"/>
              </w:rPr>
              <w:t>Среднее значение выборки начальной загрузки (</w:t>
            </w:r>
            <w:r>
              <w:rPr>
                <w:bCs w:val="1"/>
                <w:sz w:val="24"/>
                <w:szCs w:val="24"/>
              </w:rPr>
              <w:t>M</w:t>
            </w:r>
            <w:r>
              <w:rPr>
                <w:bCs w:val="1"/>
                <w:sz w:val="24"/>
                <w:szCs w:val="24"/>
                <w:lang w:val="ru-RU"/>
              </w:rPr>
              <w:t>)</w:t>
            </w:r>
          </w:p>
        </w:tc>
        <w:tc>
          <w:tcPr>
            <w:tcW w:w="1701" w:type="dxa"/>
          </w:tcPr>
          <w:p>
            <w:pPr>
              <w:pStyle w:val="P13"/>
              <w:spacing w:before="9" w:beforeAutospacing="0" w:afterAutospacing="0"/>
              <w:jc w:val="center"/>
              <w:rPr>
                <w:sz w:val="24"/>
                <w:szCs w:val="24"/>
                <w:lang w:val="ru-RU"/>
              </w:rPr>
            </w:pPr>
            <w:r>
              <w:rPr>
                <w:bCs w:val="1"/>
                <w:sz w:val="24"/>
                <w:szCs w:val="24"/>
                <w:lang w:val="ru-RU"/>
              </w:rPr>
              <w:t>Стандартная ошибка начальной загрузки (</w:t>
            </w:r>
            <w:r>
              <w:rPr>
                <w:bCs w:val="1"/>
                <w:sz w:val="24"/>
                <w:szCs w:val="24"/>
              </w:rPr>
              <w:t>STERR</w:t>
            </w:r>
            <w:r>
              <w:rPr>
                <w:bCs w:val="1"/>
                <w:sz w:val="24"/>
                <w:szCs w:val="24"/>
                <w:lang w:val="ru-RU"/>
              </w:rPr>
              <w:t>)</w:t>
            </w:r>
          </w:p>
        </w:tc>
        <w:tc>
          <w:tcPr>
            <w:tcW w:w="1843" w:type="dxa"/>
          </w:tcPr>
          <w:p>
            <w:pPr>
              <w:pStyle w:val="P13"/>
              <w:spacing w:before="9" w:beforeAutospacing="0" w:afterAutospacing="0"/>
              <w:jc w:val="center"/>
              <w:rPr>
                <w:sz w:val="24"/>
                <w:szCs w:val="24"/>
                <w:lang w:val="ru-RU"/>
              </w:rPr>
            </w:pPr>
            <w:r>
              <w:rPr>
                <w:bCs w:val="1"/>
                <w:sz w:val="24"/>
                <w:szCs w:val="24"/>
                <w:lang w:val="ru-RU"/>
              </w:rPr>
              <w:t xml:space="preserve">Статистика </w:t>
            </w:r>
            <w:r>
              <w:rPr>
                <w:bCs w:val="1"/>
                <w:sz w:val="24"/>
                <w:szCs w:val="24"/>
              </w:rPr>
              <w:t>Bootstrap</w:t>
            </w:r>
            <w:r>
              <w:rPr>
                <w:bCs w:val="1"/>
                <w:sz w:val="24"/>
                <w:szCs w:val="24"/>
                <w:lang w:val="ru-RU"/>
              </w:rPr>
              <w:t xml:space="preserve"> </w:t>
            </w:r>
            <w:r>
              <w:rPr>
                <w:bCs w:val="1"/>
                <w:sz w:val="24"/>
                <w:szCs w:val="24"/>
              </w:rPr>
              <w:t>T</w:t>
            </w:r>
            <w:r>
              <w:rPr>
                <w:bCs w:val="1"/>
                <w:sz w:val="24"/>
                <w:szCs w:val="24"/>
                <w:lang w:val="ru-RU"/>
              </w:rPr>
              <w:t>(|О/СТЕРР|)</w:t>
            </w:r>
          </w:p>
        </w:tc>
      </w:tr>
      <w:tr>
        <w:tc>
          <w:tcPr>
            <w:tcW w:w="3114" w:type="dxa"/>
          </w:tcPr>
          <w:p>
            <w:pPr>
              <w:pStyle w:val="P13"/>
              <w:spacing w:before="9" w:beforeAutospacing="0" w:afterAutospacing="0"/>
              <w:rPr>
                <w:sz w:val="24"/>
                <w:szCs w:val="24"/>
                <w:lang w:val="ru-RU"/>
              </w:rPr>
            </w:pPr>
            <w:r>
              <w:rPr>
                <w:sz w:val="24"/>
                <w:szCs w:val="24"/>
              </w:rPr>
              <w:t xml:space="preserve">BIR → </w:t>
            </w:r>
            <w:r>
              <w:rPr>
                <w:sz w:val="24"/>
                <w:szCs w:val="24"/>
                <w:lang w:val="ru-RU"/>
              </w:rPr>
              <w:t>Материнское здоровье</w:t>
            </w:r>
          </w:p>
        </w:tc>
        <w:tc>
          <w:tcPr>
            <w:tcW w:w="1500" w:type="dxa"/>
          </w:tcPr>
          <w:p>
            <w:pPr>
              <w:pStyle w:val="P13"/>
              <w:spacing w:before="9" w:beforeAutospacing="0" w:afterAutospacing="0"/>
              <w:jc w:val="center"/>
              <w:rPr>
                <w:sz w:val="24"/>
                <w:szCs w:val="24"/>
                <w:lang w:val="ru-RU"/>
              </w:rPr>
            </w:pPr>
            <w:r>
              <w:rPr>
                <w:sz w:val="24"/>
                <w:szCs w:val="24"/>
              </w:rPr>
              <w:t>1</w:t>
            </w:r>
          </w:p>
        </w:tc>
        <w:tc>
          <w:tcPr>
            <w:tcW w:w="1760" w:type="dxa"/>
          </w:tcPr>
          <w:p>
            <w:pPr>
              <w:pStyle w:val="P13"/>
              <w:spacing w:before="9" w:beforeAutospacing="0" w:afterAutospacing="0"/>
              <w:jc w:val="center"/>
              <w:rPr>
                <w:sz w:val="24"/>
                <w:szCs w:val="24"/>
                <w:lang w:val="ru-RU"/>
              </w:rPr>
            </w:pPr>
            <w:r>
              <w:rPr>
                <w:sz w:val="24"/>
                <w:szCs w:val="24"/>
              </w:rPr>
              <w:t>1</w:t>
            </w:r>
          </w:p>
        </w:tc>
        <w:tc>
          <w:tcPr>
            <w:tcW w:w="1701" w:type="dxa"/>
          </w:tcPr>
          <w:p>
            <w:pPr>
              <w:pStyle w:val="P13"/>
              <w:spacing w:before="9" w:beforeAutospacing="0" w:afterAutospacing="0"/>
              <w:jc w:val="center"/>
              <w:rPr>
                <w:sz w:val="24"/>
                <w:szCs w:val="24"/>
                <w:lang w:val="ru-RU"/>
              </w:rPr>
            </w:pPr>
            <w:r>
              <w:rPr>
                <w:sz w:val="24"/>
                <w:szCs w:val="24"/>
              </w:rPr>
              <w:t>0</w:t>
            </w:r>
          </w:p>
        </w:tc>
        <w:tc>
          <w:tcPr>
            <w:tcW w:w="1843" w:type="dxa"/>
          </w:tcPr>
          <w:p>
            <w:pPr>
              <w:pStyle w:val="P13"/>
              <w:spacing w:before="9" w:beforeAutospacing="0" w:afterAutospacing="0"/>
              <w:jc w:val="center"/>
              <w:rPr>
                <w:sz w:val="24"/>
                <w:szCs w:val="24"/>
                <w:lang w:val="ru-RU"/>
              </w:rPr>
            </w:pPr>
            <w:r>
              <w:rPr>
                <w:sz w:val="24"/>
                <w:szCs w:val="24"/>
              </w:rPr>
              <w:t>0</w:t>
            </w:r>
          </w:p>
        </w:tc>
      </w:tr>
      <w:tr>
        <w:tc>
          <w:tcPr>
            <w:tcW w:w="3114" w:type="dxa"/>
          </w:tcPr>
          <w:p>
            <w:pPr>
              <w:pStyle w:val="P13"/>
              <w:spacing w:before="9" w:beforeAutospacing="0" w:afterAutospacing="0"/>
              <w:rPr>
                <w:sz w:val="24"/>
                <w:szCs w:val="24"/>
                <w:lang w:val="ru-RU"/>
              </w:rPr>
            </w:pPr>
            <w:r>
              <w:rPr>
                <w:sz w:val="24"/>
                <w:szCs w:val="24"/>
              </w:rPr>
              <w:t>CEL→ ИКТ</w:t>
            </w:r>
          </w:p>
        </w:tc>
        <w:tc>
          <w:tcPr>
            <w:tcW w:w="1500" w:type="dxa"/>
          </w:tcPr>
          <w:p>
            <w:pPr>
              <w:pStyle w:val="P13"/>
              <w:spacing w:before="9" w:beforeAutospacing="0" w:afterAutospacing="0"/>
              <w:jc w:val="center"/>
              <w:rPr>
                <w:sz w:val="24"/>
                <w:szCs w:val="24"/>
                <w:lang w:val="ru-RU"/>
              </w:rPr>
            </w:pPr>
            <w:r>
              <w:rPr>
                <w:sz w:val="24"/>
                <w:szCs w:val="24"/>
              </w:rPr>
              <w:t>0,9667</w:t>
            </w:r>
          </w:p>
        </w:tc>
        <w:tc>
          <w:tcPr>
            <w:tcW w:w="1760" w:type="dxa"/>
          </w:tcPr>
          <w:p>
            <w:pPr>
              <w:pStyle w:val="P13"/>
              <w:spacing w:before="9" w:beforeAutospacing="0" w:afterAutospacing="0"/>
              <w:jc w:val="center"/>
              <w:rPr>
                <w:sz w:val="24"/>
                <w:szCs w:val="24"/>
                <w:lang w:val="ru-RU"/>
              </w:rPr>
            </w:pPr>
            <w:r>
              <w:rPr>
                <w:sz w:val="24"/>
                <w:szCs w:val="24"/>
              </w:rPr>
              <w:t>0,9358</w:t>
            </w:r>
          </w:p>
        </w:tc>
        <w:tc>
          <w:tcPr>
            <w:tcW w:w="1701" w:type="dxa"/>
          </w:tcPr>
          <w:p>
            <w:pPr>
              <w:pStyle w:val="P13"/>
              <w:spacing w:before="9" w:beforeAutospacing="0" w:afterAutospacing="0"/>
              <w:jc w:val="center"/>
              <w:rPr>
                <w:sz w:val="24"/>
                <w:szCs w:val="24"/>
                <w:lang w:val="ru-RU"/>
              </w:rPr>
            </w:pPr>
            <w:r>
              <w:rPr>
                <w:sz w:val="24"/>
                <w:szCs w:val="24"/>
              </w:rPr>
              <w:t>0,0592</w:t>
            </w:r>
          </w:p>
        </w:tc>
        <w:tc>
          <w:tcPr>
            <w:tcW w:w="1843" w:type="dxa"/>
          </w:tcPr>
          <w:p>
            <w:pPr>
              <w:pStyle w:val="P13"/>
              <w:spacing w:before="9" w:beforeAutospacing="0" w:afterAutospacing="0"/>
              <w:jc w:val="center"/>
              <w:rPr>
                <w:sz w:val="24"/>
                <w:szCs w:val="24"/>
                <w:lang w:val="ru-RU"/>
              </w:rPr>
            </w:pPr>
            <w:r>
              <w:rPr>
                <w:sz w:val="24"/>
                <w:szCs w:val="24"/>
              </w:rPr>
              <w:t>16</w:t>
            </w:r>
            <w:r>
              <w:rPr>
                <w:sz w:val="24"/>
                <w:szCs w:val="24"/>
                <w:lang w:val="ru-RU"/>
              </w:rPr>
              <w:t>,</w:t>
            </w:r>
            <w:r>
              <w:rPr>
                <w:sz w:val="24"/>
                <w:szCs w:val="24"/>
              </w:rPr>
              <w:t>3168</w:t>
            </w:r>
          </w:p>
        </w:tc>
      </w:tr>
      <w:tr>
        <w:tc>
          <w:tcPr>
            <w:tcW w:w="3114" w:type="dxa"/>
          </w:tcPr>
          <w:p>
            <w:pPr>
              <w:pStyle w:val="P13"/>
              <w:spacing w:before="9" w:beforeAutospacing="0" w:afterAutospacing="0"/>
              <w:rPr>
                <w:sz w:val="24"/>
                <w:szCs w:val="24"/>
                <w:lang w:val="ru-RU"/>
              </w:rPr>
            </w:pPr>
            <w:r>
              <w:rPr>
                <w:sz w:val="24"/>
                <w:szCs w:val="24"/>
              </w:rPr>
              <w:t>EMP→</w:t>
            </w:r>
            <w:r>
              <w:rPr>
                <w:sz w:val="24"/>
                <w:szCs w:val="24"/>
                <w:lang w:val="ru-RU"/>
              </w:rPr>
              <w:t>Экономический рост</w:t>
            </w:r>
          </w:p>
        </w:tc>
        <w:tc>
          <w:tcPr>
            <w:tcW w:w="1500" w:type="dxa"/>
          </w:tcPr>
          <w:p>
            <w:pPr>
              <w:pStyle w:val="P13"/>
              <w:spacing w:before="9" w:beforeAutospacing="0" w:afterAutospacing="0"/>
              <w:jc w:val="center"/>
              <w:rPr>
                <w:sz w:val="24"/>
                <w:szCs w:val="24"/>
                <w:lang w:val="ru-RU"/>
              </w:rPr>
            </w:pPr>
            <w:r>
              <w:rPr>
                <w:sz w:val="24"/>
                <w:szCs w:val="24"/>
              </w:rPr>
              <w:t>0,6362</w:t>
            </w:r>
          </w:p>
        </w:tc>
        <w:tc>
          <w:tcPr>
            <w:tcW w:w="1760" w:type="dxa"/>
          </w:tcPr>
          <w:p>
            <w:pPr>
              <w:pStyle w:val="P13"/>
              <w:spacing w:before="9" w:beforeAutospacing="0" w:afterAutospacing="0"/>
              <w:jc w:val="center"/>
              <w:rPr>
                <w:sz w:val="24"/>
                <w:szCs w:val="24"/>
                <w:lang w:val="ru-RU"/>
              </w:rPr>
            </w:pPr>
            <w:r>
              <w:rPr>
                <w:sz w:val="24"/>
                <w:szCs w:val="24"/>
              </w:rPr>
              <w:t>0,6204</w:t>
            </w:r>
          </w:p>
        </w:tc>
        <w:tc>
          <w:tcPr>
            <w:tcW w:w="1701" w:type="dxa"/>
          </w:tcPr>
          <w:p>
            <w:pPr>
              <w:pStyle w:val="P13"/>
              <w:spacing w:before="9" w:beforeAutospacing="0" w:afterAutospacing="0"/>
              <w:jc w:val="center"/>
              <w:rPr>
                <w:sz w:val="24"/>
                <w:szCs w:val="24"/>
                <w:lang w:val="ru-RU"/>
              </w:rPr>
            </w:pPr>
            <w:r>
              <w:rPr>
                <w:sz w:val="24"/>
                <w:szCs w:val="24"/>
              </w:rPr>
              <w:t>0,1226</w:t>
            </w:r>
          </w:p>
        </w:tc>
        <w:tc>
          <w:tcPr>
            <w:tcW w:w="1843" w:type="dxa"/>
          </w:tcPr>
          <w:p>
            <w:pPr>
              <w:pStyle w:val="P13"/>
              <w:spacing w:before="9" w:beforeAutospacing="0" w:afterAutospacing="0"/>
              <w:jc w:val="center"/>
              <w:rPr>
                <w:sz w:val="24"/>
                <w:szCs w:val="24"/>
                <w:lang w:val="ru-RU"/>
              </w:rPr>
            </w:pPr>
            <w:r>
              <w:rPr>
                <w:sz w:val="24"/>
                <w:szCs w:val="24"/>
              </w:rPr>
              <w:t>5</w:t>
            </w:r>
            <w:r>
              <w:rPr>
                <w:sz w:val="24"/>
                <w:szCs w:val="24"/>
                <w:lang w:val="ru-RU"/>
              </w:rPr>
              <w:t>,</w:t>
            </w:r>
            <w:r>
              <w:rPr>
                <w:sz w:val="24"/>
                <w:szCs w:val="24"/>
              </w:rPr>
              <w:t>1904</w:t>
            </w:r>
          </w:p>
        </w:tc>
      </w:tr>
      <w:tr>
        <w:tc>
          <w:tcPr>
            <w:tcW w:w="3114" w:type="dxa"/>
          </w:tcPr>
          <w:p>
            <w:pPr>
              <w:pStyle w:val="P13"/>
              <w:spacing w:before="9" w:beforeAutospacing="0" w:afterAutospacing="0"/>
              <w:rPr>
                <w:sz w:val="24"/>
                <w:szCs w:val="24"/>
                <w:lang w:val="ru-RU"/>
              </w:rPr>
            </w:pPr>
            <w:r>
              <w:rPr>
                <w:sz w:val="24"/>
                <w:szCs w:val="24"/>
              </w:rPr>
              <w:t>GBP→</w:t>
            </w:r>
            <w:r>
              <w:rPr>
                <w:sz w:val="24"/>
                <w:szCs w:val="24"/>
                <w:lang w:val="ru-RU"/>
              </w:rPr>
              <w:t>Гендерное</w:t>
            </w:r>
            <w:r>
              <w:rPr>
                <w:sz w:val="24"/>
                <w:szCs w:val="24"/>
              </w:rPr>
              <w:t xml:space="preserve"> </w:t>
            </w:r>
            <w:r>
              <w:rPr>
                <w:sz w:val="24"/>
                <w:szCs w:val="24"/>
                <w:lang w:val="ru-RU"/>
              </w:rPr>
              <w:t>р</w:t>
            </w:r>
            <w:r>
              <w:rPr>
                <w:sz w:val="24"/>
                <w:szCs w:val="24"/>
              </w:rPr>
              <w:t>авенство_Образование</w:t>
            </w:r>
          </w:p>
        </w:tc>
        <w:tc>
          <w:tcPr>
            <w:tcW w:w="1500" w:type="dxa"/>
          </w:tcPr>
          <w:p>
            <w:pPr>
              <w:pStyle w:val="P13"/>
              <w:spacing w:before="9" w:beforeAutospacing="0" w:afterAutospacing="0"/>
              <w:jc w:val="center"/>
              <w:rPr>
                <w:sz w:val="24"/>
                <w:szCs w:val="24"/>
                <w:lang w:val="ru-RU"/>
              </w:rPr>
            </w:pPr>
            <w:r>
              <w:rPr>
                <w:sz w:val="24"/>
                <w:szCs w:val="24"/>
              </w:rPr>
              <w:t>0,9484</w:t>
            </w:r>
          </w:p>
        </w:tc>
        <w:tc>
          <w:tcPr>
            <w:tcW w:w="1760" w:type="dxa"/>
          </w:tcPr>
          <w:p>
            <w:pPr>
              <w:pStyle w:val="P13"/>
              <w:spacing w:before="9" w:beforeAutospacing="0" w:afterAutospacing="0"/>
              <w:jc w:val="center"/>
              <w:rPr>
                <w:sz w:val="24"/>
                <w:szCs w:val="24"/>
                <w:lang w:val="ru-RU"/>
              </w:rPr>
            </w:pPr>
            <w:r>
              <w:rPr>
                <w:sz w:val="24"/>
                <w:szCs w:val="24"/>
              </w:rPr>
              <w:t>0,9184</w:t>
            </w:r>
          </w:p>
        </w:tc>
        <w:tc>
          <w:tcPr>
            <w:tcW w:w="1701" w:type="dxa"/>
          </w:tcPr>
          <w:p>
            <w:pPr>
              <w:pStyle w:val="P13"/>
              <w:spacing w:before="9" w:beforeAutospacing="0" w:afterAutospacing="0"/>
              <w:jc w:val="center"/>
              <w:rPr>
                <w:sz w:val="24"/>
                <w:szCs w:val="24"/>
                <w:lang w:val="ru-RU"/>
              </w:rPr>
            </w:pPr>
            <w:r>
              <w:rPr>
                <w:sz w:val="24"/>
                <w:szCs w:val="24"/>
              </w:rPr>
              <w:t>0,0841</w:t>
            </w:r>
          </w:p>
        </w:tc>
        <w:tc>
          <w:tcPr>
            <w:tcW w:w="1843" w:type="dxa"/>
          </w:tcPr>
          <w:p>
            <w:pPr>
              <w:pStyle w:val="P13"/>
              <w:spacing w:before="9" w:beforeAutospacing="0" w:afterAutospacing="0"/>
              <w:jc w:val="center"/>
              <w:rPr>
                <w:sz w:val="24"/>
                <w:szCs w:val="24"/>
                <w:lang w:val="ru-RU"/>
              </w:rPr>
            </w:pPr>
            <w:r>
              <w:rPr>
                <w:sz w:val="24"/>
                <w:szCs w:val="24"/>
              </w:rPr>
              <w:t>11</w:t>
            </w:r>
            <w:r>
              <w:rPr>
                <w:sz w:val="24"/>
                <w:szCs w:val="24"/>
                <w:lang w:val="ru-RU"/>
              </w:rPr>
              <w:t>,</w:t>
            </w:r>
            <w:r>
              <w:rPr>
                <w:sz w:val="24"/>
                <w:szCs w:val="24"/>
              </w:rPr>
              <w:t>2795</w:t>
            </w:r>
          </w:p>
        </w:tc>
      </w:tr>
      <w:tr>
        <w:tc>
          <w:tcPr>
            <w:tcW w:w="3114" w:type="dxa"/>
          </w:tcPr>
          <w:p>
            <w:pPr>
              <w:pStyle w:val="P13"/>
              <w:spacing w:before="9" w:beforeAutospacing="0" w:afterAutospacing="0"/>
              <w:rPr>
                <w:sz w:val="24"/>
                <w:szCs w:val="24"/>
                <w:lang w:val="ru-RU"/>
              </w:rPr>
            </w:pPr>
            <w:r>
              <w:rPr>
                <w:sz w:val="24"/>
                <w:szCs w:val="24"/>
              </w:rPr>
              <w:t>GBS → Гендерное равенство_Образование</w:t>
            </w:r>
          </w:p>
        </w:tc>
        <w:tc>
          <w:tcPr>
            <w:tcW w:w="1500" w:type="dxa"/>
          </w:tcPr>
          <w:p>
            <w:pPr>
              <w:pStyle w:val="P13"/>
              <w:spacing w:before="9" w:beforeAutospacing="0" w:afterAutospacing="0"/>
              <w:jc w:val="center"/>
              <w:rPr>
                <w:sz w:val="24"/>
                <w:szCs w:val="24"/>
                <w:lang w:val="ru-RU"/>
              </w:rPr>
            </w:pPr>
            <w:r>
              <w:rPr>
                <w:sz w:val="24"/>
                <w:szCs w:val="24"/>
              </w:rPr>
              <w:t>0,873</w:t>
            </w:r>
          </w:p>
        </w:tc>
        <w:tc>
          <w:tcPr>
            <w:tcW w:w="1760" w:type="dxa"/>
          </w:tcPr>
          <w:p>
            <w:pPr>
              <w:pStyle w:val="P13"/>
              <w:spacing w:before="9" w:beforeAutospacing="0" w:afterAutospacing="0"/>
              <w:jc w:val="center"/>
              <w:rPr>
                <w:sz w:val="24"/>
                <w:szCs w:val="24"/>
                <w:lang w:val="ru-RU"/>
              </w:rPr>
            </w:pPr>
            <w:r>
              <w:rPr>
                <w:sz w:val="24"/>
                <w:szCs w:val="24"/>
              </w:rPr>
              <w:t>0,8269</w:t>
            </w:r>
          </w:p>
        </w:tc>
        <w:tc>
          <w:tcPr>
            <w:tcW w:w="1701" w:type="dxa"/>
          </w:tcPr>
          <w:p>
            <w:pPr>
              <w:pStyle w:val="P13"/>
              <w:spacing w:before="9" w:beforeAutospacing="0" w:afterAutospacing="0"/>
              <w:jc w:val="center"/>
              <w:rPr>
                <w:sz w:val="24"/>
                <w:szCs w:val="24"/>
                <w:lang w:val="ru-RU"/>
              </w:rPr>
            </w:pPr>
            <w:r>
              <w:rPr>
                <w:sz w:val="24"/>
                <w:szCs w:val="24"/>
              </w:rPr>
              <w:t>0,1696</w:t>
            </w:r>
          </w:p>
        </w:tc>
        <w:tc>
          <w:tcPr>
            <w:tcW w:w="1843" w:type="dxa"/>
          </w:tcPr>
          <w:p>
            <w:pPr>
              <w:pStyle w:val="P13"/>
              <w:spacing w:before="9" w:beforeAutospacing="0" w:afterAutospacing="0"/>
              <w:jc w:val="center"/>
              <w:rPr>
                <w:sz w:val="24"/>
                <w:szCs w:val="24"/>
                <w:lang w:val="ru-RU"/>
              </w:rPr>
            </w:pPr>
            <w:r>
              <w:rPr>
                <w:sz w:val="24"/>
                <w:szCs w:val="24"/>
              </w:rPr>
              <w:t>5</w:t>
            </w:r>
            <w:r>
              <w:rPr>
                <w:sz w:val="24"/>
                <w:szCs w:val="24"/>
                <w:lang w:val="ru-RU"/>
              </w:rPr>
              <w:t>,</w:t>
            </w:r>
            <w:r>
              <w:rPr>
                <w:sz w:val="24"/>
                <w:szCs w:val="24"/>
              </w:rPr>
              <w:t>1473</w:t>
            </w:r>
          </w:p>
        </w:tc>
      </w:tr>
      <w:tr>
        <w:tc>
          <w:tcPr>
            <w:tcW w:w="3114" w:type="dxa"/>
          </w:tcPr>
          <w:p>
            <w:pPr>
              <w:pStyle w:val="P13"/>
              <w:spacing w:before="9" w:beforeAutospacing="0" w:afterAutospacing="0"/>
              <w:rPr>
                <w:sz w:val="24"/>
                <w:szCs w:val="24"/>
                <w:lang w:val="ru-RU"/>
              </w:rPr>
            </w:pPr>
            <w:r>
              <w:rPr>
                <w:sz w:val="24"/>
                <w:szCs w:val="24"/>
              </w:rPr>
              <w:t>GRD → Начальное_Образование</w:t>
            </w:r>
          </w:p>
        </w:tc>
        <w:tc>
          <w:tcPr>
            <w:tcW w:w="1500" w:type="dxa"/>
          </w:tcPr>
          <w:p>
            <w:pPr>
              <w:pStyle w:val="P13"/>
              <w:spacing w:before="9" w:beforeAutospacing="0" w:afterAutospacing="0"/>
              <w:jc w:val="center"/>
              <w:rPr>
                <w:sz w:val="24"/>
                <w:szCs w:val="24"/>
                <w:lang w:val="ru-RU"/>
              </w:rPr>
            </w:pPr>
            <w:r>
              <w:rPr>
                <w:sz w:val="24"/>
                <w:szCs w:val="24"/>
              </w:rPr>
              <w:t>0,6634</w:t>
            </w:r>
          </w:p>
        </w:tc>
        <w:tc>
          <w:tcPr>
            <w:tcW w:w="1760" w:type="dxa"/>
          </w:tcPr>
          <w:p>
            <w:pPr>
              <w:pStyle w:val="P13"/>
              <w:spacing w:before="9" w:beforeAutospacing="0" w:afterAutospacing="0"/>
              <w:jc w:val="center"/>
              <w:rPr>
                <w:sz w:val="24"/>
                <w:szCs w:val="24"/>
                <w:lang w:val="ru-RU"/>
              </w:rPr>
            </w:pPr>
            <w:r>
              <w:rPr>
                <w:sz w:val="24"/>
                <w:szCs w:val="24"/>
              </w:rPr>
              <w:t>0,6505</w:t>
            </w:r>
          </w:p>
        </w:tc>
        <w:tc>
          <w:tcPr>
            <w:tcW w:w="1701" w:type="dxa"/>
          </w:tcPr>
          <w:p>
            <w:pPr>
              <w:pStyle w:val="P13"/>
              <w:spacing w:before="9" w:beforeAutospacing="0" w:afterAutospacing="0"/>
              <w:jc w:val="center"/>
              <w:rPr>
                <w:sz w:val="24"/>
                <w:szCs w:val="24"/>
                <w:lang w:val="ru-RU"/>
              </w:rPr>
            </w:pPr>
            <w:r>
              <w:rPr>
                <w:sz w:val="24"/>
                <w:szCs w:val="24"/>
              </w:rPr>
              <w:t>0,1399</w:t>
            </w:r>
          </w:p>
        </w:tc>
        <w:tc>
          <w:tcPr>
            <w:tcW w:w="1843" w:type="dxa"/>
          </w:tcPr>
          <w:p>
            <w:pPr>
              <w:pStyle w:val="P13"/>
              <w:spacing w:before="9" w:beforeAutospacing="0" w:afterAutospacing="0"/>
              <w:jc w:val="center"/>
              <w:rPr>
                <w:sz w:val="24"/>
                <w:szCs w:val="24"/>
                <w:lang w:val="ru-RU"/>
              </w:rPr>
            </w:pPr>
            <w:r>
              <w:rPr>
                <w:sz w:val="24"/>
                <w:szCs w:val="24"/>
              </w:rPr>
              <w:t>4,7427</w:t>
            </w:r>
          </w:p>
        </w:tc>
      </w:tr>
      <w:tr>
        <w:tc>
          <w:tcPr>
            <w:tcW w:w="3114" w:type="dxa"/>
          </w:tcPr>
          <w:p>
            <w:pPr>
              <w:pStyle w:val="P13"/>
              <w:spacing w:before="9" w:beforeAutospacing="0" w:afterAutospacing="0"/>
              <w:rPr>
                <w:sz w:val="24"/>
                <w:szCs w:val="24"/>
                <w:lang w:val="ru-RU"/>
              </w:rPr>
            </w:pPr>
            <w:r>
              <w:rPr>
                <w:sz w:val="24"/>
                <w:szCs w:val="24"/>
              </w:rPr>
              <w:t>H2O → H2O_SAN Доступность</w:t>
            </w:r>
          </w:p>
        </w:tc>
        <w:tc>
          <w:tcPr>
            <w:tcW w:w="1500" w:type="dxa"/>
          </w:tcPr>
          <w:p>
            <w:pPr>
              <w:pStyle w:val="P13"/>
              <w:spacing w:before="9" w:beforeAutospacing="0" w:afterAutospacing="0"/>
              <w:jc w:val="center"/>
              <w:rPr>
                <w:sz w:val="24"/>
                <w:szCs w:val="24"/>
                <w:lang w:val="ru-RU"/>
              </w:rPr>
            </w:pPr>
            <w:r>
              <w:rPr>
                <w:sz w:val="24"/>
                <w:szCs w:val="24"/>
              </w:rPr>
              <w:t>0,914</w:t>
            </w:r>
          </w:p>
        </w:tc>
        <w:tc>
          <w:tcPr>
            <w:tcW w:w="1760" w:type="dxa"/>
          </w:tcPr>
          <w:p>
            <w:pPr>
              <w:pStyle w:val="P13"/>
              <w:spacing w:before="9" w:beforeAutospacing="0" w:afterAutospacing="0"/>
              <w:jc w:val="center"/>
              <w:rPr>
                <w:sz w:val="24"/>
                <w:szCs w:val="24"/>
                <w:lang w:val="ru-RU"/>
              </w:rPr>
            </w:pPr>
            <w:r>
              <w:rPr>
                <w:sz w:val="24"/>
                <w:szCs w:val="24"/>
              </w:rPr>
              <w:t>0,9135</w:t>
            </w:r>
          </w:p>
        </w:tc>
        <w:tc>
          <w:tcPr>
            <w:tcW w:w="1701" w:type="dxa"/>
          </w:tcPr>
          <w:p>
            <w:pPr>
              <w:pStyle w:val="P13"/>
              <w:spacing w:before="9" w:beforeAutospacing="0" w:afterAutospacing="0"/>
              <w:jc w:val="center"/>
              <w:rPr>
                <w:sz w:val="24"/>
                <w:szCs w:val="24"/>
                <w:lang w:val="ru-RU"/>
              </w:rPr>
            </w:pPr>
            <w:r>
              <w:rPr>
                <w:sz w:val="24"/>
                <w:szCs w:val="24"/>
              </w:rPr>
              <w:t>0,0505</w:t>
            </w:r>
          </w:p>
        </w:tc>
        <w:tc>
          <w:tcPr>
            <w:tcW w:w="1843" w:type="dxa"/>
          </w:tcPr>
          <w:p>
            <w:pPr>
              <w:pStyle w:val="P13"/>
              <w:spacing w:before="9" w:beforeAutospacing="0" w:afterAutospacing="0"/>
              <w:jc w:val="center"/>
              <w:rPr>
                <w:sz w:val="24"/>
                <w:szCs w:val="24"/>
                <w:lang w:val="ru-RU"/>
              </w:rPr>
            </w:pPr>
            <w:r>
              <w:rPr>
                <w:sz w:val="24"/>
                <w:szCs w:val="24"/>
              </w:rPr>
              <w:t>18</w:t>
            </w:r>
            <w:r>
              <w:rPr>
                <w:sz w:val="24"/>
                <w:szCs w:val="24"/>
                <w:lang w:val="ru-RU"/>
              </w:rPr>
              <w:t>,</w:t>
            </w:r>
            <w:r>
              <w:rPr>
                <w:sz w:val="24"/>
                <w:szCs w:val="24"/>
              </w:rPr>
              <w:t>0997</w:t>
            </w:r>
          </w:p>
        </w:tc>
      </w:tr>
      <w:tr>
        <w:tc>
          <w:tcPr>
            <w:tcW w:w="3114" w:type="dxa"/>
          </w:tcPr>
          <w:p>
            <w:pPr>
              <w:pStyle w:val="P13"/>
              <w:spacing w:before="9" w:beforeAutospacing="0" w:afterAutospacing="0"/>
              <w:rPr>
                <w:sz w:val="24"/>
                <w:szCs w:val="24"/>
                <w:lang w:val="ru-RU"/>
              </w:rPr>
            </w:pPr>
            <w:r>
              <w:rPr>
                <w:sz w:val="24"/>
                <w:szCs w:val="24"/>
              </w:rPr>
              <w:t>INT→ ИКТ</w:t>
            </w:r>
          </w:p>
        </w:tc>
        <w:tc>
          <w:tcPr>
            <w:tcW w:w="1500" w:type="dxa"/>
          </w:tcPr>
          <w:p>
            <w:pPr>
              <w:pStyle w:val="P13"/>
              <w:spacing w:before="9" w:beforeAutospacing="0" w:afterAutospacing="0"/>
              <w:jc w:val="center"/>
              <w:rPr>
                <w:sz w:val="24"/>
                <w:szCs w:val="24"/>
                <w:lang w:val="ru-RU"/>
              </w:rPr>
            </w:pPr>
            <w:r>
              <w:rPr>
                <w:sz w:val="24"/>
                <w:szCs w:val="24"/>
              </w:rPr>
              <w:t>0,8777</w:t>
            </w:r>
          </w:p>
        </w:tc>
        <w:tc>
          <w:tcPr>
            <w:tcW w:w="1760" w:type="dxa"/>
          </w:tcPr>
          <w:p>
            <w:pPr>
              <w:pStyle w:val="P13"/>
              <w:spacing w:before="9" w:beforeAutospacing="0" w:afterAutospacing="0"/>
              <w:jc w:val="center"/>
              <w:rPr>
                <w:sz w:val="24"/>
                <w:szCs w:val="24"/>
                <w:lang w:val="ru-RU"/>
              </w:rPr>
            </w:pPr>
            <w:r>
              <w:rPr>
                <w:sz w:val="24"/>
                <w:szCs w:val="24"/>
              </w:rPr>
              <w:t>0,8682</w:t>
            </w:r>
          </w:p>
        </w:tc>
        <w:tc>
          <w:tcPr>
            <w:tcW w:w="1701" w:type="dxa"/>
          </w:tcPr>
          <w:p>
            <w:pPr>
              <w:pStyle w:val="P13"/>
              <w:spacing w:before="9" w:beforeAutospacing="0" w:afterAutospacing="0"/>
              <w:jc w:val="center"/>
              <w:rPr>
                <w:sz w:val="24"/>
                <w:szCs w:val="24"/>
                <w:lang w:val="ru-RU"/>
              </w:rPr>
            </w:pPr>
            <w:r>
              <w:rPr>
                <w:sz w:val="24"/>
                <w:szCs w:val="24"/>
              </w:rPr>
              <w:t>0,0562</w:t>
            </w:r>
          </w:p>
        </w:tc>
        <w:tc>
          <w:tcPr>
            <w:tcW w:w="1843" w:type="dxa"/>
          </w:tcPr>
          <w:p>
            <w:pPr>
              <w:pStyle w:val="P13"/>
              <w:spacing w:before="9" w:beforeAutospacing="0" w:afterAutospacing="0"/>
              <w:jc w:val="center"/>
              <w:rPr>
                <w:sz w:val="24"/>
                <w:szCs w:val="24"/>
                <w:lang w:val="ru-RU"/>
              </w:rPr>
            </w:pPr>
            <w:r>
              <w:rPr>
                <w:sz w:val="24"/>
                <w:szCs w:val="24"/>
              </w:rPr>
              <w:t>15</w:t>
            </w:r>
            <w:r>
              <w:rPr>
                <w:sz w:val="24"/>
                <w:szCs w:val="24"/>
                <w:lang w:val="ru-RU"/>
              </w:rPr>
              <w:t>,</w:t>
            </w:r>
            <w:r>
              <w:rPr>
                <w:sz w:val="24"/>
                <w:szCs w:val="24"/>
              </w:rPr>
              <w:t>6081</w:t>
            </w:r>
          </w:p>
        </w:tc>
      </w:tr>
      <w:tr>
        <w:tc>
          <w:tcPr>
            <w:tcW w:w="3114" w:type="dxa"/>
          </w:tcPr>
          <w:p>
            <w:pPr>
              <w:pStyle w:val="P13"/>
              <w:spacing w:before="9" w:beforeAutospacing="0" w:afterAutospacing="0"/>
              <w:rPr>
                <w:sz w:val="24"/>
                <w:szCs w:val="24"/>
                <w:lang w:val="ru-RU"/>
              </w:rPr>
            </w:pPr>
            <w:r>
              <w:rPr>
                <w:sz w:val="24"/>
                <w:szCs w:val="24"/>
              </w:rPr>
              <w:t>LIT → Начальное_Образование</w:t>
            </w:r>
          </w:p>
        </w:tc>
        <w:tc>
          <w:tcPr>
            <w:tcW w:w="1500" w:type="dxa"/>
          </w:tcPr>
          <w:p>
            <w:pPr>
              <w:pStyle w:val="P13"/>
              <w:spacing w:before="9" w:beforeAutospacing="0" w:afterAutospacing="0"/>
              <w:jc w:val="center"/>
              <w:rPr>
                <w:sz w:val="24"/>
                <w:szCs w:val="24"/>
                <w:lang w:val="ru-RU"/>
              </w:rPr>
            </w:pPr>
            <w:r>
              <w:rPr>
                <w:sz w:val="24"/>
                <w:szCs w:val="24"/>
              </w:rPr>
              <w:t>0,8439</w:t>
            </w:r>
          </w:p>
        </w:tc>
        <w:tc>
          <w:tcPr>
            <w:tcW w:w="1760" w:type="dxa"/>
          </w:tcPr>
          <w:p>
            <w:pPr>
              <w:pStyle w:val="P13"/>
              <w:spacing w:before="9" w:beforeAutospacing="0" w:afterAutospacing="0"/>
              <w:jc w:val="center"/>
              <w:rPr>
                <w:sz w:val="24"/>
                <w:szCs w:val="24"/>
                <w:lang w:val="ru-RU"/>
              </w:rPr>
            </w:pPr>
            <w:r>
              <w:rPr>
                <w:sz w:val="24"/>
                <w:szCs w:val="24"/>
              </w:rPr>
              <w:t>0,83</w:t>
            </w:r>
            <w:r>
              <w:rPr>
                <w:sz w:val="24"/>
                <w:szCs w:val="24"/>
                <w:lang w:val="ru-RU"/>
              </w:rPr>
              <w:t>01</w:t>
            </w:r>
          </w:p>
        </w:tc>
        <w:tc>
          <w:tcPr>
            <w:tcW w:w="1701" w:type="dxa"/>
          </w:tcPr>
          <w:p>
            <w:pPr>
              <w:pStyle w:val="P13"/>
              <w:spacing w:before="9" w:beforeAutospacing="0" w:afterAutospacing="0"/>
              <w:jc w:val="center"/>
              <w:rPr>
                <w:sz w:val="24"/>
                <w:szCs w:val="24"/>
                <w:lang w:val="ru-RU"/>
              </w:rPr>
            </w:pPr>
            <w:r>
              <w:rPr>
                <w:sz w:val="24"/>
                <w:szCs w:val="24"/>
              </w:rPr>
              <w:t>0,0649</w:t>
            </w:r>
          </w:p>
        </w:tc>
        <w:tc>
          <w:tcPr>
            <w:tcW w:w="1843" w:type="dxa"/>
          </w:tcPr>
          <w:p>
            <w:pPr>
              <w:pStyle w:val="P13"/>
              <w:spacing w:before="9" w:beforeAutospacing="0" w:afterAutospacing="0"/>
              <w:jc w:val="center"/>
              <w:rPr>
                <w:sz w:val="24"/>
                <w:szCs w:val="24"/>
                <w:lang w:val="ru-RU"/>
              </w:rPr>
            </w:pPr>
            <w:r>
              <w:rPr>
                <w:sz w:val="24"/>
                <w:szCs w:val="24"/>
              </w:rPr>
              <w:t>12</w:t>
            </w:r>
            <w:r>
              <w:rPr>
                <w:sz w:val="24"/>
                <w:szCs w:val="24"/>
                <w:lang w:val="ru-RU"/>
              </w:rPr>
              <w:t>,</w:t>
            </w:r>
            <w:r>
              <w:rPr>
                <w:sz w:val="24"/>
                <w:szCs w:val="24"/>
              </w:rPr>
              <w:t>993</w:t>
            </w:r>
            <w:r>
              <w:rPr>
                <w:sz w:val="24"/>
                <w:szCs w:val="24"/>
                <w:lang w:val="ru-RU"/>
              </w:rPr>
              <w:t>0</w:t>
            </w:r>
          </w:p>
        </w:tc>
      </w:tr>
      <w:tr>
        <w:tc>
          <w:tcPr>
            <w:tcW w:w="3114" w:type="dxa"/>
          </w:tcPr>
          <w:p>
            <w:pPr>
              <w:pStyle w:val="P13"/>
              <w:spacing w:before="9" w:beforeAutospacing="0" w:afterAutospacing="0"/>
              <w:rPr>
                <w:sz w:val="24"/>
                <w:szCs w:val="24"/>
                <w:lang w:val="ru-RU"/>
              </w:rPr>
            </w:pPr>
            <w:r>
              <w:rPr>
                <w:sz w:val="24"/>
                <w:szCs w:val="24"/>
              </w:rPr>
              <w:t>MR5→Детская смертность</w:t>
            </w:r>
          </w:p>
        </w:tc>
        <w:tc>
          <w:tcPr>
            <w:tcW w:w="1500" w:type="dxa"/>
          </w:tcPr>
          <w:p>
            <w:pPr>
              <w:pStyle w:val="P13"/>
              <w:spacing w:before="9" w:beforeAutospacing="0" w:afterAutospacing="0"/>
              <w:jc w:val="center"/>
              <w:rPr>
                <w:sz w:val="24"/>
                <w:szCs w:val="24"/>
                <w:lang w:val="ru-RU"/>
              </w:rPr>
            </w:pPr>
            <w:r>
              <w:rPr>
                <w:sz w:val="24"/>
                <w:szCs w:val="24"/>
              </w:rPr>
              <w:t>0,9999</w:t>
            </w:r>
          </w:p>
        </w:tc>
        <w:tc>
          <w:tcPr>
            <w:tcW w:w="1760" w:type="dxa"/>
          </w:tcPr>
          <w:p>
            <w:pPr>
              <w:pStyle w:val="P13"/>
              <w:spacing w:before="9" w:beforeAutospacing="0" w:afterAutospacing="0"/>
              <w:jc w:val="center"/>
              <w:rPr>
                <w:sz w:val="24"/>
                <w:szCs w:val="24"/>
                <w:lang w:val="ru-RU"/>
              </w:rPr>
            </w:pPr>
            <w:r>
              <w:rPr>
                <w:sz w:val="24"/>
                <w:szCs w:val="24"/>
              </w:rPr>
              <w:t>0,9957</w:t>
            </w:r>
          </w:p>
        </w:tc>
        <w:tc>
          <w:tcPr>
            <w:tcW w:w="1701" w:type="dxa"/>
          </w:tcPr>
          <w:p>
            <w:pPr>
              <w:pStyle w:val="P13"/>
              <w:spacing w:before="9" w:beforeAutospacing="0" w:afterAutospacing="0"/>
              <w:jc w:val="center"/>
              <w:rPr>
                <w:sz w:val="24"/>
                <w:szCs w:val="24"/>
                <w:lang w:val="ru-RU"/>
              </w:rPr>
            </w:pPr>
            <w:r>
              <w:rPr>
                <w:sz w:val="24"/>
                <w:szCs w:val="24"/>
              </w:rPr>
              <w:t>0,0061</w:t>
            </w:r>
          </w:p>
        </w:tc>
        <w:tc>
          <w:tcPr>
            <w:tcW w:w="1843" w:type="dxa"/>
          </w:tcPr>
          <w:p>
            <w:pPr>
              <w:pStyle w:val="P13"/>
              <w:spacing w:before="9" w:beforeAutospacing="0" w:afterAutospacing="0"/>
              <w:jc w:val="center"/>
              <w:rPr>
                <w:sz w:val="24"/>
                <w:szCs w:val="24"/>
                <w:lang w:val="ru-RU"/>
              </w:rPr>
            </w:pPr>
            <w:r>
              <w:rPr>
                <w:sz w:val="24"/>
                <w:szCs w:val="24"/>
              </w:rPr>
              <w:t>163,2961</w:t>
            </w:r>
          </w:p>
        </w:tc>
      </w:tr>
      <w:tr>
        <w:tc>
          <w:tcPr>
            <w:tcW w:w="3114" w:type="dxa"/>
          </w:tcPr>
          <w:p>
            <w:pPr>
              <w:pStyle w:val="P13"/>
              <w:spacing w:before="9" w:beforeAutospacing="0" w:afterAutospacing="0"/>
              <w:rPr>
                <w:sz w:val="24"/>
                <w:szCs w:val="24"/>
                <w:lang w:val="ru-RU"/>
              </w:rPr>
            </w:pPr>
            <w:r>
              <w:rPr>
                <w:sz w:val="24"/>
                <w:szCs w:val="24"/>
              </w:rPr>
              <w:t>МРТ→Детская смертность</w:t>
            </w:r>
          </w:p>
        </w:tc>
        <w:tc>
          <w:tcPr>
            <w:tcW w:w="1500" w:type="dxa"/>
          </w:tcPr>
          <w:p>
            <w:pPr>
              <w:pStyle w:val="P13"/>
              <w:spacing w:before="9" w:beforeAutospacing="0" w:afterAutospacing="0"/>
              <w:jc w:val="center"/>
              <w:rPr>
                <w:sz w:val="24"/>
                <w:szCs w:val="24"/>
                <w:lang w:val="ru-RU"/>
              </w:rPr>
            </w:pPr>
            <w:r>
              <w:rPr>
                <w:sz w:val="24"/>
                <w:szCs w:val="24"/>
              </w:rPr>
              <w:t>0,9651</w:t>
            </w:r>
          </w:p>
        </w:tc>
        <w:tc>
          <w:tcPr>
            <w:tcW w:w="1760" w:type="dxa"/>
          </w:tcPr>
          <w:p>
            <w:pPr>
              <w:pStyle w:val="P13"/>
              <w:spacing w:before="9" w:beforeAutospacing="0" w:afterAutospacing="0"/>
              <w:jc w:val="center"/>
              <w:rPr>
                <w:sz w:val="24"/>
                <w:szCs w:val="24"/>
                <w:lang w:val="ru-RU"/>
              </w:rPr>
            </w:pPr>
            <w:r>
              <w:rPr>
                <w:sz w:val="24"/>
                <w:szCs w:val="24"/>
              </w:rPr>
              <w:t>0,9625</w:t>
            </w:r>
          </w:p>
        </w:tc>
        <w:tc>
          <w:tcPr>
            <w:tcW w:w="1701" w:type="dxa"/>
          </w:tcPr>
          <w:p>
            <w:pPr>
              <w:pStyle w:val="P13"/>
              <w:spacing w:before="9" w:beforeAutospacing="0" w:afterAutospacing="0"/>
              <w:jc w:val="center"/>
              <w:rPr>
                <w:sz w:val="24"/>
                <w:szCs w:val="24"/>
                <w:lang w:val="ru-RU"/>
              </w:rPr>
            </w:pPr>
            <w:r>
              <w:rPr>
                <w:sz w:val="24"/>
                <w:szCs w:val="24"/>
              </w:rPr>
              <w:t>0,0315</w:t>
            </w:r>
          </w:p>
        </w:tc>
        <w:tc>
          <w:tcPr>
            <w:tcW w:w="1843" w:type="dxa"/>
          </w:tcPr>
          <w:p>
            <w:pPr>
              <w:pStyle w:val="P13"/>
              <w:spacing w:before="9" w:beforeAutospacing="0" w:afterAutospacing="0"/>
              <w:jc w:val="center"/>
              <w:rPr>
                <w:sz w:val="24"/>
                <w:szCs w:val="24"/>
                <w:lang w:val="ru-RU"/>
              </w:rPr>
            </w:pPr>
            <w:r>
              <w:rPr>
                <w:sz w:val="24"/>
                <w:szCs w:val="24"/>
              </w:rPr>
              <w:t>30,6727</w:t>
            </w:r>
          </w:p>
        </w:tc>
      </w:tr>
      <w:tr>
        <w:tc>
          <w:tcPr>
            <w:tcW w:w="3114" w:type="dxa"/>
          </w:tcPr>
          <w:p>
            <w:pPr>
              <w:pStyle w:val="P13"/>
              <w:spacing w:before="9" w:beforeAutospacing="0" w:afterAutospacing="0"/>
              <w:rPr>
                <w:sz w:val="24"/>
                <w:szCs w:val="24"/>
                <w:lang w:val="ru-RU"/>
              </w:rPr>
            </w:pPr>
            <w:r>
              <w:rPr>
                <w:sz w:val="24"/>
                <w:szCs w:val="24"/>
              </w:rPr>
              <w:t>POV→Б</w:t>
            </w:r>
            <w:r>
              <w:rPr>
                <w:sz w:val="24"/>
                <w:szCs w:val="24"/>
                <w:lang w:val="ru-RU"/>
              </w:rPr>
              <w:t xml:space="preserve"> Экономический рост</w:t>
            </w:r>
          </w:p>
        </w:tc>
        <w:tc>
          <w:tcPr>
            <w:tcW w:w="1500" w:type="dxa"/>
          </w:tcPr>
          <w:p>
            <w:pPr>
              <w:pStyle w:val="P13"/>
              <w:spacing w:before="9" w:beforeAutospacing="0" w:afterAutospacing="0"/>
              <w:jc w:val="center"/>
              <w:rPr>
                <w:sz w:val="24"/>
                <w:szCs w:val="24"/>
                <w:lang w:val="ru-RU"/>
              </w:rPr>
            </w:pPr>
            <w:r>
              <w:rPr>
                <w:sz w:val="24"/>
                <w:szCs w:val="24"/>
              </w:rPr>
              <w:t>0,7359</w:t>
            </w:r>
          </w:p>
        </w:tc>
        <w:tc>
          <w:tcPr>
            <w:tcW w:w="1760" w:type="dxa"/>
          </w:tcPr>
          <w:p>
            <w:pPr>
              <w:pStyle w:val="P13"/>
              <w:spacing w:before="9" w:beforeAutospacing="0" w:afterAutospacing="0"/>
              <w:jc w:val="center"/>
              <w:rPr>
                <w:sz w:val="24"/>
                <w:szCs w:val="24"/>
                <w:lang w:val="ru-RU"/>
              </w:rPr>
            </w:pPr>
            <w:r>
              <w:rPr>
                <w:sz w:val="24"/>
                <w:szCs w:val="24"/>
              </w:rPr>
              <w:t>0,73</w:t>
            </w:r>
            <w:r>
              <w:rPr>
                <w:sz w:val="24"/>
                <w:szCs w:val="24"/>
                <w:lang w:val="ru-RU"/>
              </w:rPr>
              <w:t>00</w:t>
            </w:r>
          </w:p>
        </w:tc>
        <w:tc>
          <w:tcPr>
            <w:tcW w:w="1701" w:type="dxa"/>
          </w:tcPr>
          <w:p>
            <w:pPr>
              <w:pStyle w:val="P13"/>
              <w:spacing w:before="9" w:beforeAutospacing="0" w:afterAutospacing="0"/>
              <w:jc w:val="center"/>
              <w:rPr>
                <w:sz w:val="24"/>
                <w:szCs w:val="24"/>
                <w:lang w:val="ru-RU"/>
              </w:rPr>
            </w:pPr>
            <w:r>
              <w:rPr>
                <w:sz w:val="24"/>
                <w:szCs w:val="24"/>
              </w:rPr>
              <w:t>0,0727</w:t>
            </w:r>
          </w:p>
        </w:tc>
        <w:tc>
          <w:tcPr>
            <w:tcW w:w="1843" w:type="dxa"/>
          </w:tcPr>
          <w:p>
            <w:pPr>
              <w:pStyle w:val="P13"/>
              <w:spacing w:before="9" w:beforeAutospacing="0" w:afterAutospacing="0"/>
              <w:jc w:val="center"/>
              <w:rPr>
                <w:sz w:val="24"/>
                <w:szCs w:val="24"/>
                <w:lang w:val="ru-RU"/>
              </w:rPr>
            </w:pPr>
            <w:r>
              <w:rPr>
                <w:sz w:val="24"/>
                <w:szCs w:val="24"/>
              </w:rPr>
              <w:t>10</w:t>
            </w:r>
            <w:r>
              <w:rPr>
                <w:sz w:val="24"/>
                <w:szCs w:val="24"/>
                <w:lang w:val="ru-RU"/>
              </w:rPr>
              <w:t>,</w:t>
            </w:r>
            <w:r>
              <w:rPr>
                <w:sz w:val="24"/>
                <w:szCs w:val="24"/>
              </w:rPr>
              <w:t>1163</w:t>
            </w:r>
          </w:p>
        </w:tc>
      </w:tr>
      <w:tr>
        <w:tc>
          <w:tcPr>
            <w:tcW w:w="3114" w:type="dxa"/>
          </w:tcPr>
          <w:p>
            <w:pPr>
              <w:pStyle w:val="P13"/>
              <w:spacing w:before="9" w:beforeAutospacing="0" w:afterAutospacing="0"/>
              <w:ind w:right="-249"/>
              <w:rPr>
                <w:sz w:val="24"/>
                <w:szCs w:val="24"/>
                <w:lang w:val="ru-RU"/>
              </w:rPr>
            </w:pPr>
            <w:r>
              <w:rPr>
                <w:sz w:val="24"/>
                <w:szCs w:val="24"/>
              </w:rPr>
              <w:t>PRI → Начальное_Образование</w:t>
            </w:r>
          </w:p>
        </w:tc>
        <w:tc>
          <w:tcPr>
            <w:tcW w:w="1500" w:type="dxa"/>
          </w:tcPr>
          <w:p>
            <w:pPr>
              <w:pStyle w:val="P13"/>
              <w:spacing w:before="9" w:beforeAutospacing="0" w:afterAutospacing="0"/>
              <w:jc w:val="center"/>
              <w:rPr>
                <w:sz w:val="24"/>
                <w:szCs w:val="24"/>
                <w:lang w:val="ru-RU"/>
              </w:rPr>
            </w:pPr>
            <w:r>
              <w:rPr>
                <w:sz w:val="24"/>
                <w:szCs w:val="24"/>
              </w:rPr>
              <w:t>0,832</w:t>
            </w:r>
            <w:r>
              <w:rPr>
                <w:sz w:val="24"/>
                <w:szCs w:val="24"/>
                <w:lang w:val="ru-RU"/>
              </w:rPr>
              <w:t>0</w:t>
            </w:r>
          </w:p>
        </w:tc>
        <w:tc>
          <w:tcPr>
            <w:tcW w:w="1760" w:type="dxa"/>
          </w:tcPr>
          <w:p>
            <w:pPr>
              <w:pStyle w:val="P13"/>
              <w:spacing w:before="9" w:beforeAutospacing="0" w:afterAutospacing="0"/>
              <w:jc w:val="center"/>
              <w:rPr>
                <w:sz w:val="24"/>
                <w:szCs w:val="24"/>
                <w:lang w:val="ru-RU"/>
              </w:rPr>
            </w:pPr>
            <w:r>
              <w:rPr>
                <w:sz w:val="24"/>
                <w:szCs w:val="24"/>
              </w:rPr>
              <w:t>0,817</w:t>
            </w:r>
            <w:r>
              <w:rPr>
                <w:sz w:val="24"/>
                <w:szCs w:val="24"/>
                <w:lang w:val="ru-RU"/>
              </w:rPr>
              <w:t>0</w:t>
            </w:r>
          </w:p>
        </w:tc>
        <w:tc>
          <w:tcPr>
            <w:tcW w:w="1701" w:type="dxa"/>
          </w:tcPr>
          <w:p>
            <w:pPr>
              <w:pStyle w:val="P13"/>
              <w:spacing w:before="9" w:beforeAutospacing="0" w:afterAutospacing="0"/>
              <w:jc w:val="center"/>
              <w:rPr>
                <w:sz w:val="24"/>
                <w:szCs w:val="24"/>
                <w:lang w:val="ru-RU"/>
              </w:rPr>
            </w:pPr>
            <w:r>
              <w:rPr>
                <w:sz w:val="24"/>
                <w:szCs w:val="24"/>
              </w:rPr>
              <w:t>0,0809</w:t>
            </w:r>
          </w:p>
        </w:tc>
        <w:tc>
          <w:tcPr>
            <w:tcW w:w="1843" w:type="dxa"/>
          </w:tcPr>
          <w:p>
            <w:pPr>
              <w:pStyle w:val="P13"/>
              <w:spacing w:before="9" w:beforeAutospacing="0" w:afterAutospacing="0"/>
              <w:jc w:val="center"/>
              <w:rPr>
                <w:sz w:val="24"/>
                <w:szCs w:val="24"/>
                <w:lang w:val="ru-RU"/>
              </w:rPr>
            </w:pPr>
            <w:r>
              <w:rPr>
                <w:sz w:val="24"/>
                <w:szCs w:val="24"/>
              </w:rPr>
              <w:t>10</w:t>
            </w:r>
            <w:r>
              <w:rPr>
                <w:sz w:val="24"/>
                <w:szCs w:val="24"/>
                <w:lang w:val="ru-RU"/>
              </w:rPr>
              <w:t>,</w:t>
            </w:r>
            <w:r>
              <w:rPr>
                <w:sz w:val="24"/>
                <w:szCs w:val="24"/>
              </w:rPr>
              <w:t>2903</w:t>
            </w:r>
          </w:p>
        </w:tc>
      </w:tr>
      <w:tr>
        <w:tc>
          <w:tcPr>
            <w:tcW w:w="3114" w:type="dxa"/>
          </w:tcPr>
          <w:p>
            <w:pPr>
              <w:pStyle w:val="P13"/>
              <w:spacing w:before="9" w:beforeAutospacing="0" w:afterAutospacing="0"/>
              <w:rPr>
                <w:sz w:val="24"/>
                <w:szCs w:val="24"/>
                <w:lang w:val="ru-RU"/>
              </w:rPr>
            </w:pPr>
            <w:r>
              <w:rPr>
                <w:sz w:val="24"/>
                <w:szCs w:val="24"/>
              </w:rPr>
              <w:t>SAN→H2O_SAN Доступность</w:t>
            </w:r>
          </w:p>
        </w:tc>
        <w:tc>
          <w:tcPr>
            <w:tcW w:w="1500" w:type="dxa"/>
          </w:tcPr>
          <w:p>
            <w:pPr>
              <w:pStyle w:val="P13"/>
              <w:spacing w:before="9" w:beforeAutospacing="0" w:afterAutospacing="0"/>
              <w:jc w:val="center"/>
              <w:rPr>
                <w:sz w:val="24"/>
                <w:szCs w:val="24"/>
                <w:lang w:val="ru-RU"/>
              </w:rPr>
            </w:pPr>
            <w:r>
              <w:rPr>
                <w:sz w:val="24"/>
                <w:szCs w:val="24"/>
              </w:rPr>
              <w:t>0,8699</w:t>
            </w:r>
          </w:p>
        </w:tc>
        <w:tc>
          <w:tcPr>
            <w:tcW w:w="1760" w:type="dxa"/>
          </w:tcPr>
          <w:p>
            <w:pPr>
              <w:pStyle w:val="P13"/>
              <w:spacing w:before="9" w:beforeAutospacing="0" w:afterAutospacing="0"/>
              <w:jc w:val="center"/>
              <w:rPr>
                <w:sz w:val="24"/>
                <w:szCs w:val="24"/>
                <w:lang w:val="ru-RU"/>
              </w:rPr>
            </w:pPr>
            <w:r>
              <w:rPr>
                <w:sz w:val="24"/>
                <w:szCs w:val="24"/>
              </w:rPr>
              <w:t>0,8489</w:t>
            </w:r>
          </w:p>
        </w:tc>
        <w:tc>
          <w:tcPr>
            <w:tcW w:w="1701" w:type="dxa"/>
          </w:tcPr>
          <w:p>
            <w:pPr>
              <w:pStyle w:val="P13"/>
              <w:spacing w:before="9" w:beforeAutospacing="0" w:afterAutospacing="0"/>
              <w:jc w:val="center"/>
              <w:rPr>
                <w:sz w:val="24"/>
                <w:szCs w:val="24"/>
                <w:lang w:val="ru-RU"/>
              </w:rPr>
            </w:pPr>
            <w:r>
              <w:rPr>
                <w:sz w:val="24"/>
                <w:szCs w:val="24"/>
              </w:rPr>
              <w:t>0,0861</w:t>
            </w:r>
          </w:p>
        </w:tc>
        <w:tc>
          <w:tcPr>
            <w:tcW w:w="1843" w:type="dxa"/>
          </w:tcPr>
          <w:p>
            <w:pPr>
              <w:pStyle w:val="P13"/>
              <w:spacing w:before="9" w:beforeAutospacing="0" w:afterAutospacing="0"/>
              <w:jc w:val="center"/>
              <w:rPr>
                <w:sz w:val="24"/>
                <w:szCs w:val="24"/>
                <w:lang w:val="ru-RU"/>
              </w:rPr>
            </w:pPr>
            <w:r>
              <w:rPr>
                <w:sz w:val="24"/>
                <w:szCs w:val="24"/>
              </w:rPr>
              <w:t>10</w:t>
            </w:r>
            <w:r>
              <w:rPr>
                <w:sz w:val="24"/>
                <w:szCs w:val="24"/>
                <w:lang w:val="ru-RU"/>
              </w:rPr>
              <w:t>,</w:t>
            </w:r>
            <w:r>
              <w:rPr>
                <w:sz w:val="24"/>
                <w:szCs w:val="24"/>
              </w:rPr>
              <w:t>0987</w:t>
            </w:r>
          </w:p>
        </w:tc>
      </w:tr>
      <w:tr>
        <w:tc>
          <w:tcPr>
            <w:tcW w:w="3114" w:type="dxa"/>
          </w:tcPr>
          <w:p>
            <w:pPr>
              <w:pStyle w:val="P13"/>
              <w:spacing w:before="9" w:beforeAutospacing="0" w:afterAutospacing="0"/>
              <w:rPr>
                <w:sz w:val="24"/>
                <w:szCs w:val="24"/>
                <w:lang w:val="ru-RU"/>
              </w:rPr>
            </w:pPr>
            <w:r>
              <w:rPr>
                <w:sz w:val="24"/>
                <w:szCs w:val="24"/>
              </w:rPr>
              <w:t>TEL→ ИКТ</w:t>
            </w:r>
          </w:p>
        </w:tc>
        <w:tc>
          <w:tcPr>
            <w:tcW w:w="1500" w:type="dxa"/>
          </w:tcPr>
          <w:p>
            <w:pPr>
              <w:pStyle w:val="P13"/>
              <w:spacing w:before="9" w:beforeAutospacing="0" w:afterAutospacing="0"/>
              <w:jc w:val="center"/>
              <w:rPr>
                <w:sz w:val="24"/>
                <w:szCs w:val="24"/>
                <w:lang w:val="ru-RU"/>
              </w:rPr>
            </w:pPr>
            <w:r>
              <w:rPr>
                <w:sz w:val="24"/>
                <w:szCs w:val="24"/>
              </w:rPr>
              <w:t>0,8621</w:t>
            </w:r>
          </w:p>
        </w:tc>
        <w:tc>
          <w:tcPr>
            <w:tcW w:w="1760" w:type="dxa"/>
          </w:tcPr>
          <w:p>
            <w:pPr>
              <w:pStyle w:val="P13"/>
              <w:spacing w:before="9" w:beforeAutospacing="0" w:afterAutospacing="0"/>
              <w:jc w:val="center"/>
              <w:rPr>
                <w:sz w:val="24"/>
                <w:szCs w:val="24"/>
                <w:lang w:val="ru-RU"/>
              </w:rPr>
            </w:pPr>
            <w:r>
              <w:rPr>
                <w:sz w:val="24"/>
                <w:szCs w:val="24"/>
              </w:rPr>
              <w:t>0,8576</w:t>
            </w:r>
          </w:p>
        </w:tc>
        <w:tc>
          <w:tcPr>
            <w:tcW w:w="1701" w:type="dxa"/>
          </w:tcPr>
          <w:p>
            <w:pPr>
              <w:pStyle w:val="P13"/>
              <w:spacing w:before="9" w:beforeAutospacing="0" w:afterAutospacing="0"/>
              <w:jc w:val="center"/>
              <w:rPr>
                <w:sz w:val="24"/>
                <w:szCs w:val="24"/>
                <w:lang w:val="ru-RU"/>
              </w:rPr>
            </w:pPr>
            <w:r>
              <w:rPr>
                <w:sz w:val="24"/>
                <w:szCs w:val="24"/>
              </w:rPr>
              <w:t>0,0574</w:t>
            </w:r>
          </w:p>
        </w:tc>
        <w:tc>
          <w:tcPr>
            <w:tcW w:w="1843" w:type="dxa"/>
          </w:tcPr>
          <w:p>
            <w:pPr>
              <w:pStyle w:val="P13"/>
              <w:spacing w:before="9" w:beforeAutospacing="0" w:afterAutospacing="0"/>
              <w:jc w:val="center"/>
              <w:rPr>
                <w:sz w:val="24"/>
                <w:szCs w:val="24"/>
                <w:lang w:val="ru-RU"/>
              </w:rPr>
            </w:pPr>
            <w:r>
              <w:rPr>
                <w:sz w:val="24"/>
                <w:szCs w:val="24"/>
              </w:rPr>
              <w:t>15</w:t>
            </w:r>
            <w:r>
              <w:rPr>
                <w:sz w:val="24"/>
                <w:szCs w:val="24"/>
                <w:lang w:val="ru-RU"/>
              </w:rPr>
              <w:t>,</w:t>
            </w:r>
            <w:r>
              <w:rPr>
                <w:sz w:val="24"/>
                <w:szCs w:val="24"/>
              </w:rPr>
              <w:t>0165</w:t>
            </w:r>
          </w:p>
        </w:tc>
      </w:tr>
      <w:tr>
        <w:tc>
          <w:tcPr>
            <w:tcW w:w="3114" w:type="dxa"/>
          </w:tcPr>
          <w:p>
            <w:pPr>
              <w:pStyle w:val="P13"/>
              <w:spacing w:before="9" w:beforeAutospacing="0" w:afterAutospacing="0"/>
              <w:rPr>
                <w:sz w:val="24"/>
                <w:szCs w:val="24"/>
                <w:lang w:val="ru-RU"/>
              </w:rPr>
            </w:pPr>
            <w:r>
              <w:rPr>
                <w:sz w:val="24"/>
                <w:szCs w:val="24"/>
                <w:lang w:val="ru-RU"/>
              </w:rPr>
              <w:t>ИКТ</w:t>
            </w:r>
            <w:r>
              <w:rPr>
                <w:sz w:val="24"/>
                <w:szCs w:val="24"/>
              </w:rPr>
              <w:t>→</w:t>
            </w:r>
            <w:r>
              <w:rPr>
                <w:sz w:val="24"/>
                <w:szCs w:val="24"/>
                <w:lang w:val="ru-RU"/>
              </w:rPr>
              <w:t xml:space="preserve"> Экономический рост</w:t>
            </w:r>
          </w:p>
        </w:tc>
        <w:tc>
          <w:tcPr>
            <w:tcW w:w="1500" w:type="dxa"/>
          </w:tcPr>
          <w:p>
            <w:pPr>
              <w:pStyle w:val="P13"/>
              <w:spacing w:before="9" w:beforeAutospacing="0" w:afterAutospacing="0"/>
              <w:jc w:val="center"/>
              <w:rPr>
                <w:sz w:val="24"/>
                <w:szCs w:val="24"/>
                <w:lang w:val="ru-RU"/>
              </w:rPr>
            </w:pPr>
            <w:r>
              <w:rPr>
                <w:sz w:val="24"/>
                <w:szCs w:val="24"/>
              </w:rPr>
              <w:t>0,9276</w:t>
            </w:r>
          </w:p>
        </w:tc>
        <w:tc>
          <w:tcPr>
            <w:tcW w:w="1760" w:type="dxa"/>
          </w:tcPr>
          <w:p>
            <w:pPr>
              <w:pStyle w:val="P13"/>
              <w:spacing w:before="9" w:beforeAutospacing="0" w:afterAutospacing="0"/>
              <w:jc w:val="center"/>
              <w:rPr>
                <w:sz w:val="24"/>
                <w:szCs w:val="24"/>
                <w:lang w:val="ru-RU"/>
              </w:rPr>
            </w:pPr>
            <w:r>
              <w:rPr>
                <w:sz w:val="24"/>
                <w:szCs w:val="24"/>
              </w:rPr>
              <w:t>0,9223</w:t>
            </w:r>
          </w:p>
        </w:tc>
        <w:tc>
          <w:tcPr>
            <w:tcW w:w="1701" w:type="dxa"/>
          </w:tcPr>
          <w:p>
            <w:pPr>
              <w:pStyle w:val="P13"/>
              <w:spacing w:before="9" w:beforeAutospacing="0" w:afterAutospacing="0"/>
              <w:jc w:val="center"/>
              <w:rPr>
                <w:sz w:val="24"/>
                <w:szCs w:val="24"/>
                <w:lang w:val="ru-RU"/>
              </w:rPr>
            </w:pPr>
            <w:r>
              <w:rPr>
                <w:sz w:val="24"/>
                <w:szCs w:val="24"/>
              </w:rPr>
              <w:t>0,0329</w:t>
            </w:r>
          </w:p>
        </w:tc>
        <w:tc>
          <w:tcPr>
            <w:tcW w:w="1843" w:type="dxa"/>
          </w:tcPr>
          <w:p>
            <w:pPr>
              <w:pStyle w:val="P13"/>
              <w:spacing w:before="9" w:beforeAutospacing="0" w:afterAutospacing="0"/>
              <w:jc w:val="center"/>
              <w:rPr>
                <w:sz w:val="24"/>
                <w:szCs w:val="24"/>
                <w:lang w:val="ru-RU"/>
              </w:rPr>
            </w:pPr>
            <w:r>
              <w:rPr>
                <w:sz w:val="24"/>
                <w:szCs w:val="24"/>
              </w:rPr>
              <w:t>28</w:t>
            </w:r>
            <w:r>
              <w:rPr>
                <w:sz w:val="24"/>
                <w:szCs w:val="24"/>
                <w:lang w:val="ru-RU"/>
              </w:rPr>
              <w:t>,</w:t>
            </w:r>
            <w:r>
              <w:rPr>
                <w:sz w:val="24"/>
                <w:szCs w:val="24"/>
              </w:rPr>
              <w:t>1737</w:t>
            </w:r>
          </w:p>
        </w:tc>
      </w:tr>
    </w:tbl>
    <w:p>
      <w:pPr>
        <w:spacing w:lineRule="auto" w:line="240" w:beforeAutospacing="0" w:afterAutospacing="0"/>
        <w:ind w:left="166"/>
        <w:jc w:val="center"/>
        <w:rPr>
          <w:rFonts w:ascii="Times New Roman" w:hAnsi="Times New Roman" w:cs="Times New Roman"/>
          <w:bCs w:val="1"/>
          <w:sz w:val="24"/>
          <w:szCs w:val="24"/>
        </w:rPr>
      </w:pPr>
    </w:p>
    <w:p>
      <w:pPr>
        <w:pStyle w:val="P13"/>
        <w:spacing w:lineRule="auto" w:line="360" w:beforeAutospacing="0" w:afterAutospacing="0"/>
        <w:ind w:firstLine="709"/>
        <w:jc w:val="both"/>
        <w:rPr>
          <w:bCs w:val="1"/>
          <w:sz w:val="24"/>
          <w:szCs w:val="24"/>
          <w:lang w:val="ru-RU"/>
        </w:rPr>
      </w:pPr>
      <w:r>
        <w:rPr>
          <w:sz w:val="28"/>
          <w:szCs w:val="28"/>
          <w:lang w:val="ru-RU"/>
        </w:rPr>
        <w:t xml:space="preserve">Все траектории значимы, за исключением влияния фактора «доля родов, принимаемых квалифицированным медицинским персоналом» на детскую смертность, для которого коэффициент траектории равнялся -0,165, а </w:t>
      </w:r>
      <w:r>
        <w:rPr>
          <w:sz w:val="28"/>
          <w:szCs w:val="28"/>
        </w:rPr>
        <w:t>t</w:t>
      </w:r>
      <w:r>
        <w:rPr>
          <w:sz w:val="28"/>
          <w:szCs w:val="28"/>
          <w:lang w:val="ru-RU"/>
        </w:rPr>
        <w:t xml:space="preserve">-статистика равнялась 1,1905 (таблица </w:t>
      </w:r>
      <w:r>
        <w:rPr>
          <w:sz w:val="28"/>
          <w:szCs w:val="28"/>
          <w:highlight w:val="yellow"/>
          <w:lang w:val="ru-RU"/>
        </w:rPr>
        <w:t>3.3</w:t>
      </w:r>
      <w:r>
        <w:rPr>
          <w:sz w:val="28"/>
          <w:szCs w:val="28"/>
          <w:lang w:val="ru-RU"/>
        </w:rPr>
        <w:t>). Это неочевидный вывод, поскольку можно было бы ожидать, что более квалифицированные роды окажут значительное влияние на детскую смертность, поскольку более 70 % всех случаев детской смертности приходится на Африку и Юго-Восточную Азию [</w:t>
      </w:r>
      <w:r>
        <w:rPr>
          <w:sz w:val="28"/>
          <w:szCs w:val="28"/>
          <w:highlight w:val="yellow"/>
          <w:lang w:val="ru-RU"/>
        </w:rPr>
        <w:t>178</w:t>
      </w:r>
      <w:r>
        <w:rPr>
          <w:sz w:val="28"/>
          <w:szCs w:val="28"/>
          <w:lang w:val="ru-RU"/>
        </w:rPr>
        <w:t>]. Однако это подтверждает выводы международных организаций, которые свидетельствуют о том, что во всем мире основными причинами детской смертности являются пневмония, осложнения при преждевременных родах, диарея, асфиксия при рождении и малярия [</w:t>
      </w:r>
      <w:r>
        <w:rPr>
          <w:sz w:val="28"/>
          <w:szCs w:val="28"/>
          <w:highlight w:val="yellow"/>
          <w:lang w:val="ru-RU"/>
        </w:rPr>
        <w:t>118</w:t>
      </w:r>
      <w:r>
        <w:rPr>
          <w:sz w:val="28"/>
          <w:szCs w:val="28"/>
          <w:lang w:val="ru-RU"/>
        </w:rPr>
        <w:t>].</w:t>
      </w:r>
    </w:p>
    <w:p>
      <w:pPr>
        <w:spacing w:lineRule="auto" w:line="360" w:after="0" w:beforeAutospacing="0" w:afterAutospacing="0"/>
        <w:ind w:firstLine="426"/>
        <w:jc w:val="both"/>
        <w:rPr>
          <w:rFonts w:ascii="Times New Roman" w:hAnsi="Times New Roman" w:cs="Times New Roman"/>
          <w:sz w:val="28"/>
          <w:szCs w:val="28"/>
        </w:rPr>
      </w:pPr>
    </w:p>
    <w:p>
      <w:pPr>
        <w:spacing w:lineRule="auto" w:line="360" w:after="0" w:beforeAutospacing="0" w:afterAutospacing="0"/>
        <w:jc w:val="both"/>
        <w:rPr>
          <w:rFonts w:ascii="Times New Roman" w:hAnsi="Times New Roman" w:cs="Times New Roman"/>
          <w:sz w:val="28"/>
          <w:szCs w:val="28"/>
        </w:rPr>
      </w:pPr>
      <w:r>
        <w:rPr>
          <w:rFonts w:ascii="Times New Roman" w:hAnsi="Times New Roman" w:cs="Times New Roman"/>
          <w:sz w:val="28"/>
          <w:szCs w:val="28"/>
        </w:rPr>
        <w:t xml:space="preserve">Таблица </w:t>
      </w:r>
      <w:r>
        <w:rPr>
          <w:rFonts w:ascii="Times New Roman" w:hAnsi="Times New Roman" w:cs="Times New Roman"/>
          <w:sz w:val="28"/>
          <w:szCs w:val="28"/>
          <w:highlight w:val="yellow"/>
        </w:rPr>
        <w:t>3.3</w:t>
      </w:r>
      <w:r>
        <w:rPr>
          <w:rFonts w:ascii="Times New Roman" w:hAnsi="Times New Roman" w:cs="Times New Roman"/>
          <w:sz w:val="28"/>
          <w:szCs w:val="28"/>
        </w:rPr>
        <w:t xml:space="preserve"> – Коэффициенты пути со значениями начальной загрузки, </w:t>
      </w:r>
      <w:r>
        <w:rPr>
          <w:rFonts w:ascii="Times New Roman" w:hAnsi="Times New Roman" w:cs="Times New Roman"/>
          <w:sz w:val="28"/>
          <w:szCs w:val="28"/>
        </w:rPr>
        <w:br w:type="textWrapping"/>
      </w:r>
      <w:r>
        <w:rPr>
          <w:rFonts w:ascii="Times New Roman" w:hAnsi="Times New Roman" w:cs="Times New Roman"/>
          <w:sz w:val="28"/>
          <w:szCs w:val="28"/>
          <w:lang w:val="en-US"/>
        </w:rPr>
        <w:t>t</w:t>
      </w:r>
      <w:r>
        <w:rPr>
          <w:rFonts w:ascii="Times New Roman" w:hAnsi="Times New Roman" w:cs="Times New Roman"/>
          <w:sz w:val="28"/>
          <w:szCs w:val="28"/>
        </w:rPr>
        <w:t>-статистики (составлено автором)</w:t>
      </w:r>
    </w:p>
    <w:tbl>
      <w:tblPr>
        <w:tblStyle w:val="T3"/>
        <w:tblW w:w="9915" w:type="dxa"/>
        <w:tblLook w:val="04A0"/>
      </w:tblPr>
      <w:tblGrid>
        <w:gridCol w:w="3547"/>
        <w:gridCol w:w="1483"/>
        <w:gridCol w:w="1655"/>
        <w:gridCol w:w="1582"/>
        <w:gridCol w:w="1648"/>
      </w:tblGrid>
      <w:tr>
        <w:trPr>
          <w:trHeight w:hRule="atLeast" w:val="1380"/>
        </w:trPr>
        <w:tc>
          <w:tcPr>
            <w:tcW w:w="3547" w:type="dxa"/>
          </w:tcPr>
          <w:p>
            <w:pPr>
              <w:pStyle w:val="P13"/>
              <w:spacing w:before="9" w:beforeAutospacing="0" w:afterAutospacing="0"/>
              <w:rPr>
                <w:sz w:val="28"/>
                <w:szCs w:val="28"/>
                <w:lang w:val="ru-RU"/>
              </w:rPr>
            </w:pPr>
          </w:p>
          <w:p>
            <w:pPr>
              <w:pStyle w:val="P13"/>
              <w:spacing w:before="9" w:beforeAutospacing="0" w:afterAutospacing="0"/>
              <w:rPr>
                <w:sz w:val="28"/>
                <w:szCs w:val="28"/>
                <w:lang w:val="ru-RU"/>
              </w:rPr>
            </w:pPr>
          </w:p>
          <w:p>
            <w:pPr>
              <w:pStyle w:val="P13"/>
              <w:spacing w:before="9" w:beforeAutospacing="0" w:afterAutospacing="0"/>
              <w:rPr>
                <w:sz w:val="24"/>
                <w:szCs w:val="24"/>
                <w:lang w:val="ru-RU"/>
              </w:rPr>
            </w:pPr>
          </w:p>
        </w:tc>
        <w:tc>
          <w:tcPr>
            <w:tcW w:w="1483" w:type="dxa"/>
          </w:tcPr>
          <w:p>
            <w:pPr>
              <w:pStyle w:val="P13"/>
              <w:spacing w:before="9" w:beforeAutospacing="0" w:afterAutospacing="0"/>
              <w:jc w:val="center"/>
              <w:rPr>
                <w:sz w:val="24"/>
                <w:szCs w:val="24"/>
                <w:lang w:val="ru-RU"/>
              </w:rPr>
            </w:pPr>
            <w:r>
              <w:rPr>
                <w:bCs w:val="1"/>
                <w:sz w:val="24"/>
                <w:szCs w:val="24"/>
              </w:rPr>
              <w:t>Исходный образец (О)</w:t>
            </w:r>
          </w:p>
        </w:tc>
        <w:tc>
          <w:tcPr>
            <w:tcW w:w="1655" w:type="dxa"/>
          </w:tcPr>
          <w:p>
            <w:pPr>
              <w:pStyle w:val="P13"/>
              <w:spacing w:before="9" w:beforeAutospacing="0" w:afterAutospacing="0"/>
              <w:jc w:val="center"/>
              <w:rPr>
                <w:sz w:val="24"/>
                <w:szCs w:val="24"/>
                <w:lang w:val="ru-RU"/>
              </w:rPr>
            </w:pPr>
            <w:r>
              <w:rPr>
                <w:bCs w:val="1"/>
                <w:sz w:val="24"/>
                <w:szCs w:val="24"/>
                <w:lang w:val="ru-RU"/>
              </w:rPr>
              <w:t>Среднее значение выборки начальной загрузки (</w:t>
            </w:r>
            <w:r>
              <w:rPr>
                <w:bCs w:val="1"/>
                <w:sz w:val="24"/>
                <w:szCs w:val="24"/>
              </w:rPr>
              <w:t>M</w:t>
            </w:r>
            <w:r>
              <w:rPr>
                <w:bCs w:val="1"/>
                <w:sz w:val="24"/>
                <w:szCs w:val="24"/>
                <w:lang w:val="ru-RU"/>
              </w:rPr>
              <w:t>)</w:t>
            </w:r>
          </w:p>
        </w:tc>
        <w:tc>
          <w:tcPr>
            <w:tcW w:w="1582" w:type="dxa"/>
          </w:tcPr>
          <w:p>
            <w:pPr>
              <w:pStyle w:val="P13"/>
              <w:spacing w:before="9" w:beforeAutospacing="0" w:afterAutospacing="0"/>
              <w:jc w:val="center"/>
              <w:rPr>
                <w:sz w:val="24"/>
                <w:szCs w:val="24"/>
                <w:lang w:val="ru-RU"/>
              </w:rPr>
            </w:pPr>
            <w:r>
              <w:rPr>
                <w:bCs w:val="1"/>
                <w:sz w:val="24"/>
                <w:szCs w:val="24"/>
                <w:lang w:val="ru-RU"/>
              </w:rPr>
              <w:t>Стандартная ошибка начальной загрузки (</w:t>
            </w:r>
            <w:r>
              <w:rPr>
                <w:bCs w:val="1"/>
                <w:sz w:val="24"/>
                <w:szCs w:val="24"/>
              </w:rPr>
              <w:t>STERR</w:t>
            </w:r>
            <w:r>
              <w:rPr>
                <w:bCs w:val="1"/>
                <w:sz w:val="24"/>
                <w:szCs w:val="24"/>
                <w:lang w:val="ru-RU"/>
              </w:rPr>
              <w:t>)</w:t>
            </w:r>
          </w:p>
        </w:tc>
        <w:tc>
          <w:tcPr>
            <w:tcW w:w="1648" w:type="dxa"/>
          </w:tcPr>
          <w:p>
            <w:pPr>
              <w:pStyle w:val="P13"/>
              <w:spacing w:before="9" w:beforeAutospacing="0" w:afterAutospacing="0"/>
              <w:jc w:val="center"/>
              <w:rPr>
                <w:sz w:val="24"/>
                <w:szCs w:val="24"/>
                <w:lang w:val="ru-RU"/>
              </w:rPr>
            </w:pPr>
            <w:r>
              <w:rPr>
                <w:bCs w:val="1"/>
                <w:sz w:val="24"/>
                <w:szCs w:val="24"/>
                <w:lang w:val="ru-RU"/>
              </w:rPr>
              <w:t xml:space="preserve">Статистика </w:t>
            </w:r>
            <w:r>
              <w:rPr>
                <w:bCs w:val="1"/>
                <w:sz w:val="24"/>
                <w:szCs w:val="24"/>
              </w:rPr>
              <w:t>Bootstrap</w:t>
            </w:r>
            <w:r>
              <w:rPr>
                <w:bCs w:val="1"/>
                <w:sz w:val="24"/>
                <w:szCs w:val="24"/>
                <w:lang w:val="ru-RU"/>
              </w:rPr>
              <w:t xml:space="preserve"> </w:t>
            </w:r>
            <w:r>
              <w:rPr>
                <w:bCs w:val="1"/>
                <w:sz w:val="24"/>
                <w:szCs w:val="24"/>
              </w:rPr>
              <w:t>T</w:t>
            </w:r>
            <w:r>
              <w:rPr>
                <w:bCs w:val="1"/>
                <w:sz w:val="24"/>
                <w:szCs w:val="24"/>
                <w:lang w:val="ru-RU"/>
              </w:rPr>
              <w:t>(|О/СТЕРР|)</w:t>
            </w:r>
          </w:p>
        </w:tc>
      </w:tr>
      <w:tr>
        <w:trPr>
          <w:trHeight w:hRule="atLeast" w:val="834"/>
        </w:trPr>
        <w:tc>
          <w:tcPr>
            <w:tcW w:w="3547" w:type="dxa"/>
          </w:tcPr>
          <w:p>
            <w:pPr>
              <w:pStyle w:val="P13"/>
              <w:spacing w:before="9" w:beforeAutospacing="0" w:afterAutospacing="0"/>
              <w:rPr>
                <w:sz w:val="24"/>
                <w:szCs w:val="24"/>
                <w:lang w:val="ru-RU"/>
              </w:rPr>
            </w:pPr>
            <w:r>
              <w:rPr>
                <w:sz w:val="24"/>
                <w:szCs w:val="24"/>
                <w:lang w:val="ru-RU"/>
              </w:rPr>
              <w:t xml:space="preserve">Гендерное равенство_Образование →Начальное образование </w:t>
            </w:r>
          </w:p>
        </w:tc>
        <w:tc>
          <w:tcPr>
            <w:tcW w:w="1483" w:type="dxa"/>
          </w:tcPr>
          <w:p>
            <w:pPr>
              <w:pStyle w:val="P13"/>
              <w:spacing w:before="9" w:beforeAutospacing="0" w:afterAutospacing="0"/>
              <w:jc w:val="center"/>
              <w:rPr>
                <w:sz w:val="24"/>
                <w:szCs w:val="24"/>
                <w:lang w:val="ru-RU"/>
              </w:rPr>
            </w:pPr>
            <w:r>
              <w:rPr>
                <w:sz w:val="24"/>
                <w:szCs w:val="24"/>
              </w:rPr>
              <w:t>0,5864</w:t>
            </w:r>
          </w:p>
        </w:tc>
        <w:tc>
          <w:tcPr>
            <w:tcW w:w="1655" w:type="dxa"/>
          </w:tcPr>
          <w:p>
            <w:pPr>
              <w:pStyle w:val="P13"/>
              <w:spacing w:before="9" w:beforeAutospacing="0" w:afterAutospacing="0"/>
              <w:jc w:val="center"/>
              <w:rPr>
                <w:sz w:val="24"/>
                <w:szCs w:val="24"/>
                <w:lang w:val="ru-RU"/>
              </w:rPr>
            </w:pPr>
            <w:r>
              <w:rPr>
                <w:sz w:val="24"/>
                <w:szCs w:val="24"/>
              </w:rPr>
              <w:t>0,6225</w:t>
            </w:r>
          </w:p>
        </w:tc>
        <w:tc>
          <w:tcPr>
            <w:tcW w:w="1582" w:type="dxa"/>
          </w:tcPr>
          <w:p>
            <w:pPr>
              <w:pStyle w:val="P13"/>
              <w:spacing w:before="9" w:beforeAutospacing="0" w:afterAutospacing="0"/>
              <w:jc w:val="center"/>
              <w:rPr>
                <w:sz w:val="24"/>
                <w:szCs w:val="24"/>
                <w:lang w:val="ru-RU"/>
              </w:rPr>
            </w:pPr>
            <w:r>
              <w:rPr>
                <w:sz w:val="24"/>
                <w:szCs w:val="24"/>
              </w:rPr>
              <w:t>0,0863</w:t>
            </w:r>
          </w:p>
        </w:tc>
        <w:tc>
          <w:tcPr>
            <w:tcW w:w="1648" w:type="dxa"/>
          </w:tcPr>
          <w:p>
            <w:pPr>
              <w:pStyle w:val="P13"/>
              <w:spacing w:before="9" w:beforeAutospacing="0" w:afterAutospacing="0"/>
              <w:jc w:val="center"/>
              <w:rPr>
                <w:sz w:val="24"/>
                <w:szCs w:val="24"/>
                <w:lang w:val="ru-RU"/>
              </w:rPr>
            </w:pPr>
            <w:r>
              <w:rPr>
                <w:sz w:val="24"/>
                <w:szCs w:val="24"/>
              </w:rPr>
              <w:t>6,7932</w:t>
            </w:r>
          </w:p>
        </w:tc>
      </w:tr>
      <w:tr>
        <w:trPr>
          <w:trHeight w:hRule="atLeast" w:val="556"/>
        </w:trPr>
        <w:tc>
          <w:tcPr>
            <w:tcW w:w="3547" w:type="dxa"/>
          </w:tcPr>
          <w:p>
            <w:pPr>
              <w:pStyle w:val="P13"/>
              <w:spacing w:before="9" w:beforeAutospacing="0" w:afterAutospacing="0"/>
              <w:rPr>
                <w:sz w:val="24"/>
                <w:szCs w:val="24"/>
                <w:lang w:val="ru-RU"/>
              </w:rPr>
            </w:pPr>
            <w:r>
              <w:rPr>
                <w:sz w:val="24"/>
                <w:szCs w:val="24"/>
              </w:rPr>
              <w:t>H</w:t>
            </w:r>
            <w:r>
              <w:rPr>
                <w:sz w:val="24"/>
                <w:szCs w:val="24"/>
                <w:lang w:val="ru-RU"/>
              </w:rPr>
              <w:t>2</w:t>
            </w:r>
            <w:r>
              <w:rPr>
                <w:sz w:val="24"/>
                <w:szCs w:val="24"/>
              </w:rPr>
              <w:t>O</w:t>
            </w:r>
            <w:r>
              <w:rPr>
                <w:sz w:val="24"/>
                <w:szCs w:val="24"/>
                <w:lang w:val="ru-RU"/>
              </w:rPr>
              <w:t>_</w:t>
            </w:r>
            <w:r>
              <w:rPr>
                <w:sz w:val="24"/>
                <w:szCs w:val="24"/>
              </w:rPr>
              <w:t>SAN</w:t>
            </w:r>
            <w:r>
              <w:rPr>
                <w:sz w:val="24"/>
                <w:szCs w:val="24"/>
                <w:lang w:val="ru-RU"/>
              </w:rPr>
              <w:t>Доступность → Экономический рост</w:t>
            </w:r>
          </w:p>
        </w:tc>
        <w:tc>
          <w:tcPr>
            <w:tcW w:w="1483" w:type="dxa"/>
          </w:tcPr>
          <w:p>
            <w:pPr>
              <w:pStyle w:val="P16"/>
              <w:spacing w:before="0" w:beforeAutospacing="0" w:afterAutospacing="0"/>
              <w:jc w:val="center"/>
              <w:rPr>
                <w:sz w:val="24"/>
                <w:szCs w:val="24"/>
                <w:lang w:val="ru-RU"/>
              </w:rPr>
            </w:pPr>
          </w:p>
          <w:p>
            <w:pPr>
              <w:pStyle w:val="P13"/>
              <w:spacing w:before="9" w:beforeAutospacing="0" w:afterAutospacing="0"/>
              <w:jc w:val="center"/>
              <w:rPr>
                <w:sz w:val="24"/>
                <w:szCs w:val="24"/>
                <w:lang w:val="ru-RU"/>
              </w:rPr>
            </w:pPr>
            <w:r>
              <w:rPr>
                <w:sz w:val="24"/>
                <w:szCs w:val="24"/>
              </w:rPr>
              <w:t>0,4915</w:t>
            </w:r>
          </w:p>
        </w:tc>
        <w:tc>
          <w:tcPr>
            <w:tcW w:w="1655" w:type="dxa"/>
          </w:tcPr>
          <w:p>
            <w:pPr>
              <w:pStyle w:val="P16"/>
              <w:spacing w:before="0" w:beforeAutospacing="0" w:afterAutospacing="0"/>
              <w:jc w:val="center"/>
              <w:rPr>
                <w:sz w:val="24"/>
                <w:szCs w:val="24"/>
              </w:rPr>
            </w:pPr>
          </w:p>
          <w:p>
            <w:pPr>
              <w:pStyle w:val="P13"/>
              <w:spacing w:before="9" w:beforeAutospacing="0" w:afterAutospacing="0"/>
              <w:jc w:val="center"/>
              <w:rPr>
                <w:sz w:val="24"/>
                <w:szCs w:val="24"/>
                <w:lang w:val="ru-RU"/>
              </w:rPr>
            </w:pPr>
            <w:r>
              <w:rPr>
                <w:sz w:val="24"/>
                <w:szCs w:val="24"/>
              </w:rPr>
              <w:t>0,4676</w:t>
            </w:r>
          </w:p>
        </w:tc>
        <w:tc>
          <w:tcPr>
            <w:tcW w:w="1582" w:type="dxa"/>
          </w:tcPr>
          <w:p>
            <w:pPr>
              <w:pStyle w:val="P16"/>
              <w:spacing w:before="0" w:beforeAutospacing="0" w:afterAutospacing="0"/>
              <w:jc w:val="center"/>
              <w:rPr>
                <w:sz w:val="24"/>
                <w:szCs w:val="24"/>
              </w:rPr>
            </w:pPr>
          </w:p>
          <w:p>
            <w:pPr>
              <w:pStyle w:val="P13"/>
              <w:spacing w:before="9" w:beforeAutospacing="0" w:afterAutospacing="0"/>
              <w:jc w:val="center"/>
              <w:rPr>
                <w:sz w:val="24"/>
                <w:szCs w:val="24"/>
                <w:lang w:val="ru-RU"/>
              </w:rPr>
            </w:pPr>
            <w:r>
              <w:rPr>
                <w:sz w:val="24"/>
                <w:szCs w:val="24"/>
              </w:rPr>
              <w:t>0,1365</w:t>
            </w:r>
          </w:p>
        </w:tc>
        <w:tc>
          <w:tcPr>
            <w:tcW w:w="1648" w:type="dxa"/>
          </w:tcPr>
          <w:p>
            <w:pPr>
              <w:pStyle w:val="P16"/>
              <w:spacing w:before="0" w:beforeAutospacing="0" w:afterAutospacing="0"/>
              <w:jc w:val="center"/>
              <w:rPr>
                <w:sz w:val="24"/>
                <w:szCs w:val="24"/>
              </w:rPr>
            </w:pPr>
          </w:p>
          <w:p>
            <w:pPr>
              <w:pStyle w:val="P13"/>
              <w:spacing w:before="9" w:beforeAutospacing="0" w:afterAutospacing="0"/>
              <w:jc w:val="center"/>
              <w:rPr>
                <w:sz w:val="24"/>
                <w:szCs w:val="24"/>
                <w:lang w:val="ru-RU"/>
              </w:rPr>
            </w:pPr>
            <w:r>
              <w:rPr>
                <w:sz w:val="24"/>
                <w:szCs w:val="24"/>
              </w:rPr>
              <w:t>3,5999</w:t>
            </w:r>
          </w:p>
        </w:tc>
      </w:tr>
      <w:tr>
        <w:trPr>
          <w:trHeight w:hRule="atLeast" w:val="556"/>
        </w:trPr>
        <w:tc>
          <w:tcPr>
            <w:tcW w:w="3547" w:type="dxa"/>
          </w:tcPr>
          <w:p>
            <w:pPr>
              <w:pStyle w:val="P13"/>
              <w:spacing w:before="9" w:beforeAutospacing="0" w:afterAutospacing="0"/>
              <w:rPr>
                <w:sz w:val="24"/>
                <w:szCs w:val="24"/>
                <w:lang w:val="ru-RU"/>
              </w:rPr>
            </w:pPr>
            <w:r>
              <w:rPr>
                <w:sz w:val="24"/>
                <w:szCs w:val="24"/>
              </w:rPr>
              <w:t>ИКТ → Гендерное равенство_Образование</w:t>
            </w:r>
          </w:p>
        </w:tc>
        <w:tc>
          <w:tcPr>
            <w:tcW w:w="1483" w:type="dxa"/>
          </w:tcPr>
          <w:p>
            <w:pPr>
              <w:pStyle w:val="P13"/>
              <w:spacing w:before="9" w:beforeAutospacing="0" w:afterAutospacing="0"/>
              <w:jc w:val="center"/>
              <w:rPr>
                <w:sz w:val="24"/>
                <w:szCs w:val="24"/>
                <w:lang w:val="ru-RU"/>
              </w:rPr>
            </w:pPr>
            <w:r>
              <w:rPr>
                <w:sz w:val="24"/>
                <w:szCs w:val="24"/>
              </w:rPr>
              <w:t>0,4899</w:t>
            </w:r>
          </w:p>
        </w:tc>
        <w:tc>
          <w:tcPr>
            <w:tcW w:w="1655" w:type="dxa"/>
          </w:tcPr>
          <w:p>
            <w:pPr>
              <w:pStyle w:val="P13"/>
              <w:spacing w:before="9" w:beforeAutospacing="0" w:afterAutospacing="0"/>
              <w:jc w:val="center"/>
              <w:rPr>
                <w:sz w:val="24"/>
                <w:szCs w:val="24"/>
                <w:lang w:val="ru-RU"/>
              </w:rPr>
            </w:pPr>
            <w:r>
              <w:rPr>
                <w:sz w:val="24"/>
                <w:szCs w:val="24"/>
              </w:rPr>
              <w:t>0,5193</w:t>
            </w:r>
          </w:p>
        </w:tc>
        <w:tc>
          <w:tcPr>
            <w:tcW w:w="1582" w:type="dxa"/>
          </w:tcPr>
          <w:p>
            <w:pPr>
              <w:pStyle w:val="P13"/>
              <w:spacing w:before="9" w:beforeAutospacing="0" w:afterAutospacing="0"/>
              <w:jc w:val="center"/>
              <w:rPr>
                <w:sz w:val="24"/>
                <w:szCs w:val="24"/>
                <w:lang w:val="ru-RU"/>
              </w:rPr>
            </w:pPr>
            <w:r>
              <w:rPr>
                <w:sz w:val="24"/>
                <w:szCs w:val="24"/>
              </w:rPr>
              <w:t>0,1091</w:t>
            </w:r>
          </w:p>
        </w:tc>
        <w:tc>
          <w:tcPr>
            <w:tcW w:w="1648" w:type="dxa"/>
          </w:tcPr>
          <w:p>
            <w:pPr>
              <w:pStyle w:val="P13"/>
              <w:spacing w:before="9" w:beforeAutospacing="0" w:afterAutospacing="0"/>
              <w:jc w:val="center"/>
              <w:rPr>
                <w:sz w:val="24"/>
                <w:szCs w:val="24"/>
                <w:lang w:val="ru-RU"/>
              </w:rPr>
            </w:pPr>
            <w:r>
              <w:rPr>
                <w:sz w:val="24"/>
                <w:szCs w:val="24"/>
              </w:rPr>
              <w:t>4</w:t>
            </w:r>
            <w:r>
              <w:rPr>
                <w:sz w:val="24"/>
                <w:szCs w:val="24"/>
                <w:lang w:val="ru-RU"/>
              </w:rPr>
              <w:t>,</w:t>
            </w:r>
            <w:r>
              <w:rPr>
                <w:sz w:val="24"/>
                <w:szCs w:val="24"/>
              </w:rPr>
              <w:t>4891</w:t>
            </w:r>
          </w:p>
        </w:tc>
      </w:tr>
      <w:tr>
        <w:trPr>
          <w:trHeight w:hRule="atLeast" w:val="287"/>
        </w:trPr>
        <w:tc>
          <w:tcPr>
            <w:tcW w:w="3547" w:type="dxa"/>
          </w:tcPr>
          <w:p>
            <w:pPr>
              <w:pStyle w:val="P13"/>
              <w:spacing w:before="9" w:beforeAutospacing="0" w:afterAutospacing="0"/>
              <w:rPr>
                <w:sz w:val="24"/>
                <w:szCs w:val="24"/>
                <w:lang w:val="ru-RU"/>
              </w:rPr>
            </w:pPr>
            <w:r>
              <w:rPr>
                <w:sz w:val="24"/>
                <w:szCs w:val="24"/>
              </w:rPr>
              <w:t>ИКТ → Бедность</w:t>
            </w:r>
          </w:p>
        </w:tc>
        <w:tc>
          <w:tcPr>
            <w:tcW w:w="1483" w:type="dxa"/>
          </w:tcPr>
          <w:p>
            <w:pPr>
              <w:pStyle w:val="P13"/>
              <w:spacing w:before="9" w:beforeAutospacing="0" w:afterAutospacing="0"/>
              <w:jc w:val="center"/>
              <w:rPr>
                <w:sz w:val="24"/>
                <w:szCs w:val="24"/>
                <w:lang w:val="ru-RU"/>
              </w:rPr>
            </w:pPr>
            <w:r>
              <w:rPr>
                <w:sz w:val="24"/>
                <w:szCs w:val="24"/>
              </w:rPr>
              <w:t>−0,3917</w:t>
            </w:r>
          </w:p>
        </w:tc>
        <w:tc>
          <w:tcPr>
            <w:tcW w:w="1655" w:type="dxa"/>
          </w:tcPr>
          <w:p>
            <w:pPr>
              <w:pStyle w:val="P13"/>
              <w:spacing w:before="9" w:beforeAutospacing="0" w:afterAutospacing="0"/>
              <w:jc w:val="center"/>
              <w:rPr>
                <w:sz w:val="24"/>
                <w:szCs w:val="24"/>
                <w:lang w:val="ru-RU"/>
              </w:rPr>
            </w:pPr>
            <w:r>
              <w:rPr>
                <w:sz w:val="24"/>
                <w:szCs w:val="24"/>
              </w:rPr>
              <w:t>−0,4334</w:t>
            </w:r>
          </w:p>
        </w:tc>
        <w:tc>
          <w:tcPr>
            <w:tcW w:w="1582" w:type="dxa"/>
          </w:tcPr>
          <w:p>
            <w:pPr>
              <w:pStyle w:val="P13"/>
              <w:spacing w:before="9" w:beforeAutospacing="0" w:afterAutospacing="0"/>
              <w:jc w:val="center"/>
              <w:rPr>
                <w:sz w:val="24"/>
                <w:szCs w:val="24"/>
                <w:lang w:val="ru-RU"/>
              </w:rPr>
            </w:pPr>
            <w:r>
              <w:rPr>
                <w:sz w:val="24"/>
                <w:szCs w:val="24"/>
              </w:rPr>
              <w:t>0,1338</w:t>
            </w:r>
          </w:p>
        </w:tc>
        <w:tc>
          <w:tcPr>
            <w:tcW w:w="1648" w:type="dxa"/>
          </w:tcPr>
          <w:p>
            <w:pPr>
              <w:pStyle w:val="P13"/>
              <w:spacing w:before="9" w:beforeAutospacing="0" w:afterAutospacing="0"/>
              <w:jc w:val="center"/>
              <w:rPr>
                <w:sz w:val="24"/>
                <w:szCs w:val="24"/>
                <w:lang w:val="ru-RU"/>
              </w:rPr>
            </w:pPr>
            <w:r>
              <w:rPr>
                <w:sz w:val="24"/>
                <w:szCs w:val="24"/>
              </w:rPr>
              <w:t>2,9273</w:t>
            </w:r>
          </w:p>
        </w:tc>
      </w:tr>
      <w:tr>
        <w:trPr>
          <w:trHeight w:hRule="atLeast" w:val="557"/>
        </w:trPr>
        <w:tc>
          <w:tcPr>
            <w:tcW w:w="3547" w:type="dxa"/>
          </w:tcPr>
          <w:p>
            <w:pPr>
              <w:pStyle w:val="P13"/>
              <w:spacing w:before="9" w:beforeAutospacing="0" w:afterAutospacing="0"/>
              <w:rPr>
                <w:sz w:val="24"/>
                <w:szCs w:val="24"/>
                <w:lang w:val="ru-RU"/>
              </w:rPr>
            </w:pPr>
            <w:r>
              <w:rPr>
                <w:sz w:val="24"/>
                <w:szCs w:val="24"/>
                <w:lang w:val="ru-RU"/>
              </w:rPr>
              <w:t>Экономический рост → Детская смертность_ Заболеваемость</w:t>
            </w:r>
          </w:p>
        </w:tc>
        <w:tc>
          <w:tcPr>
            <w:tcW w:w="1483" w:type="dxa"/>
          </w:tcPr>
          <w:p>
            <w:pPr>
              <w:pStyle w:val="P13"/>
              <w:spacing w:before="9" w:beforeAutospacing="0" w:afterAutospacing="0"/>
              <w:jc w:val="center"/>
              <w:rPr>
                <w:sz w:val="24"/>
                <w:szCs w:val="24"/>
                <w:lang w:val="ru-RU"/>
              </w:rPr>
            </w:pPr>
            <w:r>
              <w:rPr>
                <w:sz w:val="24"/>
                <w:szCs w:val="24"/>
                <w:lang w:val="ru-RU"/>
              </w:rPr>
              <w:t>–</w:t>
            </w:r>
            <w:r>
              <w:rPr>
                <w:sz w:val="24"/>
                <w:szCs w:val="24"/>
              </w:rPr>
              <w:t>0,3939</w:t>
            </w:r>
          </w:p>
        </w:tc>
        <w:tc>
          <w:tcPr>
            <w:tcW w:w="1655" w:type="dxa"/>
          </w:tcPr>
          <w:p>
            <w:pPr>
              <w:pStyle w:val="P13"/>
              <w:spacing w:before="9" w:beforeAutospacing="0" w:afterAutospacing="0"/>
              <w:jc w:val="center"/>
              <w:rPr>
                <w:sz w:val="24"/>
                <w:szCs w:val="24"/>
                <w:lang w:val="ru-RU"/>
              </w:rPr>
            </w:pPr>
            <w:r>
              <w:rPr>
                <w:sz w:val="24"/>
                <w:szCs w:val="24"/>
                <w:lang w:val="ru-RU"/>
              </w:rPr>
              <w:t>–</w:t>
            </w:r>
            <w:r>
              <w:rPr>
                <w:sz w:val="24"/>
                <w:szCs w:val="24"/>
              </w:rPr>
              <w:t>0,4022</w:t>
            </w:r>
          </w:p>
        </w:tc>
        <w:tc>
          <w:tcPr>
            <w:tcW w:w="1582" w:type="dxa"/>
          </w:tcPr>
          <w:p>
            <w:pPr>
              <w:pStyle w:val="P13"/>
              <w:spacing w:before="9" w:beforeAutospacing="0" w:afterAutospacing="0"/>
              <w:jc w:val="center"/>
              <w:rPr>
                <w:sz w:val="24"/>
                <w:szCs w:val="24"/>
                <w:lang w:val="ru-RU"/>
              </w:rPr>
            </w:pPr>
            <w:r>
              <w:rPr>
                <w:sz w:val="24"/>
                <w:szCs w:val="24"/>
              </w:rPr>
              <w:t>0,1314</w:t>
            </w:r>
          </w:p>
        </w:tc>
        <w:tc>
          <w:tcPr>
            <w:tcW w:w="1648" w:type="dxa"/>
          </w:tcPr>
          <w:p>
            <w:pPr>
              <w:pStyle w:val="P13"/>
              <w:spacing w:before="9" w:beforeAutospacing="0" w:afterAutospacing="0"/>
              <w:jc w:val="center"/>
              <w:rPr>
                <w:sz w:val="24"/>
                <w:szCs w:val="24"/>
                <w:lang w:val="ru-RU"/>
              </w:rPr>
            </w:pPr>
            <w:r>
              <w:rPr>
                <w:sz w:val="24"/>
                <w:szCs w:val="24"/>
              </w:rPr>
              <w:t>2,9974</w:t>
            </w:r>
          </w:p>
        </w:tc>
      </w:tr>
      <w:tr>
        <w:trPr>
          <w:trHeight w:hRule="atLeast" w:val="824"/>
        </w:trPr>
        <w:tc>
          <w:tcPr>
            <w:tcW w:w="3547" w:type="dxa"/>
          </w:tcPr>
          <w:p>
            <w:pPr>
              <w:pStyle w:val="P13"/>
              <w:spacing w:before="9" w:beforeAutospacing="0" w:afterAutospacing="0"/>
              <w:rPr>
                <w:sz w:val="24"/>
                <w:szCs w:val="24"/>
                <w:lang w:val="ru-RU"/>
              </w:rPr>
            </w:pPr>
            <w:r>
              <w:rPr>
                <w:sz w:val="24"/>
                <w:szCs w:val="24"/>
                <w:lang w:val="ru-RU"/>
              </w:rPr>
              <w:t>Начальное образование → Детская смертность_ Заболеваемость</w:t>
            </w:r>
          </w:p>
        </w:tc>
        <w:tc>
          <w:tcPr>
            <w:tcW w:w="1483" w:type="dxa"/>
          </w:tcPr>
          <w:p>
            <w:pPr>
              <w:pStyle w:val="P13"/>
              <w:spacing w:before="9" w:beforeAutospacing="0" w:afterAutospacing="0"/>
              <w:jc w:val="center"/>
              <w:rPr>
                <w:sz w:val="24"/>
                <w:szCs w:val="24"/>
                <w:lang w:val="ru-RU"/>
              </w:rPr>
            </w:pPr>
            <w:r>
              <w:rPr>
                <w:sz w:val="24"/>
                <w:szCs w:val="24"/>
              </w:rPr>
              <w:t>−0,3729</w:t>
            </w:r>
          </w:p>
        </w:tc>
        <w:tc>
          <w:tcPr>
            <w:tcW w:w="1655" w:type="dxa"/>
          </w:tcPr>
          <w:p>
            <w:pPr>
              <w:pStyle w:val="P13"/>
              <w:spacing w:before="9" w:beforeAutospacing="0" w:afterAutospacing="0"/>
              <w:jc w:val="center"/>
              <w:rPr>
                <w:sz w:val="24"/>
                <w:szCs w:val="24"/>
                <w:lang w:val="ru-RU"/>
              </w:rPr>
            </w:pPr>
            <w:r>
              <w:rPr>
                <w:sz w:val="24"/>
                <w:szCs w:val="24"/>
              </w:rPr>
              <w:t>−0,382</w:t>
            </w:r>
          </w:p>
        </w:tc>
        <w:tc>
          <w:tcPr>
            <w:tcW w:w="1582" w:type="dxa"/>
          </w:tcPr>
          <w:p>
            <w:pPr>
              <w:pStyle w:val="P13"/>
              <w:spacing w:before="9" w:beforeAutospacing="0" w:afterAutospacing="0"/>
              <w:jc w:val="center"/>
              <w:rPr>
                <w:sz w:val="24"/>
                <w:szCs w:val="24"/>
                <w:lang w:val="ru-RU"/>
              </w:rPr>
            </w:pPr>
            <w:r>
              <w:rPr>
                <w:sz w:val="24"/>
                <w:szCs w:val="24"/>
              </w:rPr>
              <w:t>0,1137</w:t>
            </w:r>
          </w:p>
        </w:tc>
        <w:tc>
          <w:tcPr>
            <w:tcW w:w="1648" w:type="dxa"/>
          </w:tcPr>
          <w:p>
            <w:pPr>
              <w:pStyle w:val="P13"/>
              <w:spacing w:before="9" w:beforeAutospacing="0" w:afterAutospacing="0"/>
              <w:jc w:val="center"/>
              <w:rPr>
                <w:sz w:val="24"/>
                <w:szCs w:val="24"/>
                <w:lang w:val="ru-RU"/>
              </w:rPr>
            </w:pPr>
            <w:r>
              <w:rPr>
                <w:sz w:val="24"/>
                <w:szCs w:val="24"/>
              </w:rPr>
              <w:t>3</w:t>
            </w:r>
            <w:r>
              <w:rPr>
                <w:sz w:val="24"/>
                <w:szCs w:val="24"/>
                <w:lang w:val="ru-RU"/>
              </w:rPr>
              <w:t>,</w:t>
            </w:r>
            <w:r>
              <w:rPr>
                <w:sz w:val="24"/>
                <w:szCs w:val="24"/>
              </w:rPr>
              <w:t>2812</w:t>
            </w:r>
          </w:p>
        </w:tc>
      </w:tr>
      <w:tr>
        <w:trPr>
          <w:trHeight w:hRule="atLeast" w:val="556"/>
        </w:trPr>
        <w:tc>
          <w:tcPr>
            <w:tcW w:w="3547" w:type="dxa"/>
          </w:tcPr>
          <w:p>
            <w:pPr>
              <w:pStyle w:val="P13"/>
              <w:spacing w:before="9" w:beforeAutospacing="0" w:afterAutospacing="0"/>
              <w:rPr>
                <w:sz w:val="24"/>
                <w:szCs w:val="24"/>
                <w:lang w:val="ru-RU"/>
              </w:rPr>
            </w:pPr>
            <w:r>
              <w:rPr>
                <w:sz w:val="24"/>
                <w:szCs w:val="24"/>
              </w:rPr>
              <w:t>Квалифицированные</w:t>
            </w:r>
            <w:r>
              <w:rPr>
                <w:sz w:val="24"/>
                <w:szCs w:val="24"/>
                <w:lang w:val="ru-RU"/>
              </w:rPr>
              <w:t xml:space="preserve"> </w:t>
            </w:r>
            <w:r>
              <w:rPr>
                <w:sz w:val="24"/>
                <w:szCs w:val="24"/>
              </w:rPr>
              <w:t xml:space="preserve">роды → </w:t>
            </w:r>
            <w:r>
              <w:rPr>
                <w:sz w:val="24"/>
                <w:szCs w:val="24"/>
                <w:lang w:val="ru-RU"/>
              </w:rPr>
              <w:t>Детская смертность</w:t>
            </w:r>
          </w:p>
        </w:tc>
        <w:tc>
          <w:tcPr>
            <w:tcW w:w="1483" w:type="dxa"/>
          </w:tcPr>
          <w:p>
            <w:pPr>
              <w:pStyle w:val="P13"/>
              <w:spacing w:before="9" w:beforeAutospacing="0" w:afterAutospacing="0"/>
              <w:jc w:val="center"/>
              <w:rPr>
                <w:sz w:val="24"/>
                <w:szCs w:val="24"/>
                <w:lang w:val="ru-RU"/>
              </w:rPr>
            </w:pPr>
            <w:r>
              <w:rPr>
                <w:sz w:val="24"/>
                <w:szCs w:val="24"/>
              </w:rPr>
              <w:t>−0,1963</w:t>
            </w:r>
          </w:p>
        </w:tc>
        <w:tc>
          <w:tcPr>
            <w:tcW w:w="1655" w:type="dxa"/>
          </w:tcPr>
          <w:p>
            <w:pPr>
              <w:pStyle w:val="P13"/>
              <w:spacing w:before="9" w:beforeAutospacing="0" w:afterAutospacing="0"/>
              <w:jc w:val="center"/>
              <w:rPr>
                <w:sz w:val="24"/>
                <w:szCs w:val="24"/>
                <w:lang w:val="ru-RU"/>
              </w:rPr>
            </w:pPr>
            <w:r>
              <w:rPr>
                <w:sz w:val="24"/>
                <w:szCs w:val="24"/>
              </w:rPr>
              <w:t>−0,1848</w:t>
            </w:r>
          </w:p>
        </w:tc>
        <w:tc>
          <w:tcPr>
            <w:tcW w:w="1582" w:type="dxa"/>
          </w:tcPr>
          <w:p>
            <w:pPr>
              <w:pStyle w:val="P13"/>
              <w:spacing w:before="9" w:beforeAutospacing="0" w:afterAutospacing="0"/>
              <w:jc w:val="center"/>
              <w:rPr>
                <w:sz w:val="24"/>
                <w:szCs w:val="24"/>
                <w:lang w:val="ru-RU"/>
              </w:rPr>
            </w:pPr>
            <w:r>
              <w:rPr>
                <w:sz w:val="24"/>
                <w:szCs w:val="24"/>
              </w:rPr>
              <w:t>0,1368</w:t>
            </w:r>
          </w:p>
        </w:tc>
        <w:tc>
          <w:tcPr>
            <w:tcW w:w="1648" w:type="dxa"/>
          </w:tcPr>
          <w:p>
            <w:pPr>
              <w:pStyle w:val="P13"/>
              <w:spacing w:before="9" w:beforeAutospacing="0" w:afterAutospacing="0"/>
              <w:jc w:val="center"/>
              <w:rPr>
                <w:sz w:val="24"/>
                <w:szCs w:val="24"/>
                <w:lang w:val="ru-RU"/>
              </w:rPr>
            </w:pPr>
            <w:r>
              <w:rPr>
                <w:sz w:val="24"/>
                <w:szCs w:val="24"/>
              </w:rPr>
              <w:t>1,4351</w:t>
            </w:r>
          </w:p>
        </w:tc>
      </w:tr>
    </w:tbl>
    <w:p>
      <w:pPr>
        <w:pStyle w:val="P13"/>
        <w:spacing w:lineRule="auto" w:line="360" w:beforeAutospacing="0" w:afterAutospacing="0"/>
        <w:ind w:firstLine="709"/>
        <w:rPr>
          <w:sz w:val="28"/>
          <w:szCs w:val="28"/>
        </w:rPr>
      </w:pPr>
    </w:p>
    <w:p>
      <w:pPr>
        <w:pStyle w:val="P13"/>
        <w:spacing w:lineRule="auto" w:line="360" w:beforeAutospacing="0" w:afterAutospacing="0"/>
        <w:ind w:firstLine="709"/>
        <w:jc w:val="both"/>
        <w:rPr>
          <w:sz w:val="28"/>
          <w:szCs w:val="28"/>
          <w:lang w:val="ru-RU"/>
        </w:rPr>
      </w:pPr>
      <w:r>
        <w:rPr>
          <w:sz w:val="28"/>
          <w:szCs w:val="28"/>
          <w:lang w:val="ru-RU"/>
        </w:rPr>
        <w:t>В Республике Кот-Д’Ивуар относительно небольшая доля (30 %) детской смертности приходится на неонатальный период (менее 28 дней жизни) [</w:t>
      </w:r>
      <w:r>
        <w:rPr>
          <w:sz w:val="28"/>
          <w:szCs w:val="28"/>
          <w:highlight w:val="yellow"/>
          <w:lang w:val="ru-RU"/>
        </w:rPr>
        <w:t>118]</w:t>
      </w:r>
      <w:r>
        <w:rPr>
          <w:sz w:val="28"/>
          <w:szCs w:val="28"/>
          <w:lang w:val="ru-RU"/>
        </w:rPr>
        <w:t xml:space="preserve">. Этим можно объяснить незначительное влияние фактора квалифицированных медицинских родов на детскую смертность в стране. Таким образом, чтобы снизить детскую смертность в Республике Кот-Д’Ивуар, главной целью должна быть ликвидация малярии и других заболеваний. </w:t>
      </w:r>
    </w:p>
    <w:p>
      <w:pPr>
        <w:pStyle w:val="P13"/>
        <w:spacing w:lineRule="auto" w:line="360" w:beforeAutospacing="0" w:afterAutospacing="0"/>
        <w:ind w:firstLine="709"/>
        <w:jc w:val="both"/>
        <w:rPr>
          <w:sz w:val="28"/>
          <w:szCs w:val="28"/>
          <w:lang w:val="ru-RU"/>
        </w:rPr>
      </w:pPr>
      <w:r>
        <w:rPr>
          <w:sz w:val="28"/>
          <w:szCs w:val="28"/>
          <w:lang w:val="ru-RU"/>
        </w:rPr>
        <w:t xml:space="preserve">Анализ значений </w:t>
      </w:r>
      <w:r>
        <w:rPr>
          <w:sz w:val="28"/>
          <w:szCs w:val="28"/>
        </w:rPr>
        <w:t>R</w:t>
      </w:r>
      <w:r>
        <w:rPr>
          <w:sz w:val="28"/>
          <w:szCs w:val="28"/>
          <w:vertAlign w:val="superscript"/>
          <w:lang w:val="ru-RU"/>
        </w:rPr>
        <w:t>2</w:t>
      </w:r>
      <w:r>
        <w:rPr>
          <w:sz w:val="28"/>
          <w:szCs w:val="28"/>
          <w:lang w:val="ru-RU"/>
        </w:rPr>
        <w:t xml:space="preserve"> для эндогенных переменных проводился для оценки объяснительной способности структурной модели. Модель объяснила 68 % вариаций бедности, 34 % вариаций начального образования, 24 % вариаций гендерного равенства и 76 % вариаций детской смертности. Значения </w:t>
      </w:r>
      <w:r>
        <w:rPr>
          <w:sz w:val="28"/>
          <w:szCs w:val="28"/>
        </w:rPr>
        <w:t>R</w:t>
      </w:r>
      <w:r>
        <w:rPr>
          <w:sz w:val="28"/>
          <w:szCs w:val="28"/>
          <w:vertAlign w:val="superscript"/>
          <w:lang w:val="ru-RU"/>
        </w:rPr>
        <w:t>2</w:t>
      </w:r>
      <w:r>
        <w:rPr>
          <w:sz w:val="28"/>
          <w:szCs w:val="28"/>
          <w:lang w:val="ru-RU"/>
        </w:rPr>
        <w:t xml:space="preserve"> для бедности и детской смертности можно охарактеризовать как существенные, в то время как значения </w:t>
      </w:r>
      <w:r>
        <w:rPr>
          <w:sz w:val="28"/>
          <w:szCs w:val="28"/>
        </w:rPr>
        <w:t>R</w:t>
      </w:r>
      <w:r>
        <w:rPr>
          <w:sz w:val="28"/>
          <w:szCs w:val="28"/>
          <w:vertAlign w:val="superscript"/>
          <w:lang w:val="ru-RU"/>
        </w:rPr>
        <w:t>2</w:t>
      </w:r>
      <w:r>
        <w:rPr>
          <w:sz w:val="28"/>
          <w:szCs w:val="28"/>
          <w:lang w:val="ru-RU"/>
        </w:rPr>
        <w:t xml:space="preserve"> для начального образования и гендерного равенства слабые.</w:t>
      </w:r>
    </w:p>
    <w:p>
      <w:pPr>
        <w:pStyle w:val="P13"/>
        <w:spacing w:lineRule="auto" w:line="360" w:beforeAutospacing="0" w:afterAutospacing="0"/>
        <w:ind w:firstLine="709"/>
        <w:jc w:val="both"/>
        <w:rPr>
          <w:sz w:val="28"/>
          <w:szCs w:val="28"/>
          <w:lang w:val="ru-RU"/>
        </w:rPr>
      </w:pPr>
      <w:r>
        <w:rPr>
          <w:sz w:val="28"/>
          <w:szCs w:val="28"/>
          <w:lang w:val="ru-RU"/>
        </w:rPr>
        <w:t xml:space="preserve">Одной из целей нашего исследования является определение как взаимосвязей, так и приоритетных целей для формирования устойчивых траектории инновационно-инклюзивного роста правительства Республики Кот-Д’Ивуар. Основываясь на коэффициентах пути наших связей, мы обнаруживаем, что инвестиции в ИКТ влияют как на экономический рост (0,561), так и на повышение гендерного равенства в образовании (0,49). Это влияние ИКТ на гендерное равенство также подразумевает положительное влияние на начальное образование (0,6). Снижение уровня бедности, в свою очередь, влияет на снижение уровня детской смертности, поскольку наша модель показывает, что высокий уровень бедности приводит к высокому уровню детской смертности (0,3) </w:t>
      </w:r>
      <w:r>
        <w:rPr>
          <w:rStyle w:val="C42"/>
          <w:sz w:val="28"/>
          <w:szCs w:val="28"/>
          <w:lang w:val="ru-RU"/>
        </w:rPr>
        <w:footnoteReference w:id="82"/>
      </w:r>
      <w:r>
        <w:rPr>
          <w:sz w:val="28"/>
          <w:szCs w:val="28"/>
          <w:lang w:val="ru-RU"/>
        </w:rPr>
        <w:t xml:space="preserve">. </w:t>
      </w:r>
    </w:p>
    <w:p>
      <w:pPr>
        <w:pStyle w:val="P13"/>
        <w:spacing w:lineRule="auto" w:line="360" w:beforeAutospacing="0" w:afterAutospacing="0"/>
        <w:ind w:firstLine="709"/>
        <w:jc w:val="both"/>
        <w:rPr>
          <w:color w:val="FF0000"/>
          <w:sz w:val="28"/>
          <w:szCs w:val="28"/>
          <w:lang w:val="ru-RU"/>
        </w:rPr>
      </w:pPr>
      <w:r>
        <w:rPr>
          <w:color w:val="FF0000"/>
          <w:sz w:val="28"/>
          <w:szCs w:val="28"/>
          <w:lang w:val="ru-RU"/>
        </w:rPr>
        <w:t xml:space="preserve">Результаты PLS-оценивания структурной модели (рисунок </w:t>
      </w:r>
      <w:r>
        <w:rPr>
          <w:color w:val="FF0000"/>
          <w:sz w:val="28"/>
          <w:szCs w:val="28"/>
          <w:highlight w:val="yellow"/>
          <w:lang w:val="ru-RU"/>
        </w:rPr>
        <w:t>3.3</w:t>
      </w:r>
      <w:r>
        <w:rPr>
          <w:color w:val="FF0000"/>
          <w:sz w:val="28"/>
          <w:szCs w:val="28"/>
          <w:lang w:val="ru-RU"/>
        </w:rPr>
        <w:t>) позволяют заключить, что в системе целей устойчивого развития Республики Кот-д’Ивуар именно информационно-коммуникационные технологии (ИКТ) выступают узловым фактором, формирующим наибольшее число статистически и экономически значимых связей с другими направлениями развития. ИКТ в модели проявляются как мультипликатор, усиливающий экономическую динамику и опосредованно влияющий на социальные результаты через каналы человеческого капитала и инклюзивности. Следовательно, развитие ИКТ следует рассматривать не как автономную сферу модернизации, а как системообразующее условие формирования устойчивых траекторий инновационно-инклюзивного развития Республики Кот-д’Ивуар.</w:t>
      </w:r>
    </w:p>
    <w:p>
      <w:pPr>
        <w:pStyle w:val="P13"/>
        <w:spacing w:lineRule="auto" w:line="360" w:beforeAutospacing="0" w:afterAutospacing="0"/>
        <w:ind w:firstLine="709"/>
        <w:jc w:val="both"/>
        <w:rPr>
          <w:color w:val="FF0000"/>
          <w:sz w:val="28"/>
          <w:szCs w:val="28"/>
          <w:lang w:val="ru-RU"/>
        </w:rPr>
      </w:pPr>
      <w:r>
        <w:rPr>
          <w:color w:val="FF0000"/>
          <w:sz w:val="28"/>
          <w:szCs w:val="28"/>
          <w:lang w:val="ru-RU"/>
        </w:rPr>
        <w:t>Тем самым проведенное моделирование подтверждает наличие синергии задач ЦУР в национальном контексте, когда изменение отдельных факторов сопровождается цепными эффектами по смежным направлениям, что делает достижение целей в изоляции методологически некорректным и управленчески неэффективным. В условиях ресурсных ограничений приоритетом становится не формальное наращивание количественных показателей, а повышение результативности и качества исполнения задач, обеспечивающих мультипликативные эффекты. Так, в сфере образования критически значимым является не только расширение охвата, но и улучшение качества образовательных институтов и компетенций, обеспечивающих воспроизводство человеческого капитала и его участие в цифровой и инновационной экономике. Аналогично, для социальной сферы и здравоохранения ключевым является не увеличение числа формальных мероприятий, а рост доступности услуг и снижение барьеров включенности для уязвимых групп населения.</w:t>
      </w:r>
    </w:p>
    <w:p>
      <w:pPr>
        <w:pStyle w:val="P13"/>
        <w:spacing w:lineRule="auto" w:line="360" w:beforeAutospacing="0" w:afterAutospacing="0"/>
        <w:ind w:firstLine="709"/>
        <w:jc w:val="both"/>
        <w:rPr>
          <w:color w:val="FF0000"/>
          <w:sz w:val="28"/>
          <w:szCs w:val="28"/>
          <w:lang w:val="ru-RU"/>
        </w:rPr>
      </w:pPr>
      <w:r>
        <w:rPr>
          <w:color w:val="FF0000"/>
          <w:sz w:val="28"/>
          <w:szCs w:val="28"/>
          <w:lang w:val="ru-RU"/>
        </w:rPr>
        <w:t>Учитывая выявленные взаимозависимости, целесообразно рассматривать достижение устойчивого и инклюзивного роста как задачу конвергенции целевых ориентиров, при которой ограниченные ресурсы концентрируются в «узловых» направлениях с наибольшим синергетическим потенциалом. С этой точки зрения развитие ИКТ приобретает статус приоритетного направления, поскольку способно обеспечивать эффект распространения на связанные цели при условии наличия организационно-экономического механизма, переводящего цифровую инфраструктуру и доступ в устойчивые экономические взаимодействия.</w:t>
      </w:r>
    </w:p>
    <w:p>
      <w:pPr>
        <w:pStyle w:val="P13"/>
        <w:spacing w:lineRule="auto" w:line="360" w:beforeAutospacing="0" w:afterAutospacing="0"/>
        <w:ind w:firstLine="709"/>
        <w:jc w:val="both"/>
        <w:rPr>
          <w:color w:val="FF0000"/>
          <w:sz w:val="28"/>
          <w:szCs w:val="28"/>
          <w:lang w:val="ru-RU"/>
        </w:rPr>
      </w:pPr>
      <w:r>
        <w:rPr>
          <w:color w:val="FF0000"/>
          <w:sz w:val="28"/>
          <w:szCs w:val="28"/>
          <w:lang w:val="ru-RU"/>
        </w:rPr>
        <w:t xml:space="preserve">В связи с этим последующий анализ направлен на оценку практической реализуемости запуска проекта цифровизации и платформенного развития как механизма трансформации выявленного синергетического потенциала ИКТ в управляемую траекторию инновационно-инклюзивного развития. </w:t>
      </w:r>
    </w:p>
    <w:p>
      <w:pPr>
        <w:pStyle w:val="P13"/>
        <w:spacing w:lineRule="auto" w:line="360" w:beforeAutospacing="0" w:afterAutospacing="0"/>
        <w:ind w:firstLine="709"/>
        <w:jc w:val="both"/>
        <w:rPr>
          <w:color w:val="FF0000"/>
          <w:sz w:val="28"/>
          <w:szCs w:val="28"/>
          <w:lang w:val="ru-RU"/>
        </w:rPr>
      </w:pPr>
      <w:r>
        <w:rPr>
          <w:color w:val="FF0000"/>
          <w:sz w:val="28"/>
          <w:szCs w:val="28"/>
          <w:lang w:val="ru-RU"/>
        </w:rPr>
        <w:t>Для выбора стартовой территории для пилотного внедрения обратимся к ключевым документам стратегического планирования Кот-д'Ивуара (План национального развития 2021–2025, Национальная стратегия развития цифровых технологий 2021). В них именно прибрежная зона рассматривается как пилотный регион для внедрения цифровых платформ в следующих сферах:</w:t>
      </w:r>
    </w:p>
    <w:p>
      <w:pPr>
        <w:pStyle w:val="P15"/>
        <w:numPr>
          <w:ilvl w:val="0"/>
          <w:numId w:val="25"/>
        </w:numPr>
        <w:tabs>
          <w:tab w:val="left" w:pos="1134" w:leader="none"/>
        </w:tabs>
        <w:spacing w:lineRule="auto" w:line="360" w:beforeAutospacing="0" w:afterAutospacing="0"/>
        <w:ind w:firstLine="709" w:left="0"/>
        <w:contextualSpacing w:val="1"/>
        <w:jc w:val="both"/>
        <w:rPr>
          <w:color w:val="FF0000"/>
          <w:sz w:val="28"/>
          <w:szCs w:val="28"/>
          <w:lang w:val="ru-RU"/>
        </w:rPr>
      </w:pPr>
      <w:r>
        <w:rPr>
          <w:color w:val="FF0000"/>
          <w:sz w:val="28"/>
          <w:szCs w:val="28"/>
          <w:lang w:val="ru-RU"/>
        </w:rPr>
        <w:t>электронное правительство: к 2025 г. планировалось оцифровать 400 административных процедур, 85% из которых уже реализованы в прибрежных регионах;</w:t>
      </w:r>
    </w:p>
    <w:p>
      <w:pPr>
        <w:pStyle w:val="P15"/>
        <w:widowControl w:val="1"/>
        <w:numPr>
          <w:ilvl w:val="0"/>
          <w:numId w:val="25"/>
        </w:numPr>
        <w:tabs>
          <w:tab w:val="left" w:pos="1134" w:leader="none"/>
        </w:tabs>
        <w:spacing w:lineRule="auto" w:line="360" w:beforeAutospacing="0" w:afterAutospacing="0"/>
        <w:ind w:firstLine="709" w:left="0"/>
        <w:contextualSpacing w:val="1"/>
        <w:jc w:val="both"/>
        <w:rPr>
          <w:color w:val="FF0000"/>
          <w:sz w:val="28"/>
          <w:szCs w:val="28"/>
          <w:lang w:val="ru-RU"/>
        </w:rPr>
      </w:pPr>
      <w:r>
        <w:rPr>
          <w:color w:val="FF0000"/>
          <w:sz w:val="28"/>
          <w:szCs w:val="28"/>
          <w:lang w:val="ru-RU"/>
        </w:rPr>
        <w:t xml:space="preserve">цифровые финансовые сервисы: платформы </w:t>
      </w:r>
      <w:r>
        <w:rPr>
          <w:color w:val="FF0000"/>
          <w:sz w:val="28"/>
          <w:szCs w:val="28"/>
        </w:rPr>
        <w:t>Mobile</w:t>
      </w:r>
      <w:r>
        <w:rPr>
          <w:color w:val="FF0000"/>
          <w:sz w:val="28"/>
          <w:szCs w:val="28"/>
          <w:lang w:val="ru-RU"/>
        </w:rPr>
        <w:t xml:space="preserve"> </w:t>
      </w:r>
      <w:r>
        <w:rPr>
          <w:color w:val="FF0000"/>
          <w:sz w:val="28"/>
          <w:szCs w:val="28"/>
        </w:rPr>
        <w:t>Money</w:t>
      </w:r>
      <w:r>
        <w:rPr>
          <w:color w:val="FF0000"/>
          <w:sz w:val="28"/>
          <w:szCs w:val="28"/>
          <w:lang w:val="ru-RU"/>
        </w:rPr>
        <w:t xml:space="preserve"> обрабатывают транзакции на сумму 48% ВВП страны, при этом 76% операций приходится на прибрежные территории;</w:t>
      </w:r>
    </w:p>
    <w:p>
      <w:pPr>
        <w:pStyle w:val="P15"/>
        <w:widowControl w:val="1"/>
        <w:numPr>
          <w:ilvl w:val="0"/>
          <w:numId w:val="25"/>
        </w:numPr>
        <w:tabs>
          <w:tab w:val="left" w:pos="1134" w:leader="none"/>
        </w:tabs>
        <w:spacing w:lineRule="auto" w:line="360" w:beforeAutospacing="0" w:afterAutospacing="0"/>
        <w:ind w:firstLine="709" w:left="0"/>
        <w:contextualSpacing w:val="1"/>
        <w:jc w:val="both"/>
        <w:rPr>
          <w:color w:val="FF0000"/>
          <w:sz w:val="28"/>
          <w:szCs w:val="28"/>
          <w:lang w:val="ru-RU"/>
        </w:rPr>
      </w:pPr>
      <w:r>
        <w:rPr>
          <w:color w:val="FF0000"/>
          <w:sz w:val="28"/>
          <w:szCs w:val="28"/>
          <w:lang w:val="ru-RU"/>
        </w:rPr>
        <w:t xml:space="preserve">умные города: в Абиджане реализуется пилотный проект «Умный город» с внедрением систем управления трафиком, освещением и коммунальными услугами на базе </w:t>
      </w:r>
      <w:r>
        <w:rPr>
          <w:color w:val="FF0000"/>
          <w:sz w:val="28"/>
          <w:szCs w:val="28"/>
        </w:rPr>
        <w:t>IoT</w:t>
      </w:r>
      <w:r>
        <w:rPr>
          <w:color w:val="FF0000"/>
          <w:sz w:val="28"/>
          <w:szCs w:val="28"/>
          <w:lang w:val="ru-RU"/>
        </w:rPr>
        <w:t>-технологий;</w:t>
      </w:r>
    </w:p>
    <w:p>
      <w:pPr>
        <w:pStyle w:val="P15"/>
        <w:widowControl w:val="1"/>
        <w:numPr>
          <w:ilvl w:val="0"/>
          <w:numId w:val="25"/>
        </w:numPr>
        <w:tabs>
          <w:tab w:val="left" w:pos="1134" w:leader="none"/>
        </w:tabs>
        <w:spacing w:lineRule="auto" w:line="360" w:beforeAutospacing="0" w:afterAutospacing="0"/>
        <w:ind w:firstLine="709" w:left="0"/>
        <w:contextualSpacing w:val="1"/>
        <w:jc w:val="both"/>
        <w:rPr>
          <w:color w:val="FF0000"/>
          <w:sz w:val="28"/>
          <w:szCs w:val="28"/>
          <w:lang w:val="ru-RU"/>
        </w:rPr>
      </w:pPr>
      <w:r>
        <w:rPr>
          <w:color w:val="FF0000"/>
          <w:sz w:val="28"/>
          <w:szCs w:val="28"/>
          <w:lang w:val="ru-RU"/>
        </w:rPr>
        <w:t>цифровое здравоохранение: телемедицина охватывает 42% медицинских учреждений прибрежных регионов</w:t>
      </w:r>
      <w:r>
        <w:rPr>
          <w:rStyle w:val="C42"/>
          <w:color w:val="FF0000"/>
          <w:sz w:val="28"/>
          <w:szCs w:val="28"/>
          <w:lang w:val="ru-RU"/>
        </w:rPr>
        <w:footnoteReference w:id="83"/>
      </w:r>
      <w:r>
        <w:rPr>
          <w:color w:val="FF0000"/>
          <w:sz w:val="28"/>
          <w:szCs w:val="28"/>
          <w:lang w:val="ru-RU"/>
        </w:rPr>
        <w:t>.</w:t>
      </w:r>
    </w:p>
    <w:p>
      <w:pPr>
        <w:pStyle w:val="P13"/>
        <w:spacing w:lineRule="auto" w:line="360" w:beforeAutospacing="0" w:afterAutospacing="0"/>
        <w:ind w:firstLine="709"/>
        <w:jc w:val="both"/>
        <w:rPr>
          <w:color w:val="FF0000"/>
          <w:sz w:val="28"/>
          <w:szCs w:val="28"/>
          <w:lang w:val="ru-RU"/>
        </w:rPr>
      </w:pPr>
      <w:r>
        <w:rPr>
          <w:color w:val="FF0000"/>
          <w:sz w:val="28"/>
          <w:szCs w:val="28"/>
          <w:lang w:val="ru-RU"/>
        </w:rPr>
        <w:t>Таким образом, Абиджан является наиболее подготовленным регионом для цифровой трансформации, характеризующийся концентрацией инфраструктуры, институциональных функций, деловой активности и спроса на цифровые сервисы. Дальнейшая оценка включает анализ готовности прибрежной зоны и, прежде всего, Абиджана к масштабированию цифровых платформ, а также выявление ключевых рисков и условий их минимизации.</w:t>
      </w:r>
    </w:p>
    <w:p>
      <w:pPr>
        <w:spacing w:lineRule="auto" w:line="360" w:after="0" w:beforeAutospacing="0" w:afterAutospacing="0"/>
        <w:ind w:firstLine="709"/>
        <w:jc w:val="both"/>
        <w:rPr>
          <w:rFonts w:ascii="Times New Roman" w:hAnsi="Times New Roman" w:cs="Times New Roman"/>
          <w:color w:val="FF0000"/>
          <w:sz w:val="28"/>
          <w:szCs w:val="28"/>
        </w:rPr>
      </w:pPr>
      <w:r>
        <w:rPr>
          <w:rFonts w:ascii="Times New Roman" w:hAnsi="Times New Roman" w:cs="Times New Roman"/>
          <w:color w:val="FF0000"/>
          <w:sz w:val="28"/>
          <w:szCs w:val="28"/>
        </w:rPr>
        <w:t>Исходя из стратегических ориентиров развития страны, нами были выделены следующие уровни готовности прибрежной зоны к масштабному внедрению цифровых платформ и дана экспертная их оценка (</w:t>
      </w:r>
      <w:r>
        <w:rPr>
          <w:rFonts w:ascii="Times New Roman" w:hAnsi="Times New Roman" w:cs="Times New Roman"/>
          <w:color w:val="FF0000"/>
          <w:sz w:val="28"/>
          <w:szCs w:val="28"/>
          <w:highlight w:val="yellow"/>
        </w:rPr>
        <w:t>таблица 5</w:t>
      </w:r>
      <w:r>
        <w:rPr>
          <w:rFonts w:ascii="Times New Roman" w:hAnsi="Times New Roman" w:cs="Times New Roman"/>
          <w:color w:val="FF0000"/>
          <w:sz w:val="28"/>
          <w:szCs w:val="28"/>
        </w:rPr>
        <w:t>):</w:t>
      </w:r>
    </w:p>
    <w:p>
      <w:pPr>
        <w:pStyle w:val="P15"/>
        <w:widowControl w:val="1"/>
        <w:numPr>
          <w:ilvl w:val="0"/>
          <w:numId w:val="25"/>
        </w:numPr>
        <w:tabs>
          <w:tab w:val="left" w:pos="993" w:leader="none"/>
        </w:tabs>
        <w:spacing w:lineRule="auto" w:line="360" w:beforeAutospacing="0" w:afterAutospacing="0"/>
        <w:ind w:firstLine="709" w:left="0"/>
        <w:contextualSpacing w:val="1"/>
        <w:jc w:val="both"/>
        <w:rPr>
          <w:color w:val="FF0000"/>
          <w:sz w:val="28"/>
          <w:szCs w:val="28"/>
          <w:lang w:val="ru-RU"/>
        </w:rPr>
      </w:pPr>
      <w:r>
        <w:rPr>
          <w:color w:val="FF0000"/>
          <w:sz w:val="28"/>
          <w:szCs w:val="28"/>
          <w:lang w:val="ru-RU"/>
        </w:rPr>
        <w:t>инфраструктурная готовность: высокая (оценка 8/10). Развитая оптоволоконная сеть, высокое покрытие 4</w:t>
      </w:r>
      <w:r>
        <w:rPr>
          <w:color w:val="FF0000"/>
          <w:sz w:val="28"/>
          <w:szCs w:val="28"/>
        </w:rPr>
        <w:t>G</w:t>
      </w:r>
      <w:r>
        <w:rPr>
          <w:color w:val="FF0000"/>
          <w:sz w:val="28"/>
          <w:szCs w:val="28"/>
          <w:lang w:val="ru-RU"/>
        </w:rPr>
        <w:t>/5</w:t>
      </w:r>
      <w:r>
        <w:rPr>
          <w:color w:val="FF0000"/>
          <w:sz w:val="28"/>
          <w:szCs w:val="28"/>
        </w:rPr>
        <w:t>G</w:t>
      </w:r>
      <w:r>
        <w:rPr>
          <w:color w:val="FF0000"/>
          <w:sz w:val="28"/>
          <w:szCs w:val="28"/>
          <w:lang w:val="ru-RU"/>
        </w:rPr>
        <w:t>, наличие дата-центров (национальный дата-центр в Абиджане) создают техническую основу для цифровых платформ;</w:t>
      </w:r>
    </w:p>
    <w:p>
      <w:pPr>
        <w:pStyle w:val="P15"/>
        <w:widowControl w:val="1"/>
        <w:numPr>
          <w:ilvl w:val="0"/>
          <w:numId w:val="25"/>
        </w:numPr>
        <w:tabs>
          <w:tab w:val="left" w:pos="993" w:leader="none"/>
        </w:tabs>
        <w:spacing w:lineRule="auto" w:line="360" w:beforeAutospacing="0" w:afterAutospacing="0"/>
        <w:ind w:firstLine="709" w:left="0"/>
        <w:contextualSpacing w:val="1"/>
        <w:jc w:val="both"/>
        <w:rPr>
          <w:color w:val="FF0000"/>
          <w:sz w:val="28"/>
          <w:szCs w:val="28"/>
          <w:lang w:val="ru-RU"/>
        </w:rPr>
      </w:pPr>
      <w:r>
        <w:rPr>
          <w:color w:val="FF0000"/>
          <w:sz w:val="28"/>
          <w:szCs w:val="28"/>
          <w:lang w:val="ru-RU"/>
        </w:rPr>
        <w:t>кадровая готовность: средняя (оценка 5/10). Несмотря на наличие образованной молодежи, наблюдается структурный дефицит специалистов в ключевых ИТ-направлениях (</w:t>
      </w:r>
      <w:r>
        <w:rPr>
          <w:color w:val="FF0000"/>
          <w:sz w:val="28"/>
          <w:szCs w:val="28"/>
          <w:highlight w:val="yellow"/>
          <w:lang w:val="ru-RU"/>
        </w:rPr>
        <w:t>таблица 4</w:t>
      </w:r>
      <w:r>
        <w:rPr>
          <w:color w:val="FF0000"/>
          <w:sz w:val="28"/>
          <w:szCs w:val="28"/>
          <w:lang w:val="ru-RU"/>
        </w:rPr>
        <w:t>). Требуется масштабная программа переподготовки и привлечения иностранных экспертов на начальном этапе;</w:t>
      </w:r>
    </w:p>
    <w:p>
      <w:pPr>
        <w:pStyle w:val="P15"/>
        <w:widowControl w:val="1"/>
        <w:numPr>
          <w:ilvl w:val="0"/>
          <w:numId w:val="25"/>
        </w:numPr>
        <w:tabs>
          <w:tab w:val="left" w:pos="993" w:leader="none"/>
        </w:tabs>
        <w:spacing w:lineRule="auto" w:line="360" w:beforeAutospacing="0" w:afterAutospacing="0"/>
        <w:ind w:firstLine="709" w:left="0"/>
        <w:contextualSpacing w:val="1"/>
        <w:jc w:val="both"/>
        <w:rPr>
          <w:color w:val="FF0000"/>
          <w:sz w:val="28"/>
          <w:szCs w:val="28"/>
          <w:lang w:val="ru-RU"/>
        </w:rPr>
      </w:pPr>
      <w:r>
        <w:rPr>
          <w:color w:val="FF0000"/>
          <w:sz w:val="28"/>
          <w:szCs w:val="28"/>
          <w:lang w:val="ru-RU"/>
        </w:rPr>
        <w:t xml:space="preserve">институциональная готовность: средняя (оценка 6/10). Созданы необходимые регуляторные органы (Национальное агентство по информационным технологиям и электронным коммуникациям – </w:t>
      </w:r>
      <w:r>
        <w:rPr>
          <w:color w:val="FF0000"/>
          <w:sz w:val="28"/>
          <w:szCs w:val="28"/>
        </w:rPr>
        <w:t>ANRTIC</w:t>
      </w:r>
      <w:r>
        <w:rPr>
          <w:color w:val="FF0000"/>
          <w:sz w:val="28"/>
          <w:szCs w:val="28"/>
          <w:lang w:val="ru-RU"/>
        </w:rPr>
        <w:t>), однако правовая база для защиты данных и регулирования цифровых платформ требует совершенствования;</w:t>
      </w:r>
      <w:r>
        <w:rPr>
          <w:rStyle w:val="C42"/>
          <w:color w:val="FF0000"/>
          <w:sz w:val="28"/>
          <w:szCs w:val="28"/>
          <w:lang w:val="ru-RU"/>
        </w:rPr>
        <w:footnoteReference w:id="84"/>
      </w:r>
    </w:p>
    <w:p>
      <w:pPr>
        <w:pStyle w:val="P15"/>
        <w:widowControl w:val="1"/>
        <w:numPr>
          <w:ilvl w:val="0"/>
          <w:numId w:val="25"/>
        </w:numPr>
        <w:tabs>
          <w:tab w:val="left" w:pos="993" w:leader="none"/>
        </w:tabs>
        <w:spacing w:lineRule="auto" w:line="360" w:beforeAutospacing="0" w:afterAutospacing="0"/>
        <w:ind w:firstLine="709" w:left="0"/>
        <w:contextualSpacing w:val="1"/>
        <w:jc w:val="both"/>
        <w:rPr>
          <w:color w:val="FF0000"/>
          <w:sz w:val="28"/>
          <w:szCs w:val="28"/>
          <w:lang w:val="ru-RU"/>
        </w:rPr>
      </w:pPr>
      <w:r>
        <w:rPr>
          <w:color w:val="FF0000"/>
          <w:sz w:val="28"/>
          <w:szCs w:val="28"/>
          <w:lang w:val="ru-RU"/>
        </w:rPr>
        <w:t>социальная готовность: средняя (оценка 6/10). Высокий уровень проникновения мобильных технологий сочетается с низкой цифровой грамотностью среди взрослого населения (особенно старше 45 лет) и значительным гендерным разрывом</w:t>
      </w:r>
      <w:r>
        <w:rPr>
          <w:rStyle w:val="C42"/>
          <w:color w:val="FF0000"/>
          <w:sz w:val="28"/>
          <w:szCs w:val="28"/>
          <w:lang w:val="ru-RU"/>
        </w:rPr>
        <w:footnoteReference w:id="85"/>
      </w:r>
      <w:r>
        <w:rPr>
          <w:color w:val="FF0000"/>
          <w:sz w:val="28"/>
          <w:szCs w:val="28"/>
          <w:lang w:val="ru-RU"/>
        </w:rPr>
        <w:t>.</w:t>
      </w:r>
    </w:p>
    <w:p>
      <w:pPr>
        <w:spacing w:lineRule="auto" w:line="360" w:after="0" w:beforeAutospacing="0" w:afterAutospacing="0"/>
        <w:jc w:val="both"/>
        <w:rPr>
          <w:rFonts w:ascii="Times New Roman" w:hAnsi="Times New Roman" w:cs="Times New Roman"/>
          <w:color w:val="FF0000"/>
          <w:sz w:val="28"/>
          <w:szCs w:val="28"/>
        </w:rPr>
      </w:pPr>
    </w:p>
    <w:p>
      <w:pPr>
        <w:spacing w:lineRule="auto" w:line="360" w:after="0" w:beforeAutospacing="0" w:afterAutospacing="0"/>
        <w:jc w:val="both"/>
        <w:rPr>
          <w:rFonts w:ascii="Times New Roman" w:hAnsi="Times New Roman" w:cs="Times New Roman"/>
          <w:color w:val="FF0000"/>
          <w:sz w:val="28"/>
          <w:szCs w:val="28"/>
        </w:rPr>
      </w:pPr>
      <w:r>
        <w:rPr>
          <w:rFonts w:ascii="Times New Roman" w:hAnsi="Times New Roman" w:cs="Times New Roman"/>
          <w:color w:val="FF0000"/>
          <w:sz w:val="28"/>
          <w:szCs w:val="28"/>
        </w:rPr>
        <w:t>Таблица 5 – Матрица готовности прибрежной зоны Кот-д'Ивуара к внедрению цифровых платформ</w:t>
      </w:r>
      <w:r>
        <w:rPr>
          <w:rStyle w:val="C42"/>
          <w:rFonts w:ascii="Times New Roman" w:hAnsi="Times New Roman" w:cs="Times New Roman"/>
          <w:color w:val="FF0000"/>
          <w:sz w:val="28"/>
          <w:szCs w:val="28"/>
        </w:rPr>
        <w:footnoteReference w:id="86"/>
      </w:r>
    </w:p>
    <w:tbl>
      <w:tblPr>
        <w:tblStyle w:val="T3"/>
        <w:tblW w:w="0" w:type="auto"/>
        <w:tblLook w:val="04A0"/>
      </w:tblPr>
      <w:tblGrid>
        <w:gridCol w:w="2268"/>
        <w:gridCol w:w="1076"/>
        <w:gridCol w:w="3738"/>
        <w:gridCol w:w="2830"/>
      </w:tblGrid>
      <w:tr>
        <w:tc>
          <w:tcPr>
            <w:tcW w:w="2268" w:type="dxa"/>
            <w:hideMark/>
          </w:tcPr>
          <w:p>
            <w:pPr>
              <w:jc w:val="both"/>
              <w:rPr>
                <w:rFonts w:ascii="Times New Roman" w:hAnsi="Times New Roman" w:cs="Times New Roman"/>
                <w:bCs w:val="1"/>
                <w:color w:val="FF0000"/>
              </w:rPr>
            </w:pPr>
            <w:r>
              <w:rPr>
                <w:rFonts w:ascii="Times New Roman" w:hAnsi="Times New Roman" w:cs="Times New Roman"/>
                <w:bCs w:val="1"/>
                <w:color w:val="FF0000"/>
              </w:rPr>
              <w:t>Критерий готовности</w:t>
            </w:r>
          </w:p>
        </w:tc>
        <w:tc>
          <w:tcPr>
            <w:tcW w:w="0" w:type="auto"/>
            <w:hideMark/>
          </w:tcPr>
          <w:p>
            <w:pPr>
              <w:jc w:val="center"/>
              <w:rPr>
                <w:rFonts w:ascii="Times New Roman" w:hAnsi="Times New Roman" w:cs="Times New Roman"/>
                <w:bCs w:val="1"/>
                <w:color w:val="FF0000"/>
              </w:rPr>
            </w:pPr>
            <w:r>
              <w:rPr>
                <w:rFonts w:ascii="Times New Roman" w:hAnsi="Times New Roman" w:cs="Times New Roman"/>
                <w:bCs w:val="1"/>
                <w:color w:val="FF0000"/>
              </w:rPr>
              <w:t>Оценка (0–10)</w:t>
            </w:r>
          </w:p>
        </w:tc>
        <w:tc>
          <w:tcPr>
            <w:tcW w:w="0" w:type="auto"/>
            <w:hideMark/>
          </w:tcPr>
          <w:p>
            <w:pPr>
              <w:jc w:val="center"/>
              <w:rPr>
                <w:rFonts w:ascii="Times New Roman" w:hAnsi="Times New Roman" w:cs="Times New Roman"/>
                <w:bCs w:val="1"/>
                <w:color w:val="FF0000"/>
              </w:rPr>
            </w:pPr>
            <w:r>
              <w:rPr>
                <w:rFonts w:ascii="Times New Roman" w:hAnsi="Times New Roman" w:cs="Times New Roman"/>
                <w:bCs w:val="1"/>
                <w:color w:val="FF0000"/>
              </w:rPr>
              <w:t>Сильные стороны</w:t>
            </w:r>
          </w:p>
        </w:tc>
        <w:tc>
          <w:tcPr>
            <w:tcW w:w="2830" w:type="dxa"/>
            <w:hideMark/>
          </w:tcPr>
          <w:p>
            <w:pPr>
              <w:jc w:val="center"/>
              <w:rPr>
                <w:rFonts w:ascii="Times New Roman" w:hAnsi="Times New Roman" w:cs="Times New Roman"/>
                <w:bCs w:val="1"/>
                <w:color w:val="FF0000"/>
              </w:rPr>
            </w:pPr>
            <w:r>
              <w:rPr>
                <w:rFonts w:ascii="Times New Roman" w:hAnsi="Times New Roman" w:cs="Times New Roman"/>
                <w:bCs w:val="1"/>
                <w:color w:val="FF0000"/>
              </w:rPr>
              <w:t>Слабые стороны</w:t>
            </w:r>
          </w:p>
        </w:tc>
      </w:tr>
      <w:tr>
        <w:tc>
          <w:tcPr>
            <w:tcW w:w="2268" w:type="dxa"/>
            <w:hideMark/>
          </w:tcPr>
          <w:p>
            <w:pPr>
              <w:jc w:val="both"/>
              <w:rPr>
                <w:rFonts w:ascii="Times New Roman" w:hAnsi="Times New Roman" w:cs="Times New Roman"/>
                <w:color w:val="FF0000"/>
              </w:rPr>
            </w:pPr>
            <w:r>
              <w:rPr>
                <w:rFonts w:ascii="Times New Roman" w:hAnsi="Times New Roman" w:cs="Times New Roman"/>
                <w:color w:val="FF0000"/>
              </w:rPr>
              <w:t>Инфраструктурная база</w:t>
            </w:r>
          </w:p>
        </w:tc>
        <w:tc>
          <w:tcPr>
            <w:tcW w:w="0" w:type="auto"/>
            <w:hideMark/>
          </w:tcPr>
          <w:p>
            <w:pPr>
              <w:jc w:val="center"/>
              <w:rPr>
                <w:rFonts w:ascii="Times New Roman" w:hAnsi="Times New Roman" w:cs="Times New Roman"/>
                <w:color w:val="FF0000"/>
              </w:rPr>
            </w:pPr>
            <w:r>
              <w:rPr>
                <w:rFonts w:ascii="Times New Roman" w:hAnsi="Times New Roman" w:cs="Times New Roman"/>
                <w:color w:val="FF0000"/>
              </w:rPr>
              <w:t>8</w:t>
            </w:r>
          </w:p>
        </w:tc>
        <w:tc>
          <w:tcPr>
            <w:tcW w:w="0" w:type="auto"/>
            <w:hideMark/>
          </w:tcPr>
          <w:p>
            <w:pPr>
              <w:jc w:val="both"/>
              <w:rPr>
                <w:rFonts w:ascii="Times New Roman" w:hAnsi="Times New Roman" w:cs="Times New Roman"/>
                <w:color w:val="FF0000"/>
              </w:rPr>
            </w:pPr>
            <w:r>
              <w:rPr>
                <w:rFonts w:ascii="Times New Roman" w:hAnsi="Times New Roman" w:cs="Times New Roman"/>
                <w:color w:val="FF0000"/>
              </w:rPr>
              <w:t>Развитая оптоволоконная сеть, высокое покрытие 4G/5G, наличие дата-центров</w:t>
            </w:r>
          </w:p>
        </w:tc>
        <w:tc>
          <w:tcPr>
            <w:tcW w:w="2830" w:type="dxa"/>
            <w:hideMark/>
          </w:tcPr>
          <w:p>
            <w:pPr>
              <w:jc w:val="both"/>
              <w:rPr>
                <w:rFonts w:ascii="Times New Roman" w:hAnsi="Times New Roman" w:cs="Times New Roman"/>
                <w:color w:val="FF0000"/>
              </w:rPr>
            </w:pPr>
            <w:r>
              <w:rPr>
                <w:rFonts w:ascii="Times New Roman" w:hAnsi="Times New Roman" w:cs="Times New Roman"/>
                <w:color w:val="FF0000"/>
              </w:rPr>
              <w:t>Неравномерное качество связи в периферийных прибрежных районах</w:t>
            </w:r>
          </w:p>
        </w:tc>
      </w:tr>
      <w:tr>
        <w:tc>
          <w:tcPr>
            <w:tcW w:w="2268" w:type="dxa"/>
            <w:hideMark/>
          </w:tcPr>
          <w:p>
            <w:pPr>
              <w:jc w:val="both"/>
              <w:rPr>
                <w:rFonts w:ascii="Times New Roman" w:hAnsi="Times New Roman" w:cs="Times New Roman"/>
                <w:color w:val="FF0000"/>
              </w:rPr>
            </w:pPr>
            <w:r>
              <w:rPr>
                <w:rFonts w:ascii="Times New Roman" w:hAnsi="Times New Roman" w:cs="Times New Roman"/>
                <w:color w:val="FF0000"/>
              </w:rPr>
              <w:t>Кадровый потенциал</w:t>
            </w:r>
          </w:p>
        </w:tc>
        <w:tc>
          <w:tcPr>
            <w:tcW w:w="0" w:type="auto"/>
            <w:hideMark/>
          </w:tcPr>
          <w:p>
            <w:pPr>
              <w:jc w:val="center"/>
              <w:rPr>
                <w:rFonts w:ascii="Times New Roman" w:hAnsi="Times New Roman" w:cs="Times New Roman"/>
                <w:color w:val="FF0000"/>
              </w:rPr>
            </w:pPr>
            <w:r>
              <w:rPr>
                <w:rFonts w:ascii="Times New Roman" w:hAnsi="Times New Roman" w:cs="Times New Roman"/>
                <w:color w:val="FF0000"/>
              </w:rPr>
              <w:t>5</w:t>
            </w:r>
          </w:p>
        </w:tc>
        <w:tc>
          <w:tcPr>
            <w:tcW w:w="0" w:type="auto"/>
            <w:hideMark/>
          </w:tcPr>
          <w:p>
            <w:pPr>
              <w:jc w:val="both"/>
              <w:rPr>
                <w:rFonts w:ascii="Times New Roman" w:hAnsi="Times New Roman" w:cs="Times New Roman"/>
                <w:color w:val="FF0000"/>
              </w:rPr>
            </w:pPr>
            <w:r>
              <w:rPr>
                <w:rFonts w:ascii="Times New Roman" w:hAnsi="Times New Roman" w:cs="Times New Roman"/>
                <w:color w:val="FF0000"/>
              </w:rPr>
              <w:t>Высокий уровень образования молодежи, динамичный рынок труда</w:t>
            </w:r>
          </w:p>
        </w:tc>
        <w:tc>
          <w:tcPr>
            <w:tcW w:w="2830" w:type="dxa"/>
            <w:hideMark/>
          </w:tcPr>
          <w:p>
            <w:pPr>
              <w:jc w:val="both"/>
              <w:rPr>
                <w:rFonts w:ascii="Times New Roman" w:hAnsi="Times New Roman" w:cs="Times New Roman"/>
                <w:color w:val="FF0000"/>
              </w:rPr>
            </w:pPr>
            <w:r>
              <w:rPr>
                <w:rFonts w:ascii="Times New Roman" w:hAnsi="Times New Roman" w:cs="Times New Roman"/>
                <w:color w:val="FF0000"/>
              </w:rPr>
              <w:t>Дефицит узкоспециализированных ИТ-кадров, низкая доля женщин в ИТ</w:t>
            </w:r>
          </w:p>
        </w:tc>
      </w:tr>
      <w:tr>
        <w:tc>
          <w:tcPr>
            <w:tcW w:w="2268" w:type="dxa"/>
            <w:hideMark/>
          </w:tcPr>
          <w:p>
            <w:pPr>
              <w:jc w:val="both"/>
              <w:rPr>
                <w:rFonts w:ascii="Times New Roman" w:hAnsi="Times New Roman" w:cs="Times New Roman"/>
                <w:color w:val="FF0000"/>
              </w:rPr>
            </w:pPr>
            <w:r>
              <w:rPr>
                <w:rFonts w:ascii="Times New Roman" w:hAnsi="Times New Roman" w:cs="Times New Roman"/>
                <w:color w:val="FF0000"/>
              </w:rPr>
              <w:t>Институциональная среда</w:t>
            </w:r>
          </w:p>
        </w:tc>
        <w:tc>
          <w:tcPr>
            <w:tcW w:w="0" w:type="auto"/>
            <w:hideMark/>
          </w:tcPr>
          <w:p>
            <w:pPr>
              <w:jc w:val="center"/>
              <w:rPr>
                <w:rFonts w:ascii="Times New Roman" w:hAnsi="Times New Roman" w:cs="Times New Roman"/>
                <w:color w:val="FF0000"/>
              </w:rPr>
            </w:pPr>
            <w:r>
              <w:rPr>
                <w:rFonts w:ascii="Times New Roman" w:hAnsi="Times New Roman" w:cs="Times New Roman"/>
                <w:color w:val="FF0000"/>
              </w:rPr>
              <w:t>6</w:t>
            </w:r>
          </w:p>
        </w:tc>
        <w:tc>
          <w:tcPr>
            <w:tcW w:w="0" w:type="auto"/>
            <w:hideMark/>
          </w:tcPr>
          <w:p>
            <w:pPr>
              <w:jc w:val="both"/>
              <w:rPr>
                <w:rFonts w:ascii="Times New Roman" w:hAnsi="Times New Roman" w:cs="Times New Roman"/>
                <w:color w:val="FF0000"/>
              </w:rPr>
            </w:pPr>
            <w:r>
              <w:rPr>
                <w:rFonts w:ascii="Times New Roman" w:hAnsi="Times New Roman" w:cs="Times New Roman"/>
                <w:color w:val="FF0000"/>
              </w:rPr>
              <w:t>Созданы профильные регуляторы, принят ряд стратегических документов</w:t>
            </w:r>
          </w:p>
        </w:tc>
        <w:tc>
          <w:tcPr>
            <w:tcW w:w="2830" w:type="dxa"/>
            <w:hideMark/>
          </w:tcPr>
          <w:p>
            <w:pPr>
              <w:jc w:val="both"/>
              <w:rPr>
                <w:rFonts w:ascii="Times New Roman" w:hAnsi="Times New Roman" w:cs="Times New Roman"/>
                <w:color w:val="FF0000"/>
              </w:rPr>
            </w:pPr>
            <w:r>
              <w:rPr>
                <w:rFonts w:ascii="Times New Roman" w:hAnsi="Times New Roman" w:cs="Times New Roman"/>
                <w:color w:val="FF0000"/>
              </w:rPr>
              <w:t>Недостаточная правовая база для защиты данных, слабая межведомственная координация</w:t>
            </w:r>
          </w:p>
        </w:tc>
      </w:tr>
      <w:tr>
        <w:tc>
          <w:tcPr>
            <w:tcW w:w="2268" w:type="dxa"/>
            <w:hideMark/>
          </w:tcPr>
          <w:p>
            <w:pPr>
              <w:jc w:val="both"/>
              <w:rPr>
                <w:rFonts w:ascii="Times New Roman" w:hAnsi="Times New Roman" w:cs="Times New Roman"/>
                <w:color w:val="FF0000"/>
              </w:rPr>
            </w:pPr>
            <w:r>
              <w:rPr>
                <w:rFonts w:ascii="Times New Roman" w:hAnsi="Times New Roman" w:cs="Times New Roman"/>
                <w:color w:val="FF0000"/>
              </w:rPr>
              <w:t>Социальная адаптация</w:t>
            </w:r>
          </w:p>
        </w:tc>
        <w:tc>
          <w:tcPr>
            <w:tcW w:w="0" w:type="auto"/>
            <w:hideMark/>
          </w:tcPr>
          <w:p>
            <w:pPr>
              <w:jc w:val="center"/>
              <w:rPr>
                <w:rFonts w:ascii="Times New Roman" w:hAnsi="Times New Roman" w:cs="Times New Roman"/>
                <w:color w:val="FF0000"/>
              </w:rPr>
            </w:pPr>
            <w:r>
              <w:rPr>
                <w:rFonts w:ascii="Times New Roman" w:hAnsi="Times New Roman" w:cs="Times New Roman"/>
                <w:color w:val="FF0000"/>
              </w:rPr>
              <w:t>6</w:t>
            </w:r>
          </w:p>
        </w:tc>
        <w:tc>
          <w:tcPr>
            <w:tcW w:w="0" w:type="auto"/>
            <w:hideMark/>
          </w:tcPr>
          <w:p>
            <w:pPr>
              <w:jc w:val="both"/>
              <w:rPr>
                <w:rFonts w:ascii="Times New Roman" w:hAnsi="Times New Roman" w:cs="Times New Roman"/>
                <w:color w:val="FF0000"/>
              </w:rPr>
            </w:pPr>
            <w:r>
              <w:rPr>
                <w:rFonts w:ascii="Times New Roman" w:hAnsi="Times New Roman" w:cs="Times New Roman"/>
                <w:color w:val="FF0000"/>
              </w:rPr>
              <w:t xml:space="preserve">Высокая проникновенность мобильных технологий, активное использование </w:t>
            </w:r>
            <w:r>
              <w:rPr>
                <w:rFonts w:ascii="Times New Roman" w:hAnsi="Times New Roman" w:cs="Times New Roman"/>
                <w:i w:val="1"/>
                <w:iCs w:val="1"/>
                <w:color w:val="FF0000"/>
              </w:rPr>
              <w:t>Mobile Money</w:t>
            </w:r>
          </w:p>
        </w:tc>
        <w:tc>
          <w:tcPr>
            <w:tcW w:w="2830" w:type="dxa"/>
            <w:hideMark/>
          </w:tcPr>
          <w:p>
            <w:pPr>
              <w:jc w:val="both"/>
              <w:rPr>
                <w:rFonts w:ascii="Times New Roman" w:hAnsi="Times New Roman" w:cs="Times New Roman"/>
                <w:color w:val="FF0000"/>
              </w:rPr>
            </w:pPr>
            <w:r>
              <w:rPr>
                <w:rFonts w:ascii="Times New Roman" w:hAnsi="Times New Roman" w:cs="Times New Roman"/>
                <w:color w:val="FF0000"/>
              </w:rPr>
              <w:t>Низкая цифровая грамотность взрослого населения, гендерный разрыв</w:t>
            </w:r>
          </w:p>
        </w:tc>
      </w:tr>
      <w:tr>
        <w:tc>
          <w:tcPr>
            <w:tcW w:w="2268" w:type="dxa"/>
            <w:hideMark/>
          </w:tcPr>
          <w:p>
            <w:pPr>
              <w:jc w:val="both"/>
              <w:rPr>
                <w:rFonts w:ascii="Times New Roman" w:hAnsi="Times New Roman" w:cs="Times New Roman"/>
                <w:color w:val="FF0000"/>
              </w:rPr>
            </w:pPr>
            <w:r>
              <w:rPr>
                <w:rFonts w:ascii="Times New Roman" w:hAnsi="Times New Roman" w:cs="Times New Roman"/>
                <w:color w:val="FF0000"/>
              </w:rPr>
              <w:t>Финансовая устойчивость</w:t>
            </w:r>
          </w:p>
        </w:tc>
        <w:tc>
          <w:tcPr>
            <w:tcW w:w="0" w:type="auto"/>
            <w:hideMark/>
          </w:tcPr>
          <w:p>
            <w:pPr>
              <w:jc w:val="center"/>
              <w:rPr>
                <w:rFonts w:ascii="Times New Roman" w:hAnsi="Times New Roman" w:cs="Times New Roman"/>
                <w:color w:val="FF0000"/>
              </w:rPr>
            </w:pPr>
            <w:r>
              <w:rPr>
                <w:rFonts w:ascii="Times New Roman" w:hAnsi="Times New Roman" w:cs="Times New Roman"/>
                <w:color w:val="FF0000"/>
              </w:rPr>
              <w:t>7</w:t>
            </w:r>
          </w:p>
        </w:tc>
        <w:tc>
          <w:tcPr>
            <w:tcW w:w="0" w:type="auto"/>
            <w:hideMark/>
          </w:tcPr>
          <w:p>
            <w:pPr>
              <w:jc w:val="both"/>
              <w:rPr>
                <w:rFonts w:ascii="Times New Roman" w:hAnsi="Times New Roman" w:cs="Times New Roman"/>
                <w:color w:val="FF0000"/>
              </w:rPr>
            </w:pPr>
            <w:r>
              <w:rPr>
                <w:rFonts w:ascii="Times New Roman" w:hAnsi="Times New Roman" w:cs="Times New Roman"/>
                <w:color w:val="FF0000"/>
              </w:rPr>
              <w:t>Растущие инвестиции в ИКТ (4–5% ВВП), участие частного сектора</w:t>
            </w:r>
          </w:p>
        </w:tc>
        <w:tc>
          <w:tcPr>
            <w:tcW w:w="2830" w:type="dxa"/>
            <w:hideMark/>
          </w:tcPr>
          <w:p>
            <w:pPr>
              <w:jc w:val="both"/>
              <w:rPr>
                <w:rFonts w:ascii="Times New Roman" w:hAnsi="Times New Roman" w:cs="Times New Roman"/>
                <w:color w:val="FF0000"/>
              </w:rPr>
            </w:pPr>
            <w:r>
              <w:rPr>
                <w:rFonts w:ascii="Times New Roman" w:hAnsi="Times New Roman" w:cs="Times New Roman"/>
                <w:color w:val="FF0000"/>
              </w:rPr>
              <w:t>Зависимость от внешнего финансирования, ограниченные бюджетные ресурсы на поддержку</w:t>
            </w:r>
          </w:p>
        </w:tc>
      </w:tr>
    </w:tbl>
    <w:p>
      <w:pPr>
        <w:spacing w:lineRule="auto" w:line="360" w:after="0" w:beforeAutospacing="0" w:afterAutospacing="0"/>
        <w:ind w:firstLine="709"/>
        <w:jc w:val="both"/>
        <w:rPr>
          <w:rFonts w:ascii="Times New Roman" w:hAnsi="Times New Roman" w:cs="Times New Roman"/>
          <w:color w:val="FF0000"/>
          <w:sz w:val="28"/>
          <w:szCs w:val="28"/>
        </w:rPr>
      </w:pPr>
    </w:p>
    <w:p>
      <w:pPr>
        <w:widowControl w:val="0"/>
        <w:spacing w:lineRule="auto" w:line="360" w:after="0" w:beforeAutospacing="0" w:afterAutospacing="0"/>
        <w:ind w:firstLine="709"/>
        <w:jc w:val="both"/>
        <w:rPr>
          <w:rFonts w:ascii="Times New Roman" w:hAnsi="Times New Roman" w:cs="Times New Roman"/>
          <w:color w:val="FF0000"/>
          <w:sz w:val="28"/>
          <w:szCs w:val="28"/>
        </w:rPr>
      </w:pPr>
      <w:r>
        <w:rPr>
          <w:rFonts w:ascii="Times New Roman" w:hAnsi="Times New Roman" w:cs="Times New Roman"/>
          <w:color w:val="FF0000"/>
          <w:sz w:val="28"/>
          <w:szCs w:val="28"/>
        </w:rPr>
        <w:t>На основе анализа доступных данных ЦУР (центра управления развитием – республики) можно выделить следующие типы угроз, связанные с реализацией данной траектории инновационно-инклюзивного развития:</w:t>
      </w:r>
    </w:p>
    <w:p>
      <w:pPr>
        <w:widowControl w:val="0"/>
        <w:spacing w:lineRule="auto" w:line="360" w:after="0" w:beforeAutospacing="0" w:afterAutospacing="0"/>
        <w:ind w:firstLine="709"/>
        <w:jc w:val="both"/>
        <w:rPr>
          <w:rFonts w:ascii="Times New Roman" w:hAnsi="Times New Roman" w:cs="Times New Roman"/>
          <w:color w:val="FF0000"/>
          <w:sz w:val="28"/>
          <w:szCs w:val="28"/>
        </w:rPr>
      </w:pPr>
      <w:r>
        <w:rPr>
          <w:rFonts w:ascii="Times New Roman" w:hAnsi="Times New Roman" w:cs="Times New Roman"/>
          <w:color w:val="FF0000"/>
          <w:sz w:val="28"/>
          <w:szCs w:val="28"/>
        </w:rPr>
        <w:t>1.Технологические риски и кибербезопасность:</w:t>
      </w:r>
    </w:p>
    <w:p>
      <w:pPr>
        <w:pStyle w:val="P15"/>
        <w:widowControl w:val="1"/>
        <w:numPr>
          <w:ilvl w:val="0"/>
          <w:numId w:val="25"/>
        </w:numPr>
        <w:tabs>
          <w:tab w:val="left" w:pos="1134" w:leader="none"/>
        </w:tabs>
        <w:spacing w:lineRule="auto" w:line="360" w:beforeAutospacing="0" w:afterAutospacing="0"/>
        <w:ind w:firstLine="1134" w:left="0"/>
        <w:contextualSpacing w:val="1"/>
        <w:jc w:val="both"/>
        <w:rPr>
          <w:color w:val="FF0000"/>
          <w:sz w:val="28"/>
          <w:szCs w:val="28"/>
          <w:lang w:val="ru-RU"/>
        </w:rPr>
      </w:pPr>
      <w:r>
        <w:rPr>
          <w:color w:val="FF0000"/>
          <w:sz w:val="28"/>
          <w:szCs w:val="28"/>
          <w:lang w:val="ru-RU"/>
        </w:rPr>
        <w:t>уязвимость кибератакам: по данным Национального агентства по кибербезопасности, количество зафиксированных кибератак на критическую инфраструктуру прибрежных регионов выросло на 67% в 2023–2024 гг.</w:t>
      </w:r>
      <w:r>
        <w:rPr>
          <w:rStyle w:val="C42"/>
          <w:color w:val="FF0000"/>
          <w:sz w:val="28"/>
          <w:szCs w:val="28"/>
          <w:lang w:val="ru-RU"/>
        </w:rPr>
        <w:footnoteReference w:id="87"/>
      </w:r>
      <w:r>
        <w:rPr>
          <w:color w:val="FF0000"/>
          <w:sz w:val="28"/>
          <w:szCs w:val="28"/>
          <w:lang w:val="ru-RU"/>
        </w:rPr>
        <w:t xml:space="preserve"> Отсутствие специалистов по кибербезопасности (дефицит 84%) создает серьезные риски для функционирования цифровых платформ;</w:t>
      </w:r>
    </w:p>
    <w:p>
      <w:pPr>
        <w:pStyle w:val="P15"/>
        <w:widowControl w:val="1"/>
        <w:numPr>
          <w:ilvl w:val="0"/>
          <w:numId w:val="25"/>
        </w:numPr>
        <w:tabs>
          <w:tab w:val="left" w:pos="1134" w:leader="none"/>
        </w:tabs>
        <w:spacing w:lineRule="auto" w:line="360" w:beforeAutospacing="0" w:afterAutospacing="0"/>
        <w:ind w:firstLine="1134" w:left="0"/>
        <w:contextualSpacing w:val="1"/>
        <w:jc w:val="both"/>
        <w:rPr>
          <w:color w:val="FF0000"/>
          <w:sz w:val="28"/>
          <w:szCs w:val="28"/>
          <w:lang w:val="ru-RU"/>
        </w:rPr>
      </w:pPr>
      <w:r>
        <w:rPr>
          <w:color w:val="FF0000"/>
          <w:sz w:val="28"/>
          <w:szCs w:val="28"/>
          <w:lang w:val="ru-RU"/>
        </w:rPr>
        <w:t>зависимость от иностранных технологий: более 90% программного обеспечения и оборудования для цифровой инфраструктуры импортируется, что создает риски технологической зависимости и перебоев в поставках</w:t>
      </w:r>
      <w:r>
        <w:rPr>
          <w:rStyle w:val="C42"/>
          <w:color w:val="FF0000"/>
          <w:sz w:val="28"/>
          <w:szCs w:val="28"/>
          <w:lang w:val="ru-RU"/>
        </w:rPr>
        <w:footnoteReference w:id="88"/>
      </w:r>
      <w:r>
        <w:rPr>
          <w:color w:val="FF0000"/>
          <w:sz w:val="28"/>
          <w:szCs w:val="28"/>
          <w:lang w:val="ru-RU"/>
        </w:rPr>
        <w:t>.</w:t>
      </w:r>
    </w:p>
    <w:p>
      <w:pPr>
        <w:tabs>
          <w:tab w:val="left" w:pos="1134" w:leader="none"/>
        </w:tabs>
        <w:spacing w:lineRule="auto" w:line="360" w:after="0" w:beforeAutospacing="0" w:afterAutospacing="0"/>
        <w:ind w:firstLine="709"/>
        <w:jc w:val="both"/>
        <w:rPr>
          <w:rFonts w:ascii="Times New Roman" w:hAnsi="Times New Roman" w:cs="Times New Roman"/>
          <w:bCs w:val="1"/>
          <w:color w:val="FF0000"/>
          <w:sz w:val="28"/>
          <w:szCs w:val="28"/>
        </w:rPr>
      </w:pPr>
      <w:r>
        <w:rPr>
          <w:rFonts w:ascii="Times New Roman" w:hAnsi="Times New Roman" w:cs="Times New Roman"/>
          <w:bCs w:val="1"/>
          <w:color w:val="FF0000"/>
          <w:sz w:val="28"/>
          <w:szCs w:val="28"/>
        </w:rPr>
        <w:t>2. Социально-экономические риски:</w:t>
      </w:r>
    </w:p>
    <w:p>
      <w:pPr>
        <w:pStyle w:val="P15"/>
        <w:widowControl w:val="1"/>
        <w:numPr>
          <w:ilvl w:val="0"/>
          <w:numId w:val="25"/>
        </w:numPr>
        <w:tabs>
          <w:tab w:val="left" w:pos="1134" w:leader="none"/>
        </w:tabs>
        <w:spacing w:lineRule="auto" w:line="360" w:beforeAutospacing="0" w:afterAutospacing="0"/>
        <w:ind w:firstLine="1134" w:left="0"/>
        <w:contextualSpacing w:val="1"/>
        <w:jc w:val="both"/>
        <w:rPr>
          <w:color w:val="FF0000"/>
          <w:sz w:val="28"/>
          <w:szCs w:val="28"/>
          <w:lang w:val="ru-RU"/>
        </w:rPr>
      </w:pPr>
      <w:r>
        <w:rPr>
          <w:color w:val="FF0000"/>
          <w:sz w:val="28"/>
          <w:szCs w:val="28"/>
          <w:lang w:val="ru-RU"/>
        </w:rPr>
        <w:t>цифровое неравенство: несмотря на общую высокую проникновенность технологий, в прибрежной зоне сохраняются «цифровые пустыни» – бедные кварталы (например, Якопо в Абиджане), где доступ к интернету имеют менее 30% жителей</w:t>
      </w:r>
      <w:r>
        <w:rPr>
          <w:rStyle w:val="C42"/>
          <w:color w:val="FF0000"/>
          <w:sz w:val="28"/>
          <w:szCs w:val="28"/>
          <w:lang w:val="ru-RU"/>
        </w:rPr>
        <w:footnoteReference w:id="89"/>
      </w:r>
      <w:r>
        <w:rPr>
          <w:color w:val="FF0000"/>
          <w:sz w:val="28"/>
          <w:szCs w:val="28"/>
          <w:lang w:val="ru-RU"/>
        </w:rPr>
        <w:t>. Массовое внедрение цифровых платформ без учета этого фактора может усилить социальное расслоение;</w:t>
      </w:r>
    </w:p>
    <w:p>
      <w:pPr>
        <w:pStyle w:val="P15"/>
        <w:widowControl w:val="1"/>
        <w:numPr>
          <w:ilvl w:val="0"/>
          <w:numId w:val="25"/>
        </w:numPr>
        <w:tabs>
          <w:tab w:val="left" w:pos="1134" w:leader="none"/>
        </w:tabs>
        <w:spacing w:lineRule="auto" w:line="360" w:beforeAutospacing="0" w:afterAutospacing="0"/>
        <w:ind w:firstLine="1134" w:left="0"/>
        <w:contextualSpacing w:val="1"/>
        <w:jc w:val="both"/>
        <w:rPr>
          <w:color w:val="FF0000"/>
          <w:sz w:val="28"/>
          <w:szCs w:val="28"/>
          <w:lang w:val="ru-RU"/>
        </w:rPr>
      </w:pPr>
      <w:r>
        <w:rPr>
          <w:color w:val="FF0000"/>
          <w:sz w:val="28"/>
          <w:szCs w:val="28"/>
          <w:lang w:val="ru-RU"/>
        </w:rPr>
        <w:t>потеря рабочих мест: автоматизация административных и логистических процессов может привести к сокращению до 120 000 рабочих мест в прибрежных регионах к 2030 г., особенно среди работников с низкой квалификацией</w:t>
      </w:r>
      <w:r>
        <w:rPr>
          <w:rStyle w:val="C42"/>
          <w:color w:val="FF0000"/>
          <w:sz w:val="28"/>
          <w:szCs w:val="28"/>
          <w:lang w:val="ru-RU"/>
        </w:rPr>
        <w:footnoteReference w:id="90"/>
      </w:r>
      <w:r>
        <w:rPr>
          <w:color w:val="FF0000"/>
          <w:sz w:val="28"/>
          <w:szCs w:val="28"/>
          <w:lang w:val="ru-RU"/>
        </w:rPr>
        <w:t>;</w:t>
      </w:r>
    </w:p>
    <w:p>
      <w:pPr>
        <w:pStyle w:val="P15"/>
        <w:widowControl w:val="1"/>
        <w:numPr>
          <w:ilvl w:val="0"/>
          <w:numId w:val="25"/>
        </w:numPr>
        <w:tabs>
          <w:tab w:val="left" w:pos="1134" w:leader="none"/>
        </w:tabs>
        <w:spacing w:lineRule="auto" w:line="360" w:beforeAutospacing="0" w:afterAutospacing="0"/>
        <w:ind w:firstLine="1134" w:left="0"/>
        <w:contextualSpacing w:val="1"/>
        <w:jc w:val="both"/>
        <w:rPr>
          <w:color w:val="FF0000"/>
          <w:sz w:val="28"/>
          <w:szCs w:val="28"/>
          <w:lang w:val="ru-RU"/>
        </w:rPr>
      </w:pPr>
      <w:r>
        <w:rPr>
          <w:color w:val="FF0000"/>
          <w:sz w:val="28"/>
          <w:szCs w:val="28"/>
          <w:lang w:val="ru-RU"/>
        </w:rPr>
        <w:t>гендерная маргинализация: при сохранении текущих тенденций женщины могут быть вытеснены из формального сектора экономики в результате цифровой трансформации, так как их доля в секторе ИКТ остается низкой</w:t>
      </w:r>
      <w:r>
        <w:rPr>
          <w:rStyle w:val="C42"/>
          <w:color w:val="FF0000"/>
          <w:sz w:val="28"/>
          <w:szCs w:val="28"/>
          <w:lang w:val="ru-RU"/>
        </w:rPr>
        <w:footnoteReference w:id="91"/>
      </w:r>
      <w:r>
        <w:rPr>
          <w:color w:val="FF0000"/>
          <w:sz w:val="28"/>
          <w:szCs w:val="28"/>
          <w:lang w:val="ru-RU"/>
        </w:rPr>
        <w:t>.</w:t>
      </w:r>
    </w:p>
    <w:p>
      <w:pPr>
        <w:tabs>
          <w:tab w:val="left" w:pos="1134" w:leader="none"/>
        </w:tabs>
        <w:spacing w:lineRule="auto" w:line="360" w:after="0" w:beforeAutospacing="0" w:afterAutospacing="0"/>
        <w:ind w:firstLine="709"/>
        <w:jc w:val="both"/>
        <w:rPr>
          <w:rFonts w:ascii="Times New Roman" w:hAnsi="Times New Roman" w:cs="Times New Roman"/>
          <w:bCs w:val="1"/>
          <w:color w:val="FF0000"/>
          <w:sz w:val="28"/>
          <w:szCs w:val="28"/>
        </w:rPr>
      </w:pPr>
      <w:r>
        <w:rPr>
          <w:rFonts w:ascii="Times New Roman" w:hAnsi="Times New Roman" w:cs="Times New Roman"/>
          <w:bCs w:val="1"/>
          <w:color w:val="FF0000"/>
          <w:sz w:val="28"/>
          <w:szCs w:val="28"/>
        </w:rPr>
        <w:t>3. Институциональные и правовые риски:</w:t>
      </w:r>
    </w:p>
    <w:p>
      <w:pPr>
        <w:pStyle w:val="P15"/>
        <w:widowControl w:val="1"/>
        <w:numPr>
          <w:ilvl w:val="0"/>
          <w:numId w:val="25"/>
        </w:numPr>
        <w:tabs>
          <w:tab w:val="left" w:pos="1134" w:leader="none"/>
        </w:tabs>
        <w:spacing w:lineRule="auto" w:line="360" w:beforeAutospacing="0" w:afterAutospacing="0"/>
        <w:ind w:firstLine="1134" w:left="0"/>
        <w:contextualSpacing w:val="1"/>
        <w:jc w:val="both"/>
        <w:rPr>
          <w:color w:val="FF0000"/>
          <w:sz w:val="28"/>
          <w:szCs w:val="28"/>
          <w:lang w:val="ru-RU"/>
        </w:rPr>
      </w:pPr>
      <w:r>
        <w:rPr>
          <w:color w:val="FF0000"/>
          <w:sz w:val="28"/>
          <w:szCs w:val="28"/>
          <w:lang w:val="ru-RU"/>
        </w:rPr>
        <w:t>слабость регуляторной базы: отсутствие полноценного законодательства о защите персональных данных (проект закона находится на рассмотрении с 2022 г.) создает риски для конфиденциальности пользователей цифровых платформ</w:t>
      </w:r>
      <w:r>
        <w:rPr>
          <w:rStyle w:val="C42"/>
          <w:color w:val="FF0000"/>
          <w:sz w:val="28"/>
          <w:szCs w:val="28"/>
          <w:lang w:val="ru-RU"/>
        </w:rPr>
        <w:footnoteReference w:id="92"/>
      </w:r>
      <w:r>
        <w:rPr>
          <w:color w:val="FF0000"/>
          <w:sz w:val="28"/>
          <w:szCs w:val="28"/>
          <w:lang w:val="ru-RU"/>
        </w:rPr>
        <w:t>;</w:t>
      </w:r>
    </w:p>
    <w:p>
      <w:pPr>
        <w:pStyle w:val="P15"/>
        <w:widowControl w:val="1"/>
        <w:numPr>
          <w:ilvl w:val="0"/>
          <w:numId w:val="25"/>
        </w:numPr>
        <w:tabs>
          <w:tab w:val="left" w:pos="1134" w:leader="none"/>
        </w:tabs>
        <w:spacing w:lineRule="auto" w:line="360" w:beforeAutospacing="0" w:afterAutospacing="0"/>
        <w:ind w:firstLine="1134" w:left="0"/>
        <w:contextualSpacing w:val="1"/>
        <w:jc w:val="both"/>
        <w:rPr>
          <w:color w:val="FF0000"/>
          <w:sz w:val="28"/>
          <w:szCs w:val="28"/>
          <w:lang w:val="ru-RU"/>
        </w:rPr>
      </w:pPr>
      <w:r>
        <w:rPr>
          <w:color w:val="FF0000"/>
          <w:sz w:val="28"/>
          <w:szCs w:val="28"/>
          <w:lang w:val="ru-RU"/>
        </w:rPr>
        <w:t xml:space="preserve">коррупция и неэффективность управления: по индексу восприятия коррупции </w:t>
      </w:r>
      <w:r>
        <w:rPr>
          <w:color w:val="FF0000"/>
          <w:sz w:val="28"/>
          <w:szCs w:val="28"/>
        </w:rPr>
        <w:t>Transparency</w:t>
      </w:r>
      <w:r>
        <w:rPr>
          <w:color w:val="FF0000"/>
          <w:sz w:val="28"/>
          <w:szCs w:val="28"/>
          <w:lang w:val="ru-RU"/>
        </w:rPr>
        <w:t xml:space="preserve"> </w:t>
      </w:r>
      <w:r>
        <w:rPr>
          <w:color w:val="FF0000"/>
          <w:sz w:val="28"/>
          <w:szCs w:val="28"/>
        </w:rPr>
        <w:t>International</w:t>
      </w:r>
      <w:r>
        <w:rPr>
          <w:color w:val="FF0000"/>
          <w:sz w:val="28"/>
          <w:szCs w:val="28"/>
          <w:lang w:val="ru-RU"/>
        </w:rPr>
        <w:t xml:space="preserve"> (2024), Кот-д'Ивуар занимает 110-е место из 180 стран. Коррупционные практики могут подорвать эффективность распределения ресурсов на цифровые проекты</w:t>
      </w:r>
      <w:r>
        <w:rPr>
          <w:rStyle w:val="C42"/>
          <w:color w:val="FF0000"/>
          <w:sz w:val="28"/>
          <w:szCs w:val="28"/>
          <w:lang w:val="ru-RU"/>
        </w:rPr>
        <w:footnoteReference w:id="93"/>
      </w:r>
      <w:r>
        <w:rPr>
          <w:color w:val="FF0000"/>
          <w:sz w:val="28"/>
          <w:szCs w:val="28"/>
          <w:lang w:val="ru-RU"/>
        </w:rPr>
        <w:t>;</w:t>
      </w:r>
    </w:p>
    <w:p>
      <w:pPr>
        <w:pStyle w:val="P15"/>
        <w:widowControl w:val="1"/>
        <w:numPr>
          <w:ilvl w:val="0"/>
          <w:numId w:val="25"/>
        </w:numPr>
        <w:tabs>
          <w:tab w:val="left" w:pos="1134" w:leader="none"/>
        </w:tabs>
        <w:spacing w:lineRule="auto" w:line="360" w:beforeAutospacing="0" w:afterAutospacing="0"/>
        <w:ind w:firstLine="1134" w:left="0"/>
        <w:contextualSpacing w:val="1"/>
        <w:jc w:val="both"/>
        <w:rPr>
          <w:color w:val="FF0000"/>
          <w:sz w:val="28"/>
          <w:szCs w:val="28"/>
          <w:lang w:val="ru-RU"/>
        </w:rPr>
      </w:pPr>
      <w:r>
        <w:rPr>
          <w:color w:val="FF0000"/>
          <w:sz w:val="28"/>
          <w:szCs w:val="28"/>
          <w:lang w:val="ru-RU"/>
        </w:rPr>
        <w:t>политическая нестабильность: несмотря на улучшение ситуации после 2011 г., риск возобновления политических кризисов сохраняется и может привести к срыву долгосрочных цифровых проектов</w:t>
      </w:r>
      <w:r>
        <w:rPr>
          <w:rStyle w:val="C42"/>
          <w:color w:val="FF0000"/>
          <w:sz w:val="28"/>
          <w:szCs w:val="28"/>
          <w:lang w:val="ru-RU"/>
        </w:rPr>
        <w:footnoteReference w:id="94"/>
      </w:r>
      <w:r>
        <w:rPr>
          <w:color w:val="FF0000"/>
          <w:sz w:val="28"/>
          <w:szCs w:val="28"/>
          <w:lang w:val="ru-RU"/>
        </w:rPr>
        <w:t>.</w:t>
      </w:r>
    </w:p>
    <w:p>
      <w:pPr>
        <w:spacing w:lineRule="auto" w:line="360" w:after="0" w:beforeAutospacing="0" w:afterAutospacing="0"/>
        <w:ind w:firstLine="709"/>
        <w:jc w:val="both"/>
        <w:rPr>
          <w:rFonts w:ascii="Times New Roman" w:hAnsi="Times New Roman" w:cs="Times New Roman"/>
          <w:color w:val="FF0000"/>
          <w:sz w:val="28"/>
          <w:szCs w:val="28"/>
        </w:rPr>
      </w:pPr>
      <w:r>
        <w:rPr>
          <w:rFonts w:ascii="Times New Roman" w:hAnsi="Times New Roman" w:cs="Times New Roman"/>
          <w:color w:val="FF0000"/>
          <w:sz w:val="28"/>
          <w:szCs w:val="28"/>
        </w:rPr>
        <w:t xml:space="preserve">Вероятность возникновения выделенных рисков имеет разное значение, что представлено в таблице 6, и требует принятия соответствующих мер по минимизации и ликвидации  негативного их воздействия.</w:t>
      </w:r>
    </w:p>
    <w:p>
      <w:pPr>
        <w:spacing w:lineRule="auto" w:line="360" w:after="0" w:beforeAutospacing="0" w:afterAutospacing="0"/>
        <w:ind w:firstLine="709"/>
        <w:jc w:val="both"/>
        <w:rPr>
          <w:rFonts w:ascii="Times New Roman" w:hAnsi="Times New Roman" w:cs="Times New Roman"/>
          <w:color w:val="FF0000"/>
          <w:sz w:val="28"/>
          <w:szCs w:val="28"/>
        </w:rPr>
      </w:pPr>
    </w:p>
    <w:p>
      <w:pPr>
        <w:spacing w:lineRule="auto" w:line="360" w:after="0" w:beforeAutospacing="0" w:afterAutospacing="0"/>
        <w:jc w:val="both"/>
        <w:rPr>
          <w:rFonts w:ascii="Times New Roman" w:hAnsi="Times New Roman" w:cs="Times New Roman"/>
          <w:color w:val="FF0000"/>
          <w:sz w:val="28"/>
          <w:szCs w:val="28"/>
        </w:rPr>
      </w:pPr>
      <w:r>
        <w:rPr>
          <w:rFonts w:ascii="Times New Roman" w:hAnsi="Times New Roman" w:cs="Times New Roman"/>
          <w:color w:val="FF0000"/>
          <w:sz w:val="28"/>
          <w:szCs w:val="28"/>
        </w:rPr>
        <w:t>Таблица 6 – Матрица рисков внедрения цифровых платформ в прибрежной зоне</w:t>
      </w:r>
      <w:r>
        <w:rPr>
          <w:rStyle w:val="C42"/>
          <w:rFonts w:ascii="Times New Roman" w:hAnsi="Times New Roman" w:cs="Times New Roman"/>
          <w:color w:val="FF0000"/>
          <w:sz w:val="28"/>
          <w:szCs w:val="28"/>
        </w:rPr>
        <w:footnoteReference w:id="95"/>
      </w:r>
    </w:p>
    <w:tbl>
      <w:tblPr>
        <w:tblStyle w:val="T3"/>
        <w:tblW w:w="0" w:type="auto"/>
        <w:tblLook w:val="04A0"/>
      </w:tblPr>
      <w:tblGrid>
        <w:gridCol w:w="4571"/>
        <w:gridCol w:w="1508"/>
        <w:gridCol w:w="1533"/>
        <w:gridCol w:w="2300"/>
      </w:tblGrid>
      <w:tr>
        <w:tc>
          <w:tcPr>
            <w:tcW w:w="0" w:type="auto"/>
            <w:tcBorders>
              <w:top w:val="single" w:sz="4" w:space="0" w:shadow="0" w:frame="0"/>
              <w:left w:val="single" w:sz="4" w:space="0" w:shadow="0" w:frame="0"/>
              <w:bottom w:val="single" w:sz="4" w:space="0" w:shadow="0" w:frame="0"/>
              <w:right w:val="single" w:sz="4" w:space="0" w:shadow="0" w:frame="0"/>
            </w:tcBorders>
            <w:hideMark/>
          </w:tcPr>
          <w:p>
            <w:pPr>
              <w:jc w:val="center"/>
              <w:rPr>
                <w:rFonts w:ascii="Times New Roman" w:hAnsi="Times New Roman" w:cs="Times New Roman"/>
                <w:bCs w:val="1"/>
                <w:color w:val="FF0000"/>
                <w:sz w:val="24"/>
                <w:szCs w:val="24"/>
              </w:rPr>
            </w:pPr>
            <w:r>
              <w:rPr>
                <w:rFonts w:ascii="Times New Roman" w:hAnsi="Times New Roman" w:cs="Times New Roman"/>
                <w:bCs w:val="1"/>
                <w:color w:val="FF0000"/>
                <w:sz w:val="24"/>
                <w:szCs w:val="24"/>
              </w:rPr>
              <w:t>Риск</w:t>
            </w:r>
          </w:p>
        </w:tc>
        <w:tc>
          <w:tcPr>
            <w:tcW w:w="0" w:type="auto"/>
            <w:tcBorders>
              <w:left w:val="single" w:sz="4" w:space="0" w:shadow="0" w:frame="0"/>
            </w:tcBorders>
            <w:hideMark/>
          </w:tcPr>
          <w:p>
            <w:pPr>
              <w:jc w:val="center"/>
              <w:rPr>
                <w:rFonts w:ascii="Times New Roman" w:hAnsi="Times New Roman" w:cs="Times New Roman"/>
                <w:bCs w:val="1"/>
                <w:color w:val="FF0000"/>
                <w:sz w:val="24"/>
                <w:szCs w:val="24"/>
              </w:rPr>
            </w:pPr>
            <w:r>
              <w:rPr>
                <w:rFonts w:ascii="Times New Roman" w:hAnsi="Times New Roman" w:cs="Times New Roman"/>
                <w:bCs w:val="1"/>
                <w:color w:val="FF0000"/>
                <w:sz w:val="24"/>
                <w:szCs w:val="24"/>
              </w:rPr>
              <w:t>Вероятность</w:t>
            </w:r>
          </w:p>
        </w:tc>
        <w:tc>
          <w:tcPr>
            <w:tcW w:w="0" w:type="auto"/>
            <w:hideMark/>
          </w:tcPr>
          <w:p>
            <w:pPr>
              <w:jc w:val="center"/>
              <w:rPr>
                <w:rFonts w:ascii="Times New Roman" w:hAnsi="Times New Roman" w:cs="Times New Roman"/>
                <w:bCs w:val="1"/>
                <w:color w:val="FF0000"/>
                <w:sz w:val="24"/>
                <w:szCs w:val="24"/>
              </w:rPr>
            </w:pPr>
            <w:r>
              <w:rPr>
                <w:rFonts w:ascii="Times New Roman" w:hAnsi="Times New Roman" w:cs="Times New Roman"/>
                <w:bCs w:val="1"/>
                <w:color w:val="FF0000"/>
                <w:sz w:val="24"/>
                <w:szCs w:val="24"/>
              </w:rPr>
              <w:t>Воздействие</w:t>
            </w:r>
          </w:p>
        </w:tc>
        <w:tc>
          <w:tcPr>
            <w:tcW w:w="0" w:type="auto"/>
            <w:hideMark/>
          </w:tcPr>
          <w:p>
            <w:pPr>
              <w:jc w:val="center"/>
              <w:rPr>
                <w:rFonts w:ascii="Times New Roman" w:hAnsi="Times New Roman" w:cs="Times New Roman"/>
                <w:bCs w:val="1"/>
                <w:color w:val="FF0000"/>
                <w:sz w:val="24"/>
                <w:szCs w:val="24"/>
              </w:rPr>
            </w:pPr>
            <w:r>
              <w:rPr>
                <w:rFonts w:ascii="Times New Roman" w:hAnsi="Times New Roman" w:cs="Times New Roman"/>
                <w:bCs w:val="1"/>
                <w:color w:val="FF0000"/>
                <w:sz w:val="24"/>
                <w:szCs w:val="24"/>
              </w:rPr>
              <w:t>Уровень критичности</w:t>
            </w:r>
          </w:p>
        </w:tc>
      </w:tr>
      <w:tr>
        <w:tc>
          <w:tcPr>
            <w:tcW w:w="0" w:type="auto"/>
            <w:tcBorders>
              <w:top w:val="single" w:sz="4" w:space="0" w:shadow="0" w:frame="0"/>
              <w:left w:val="single" w:sz="4" w:space="0" w:shadow="0" w:frame="0"/>
              <w:bottom w:val="single" w:sz="4" w:space="0" w:shadow="0" w:frame="0"/>
              <w:right w:val="single" w:sz="4" w:space="0" w:shadow="0" w:frame="0"/>
            </w:tcBorders>
            <w:vAlign w:val="center"/>
            <w:hideMark/>
          </w:tcPr>
          <w:p>
            <w:pPr>
              <w:jc w:val="both"/>
              <w:rPr>
                <w:rFonts w:ascii="Times New Roman" w:hAnsi="Times New Roman" w:cs="Times New Roman"/>
                <w:color w:val="FF0000"/>
                <w:sz w:val="24"/>
                <w:szCs w:val="24"/>
              </w:rPr>
            </w:pPr>
            <w:r>
              <w:rPr>
                <w:rFonts w:ascii="Times New Roman" w:hAnsi="Times New Roman" w:cs="Times New Roman"/>
                <w:color w:val="FF0000"/>
                <w:sz w:val="24"/>
                <w:szCs w:val="24"/>
              </w:rPr>
              <w:t>Кибератаки на критическую инфраструктуру</w:t>
            </w:r>
          </w:p>
        </w:tc>
        <w:tc>
          <w:tcPr>
            <w:tcW w:w="0" w:type="auto"/>
            <w:tcBorders>
              <w:left w:val="single" w:sz="4" w:space="0" w:shadow="0" w:frame="0"/>
            </w:tcBorders>
            <w:vAlign w:val="center"/>
            <w:hideMark/>
          </w:tcPr>
          <w:p>
            <w:pPr>
              <w:jc w:val="center"/>
              <w:rPr>
                <w:rFonts w:ascii="Times New Roman" w:hAnsi="Times New Roman" w:cs="Times New Roman"/>
                <w:color w:val="FF0000"/>
                <w:sz w:val="24"/>
                <w:szCs w:val="24"/>
              </w:rPr>
            </w:pPr>
            <w:r>
              <w:rPr>
                <w:rFonts w:ascii="Times New Roman" w:hAnsi="Times New Roman" w:cs="Times New Roman"/>
                <w:color w:val="FF0000"/>
                <w:sz w:val="24"/>
                <w:szCs w:val="24"/>
              </w:rPr>
              <w:t>Высокая</w:t>
            </w:r>
          </w:p>
        </w:tc>
        <w:tc>
          <w:tcPr>
            <w:tcW w:w="0" w:type="auto"/>
            <w:vAlign w:val="center"/>
            <w:hideMark/>
          </w:tcPr>
          <w:p>
            <w:pPr>
              <w:jc w:val="center"/>
              <w:rPr>
                <w:rFonts w:ascii="Times New Roman" w:hAnsi="Times New Roman" w:cs="Times New Roman"/>
                <w:color w:val="FF0000"/>
                <w:sz w:val="24"/>
                <w:szCs w:val="24"/>
              </w:rPr>
            </w:pPr>
            <w:r>
              <w:rPr>
                <w:rFonts w:ascii="Times New Roman" w:hAnsi="Times New Roman" w:cs="Times New Roman"/>
                <w:color w:val="FF0000"/>
                <w:sz w:val="24"/>
                <w:szCs w:val="24"/>
              </w:rPr>
              <w:t>Критическое</w:t>
            </w:r>
          </w:p>
        </w:tc>
        <w:tc>
          <w:tcPr>
            <w:tcW w:w="0" w:type="auto"/>
            <w:vAlign w:val="center"/>
            <w:hideMark/>
          </w:tcPr>
          <w:p>
            <w:pPr>
              <w:jc w:val="center"/>
              <w:rPr>
                <w:rFonts w:ascii="Times New Roman" w:hAnsi="Times New Roman" w:cs="Times New Roman"/>
                <w:color w:val="FF0000"/>
                <w:sz w:val="24"/>
                <w:szCs w:val="24"/>
              </w:rPr>
            </w:pPr>
            <w:r>
              <w:rPr>
                <w:rFonts w:ascii="Times New Roman" w:hAnsi="Times New Roman" w:cs="Times New Roman"/>
                <w:color w:val="FF0000"/>
                <w:sz w:val="24"/>
                <w:szCs w:val="24"/>
              </w:rPr>
              <w:t>Критический</w:t>
            </w:r>
          </w:p>
        </w:tc>
      </w:tr>
      <w:tr>
        <w:trPr>
          <w:trHeight w:hRule="atLeast" w:val="486"/>
        </w:trPr>
        <w:tc>
          <w:tcPr>
            <w:tcW w:w="0" w:type="auto"/>
            <w:tcBorders>
              <w:top w:val="single" w:sz="4" w:space="0" w:shadow="0" w:frame="0"/>
              <w:left w:val="single" w:sz="4" w:space="0" w:shadow="0" w:frame="0"/>
              <w:bottom w:val="single" w:sz="4" w:space="0" w:shadow="0" w:frame="0"/>
              <w:right w:val="single" w:sz="4" w:space="0" w:shadow="0" w:frame="0"/>
            </w:tcBorders>
            <w:vAlign w:val="center"/>
            <w:hideMark/>
          </w:tcPr>
          <w:p>
            <w:pPr>
              <w:jc w:val="both"/>
              <w:rPr>
                <w:rFonts w:ascii="Times New Roman" w:hAnsi="Times New Roman" w:cs="Times New Roman"/>
                <w:color w:val="FF0000"/>
                <w:sz w:val="24"/>
                <w:szCs w:val="24"/>
              </w:rPr>
            </w:pPr>
            <w:r>
              <w:rPr>
                <w:rFonts w:ascii="Times New Roman" w:hAnsi="Times New Roman" w:cs="Times New Roman"/>
                <w:color w:val="FF0000"/>
                <w:sz w:val="24"/>
                <w:szCs w:val="24"/>
              </w:rPr>
              <w:t>Усиление цифрового неравенства</w:t>
            </w:r>
          </w:p>
        </w:tc>
        <w:tc>
          <w:tcPr>
            <w:tcW w:w="0" w:type="auto"/>
            <w:tcBorders>
              <w:left w:val="single" w:sz="4" w:space="0" w:shadow="0" w:frame="0"/>
            </w:tcBorders>
            <w:vAlign w:val="center"/>
            <w:hideMark/>
          </w:tcPr>
          <w:p>
            <w:pPr>
              <w:jc w:val="center"/>
              <w:rPr>
                <w:rFonts w:ascii="Times New Roman" w:hAnsi="Times New Roman" w:cs="Times New Roman"/>
                <w:color w:val="FF0000"/>
                <w:sz w:val="24"/>
                <w:szCs w:val="24"/>
              </w:rPr>
            </w:pPr>
            <w:r>
              <w:rPr>
                <w:rFonts w:ascii="Times New Roman" w:hAnsi="Times New Roman" w:cs="Times New Roman"/>
                <w:color w:val="FF0000"/>
                <w:sz w:val="24"/>
                <w:szCs w:val="24"/>
              </w:rPr>
              <w:t>Средняя</w:t>
            </w:r>
          </w:p>
        </w:tc>
        <w:tc>
          <w:tcPr>
            <w:tcW w:w="0" w:type="auto"/>
            <w:vAlign w:val="center"/>
            <w:hideMark/>
          </w:tcPr>
          <w:p>
            <w:pPr>
              <w:jc w:val="center"/>
              <w:rPr>
                <w:rFonts w:ascii="Times New Roman" w:hAnsi="Times New Roman" w:cs="Times New Roman"/>
                <w:color w:val="FF0000"/>
                <w:sz w:val="24"/>
                <w:szCs w:val="24"/>
              </w:rPr>
            </w:pPr>
            <w:r>
              <w:rPr>
                <w:rFonts w:ascii="Times New Roman" w:hAnsi="Times New Roman" w:cs="Times New Roman"/>
                <w:color w:val="FF0000"/>
                <w:sz w:val="24"/>
                <w:szCs w:val="24"/>
              </w:rPr>
              <w:t>Высокое</w:t>
            </w:r>
          </w:p>
        </w:tc>
        <w:tc>
          <w:tcPr>
            <w:tcW w:w="0" w:type="auto"/>
            <w:vAlign w:val="center"/>
            <w:hideMark/>
          </w:tcPr>
          <w:p>
            <w:pPr>
              <w:jc w:val="center"/>
              <w:rPr>
                <w:rFonts w:ascii="Times New Roman" w:hAnsi="Times New Roman" w:cs="Times New Roman"/>
                <w:color w:val="FF0000"/>
                <w:sz w:val="24"/>
                <w:szCs w:val="24"/>
              </w:rPr>
            </w:pPr>
            <w:r>
              <w:rPr>
                <w:rFonts w:ascii="Times New Roman" w:hAnsi="Times New Roman" w:cs="Times New Roman"/>
                <w:color w:val="FF0000"/>
                <w:sz w:val="24"/>
                <w:szCs w:val="24"/>
              </w:rPr>
              <w:t>Высокий</w:t>
            </w:r>
          </w:p>
        </w:tc>
      </w:tr>
      <w:tr>
        <w:tc>
          <w:tcPr>
            <w:tcW w:w="0" w:type="auto"/>
            <w:tcBorders>
              <w:top w:val="single" w:sz="4" w:space="0" w:shadow="0" w:frame="0"/>
              <w:left w:val="single" w:sz="4" w:space="0" w:shadow="0" w:frame="0"/>
              <w:bottom w:val="single" w:sz="4" w:space="0" w:shadow="0" w:frame="0"/>
              <w:right w:val="single" w:sz="4" w:space="0" w:shadow="0" w:frame="0"/>
            </w:tcBorders>
            <w:vAlign w:val="center"/>
            <w:hideMark/>
          </w:tcPr>
          <w:p>
            <w:pPr>
              <w:jc w:val="both"/>
              <w:rPr>
                <w:rFonts w:ascii="Times New Roman" w:hAnsi="Times New Roman" w:cs="Times New Roman"/>
                <w:color w:val="FF0000"/>
                <w:sz w:val="24"/>
                <w:szCs w:val="24"/>
              </w:rPr>
            </w:pPr>
            <w:r>
              <w:rPr>
                <w:rFonts w:ascii="Times New Roman" w:hAnsi="Times New Roman" w:cs="Times New Roman"/>
                <w:color w:val="FF0000"/>
                <w:sz w:val="24"/>
                <w:szCs w:val="24"/>
              </w:rPr>
              <w:t>Потеря рабочих мест в традиционных секторах</w:t>
            </w:r>
          </w:p>
        </w:tc>
        <w:tc>
          <w:tcPr>
            <w:tcW w:w="0" w:type="auto"/>
            <w:tcBorders>
              <w:left w:val="single" w:sz="4" w:space="0" w:shadow="0" w:frame="0"/>
            </w:tcBorders>
            <w:vAlign w:val="center"/>
            <w:hideMark/>
          </w:tcPr>
          <w:p>
            <w:pPr>
              <w:jc w:val="center"/>
              <w:rPr>
                <w:rFonts w:ascii="Times New Roman" w:hAnsi="Times New Roman" w:cs="Times New Roman"/>
                <w:color w:val="FF0000"/>
                <w:sz w:val="24"/>
                <w:szCs w:val="24"/>
              </w:rPr>
            </w:pPr>
            <w:r>
              <w:rPr>
                <w:rFonts w:ascii="Times New Roman" w:hAnsi="Times New Roman" w:cs="Times New Roman"/>
                <w:color w:val="FF0000"/>
                <w:sz w:val="24"/>
                <w:szCs w:val="24"/>
              </w:rPr>
              <w:t>Высокая</w:t>
            </w:r>
          </w:p>
        </w:tc>
        <w:tc>
          <w:tcPr>
            <w:tcW w:w="0" w:type="auto"/>
            <w:vAlign w:val="center"/>
            <w:hideMark/>
          </w:tcPr>
          <w:p>
            <w:pPr>
              <w:jc w:val="center"/>
              <w:rPr>
                <w:rFonts w:ascii="Times New Roman" w:hAnsi="Times New Roman" w:cs="Times New Roman"/>
                <w:color w:val="FF0000"/>
                <w:sz w:val="24"/>
                <w:szCs w:val="24"/>
              </w:rPr>
            </w:pPr>
            <w:r>
              <w:rPr>
                <w:rFonts w:ascii="Times New Roman" w:hAnsi="Times New Roman" w:cs="Times New Roman"/>
                <w:color w:val="FF0000"/>
                <w:sz w:val="24"/>
                <w:szCs w:val="24"/>
              </w:rPr>
              <w:t>Среднее</w:t>
            </w:r>
          </w:p>
        </w:tc>
        <w:tc>
          <w:tcPr>
            <w:tcW w:w="0" w:type="auto"/>
            <w:vAlign w:val="center"/>
            <w:hideMark/>
          </w:tcPr>
          <w:p>
            <w:pPr>
              <w:jc w:val="center"/>
              <w:rPr>
                <w:rFonts w:ascii="Times New Roman" w:hAnsi="Times New Roman" w:cs="Times New Roman"/>
                <w:color w:val="FF0000"/>
                <w:sz w:val="24"/>
                <w:szCs w:val="24"/>
              </w:rPr>
            </w:pPr>
            <w:r>
              <w:rPr>
                <w:rFonts w:ascii="Times New Roman" w:hAnsi="Times New Roman" w:cs="Times New Roman"/>
                <w:color w:val="FF0000"/>
                <w:sz w:val="24"/>
                <w:szCs w:val="24"/>
              </w:rPr>
              <w:t>Средний</w:t>
            </w:r>
          </w:p>
        </w:tc>
      </w:tr>
      <w:tr>
        <w:tc>
          <w:tcPr>
            <w:tcW w:w="0" w:type="auto"/>
            <w:tcBorders>
              <w:top w:val="single" w:sz="4" w:space="0" w:shadow="0" w:frame="0"/>
              <w:left w:val="single" w:sz="4" w:space="0" w:shadow="0" w:frame="0"/>
              <w:bottom w:val="single" w:sz="4" w:space="0" w:shadow="0" w:frame="0"/>
              <w:right w:val="single" w:sz="4" w:space="0" w:shadow="0" w:frame="0"/>
            </w:tcBorders>
            <w:vAlign w:val="center"/>
            <w:hideMark/>
          </w:tcPr>
          <w:p>
            <w:pPr>
              <w:jc w:val="both"/>
              <w:rPr>
                <w:rFonts w:ascii="Times New Roman" w:hAnsi="Times New Roman" w:cs="Times New Roman"/>
                <w:color w:val="FF0000"/>
                <w:sz w:val="24"/>
                <w:szCs w:val="24"/>
              </w:rPr>
            </w:pPr>
            <w:r>
              <w:rPr>
                <w:rFonts w:ascii="Times New Roman" w:hAnsi="Times New Roman" w:cs="Times New Roman"/>
                <w:color w:val="FF0000"/>
                <w:sz w:val="24"/>
                <w:szCs w:val="24"/>
              </w:rPr>
              <w:t>Утечка персональных данных пользователей</w:t>
            </w:r>
          </w:p>
        </w:tc>
        <w:tc>
          <w:tcPr>
            <w:tcW w:w="0" w:type="auto"/>
            <w:tcBorders>
              <w:left w:val="single" w:sz="4" w:space="0" w:shadow="0" w:frame="0"/>
            </w:tcBorders>
            <w:vAlign w:val="center"/>
            <w:hideMark/>
          </w:tcPr>
          <w:p>
            <w:pPr>
              <w:jc w:val="center"/>
              <w:rPr>
                <w:rFonts w:ascii="Times New Roman" w:hAnsi="Times New Roman" w:cs="Times New Roman"/>
                <w:color w:val="FF0000"/>
                <w:sz w:val="24"/>
                <w:szCs w:val="24"/>
              </w:rPr>
            </w:pPr>
            <w:r>
              <w:rPr>
                <w:rFonts w:ascii="Times New Roman" w:hAnsi="Times New Roman" w:cs="Times New Roman"/>
                <w:color w:val="FF0000"/>
                <w:sz w:val="24"/>
                <w:szCs w:val="24"/>
              </w:rPr>
              <w:t>Средняя</w:t>
            </w:r>
          </w:p>
        </w:tc>
        <w:tc>
          <w:tcPr>
            <w:tcW w:w="0" w:type="auto"/>
            <w:vAlign w:val="center"/>
            <w:hideMark/>
          </w:tcPr>
          <w:p>
            <w:pPr>
              <w:jc w:val="center"/>
              <w:rPr>
                <w:rFonts w:ascii="Times New Roman" w:hAnsi="Times New Roman" w:cs="Times New Roman"/>
                <w:color w:val="FF0000"/>
                <w:sz w:val="24"/>
                <w:szCs w:val="24"/>
              </w:rPr>
            </w:pPr>
            <w:r>
              <w:rPr>
                <w:rFonts w:ascii="Times New Roman" w:hAnsi="Times New Roman" w:cs="Times New Roman"/>
                <w:color w:val="FF0000"/>
                <w:sz w:val="24"/>
                <w:szCs w:val="24"/>
              </w:rPr>
              <w:t>Высокое</w:t>
            </w:r>
          </w:p>
        </w:tc>
        <w:tc>
          <w:tcPr>
            <w:tcW w:w="0" w:type="auto"/>
            <w:vAlign w:val="center"/>
            <w:hideMark/>
          </w:tcPr>
          <w:p>
            <w:pPr>
              <w:jc w:val="center"/>
              <w:rPr>
                <w:rFonts w:ascii="Times New Roman" w:hAnsi="Times New Roman" w:cs="Times New Roman"/>
                <w:color w:val="FF0000"/>
                <w:sz w:val="24"/>
                <w:szCs w:val="24"/>
              </w:rPr>
            </w:pPr>
            <w:r>
              <w:rPr>
                <w:rFonts w:ascii="Times New Roman" w:hAnsi="Times New Roman" w:cs="Times New Roman"/>
                <w:color w:val="FF0000"/>
                <w:sz w:val="24"/>
                <w:szCs w:val="24"/>
              </w:rPr>
              <w:t>Высокий</w:t>
            </w:r>
          </w:p>
        </w:tc>
      </w:tr>
      <w:tr>
        <w:tc>
          <w:tcPr>
            <w:tcW w:w="0" w:type="auto"/>
            <w:tcBorders>
              <w:top w:val="single" w:sz="4" w:space="0" w:shadow="0" w:frame="0"/>
              <w:left w:val="single" w:sz="4" w:space="0" w:shadow="0" w:frame="0"/>
              <w:bottom w:val="single" w:sz="4" w:space="0" w:shadow="0" w:frame="0"/>
              <w:right w:val="single" w:sz="4" w:space="0" w:shadow="0" w:frame="0"/>
            </w:tcBorders>
            <w:vAlign w:val="center"/>
            <w:hideMark/>
          </w:tcPr>
          <w:p>
            <w:pPr>
              <w:jc w:val="both"/>
              <w:rPr>
                <w:rFonts w:ascii="Times New Roman" w:hAnsi="Times New Roman" w:cs="Times New Roman"/>
                <w:color w:val="FF0000"/>
                <w:sz w:val="24"/>
                <w:szCs w:val="24"/>
              </w:rPr>
            </w:pPr>
            <w:r>
              <w:rPr>
                <w:rFonts w:ascii="Times New Roman" w:hAnsi="Times New Roman" w:cs="Times New Roman"/>
                <w:color w:val="FF0000"/>
                <w:sz w:val="24"/>
                <w:szCs w:val="24"/>
              </w:rPr>
              <w:t>Зависимость от иностранных технологий</w:t>
            </w:r>
          </w:p>
        </w:tc>
        <w:tc>
          <w:tcPr>
            <w:tcW w:w="0" w:type="auto"/>
            <w:tcBorders>
              <w:left w:val="single" w:sz="4" w:space="0" w:shadow="0" w:frame="0"/>
            </w:tcBorders>
            <w:vAlign w:val="center"/>
            <w:hideMark/>
          </w:tcPr>
          <w:p>
            <w:pPr>
              <w:jc w:val="center"/>
              <w:rPr>
                <w:rFonts w:ascii="Times New Roman" w:hAnsi="Times New Roman" w:cs="Times New Roman"/>
                <w:color w:val="FF0000"/>
                <w:sz w:val="24"/>
                <w:szCs w:val="24"/>
              </w:rPr>
            </w:pPr>
            <w:r>
              <w:rPr>
                <w:rFonts w:ascii="Times New Roman" w:hAnsi="Times New Roman" w:cs="Times New Roman"/>
                <w:color w:val="FF0000"/>
                <w:sz w:val="24"/>
                <w:szCs w:val="24"/>
              </w:rPr>
              <w:t>Высокая</w:t>
            </w:r>
          </w:p>
        </w:tc>
        <w:tc>
          <w:tcPr>
            <w:tcW w:w="0" w:type="auto"/>
            <w:vAlign w:val="center"/>
            <w:hideMark/>
          </w:tcPr>
          <w:p>
            <w:pPr>
              <w:jc w:val="center"/>
              <w:rPr>
                <w:rFonts w:ascii="Times New Roman" w:hAnsi="Times New Roman" w:cs="Times New Roman"/>
                <w:color w:val="FF0000"/>
                <w:sz w:val="24"/>
                <w:szCs w:val="24"/>
              </w:rPr>
            </w:pPr>
            <w:r>
              <w:rPr>
                <w:rFonts w:ascii="Times New Roman" w:hAnsi="Times New Roman" w:cs="Times New Roman"/>
                <w:color w:val="FF0000"/>
                <w:sz w:val="24"/>
                <w:szCs w:val="24"/>
              </w:rPr>
              <w:t>Среднее</w:t>
            </w:r>
          </w:p>
        </w:tc>
        <w:tc>
          <w:tcPr>
            <w:tcW w:w="0" w:type="auto"/>
            <w:vAlign w:val="center"/>
            <w:hideMark/>
          </w:tcPr>
          <w:p>
            <w:pPr>
              <w:jc w:val="center"/>
              <w:rPr>
                <w:rFonts w:ascii="Times New Roman" w:hAnsi="Times New Roman" w:cs="Times New Roman"/>
                <w:color w:val="FF0000"/>
                <w:sz w:val="24"/>
                <w:szCs w:val="24"/>
              </w:rPr>
            </w:pPr>
            <w:r>
              <w:rPr>
                <w:rFonts w:ascii="Times New Roman" w:hAnsi="Times New Roman" w:cs="Times New Roman"/>
                <w:color w:val="FF0000"/>
                <w:sz w:val="24"/>
                <w:szCs w:val="24"/>
              </w:rPr>
              <w:t>Средний</w:t>
            </w:r>
          </w:p>
        </w:tc>
      </w:tr>
      <w:tr>
        <w:tc>
          <w:tcPr>
            <w:tcW w:w="0" w:type="auto"/>
            <w:tcBorders>
              <w:top w:val="single" w:sz="4" w:space="0" w:shadow="0" w:frame="0"/>
              <w:left w:val="single" w:sz="4" w:space="0" w:shadow="0" w:frame="0"/>
              <w:bottom w:val="single" w:sz="4" w:space="0" w:shadow="0" w:frame="0"/>
              <w:right w:val="single" w:sz="4" w:space="0" w:shadow="0" w:frame="0"/>
            </w:tcBorders>
            <w:vAlign w:val="center"/>
            <w:hideMark/>
          </w:tcPr>
          <w:p>
            <w:pPr>
              <w:jc w:val="both"/>
              <w:rPr>
                <w:rFonts w:ascii="Times New Roman" w:hAnsi="Times New Roman" w:cs="Times New Roman"/>
                <w:color w:val="FF0000"/>
                <w:sz w:val="24"/>
                <w:szCs w:val="24"/>
              </w:rPr>
            </w:pPr>
            <w:r>
              <w:rPr>
                <w:rFonts w:ascii="Times New Roman" w:hAnsi="Times New Roman" w:cs="Times New Roman"/>
                <w:color w:val="FF0000"/>
                <w:sz w:val="24"/>
                <w:szCs w:val="24"/>
              </w:rPr>
              <w:t>Коррупция при распределении ресурсов</w:t>
            </w:r>
          </w:p>
        </w:tc>
        <w:tc>
          <w:tcPr>
            <w:tcW w:w="0" w:type="auto"/>
            <w:tcBorders>
              <w:left w:val="single" w:sz="4" w:space="0" w:shadow="0" w:frame="0"/>
            </w:tcBorders>
            <w:vAlign w:val="center"/>
            <w:hideMark/>
          </w:tcPr>
          <w:p>
            <w:pPr>
              <w:jc w:val="center"/>
              <w:rPr>
                <w:rFonts w:ascii="Times New Roman" w:hAnsi="Times New Roman" w:cs="Times New Roman"/>
                <w:color w:val="FF0000"/>
                <w:sz w:val="24"/>
                <w:szCs w:val="24"/>
              </w:rPr>
            </w:pPr>
            <w:r>
              <w:rPr>
                <w:rFonts w:ascii="Times New Roman" w:hAnsi="Times New Roman" w:cs="Times New Roman"/>
                <w:color w:val="FF0000"/>
                <w:sz w:val="24"/>
                <w:szCs w:val="24"/>
              </w:rPr>
              <w:t>Средняя</w:t>
            </w:r>
          </w:p>
        </w:tc>
        <w:tc>
          <w:tcPr>
            <w:tcW w:w="0" w:type="auto"/>
            <w:vAlign w:val="center"/>
            <w:hideMark/>
          </w:tcPr>
          <w:p>
            <w:pPr>
              <w:jc w:val="center"/>
              <w:rPr>
                <w:rFonts w:ascii="Times New Roman" w:hAnsi="Times New Roman" w:cs="Times New Roman"/>
                <w:color w:val="FF0000"/>
                <w:sz w:val="24"/>
                <w:szCs w:val="24"/>
              </w:rPr>
            </w:pPr>
            <w:r>
              <w:rPr>
                <w:rFonts w:ascii="Times New Roman" w:hAnsi="Times New Roman" w:cs="Times New Roman"/>
                <w:color w:val="FF0000"/>
                <w:sz w:val="24"/>
                <w:szCs w:val="24"/>
              </w:rPr>
              <w:t>Высокое</w:t>
            </w:r>
          </w:p>
        </w:tc>
        <w:tc>
          <w:tcPr>
            <w:tcW w:w="0" w:type="auto"/>
            <w:vAlign w:val="center"/>
            <w:hideMark/>
          </w:tcPr>
          <w:p>
            <w:pPr>
              <w:jc w:val="center"/>
              <w:rPr>
                <w:rFonts w:ascii="Times New Roman" w:hAnsi="Times New Roman" w:cs="Times New Roman"/>
                <w:color w:val="FF0000"/>
                <w:sz w:val="24"/>
                <w:szCs w:val="24"/>
              </w:rPr>
            </w:pPr>
            <w:r>
              <w:rPr>
                <w:rFonts w:ascii="Times New Roman" w:hAnsi="Times New Roman" w:cs="Times New Roman"/>
                <w:color w:val="FF0000"/>
                <w:sz w:val="24"/>
                <w:szCs w:val="24"/>
              </w:rPr>
              <w:t>Высокий</w:t>
            </w:r>
          </w:p>
        </w:tc>
      </w:tr>
      <w:tr>
        <w:trPr>
          <w:trHeight w:hRule="atLeast" w:val="359"/>
        </w:trPr>
        <w:tc>
          <w:tcPr>
            <w:tcW w:w="0" w:type="auto"/>
            <w:tcBorders>
              <w:top w:val="single" w:sz="4" w:space="0" w:shadow="0" w:frame="0"/>
              <w:left w:val="single" w:sz="4" w:space="0" w:shadow="0" w:frame="0"/>
              <w:bottom w:val="single" w:sz="4" w:space="0" w:shadow="0" w:frame="0"/>
              <w:right w:val="single" w:sz="4" w:space="0" w:shadow="0" w:frame="0"/>
            </w:tcBorders>
            <w:vAlign w:val="center"/>
            <w:hideMark/>
          </w:tcPr>
          <w:p>
            <w:pPr>
              <w:jc w:val="both"/>
              <w:rPr>
                <w:rFonts w:ascii="Times New Roman" w:hAnsi="Times New Roman" w:cs="Times New Roman"/>
                <w:color w:val="FF0000"/>
                <w:sz w:val="24"/>
                <w:szCs w:val="24"/>
              </w:rPr>
            </w:pPr>
            <w:r>
              <w:rPr>
                <w:rFonts w:ascii="Times New Roman" w:hAnsi="Times New Roman" w:cs="Times New Roman"/>
                <w:color w:val="FF0000"/>
                <w:sz w:val="24"/>
                <w:szCs w:val="24"/>
              </w:rPr>
              <w:t>Политическая нестабильность</w:t>
            </w:r>
          </w:p>
        </w:tc>
        <w:tc>
          <w:tcPr>
            <w:tcW w:w="0" w:type="auto"/>
            <w:tcBorders>
              <w:left w:val="single" w:sz="4" w:space="0" w:shadow="0" w:frame="0"/>
            </w:tcBorders>
            <w:vAlign w:val="center"/>
            <w:hideMark/>
          </w:tcPr>
          <w:p>
            <w:pPr>
              <w:jc w:val="center"/>
              <w:rPr>
                <w:rFonts w:ascii="Times New Roman" w:hAnsi="Times New Roman" w:cs="Times New Roman"/>
                <w:color w:val="FF0000"/>
                <w:sz w:val="24"/>
                <w:szCs w:val="24"/>
              </w:rPr>
            </w:pPr>
            <w:r>
              <w:rPr>
                <w:rFonts w:ascii="Times New Roman" w:hAnsi="Times New Roman" w:cs="Times New Roman"/>
                <w:color w:val="FF0000"/>
                <w:sz w:val="24"/>
                <w:szCs w:val="24"/>
              </w:rPr>
              <w:t>Низкая</w:t>
            </w:r>
          </w:p>
        </w:tc>
        <w:tc>
          <w:tcPr>
            <w:tcW w:w="0" w:type="auto"/>
            <w:vAlign w:val="center"/>
            <w:hideMark/>
          </w:tcPr>
          <w:p>
            <w:pPr>
              <w:jc w:val="center"/>
              <w:rPr>
                <w:rFonts w:ascii="Times New Roman" w:hAnsi="Times New Roman" w:cs="Times New Roman"/>
                <w:color w:val="FF0000"/>
                <w:sz w:val="24"/>
                <w:szCs w:val="24"/>
              </w:rPr>
            </w:pPr>
            <w:r>
              <w:rPr>
                <w:rFonts w:ascii="Times New Roman" w:hAnsi="Times New Roman" w:cs="Times New Roman"/>
                <w:color w:val="FF0000"/>
                <w:sz w:val="24"/>
                <w:szCs w:val="24"/>
              </w:rPr>
              <w:t>Критическое</w:t>
            </w:r>
          </w:p>
        </w:tc>
        <w:tc>
          <w:tcPr>
            <w:tcW w:w="0" w:type="auto"/>
            <w:vAlign w:val="center"/>
            <w:hideMark/>
          </w:tcPr>
          <w:p>
            <w:pPr>
              <w:jc w:val="center"/>
              <w:rPr>
                <w:rFonts w:ascii="Times New Roman" w:hAnsi="Times New Roman" w:cs="Times New Roman"/>
                <w:color w:val="FF0000"/>
                <w:sz w:val="24"/>
                <w:szCs w:val="24"/>
              </w:rPr>
            </w:pPr>
            <w:r>
              <w:rPr>
                <w:rFonts w:ascii="Times New Roman" w:hAnsi="Times New Roman" w:cs="Times New Roman"/>
                <w:color w:val="FF0000"/>
                <w:sz w:val="24"/>
                <w:szCs w:val="24"/>
              </w:rPr>
              <w:t>Средний</w:t>
            </w:r>
          </w:p>
        </w:tc>
      </w:tr>
    </w:tbl>
    <w:p>
      <w:pPr>
        <w:spacing w:lineRule="auto" w:line="360" w:after="0" w:beforeAutospacing="0" w:afterAutospacing="0"/>
        <w:ind w:firstLine="709"/>
        <w:jc w:val="both"/>
        <w:rPr>
          <w:rFonts w:ascii="Times New Roman" w:hAnsi="Times New Roman" w:cs="Times New Roman"/>
          <w:color w:val="FF0000"/>
          <w:sz w:val="28"/>
          <w:szCs w:val="28"/>
        </w:rPr>
      </w:pPr>
    </w:p>
    <w:p>
      <w:pPr>
        <w:spacing w:lineRule="auto" w:line="360" w:after="0" w:beforeAutospacing="0" w:afterAutospacing="0"/>
        <w:ind w:firstLine="709"/>
        <w:jc w:val="both"/>
        <w:rPr>
          <w:rFonts w:ascii="Times New Roman" w:hAnsi="Times New Roman" w:cs="Times New Roman"/>
          <w:color w:val="FF0000"/>
          <w:sz w:val="28"/>
          <w:szCs w:val="28"/>
        </w:rPr>
      </w:pPr>
      <w:r>
        <w:rPr>
          <w:rFonts w:ascii="Times New Roman" w:hAnsi="Times New Roman" w:cs="Times New Roman"/>
          <w:color w:val="FF0000"/>
          <w:sz w:val="28"/>
          <w:szCs w:val="28"/>
        </w:rPr>
        <w:t>На основе проведенного анализа нами предлагаются следующие меры для повышения готовности прибрежной зоны Кот-д'Ивуара к внедрению цифровых платформ:</w:t>
      </w:r>
    </w:p>
    <w:p>
      <w:pPr>
        <w:numPr>
          <w:ilvl w:val="0"/>
          <w:numId w:val="24"/>
        </w:numPr>
        <w:tabs>
          <w:tab w:val="num" w:pos="360" w:leader="none"/>
          <w:tab w:val="clear" w:pos="720" w:leader="none"/>
          <w:tab w:val="left" w:pos="993" w:leader="none"/>
        </w:tabs>
        <w:spacing w:lineRule="auto" w:line="360" w:after="0" w:beforeAutospacing="0" w:afterAutospacing="0"/>
        <w:ind w:firstLine="709" w:left="0"/>
        <w:jc w:val="both"/>
        <w:rPr>
          <w:rFonts w:ascii="Times New Roman" w:hAnsi="Times New Roman" w:cs="Times New Roman"/>
          <w:color w:val="FF0000"/>
          <w:sz w:val="28"/>
          <w:szCs w:val="28"/>
        </w:rPr>
      </w:pPr>
      <w:r>
        <w:rPr>
          <w:rFonts w:ascii="Times New Roman" w:hAnsi="Times New Roman" w:cs="Times New Roman"/>
          <w:bCs w:val="1"/>
          <w:color w:val="FF0000"/>
          <w:sz w:val="28"/>
          <w:szCs w:val="28"/>
        </w:rPr>
        <w:t>Укрепление кадрового потенциала</w:t>
      </w:r>
      <w:r>
        <w:rPr>
          <w:rFonts w:ascii="Times New Roman" w:hAnsi="Times New Roman" w:cs="Times New Roman"/>
          <w:color w:val="FF0000"/>
          <w:sz w:val="28"/>
          <w:szCs w:val="28"/>
        </w:rPr>
        <w:t>:</w:t>
      </w:r>
    </w:p>
    <w:p>
      <w:pPr>
        <w:pStyle w:val="P15"/>
        <w:widowControl w:val="1"/>
        <w:numPr>
          <w:ilvl w:val="0"/>
          <w:numId w:val="25"/>
        </w:numPr>
        <w:tabs>
          <w:tab w:val="num" w:pos="360" w:leader="none"/>
          <w:tab w:val="left" w:pos="993" w:leader="none"/>
        </w:tabs>
        <w:spacing w:lineRule="auto" w:line="360" w:beforeAutospacing="0" w:afterAutospacing="0"/>
        <w:ind w:firstLine="993" w:left="0"/>
        <w:contextualSpacing w:val="1"/>
        <w:jc w:val="both"/>
        <w:rPr>
          <w:color w:val="FF0000"/>
          <w:sz w:val="28"/>
          <w:szCs w:val="28"/>
          <w:lang w:val="ru-RU"/>
        </w:rPr>
      </w:pPr>
      <w:r>
        <w:rPr>
          <w:color w:val="FF0000"/>
          <w:sz w:val="28"/>
          <w:szCs w:val="28"/>
          <w:lang w:val="ru-RU"/>
        </w:rPr>
        <w:t>создание сети региональных ИТ-академий в прибрежных городах с целевым набором 10 000 студентов ежегодно;</w:t>
      </w:r>
    </w:p>
    <w:p>
      <w:pPr>
        <w:pStyle w:val="P15"/>
        <w:widowControl w:val="1"/>
        <w:numPr>
          <w:ilvl w:val="0"/>
          <w:numId w:val="25"/>
        </w:numPr>
        <w:tabs>
          <w:tab w:val="num" w:pos="360" w:leader="none"/>
          <w:tab w:val="left" w:pos="993" w:leader="none"/>
        </w:tabs>
        <w:spacing w:lineRule="auto" w:line="360" w:beforeAutospacing="0" w:afterAutospacing="0"/>
        <w:ind w:firstLine="993" w:left="0"/>
        <w:contextualSpacing w:val="1"/>
        <w:jc w:val="both"/>
        <w:rPr>
          <w:color w:val="FF0000"/>
          <w:sz w:val="28"/>
          <w:szCs w:val="28"/>
          <w:lang w:val="ru-RU"/>
        </w:rPr>
      </w:pPr>
      <w:r>
        <w:rPr>
          <w:color w:val="FF0000"/>
          <w:sz w:val="28"/>
          <w:szCs w:val="28"/>
          <w:lang w:val="ru-RU"/>
        </w:rPr>
        <w:t>введение программы «Цифровые наставники» для повышения цифровой грамотности взрослого населения;</w:t>
      </w:r>
    </w:p>
    <w:p>
      <w:pPr>
        <w:pStyle w:val="P15"/>
        <w:widowControl w:val="1"/>
        <w:numPr>
          <w:ilvl w:val="0"/>
          <w:numId w:val="25"/>
        </w:numPr>
        <w:tabs>
          <w:tab w:val="num" w:pos="360" w:leader="none"/>
          <w:tab w:val="left" w:pos="993" w:leader="none"/>
        </w:tabs>
        <w:spacing w:lineRule="auto" w:line="360" w:beforeAutospacing="0" w:afterAutospacing="0"/>
        <w:ind w:firstLine="993" w:left="0"/>
        <w:contextualSpacing w:val="1"/>
        <w:jc w:val="both"/>
        <w:rPr>
          <w:color w:val="FF0000"/>
          <w:sz w:val="28"/>
          <w:szCs w:val="28"/>
          <w:lang w:val="ru-RU"/>
        </w:rPr>
      </w:pPr>
      <w:r>
        <w:rPr>
          <w:color w:val="FF0000"/>
          <w:sz w:val="28"/>
          <w:szCs w:val="28"/>
          <w:lang w:val="ru-RU"/>
        </w:rPr>
        <w:t>квотирование 30% мест в ИТ-образовательных программах для женщин с предоставлением стипендий.</w:t>
      </w:r>
    </w:p>
    <w:p>
      <w:pPr>
        <w:numPr>
          <w:ilvl w:val="0"/>
          <w:numId w:val="24"/>
        </w:numPr>
        <w:tabs>
          <w:tab w:val="num" w:pos="360" w:leader="none"/>
          <w:tab w:val="clear" w:pos="720" w:leader="none"/>
          <w:tab w:val="left" w:pos="993" w:leader="none"/>
        </w:tabs>
        <w:spacing w:lineRule="auto" w:line="360" w:after="0" w:beforeAutospacing="0" w:afterAutospacing="0"/>
        <w:ind w:firstLine="709" w:left="0"/>
        <w:jc w:val="both"/>
        <w:rPr>
          <w:rFonts w:ascii="Times New Roman" w:hAnsi="Times New Roman" w:cs="Times New Roman"/>
          <w:bCs w:val="1"/>
          <w:color w:val="FF0000"/>
          <w:sz w:val="28"/>
          <w:szCs w:val="28"/>
        </w:rPr>
      </w:pPr>
      <w:r>
        <w:rPr>
          <w:rFonts w:ascii="Times New Roman" w:hAnsi="Times New Roman" w:cs="Times New Roman"/>
          <w:bCs w:val="1"/>
          <w:color w:val="FF0000"/>
          <w:sz w:val="28"/>
          <w:szCs w:val="28"/>
        </w:rPr>
        <w:t>Развитие инфраструктуры:</w:t>
      </w:r>
    </w:p>
    <w:p>
      <w:pPr>
        <w:pStyle w:val="P15"/>
        <w:widowControl w:val="1"/>
        <w:numPr>
          <w:ilvl w:val="0"/>
          <w:numId w:val="25"/>
        </w:numPr>
        <w:tabs>
          <w:tab w:val="num" w:pos="360" w:leader="none"/>
          <w:tab w:val="left" w:pos="993" w:leader="none"/>
        </w:tabs>
        <w:spacing w:lineRule="auto" w:line="360" w:beforeAutospacing="0" w:afterAutospacing="0"/>
        <w:ind w:firstLine="993" w:left="0"/>
        <w:contextualSpacing w:val="1"/>
        <w:jc w:val="both"/>
        <w:rPr>
          <w:color w:val="FF0000"/>
          <w:sz w:val="28"/>
          <w:szCs w:val="28"/>
        </w:rPr>
      </w:pPr>
      <w:r>
        <w:rPr>
          <w:color w:val="FF0000"/>
          <w:sz w:val="28"/>
          <w:szCs w:val="28"/>
          <w:lang w:val="ru-RU"/>
        </w:rPr>
        <w:t xml:space="preserve">унификация качества интернет-соединения по всей прибрежной зоне с минимальной скоростью </w:t>
      </w:r>
      <w:r>
        <w:rPr>
          <w:color w:val="FF0000"/>
          <w:sz w:val="28"/>
          <w:szCs w:val="28"/>
        </w:rPr>
        <w:t>20 Мбит/с.</w:t>
      </w:r>
      <w:r>
        <w:rPr>
          <w:color w:val="FF0000"/>
          <w:sz w:val="28"/>
          <w:szCs w:val="28"/>
          <w:lang w:val="ru-RU"/>
        </w:rPr>
        <w:t>;</w:t>
      </w:r>
    </w:p>
    <w:p>
      <w:pPr>
        <w:pStyle w:val="P15"/>
        <w:widowControl w:val="1"/>
        <w:numPr>
          <w:ilvl w:val="0"/>
          <w:numId w:val="25"/>
        </w:numPr>
        <w:tabs>
          <w:tab w:val="num" w:pos="360" w:leader="none"/>
          <w:tab w:val="left" w:pos="993" w:leader="none"/>
        </w:tabs>
        <w:spacing w:lineRule="auto" w:line="360" w:beforeAutospacing="0" w:afterAutospacing="0"/>
        <w:ind w:firstLine="993" w:left="0"/>
        <w:contextualSpacing w:val="1"/>
        <w:jc w:val="both"/>
        <w:rPr>
          <w:color w:val="FF0000"/>
          <w:sz w:val="28"/>
          <w:szCs w:val="28"/>
          <w:lang w:val="ru-RU"/>
        </w:rPr>
      </w:pPr>
      <w:r>
        <w:rPr>
          <w:color w:val="FF0000"/>
          <w:sz w:val="28"/>
          <w:szCs w:val="28"/>
          <w:lang w:val="ru-RU"/>
        </w:rPr>
        <w:t>строительство двух дополнительных дата-центров в стратегических точках прибрежной зоны (Сан-Педро, Гран-Бассам);</w:t>
      </w:r>
    </w:p>
    <w:p>
      <w:pPr>
        <w:pStyle w:val="P15"/>
        <w:widowControl w:val="1"/>
        <w:numPr>
          <w:ilvl w:val="0"/>
          <w:numId w:val="25"/>
        </w:numPr>
        <w:tabs>
          <w:tab w:val="num" w:pos="360" w:leader="none"/>
          <w:tab w:val="left" w:pos="993" w:leader="none"/>
        </w:tabs>
        <w:spacing w:lineRule="auto" w:line="360" w:beforeAutospacing="0" w:afterAutospacing="0"/>
        <w:ind w:firstLine="993" w:left="0"/>
        <w:contextualSpacing w:val="1"/>
        <w:jc w:val="both"/>
        <w:rPr>
          <w:color w:val="FF0000"/>
          <w:sz w:val="28"/>
          <w:szCs w:val="28"/>
          <w:lang w:val="ru-RU"/>
        </w:rPr>
      </w:pPr>
      <w:r>
        <w:rPr>
          <w:color w:val="FF0000"/>
          <w:sz w:val="28"/>
          <w:szCs w:val="28"/>
          <w:lang w:val="ru-RU"/>
        </w:rPr>
        <w:t>внедрение национальной системы кибербезопасности с центром мониторинга в Абиджане.</w:t>
      </w:r>
    </w:p>
    <w:p>
      <w:pPr>
        <w:numPr>
          <w:ilvl w:val="0"/>
          <w:numId w:val="24"/>
        </w:numPr>
        <w:tabs>
          <w:tab w:val="num" w:pos="360" w:leader="none"/>
          <w:tab w:val="clear" w:pos="720" w:leader="none"/>
          <w:tab w:val="left" w:pos="993" w:leader="none"/>
        </w:tabs>
        <w:spacing w:lineRule="auto" w:line="360" w:after="0" w:beforeAutospacing="0" w:afterAutospacing="0"/>
        <w:ind w:firstLine="709" w:left="0"/>
        <w:jc w:val="both"/>
        <w:rPr>
          <w:rFonts w:ascii="Times New Roman" w:hAnsi="Times New Roman" w:cs="Times New Roman"/>
          <w:bCs w:val="1"/>
          <w:color w:val="FF0000"/>
          <w:sz w:val="28"/>
          <w:szCs w:val="28"/>
        </w:rPr>
      </w:pPr>
      <w:r>
        <w:rPr>
          <w:rFonts w:ascii="Times New Roman" w:hAnsi="Times New Roman" w:cs="Times New Roman"/>
          <w:bCs w:val="1"/>
          <w:color w:val="FF0000"/>
          <w:sz w:val="28"/>
          <w:szCs w:val="28"/>
        </w:rPr>
        <w:t>Социальная инклюзия:</w:t>
      </w:r>
    </w:p>
    <w:p>
      <w:pPr>
        <w:pStyle w:val="P15"/>
        <w:widowControl w:val="1"/>
        <w:numPr>
          <w:ilvl w:val="0"/>
          <w:numId w:val="25"/>
        </w:numPr>
        <w:tabs>
          <w:tab w:val="num" w:pos="360" w:leader="none"/>
          <w:tab w:val="left" w:pos="993" w:leader="none"/>
        </w:tabs>
        <w:spacing w:lineRule="auto" w:line="360" w:beforeAutospacing="0" w:afterAutospacing="0"/>
        <w:ind w:firstLine="993" w:left="0"/>
        <w:contextualSpacing w:val="1"/>
        <w:jc w:val="both"/>
        <w:rPr>
          <w:color w:val="FF0000"/>
          <w:sz w:val="28"/>
          <w:szCs w:val="28"/>
          <w:lang w:val="ru-RU"/>
        </w:rPr>
      </w:pPr>
      <w:r>
        <w:rPr>
          <w:color w:val="FF0000"/>
          <w:sz w:val="28"/>
          <w:szCs w:val="28"/>
          <w:lang w:val="ru-RU"/>
        </w:rPr>
        <w:t>введение субсидий на подключение к интернету для домохозяйств с доходом ниже прожиточного минимума;</w:t>
      </w:r>
    </w:p>
    <w:p>
      <w:pPr>
        <w:pStyle w:val="P15"/>
        <w:widowControl w:val="1"/>
        <w:numPr>
          <w:ilvl w:val="0"/>
          <w:numId w:val="25"/>
        </w:numPr>
        <w:tabs>
          <w:tab w:val="num" w:pos="360" w:leader="none"/>
          <w:tab w:val="left" w:pos="993" w:leader="none"/>
        </w:tabs>
        <w:spacing w:lineRule="auto" w:line="360" w:beforeAutospacing="0" w:afterAutospacing="0"/>
        <w:ind w:firstLine="993" w:left="0"/>
        <w:contextualSpacing w:val="1"/>
        <w:jc w:val="both"/>
        <w:rPr>
          <w:color w:val="FF0000"/>
          <w:sz w:val="28"/>
          <w:szCs w:val="28"/>
          <w:lang w:val="ru-RU"/>
        </w:rPr>
      </w:pPr>
      <w:r>
        <w:rPr>
          <w:color w:val="FF0000"/>
          <w:sz w:val="28"/>
          <w:szCs w:val="28"/>
          <w:lang w:val="ru-RU"/>
        </w:rPr>
        <w:t>разработка многоязычных интерфейсов цифровых платформ (французский, диула, бауле) для преодоления языковых барьеров;</w:t>
      </w:r>
    </w:p>
    <w:p>
      <w:pPr>
        <w:pStyle w:val="P15"/>
        <w:widowControl w:val="1"/>
        <w:numPr>
          <w:ilvl w:val="0"/>
          <w:numId w:val="25"/>
        </w:numPr>
        <w:tabs>
          <w:tab w:val="num" w:pos="360" w:leader="none"/>
          <w:tab w:val="left" w:pos="993" w:leader="none"/>
        </w:tabs>
        <w:spacing w:lineRule="auto" w:line="360" w:beforeAutospacing="0" w:afterAutospacing="0"/>
        <w:ind w:firstLine="993" w:left="0"/>
        <w:contextualSpacing w:val="1"/>
        <w:jc w:val="both"/>
        <w:rPr>
          <w:color w:val="FF0000"/>
          <w:sz w:val="28"/>
          <w:szCs w:val="28"/>
          <w:lang w:val="ru-RU"/>
        </w:rPr>
      </w:pPr>
      <w:r>
        <w:rPr>
          <w:color w:val="FF0000"/>
          <w:sz w:val="28"/>
          <w:szCs w:val="28"/>
          <w:lang w:val="ru-RU"/>
        </w:rPr>
        <w:t>создание сети общественных цифровых центров в маргинализированных кварталах прибрежных городов.</w:t>
      </w:r>
    </w:p>
    <w:p>
      <w:pPr>
        <w:numPr>
          <w:ilvl w:val="0"/>
          <w:numId w:val="24"/>
        </w:numPr>
        <w:tabs>
          <w:tab w:val="num" w:pos="360" w:leader="none"/>
          <w:tab w:val="clear" w:pos="720" w:leader="none"/>
          <w:tab w:val="left" w:pos="993" w:leader="none"/>
        </w:tabs>
        <w:spacing w:lineRule="auto" w:line="360" w:after="0" w:beforeAutospacing="0" w:afterAutospacing="0"/>
        <w:ind w:firstLine="709" w:left="0"/>
        <w:jc w:val="both"/>
        <w:rPr>
          <w:rFonts w:ascii="Times New Roman" w:hAnsi="Times New Roman" w:cs="Times New Roman"/>
          <w:bCs w:val="1"/>
          <w:color w:val="FF0000"/>
          <w:sz w:val="28"/>
          <w:szCs w:val="28"/>
        </w:rPr>
      </w:pPr>
      <w:r>
        <w:rPr>
          <w:rFonts w:ascii="Times New Roman" w:hAnsi="Times New Roman" w:cs="Times New Roman"/>
          <w:bCs w:val="1"/>
          <w:color w:val="FF0000"/>
          <w:sz w:val="28"/>
          <w:szCs w:val="28"/>
        </w:rPr>
        <w:t>Правовое и институциональное обеспечение:</w:t>
      </w:r>
    </w:p>
    <w:p>
      <w:pPr>
        <w:pStyle w:val="P15"/>
        <w:widowControl w:val="1"/>
        <w:numPr>
          <w:ilvl w:val="0"/>
          <w:numId w:val="25"/>
        </w:numPr>
        <w:tabs>
          <w:tab w:val="num" w:pos="360" w:leader="none"/>
          <w:tab w:val="left" w:pos="993" w:leader="none"/>
        </w:tabs>
        <w:spacing w:lineRule="auto" w:line="360" w:beforeAutospacing="0" w:afterAutospacing="0"/>
        <w:ind w:firstLine="993" w:left="0"/>
        <w:contextualSpacing w:val="1"/>
        <w:jc w:val="both"/>
        <w:rPr>
          <w:color w:val="FF0000"/>
          <w:sz w:val="28"/>
          <w:szCs w:val="28"/>
          <w:lang w:val="ru-RU"/>
        </w:rPr>
      </w:pPr>
      <w:r>
        <w:rPr>
          <w:color w:val="FF0000"/>
          <w:sz w:val="28"/>
          <w:szCs w:val="28"/>
          <w:lang w:val="ru-RU"/>
        </w:rPr>
        <w:t>ускоренное принятие закона о защите персональных данных в соответствии с международными стандартами;</w:t>
      </w:r>
    </w:p>
    <w:p>
      <w:pPr>
        <w:pStyle w:val="P15"/>
        <w:widowControl w:val="1"/>
        <w:numPr>
          <w:ilvl w:val="0"/>
          <w:numId w:val="25"/>
        </w:numPr>
        <w:tabs>
          <w:tab w:val="num" w:pos="360" w:leader="none"/>
          <w:tab w:val="left" w:pos="993" w:leader="none"/>
        </w:tabs>
        <w:spacing w:lineRule="auto" w:line="360" w:beforeAutospacing="0" w:afterAutospacing="0"/>
        <w:ind w:firstLine="993" w:left="0"/>
        <w:contextualSpacing w:val="1"/>
        <w:jc w:val="both"/>
        <w:rPr>
          <w:color w:val="FF0000"/>
          <w:sz w:val="28"/>
          <w:szCs w:val="28"/>
          <w:lang w:val="ru-RU"/>
        </w:rPr>
      </w:pPr>
      <w:r>
        <w:rPr>
          <w:color w:val="FF0000"/>
          <w:sz w:val="28"/>
          <w:szCs w:val="28"/>
          <w:lang w:val="ru-RU"/>
        </w:rPr>
        <w:t>создание межведомственного комитета по координации цифровой трансформации с участием представителей частного сектора;</w:t>
      </w:r>
    </w:p>
    <w:p>
      <w:pPr>
        <w:pStyle w:val="P15"/>
        <w:numPr>
          <w:ilvl w:val="0"/>
          <w:numId w:val="25"/>
        </w:numPr>
        <w:tabs>
          <w:tab w:val="num" w:pos="360" w:leader="none"/>
          <w:tab w:val="left" w:pos="993" w:leader="none"/>
        </w:tabs>
        <w:spacing w:lineRule="auto" w:line="360" w:beforeAutospacing="0" w:afterAutospacing="0"/>
        <w:ind w:firstLine="992" w:left="0"/>
        <w:contextualSpacing w:val="1"/>
        <w:jc w:val="both"/>
        <w:rPr>
          <w:color w:val="FF0000"/>
          <w:sz w:val="28"/>
          <w:szCs w:val="28"/>
          <w:lang w:val="ru-RU"/>
        </w:rPr>
      </w:pPr>
      <w:r>
        <w:rPr>
          <w:color w:val="FF0000"/>
          <w:sz w:val="28"/>
          <w:szCs w:val="28"/>
          <w:lang w:val="ru-RU"/>
        </w:rPr>
        <w:t>внедрение системы прозрачного отслеживания расходования бюджетных средств на цифровые проекты.</w:t>
      </w:r>
    </w:p>
    <w:p>
      <w:pPr>
        <w:spacing w:lineRule="auto" w:line="360" w:beforeAutospacing="0" w:afterAutospacing="0"/>
        <w:ind w:firstLine="709"/>
        <w:jc w:val="both"/>
        <w:rPr>
          <w:rFonts w:ascii="Times New Roman" w:hAnsi="Times New Roman" w:cs="Times New Roman"/>
          <w:color w:val="FF0000"/>
          <w:sz w:val="28"/>
          <w:szCs w:val="28"/>
        </w:rPr>
      </w:pPr>
      <w:r>
        <w:rPr>
          <w:rFonts w:ascii="Times New Roman" w:hAnsi="Times New Roman" w:cs="Times New Roman"/>
          <w:color w:val="FF0000"/>
          <w:sz w:val="28"/>
          <w:szCs w:val="28"/>
        </w:rPr>
        <w:t xml:space="preserve">Для оценки направлений реализации устойчивых траекторий инновационно-иклюзивного развития нами предлагается использовать такой инструмент как тепловая карта, для создания такой карты рекомендуется использовать ГИС-платформу (QGIS или ArcGIS) (рисунки </w:t>
      </w:r>
      <w:r>
        <w:rPr>
          <w:rFonts w:ascii="Times New Roman" w:hAnsi="Times New Roman" w:cs="Times New Roman"/>
          <w:color w:val="FF0000"/>
          <w:sz w:val="28"/>
          <w:szCs w:val="28"/>
          <w:highlight w:val="yellow"/>
        </w:rPr>
        <w:t>1-2</w:t>
      </w:r>
      <w:r>
        <w:rPr>
          <w:rFonts w:ascii="Times New Roman" w:hAnsi="Times New Roman" w:cs="Times New Roman"/>
          <w:color w:val="FF0000"/>
          <w:sz w:val="28"/>
          <w:szCs w:val="28"/>
        </w:rPr>
        <w:t xml:space="preserve">). </w:t>
      </w:r>
    </w:p>
    <w:p>
      <w:pPr>
        <w:pStyle w:val="P15"/>
        <w:spacing w:lineRule="auto" w:line="360" w:beforeAutospacing="0" w:afterAutospacing="0"/>
        <w:ind w:firstLine="0" w:left="709"/>
        <w:jc w:val="both"/>
        <w:rPr>
          <w:color w:val="FF0000"/>
          <w:sz w:val="28"/>
          <w:szCs w:val="28"/>
          <w:lang w:val="ru-RU"/>
        </w:rPr>
      </w:pPr>
    </w:p>
    <w:p>
      <w:pPr>
        <w:spacing w:lineRule="auto" w:line="360" w:after="0" w:beforeAutospacing="0" w:afterAutospacing="0"/>
        <w:jc w:val="center"/>
        <w:rPr>
          <w:rFonts w:ascii="Times New Roman" w:hAnsi="Times New Roman" w:cs="Times New Roman"/>
          <w:color w:val="FF0000"/>
          <w:sz w:val="28"/>
          <w:szCs w:val="28"/>
        </w:rPr>
      </w:pPr>
      <w:r>
        <w:rPr>
          <w:rFonts w:ascii="Times New Roman" w:hAnsi="Times New Roman" w:cs="Times New Roman"/>
          <w:noProof w:val="1"/>
          <w:color w:val="FF0000"/>
          <w:sz w:val="28"/>
          <w:szCs w:val="28"/>
          <w:lang w:eastAsia="ru-RU"/>
        </w:rPr>
        <w:drawing>
          <wp:inline xmlns:wp="http://schemas.openxmlformats.org/drawingml/2006/wordprocessingDrawing" distT="0" distB="0" distL="0" distR="0">
            <wp:extent cx="5618480" cy="3661410"/>
            <wp:effectExtent l="0" t="0" r="1270" b="0"/>
            <wp:docPr id="81798839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988392" name="Picture 64"/>
                    <pic:cNvPicPr/>
                  </pic:nvPicPr>
                  <pic:blipFill dpi="0">
                    <a:blip xmlns:r="http://schemas.openxmlformats.org/officeDocument/2006/relationships" r:embed="Relimage4"/>
                    <a:srcRect/>
                    <a:stretch>
                      <a:fillRect/>
                    </a:stretch>
                  </pic:blipFill>
                  <pic:spPr>
                    <a:xfrm>
                      <a:off x="0" y="0"/>
                      <a:ext cx="5625413" cy="3666291"/>
                    </a:xfrm>
                    <a:prstGeom prst="rect"/>
                  </pic:spPr>
                </pic:pic>
              </a:graphicData>
            </a:graphic>
          </wp:inline>
        </w:drawing>
      </w:r>
    </w:p>
    <w:p>
      <w:pPr>
        <w:spacing w:lineRule="auto" w:line="360" w:after="0" w:beforeAutospacing="0" w:afterAutospacing="0"/>
        <w:ind w:firstLine="709"/>
        <w:jc w:val="center"/>
        <w:rPr>
          <w:rFonts w:ascii="Times New Roman" w:hAnsi="Times New Roman" w:cs="Times New Roman"/>
          <w:color w:val="FF0000"/>
          <w:sz w:val="28"/>
          <w:szCs w:val="28"/>
        </w:rPr>
      </w:pPr>
      <w:r>
        <w:rPr>
          <w:rFonts w:ascii="Times New Roman" w:hAnsi="Times New Roman" w:cs="Times New Roman"/>
          <w:color w:val="FF0000"/>
          <w:sz w:val="28"/>
          <w:szCs w:val="28"/>
        </w:rPr>
        <w:t>Рисунок 1 – Карта зон критичности рисков цифровой трансформации Республики Кот-д'Ивуара (составлено автором)</w:t>
      </w:r>
    </w:p>
    <w:p>
      <w:pPr>
        <w:spacing w:lineRule="auto" w:line="360" w:after="0" w:beforeAutospacing="0" w:afterAutospacing="0"/>
        <w:ind w:firstLine="709"/>
        <w:jc w:val="center"/>
        <w:rPr>
          <w:rFonts w:ascii="Times New Roman" w:hAnsi="Times New Roman" w:cs="Times New Roman"/>
          <w:color w:val="FF0000"/>
          <w:sz w:val="28"/>
          <w:szCs w:val="28"/>
        </w:rPr>
      </w:pPr>
    </w:p>
    <w:p>
      <w:pPr>
        <w:spacing w:lineRule="auto" w:line="360" w:after="0" w:beforeAutospacing="0" w:afterAutospacing="0"/>
        <w:jc w:val="center"/>
        <w:rPr>
          <w:rFonts w:ascii="Times New Roman" w:hAnsi="Times New Roman" w:cs="Times New Roman"/>
          <w:color w:val="FF0000"/>
          <w:sz w:val="28"/>
          <w:szCs w:val="28"/>
        </w:rPr>
      </w:pPr>
      <w:r>
        <w:rPr>
          <w:rFonts w:ascii="Times New Roman" w:hAnsi="Times New Roman" w:cs="Times New Roman"/>
          <w:noProof w:val="1"/>
          <w:color w:val="FF0000"/>
          <w:sz w:val="28"/>
          <w:szCs w:val="28"/>
          <w:lang w:eastAsia="ru-RU"/>
        </w:rPr>
        <w:drawing>
          <wp:inline xmlns:wp="http://schemas.openxmlformats.org/drawingml/2006/wordprocessingDrawing" distT="0" distB="0" distL="0" distR="0">
            <wp:extent cx="5508625" cy="3693795"/>
            <wp:effectExtent l="0" t="0" r="0" b="1905"/>
            <wp:docPr id="84138163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381637" name="Picture 65"/>
                    <pic:cNvPicPr/>
                  </pic:nvPicPr>
                  <pic:blipFill dpi="0">
                    <a:blip xmlns:r="http://schemas.openxmlformats.org/officeDocument/2006/relationships" r:embed="Relimage5"/>
                    <a:srcRect/>
                    <a:stretch>
                      <a:fillRect/>
                    </a:stretch>
                  </pic:blipFill>
                  <pic:spPr>
                    <a:xfrm>
                      <a:off x="0" y="0"/>
                      <a:ext cx="5512287" cy="3696266"/>
                    </a:xfrm>
                    <a:prstGeom prst="rect"/>
                  </pic:spPr>
                </pic:pic>
              </a:graphicData>
            </a:graphic>
          </wp:inline>
        </w:drawing>
      </w:r>
    </w:p>
    <w:p>
      <w:pPr>
        <w:spacing w:lineRule="auto" w:line="360" w:after="0" w:beforeAutospacing="0" w:afterAutospacing="0"/>
        <w:ind w:firstLine="709"/>
        <w:jc w:val="center"/>
        <w:rPr>
          <w:rFonts w:ascii="Times New Roman" w:hAnsi="Times New Roman" w:cs="Times New Roman"/>
          <w:color w:val="FF0000"/>
          <w:sz w:val="28"/>
          <w:szCs w:val="28"/>
        </w:rPr>
      </w:pPr>
      <w:r>
        <w:rPr>
          <w:rFonts w:ascii="Times New Roman" w:hAnsi="Times New Roman" w:cs="Times New Roman"/>
          <w:color w:val="FF0000"/>
          <w:sz w:val="28"/>
          <w:szCs w:val="28"/>
        </w:rPr>
        <w:t>Рисунок 2 – Экономическая карта зон критичности рисков цифровой трансформации Республики Кот-д'Ивуара (составлено автором)</w:t>
      </w:r>
    </w:p>
    <w:p>
      <w:pPr>
        <w:spacing w:lineRule="auto" w:line="360" w:after="0" w:beforeAutospacing="0" w:afterAutospacing="0"/>
        <w:ind w:firstLine="709"/>
        <w:jc w:val="both"/>
        <w:rPr>
          <w:rFonts w:ascii="Times New Roman" w:hAnsi="Times New Roman" w:cs="Times New Roman"/>
          <w:color w:val="FF0000"/>
          <w:sz w:val="28"/>
          <w:szCs w:val="28"/>
        </w:rPr>
      </w:pPr>
    </w:p>
    <w:p>
      <w:pPr>
        <w:spacing w:lineRule="auto" w:line="360" w:after="0" w:beforeAutospacing="0" w:afterAutospacing="0"/>
        <w:ind w:firstLine="709"/>
        <w:jc w:val="both"/>
        <w:rPr>
          <w:rFonts w:ascii="Times New Roman" w:hAnsi="Times New Roman" w:cs="Times New Roman"/>
          <w:color w:val="FF0000"/>
          <w:sz w:val="28"/>
          <w:szCs w:val="28"/>
        </w:rPr>
      </w:pPr>
      <w:r>
        <w:rPr>
          <w:rFonts w:ascii="Times New Roman" w:hAnsi="Times New Roman" w:cs="Times New Roman"/>
          <w:color w:val="FF0000"/>
          <w:sz w:val="28"/>
          <w:szCs w:val="28"/>
        </w:rPr>
        <w:t xml:space="preserve">Карты показывают прогнозные уровни активности малого и среднего бизнеса (МСБ)  и  риски для цифровой платформизации прибрежной зоны Республики Кот-д'Ивуара, расположенной вдоль Гвинейского залива.</w:t>
      </w:r>
    </w:p>
    <w:p>
      <w:pPr>
        <w:spacing w:lineRule="auto" w:line="360" w:after="0" w:beforeAutospacing="0" w:afterAutospacing="0"/>
        <w:ind w:firstLine="709"/>
        <w:jc w:val="both"/>
        <w:rPr>
          <w:rFonts w:ascii="Times New Roman" w:hAnsi="Times New Roman" w:cs="Times New Roman"/>
          <w:color w:val="FF0000"/>
          <w:sz w:val="28"/>
          <w:szCs w:val="28"/>
        </w:rPr>
      </w:pPr>
      <w:r>
        <w:rPr>
          <w:rFonts w:ascii="Times New Roman" w:hAnsi="Times New Roman" w:cs="Times New Roman"/>
          <w:color w:val="FF0000"/>
          <w:sz w:val="28"/>
          <w:szCs w:val="28"/>
        </w:rPr>
        <w:t xml:space="preserve">Пространственная дифференциация активности МСБ реализуется согласно  шкале интенсивности, в которой:</w:t>
      </w:r>
    </w:p>
    <w:p>
      <w:pPr>
        <w:spacing w:lineRule="auto" w:line="360" w:after="0" w:beforeAutospacing="0" w:afterAutospacing="0"/>
        <w:ind w:firstLine="709"/>
        <w:jc w:val="both"/>
        <w:rPr>
          <w:rFonts w:ascii="Times New Roman" w:hAnsi="Times New Roman" w:cs="Times New Roman"/>
          <w:color w:val="FF0000"/>
          <w:sz w:val="28"/>
          <w:szCs w:val="28"/>
        </w:rPr>
      </w:pPr>
      <w:r>
        <w:rPr>
          <w:rFonts w:ascii="Times New Roman" w:hAnsi="Times New Roman" w:cs="Times New Roman"/>
          <w:color w:val="FF0000"/>
          <w:sz w:val="28"/>
          <w:szCs w:val="28"/>
        </w:rPr>
        <w:t xml:space="preserve">1. Зона максимальной активности (ярко-красный/оранжевый) – </w:t>
      </w:r>
      <w:r>
        <w:rPr>
          <w:rFonts w:ascii="Times New Roman" w:hAnsi="Times New Roman" w:cs="Times New Roman"/>
          <w:iCs w:val="1"/>
          <w:color w:val="FF0000"/>
          <w:sz w:val="28"/>
          <w:szCs w:val="28"/>
        </w:rPr>
        <w:t>Дистрикт Абиджана – центральная и южная части:</w:t>
      </w:r>
    </w:p>
    <w:p>
      <w:pPr>
        <w:numPr>
          <w:ilvl w:val="0"/>
          <w:numId w:val="26"/>
        </w:numPr>
        <w:tabs>
          <w:tab w:val="clear" w:pos="720" w:leader="none"/>
          <w:tab w:val="left" w:pos="1134" w:leader="none"/>
          <w:tab w:val="left" w:pos="1276" w:leader="none"/>
        </w:tabs>
        <w:spacing w:lineRule="auto" w:line="360" w:after="0" w:beforeAutospacing="0" w:afterAutospacing="0"/>
        <w:ind w:firstLine="993" w:left="0"/>
        <w:jc w:val="both"/>
        <w:rPr>
          <w:rFonts w:ascii="Times New Roman" w:hAnsi="Times New Roman" w:cs="Times New Roman"/>
          <w:color w:val="FF0000"/>
          <w:sz w:val="28"/>
          <w:szCs w:val="28"/>
        </w:rPr>
      </w:pPr>
      <w:r>
        <w:rPr>
          <w:rFonts w:ascii="Times New Roman" w:hAnsi="Times New Roman" w:cs="Times New Roman"/>
          <w:color w:val="FF0000"/>
          <w:sz w:val="28"/>
          <w:szCs w:val="28"/>
        </w:rPr>
        <w:t>концентрация МСБ составляет 72% от общего числа формальных предприятий страны (&gt;59 000 предприятий)</w:t>
      </w:r>
      <w:r>
        <w:rPr>
          <w:rStyle w:val="C42"/>
          <w:rFonts w:ascii="Times New Roman" w:hAnsi="Times New Roman" w:cs="Times New Roman"/>
          <w:color w:val="FF0000"/>
          <w:sz w:val="28"/>
          <w:szCs w:val="28"/>
        </w:rPr>
        <w:footnoteReference w:id="96"/>
      </w:r>
      <w:r>
        <w:rPr>
          <w:rFonts w:ascii="Times New Roman" w:hAnsi="Times New Roman" w:cs="Times New Roman"/>
          <w:color w:val="FF0000"/>
          <w:sz w:val="28"/>
          <w:szCs w:val="28"/>
        </w:rPr>
        <w:t>;</w:t>
      </w:r>
    </w:p>
    <w:p>
      <w:pPr>
        <w:numPr>
          <w:ilvl w:val="0"/>
          <w:numId w:val="26"/>
        </w:numPr>
        <w:tabs>
          <w:tab w:val="clear" w:pos="720" w:leader="none"/>
          <w:tab w:val="left" w:pos="1134" w:leader="none"/>
          <w:tab w:val="left" w:pos="1276" w:leader="none"/>
        </w:tabs>
        <w:spacing w:lineRule="auto" w:line="360" w:after="0" w:beforeAutospacing="0" w:afterAutospacing="0"/>
        <w:ind w:firstLine="993" w:left="0"/>
        <w:jc w:val="both"/>
        <w:rPr>
          <w:rFonts w:ascii="Times New Roman" w:hAnsi="Times New Roman" w:cs="Times New Roman"/>
          <w:color w:val="FF0000"/>
          <w:sz w:val="28"/>
          <w:szCs w:val="28"/>
        </w:rPr>
      </w:pPr>
      <w:r>
        <w:rPr>
          <w:rFonts w:ascii="Times New Roman" w:hAnsi="Times New Roman" w:cs="Times New Roman"/>
          <w:color w:val="FF0000"/>
          <w:sz w:val="28"/>
          <w:szCs w:val="28"/>
        </w:rPr>
        <w:t xml:space="preserve">структура: торговля занимает  44% предприятий, услуги – 31%, промышленность – 18%, строительство – 7%;</w:t>
      </w:r>
    </w:p>
    <w:p>
      <w:pPr>
        <w:numPr>
          <w:ilvl w:val="0"/>
          <w:numId w:val="26"/>
        </w:numPr>
        <w:tabs>
          <w:tab w:val="num" w:pos="567" w:leader="none"/>
          <w:tab w:val="clear" w:pos="720" w:leader="none"/>
          <w:tab w:val="left" w:pos="993" w:leader="none"/>
          <w:tab w:val="left" w:pos="1276" w:leader="none"/>
        </w:tabs>
        <w:spacing w:lineRule="auto" w:line="360" w:after="0" w:beforeAutospacing="0" w:afterAutospacing="0"/>
        <w:ind w:firstLine="993" w:left="0"/>
        <w:jc w:val="both"/>
        <w:rPr>
          <w:rFonts w:ascii="Times New Roman" w:hAnsi="Times New Roman" w:cs="Times New Roman"/>
          <w:color w:val="FF0000"/>
          <w:sz w:val="28"/>
          <w:szCs w:val="28"/>
        </w:rPr>
      </w:pPr>
      <w:r>
        <w:rPr>
          <w:rFonts w:ascii="Times New Roman" w:hAnsi="Times New Roman" w:cs="Times New Roman"/>
          <w:color w:val="FF0000"/>
          <w:sz w:val="28"/>
          <w:szCs w:val="28"/>
        </w:rPr>
        <w:t xml:space="preserve">цифровая зрелость: покрытие 4G составляет  98%, проникновение Mobile Money – 89%, скорость интернета – 35–45 Мбит/с (центр Абиджана);</w:t>
      </w:r>
    </w:p>
    <w:p>
      <w:pPr>
        <w:numPr>
          <w:ilvl w:val="0"/>
          <w:numId w:val="26"/>
        </w:numPr>
        <w:tabs>
          <w:tab w:val="num" w:pos="360" w:leader="none"/>
          <w:tab w:val="clear" w:pos="720" w:leader="none"/>
          <w:tab w:val="left" w:pos="993" w:leader="none"/>
          <w:tab w:val="left" w:pos="1276" w:leader="none"/>
        </w:tabs>
        <w:spacing w:lineRule="auto" w:line="360" w:after="0" w:beforeAutospacing="0" w:afterAutospacing="0"/>
        <w:ind w:firstLine="993" w:left="0"/>
        <w:jc w:val="both"/>
        <w:rPr>
          <w:rFonts w:ascii="Times New Roman" w:hAnsi="Times New Roman" w:cs="Times New Roman"/>
          <w:color w:val="FF0000"/>
          <w:sz w:val="28"/>
          <w:szCs w:val="28"/>
        </w:rPr>
      </w:pPr>
      <w:r>
        <w:rPr>
          <w:rFonts w:ascii="Times New Roman" w:hAnsi="Times New Roman" w:cs="Times New Roman"/>
          <w:color w:val="FF0000"/>
          <w:sz w:val="28"/>
          <w:szCs w:val="28"/>
        </w:rPr>
        <w:t>риски для цифровых проектов – низкие (оценка 2/10);</w:t>
      </w:r>
    </w:p>
    <w:p>
      <w:pPr>
        <w:pStyle w:val="P15"/>
        <w:widowControl w:val="1"/>
        <w:numPr>
          <w:ilvl w:val="0"/>
          <w:numId w:val="25"/>
        </w:numPr>
        <w:tabs>
          <w:tab w:val="left" w:pos="1276" w:leader="none"/>
        </w:tabs>
        <w:spacing w:lineRule="auto" w:line="360" w:beforeAutospacing="0" w:afterAutospacing="0"/>
        <w:ind w:firstLine="993" w:left="0"/>
        <w:contextualSpacing w:val="1"/>
        <w:jc w:val="both"/>
        <w:rPr>
          <w:color w:val="FF0000"/>
          <w:sz w:val="28"/>
          <w:szCs w:val="28"/>
          <w:lang w:val="ru-RU"/>
        </w:rPr>
      </w:pPr>
      <w:r>
        <w:rPr>
          <w:color w:val="FF0000"/>
          <w:sz w:val="28"/>
          <w:szCs w:val="28"/>
          <w:lang w:val="ru-RU"/>
        </w:rPr>
        <w:t>сильные стороны: развитая инфраструктура, квалифицированная рабочая сила, доступ к финансированию;</w:t>
      </w:r>
    </w:p>
    <w:p>
      <w:pPr>
        <w:pStyle w:val="P15"/>
        <w:widowControl w:val="1"/>
        <w:numPr>
          <w:ilvl w:val="0"/>
          <w:numId w:val="25"/>
        </w:numPr>
        <w:tabs>
          <w:tab w:val="left" w:pos="1276" w:leader="none"/>
        </w:tabs>
        <w:spacing w:lineRule="auto" w:line="360" w:beforeAutospacing="0" w:afterAutospacing="0"/>
        <w:ind w:firstLine="993" w:left="0"/>
        <w:contextualSpacing w:val="1"/>
        <w:jc w:val="both"/>
        <w:rPr>
          <w:color w:val="FF0000"/>
          <w:sz w:val="28"/>
          <w:szCs w:val="28"/>
          <w:lang w:val="ru-RU"/>
        </w:rPr>
      </w:pPr>
      <w:r>
        <w:rPr>
          <w:color w:val="FF0000"/>
          <w:sz w:val="28"/>
          <w:szCs w:val="28"/>
          <w:lang w:val="ru-RU"/>
        </w:rPr>
        <w:t>слабые стороны: перегруженность инфраструктуры, высокая конкуренция.</w:t>
      </w:r>
    </w:p>
    <w:p>
      <w:pPr>
        <w:pStyle w:val="P15"/>
        <w:numPr>
          <w:ilvl w:val="0"/>
          <w:numId w:val="23"/>
        </w:numPr>
        <w:spacing w:lineRule="auto" w:line="360" w:beforeAutospacing="0" w:afterAutospacing="0"/>
        <w:ind w:firstLine="709" w:left="0"/>
        <w:jc w:val="both"/>
        <w:rPr>
          <w:color w:val="FF0000"/>
          <w:sz w:val="28"/>
          <w:szCs w:val="28"/>
          <w:lang w:val="ru-RU"/>
        </w:rPr>
      </w:pPr>
      <w:r>
        <w:rPr>
          <w:color w:val="FF0000"/>
          <w:sz w:val="28"/>
          <w:szCs w:val="28"/>
          <w:lang w:val="ru-RU"/>
        </w:rPr>
        <w:t xml:space="preserve">Зона средней активности (оранжевый/желтый) – </w:t>
      </w:r>
      <w:r>
        <w:rPr>
          <w:iCs w:val="1"/>
          <w:color w:val="FF0000"/>
          <w:sz w:val="28"/>
          <w:szCs w:val="28"/>
          <w:lang w:val="ru-RU"/>
        </w:rPr>
        <w:t>периферийные районы Абиджана и Гран-Бассам:</w:t>
      </w:r>
    </w:p>
    <w:p>
      <w:pPr>
        <w:numPr>
          <w:ilvl w:val="0"/>
          <w:numId w:val="27"/>
        </w:numPr>
        <w:tabs>
          <w:tab w:val="clear" w:pos="720" w:leader="none"/>
        </w:tabs>
        <w:spacing w:lineRule="auto" w:line="360" w:after="0" w:beforeAutospacing="0" w:afterAutospacing="0"/>
        <w:ind w:firstLine="993" w:left="0"/>
        <w:jc w:val="both"/>
        <w:rPr>
          <w:rFonts w:ascii="Times New Roman" w:hAnsi="Times New Roman" w:cs="Times New Roman"/>
          <w:color w:val="FF0000"/>
          <w:sz w:val="28"/>
          <w:szCs w:val="28"/>
        </w:rPr>
      </w:pPr>
      <w:r>
        <w:rPr>
          <w:rFonts w:ascii="Times New Roman" w:hAnsi="Times New Roman" w:cs="Times New Roman"/>
          <w:color w:val="FF0000"/>
          <w:sz w:val="28"/>
          <w:szCs w:val="28"/>
        </w:rPr>
        <w:t>концентрация МСБ: 15–18% предприятий прибрежной зоны</w:t>
      </w:r>
    </w:p>
    <w:p>
      <w:pPr>
        <w:pStyle w:val="P15"/>
        <w:widowControl w:val="1"/>
        <w:numPr>
          <w:ilvl w:val="0"/>
          <w:numId w:val="25"/>
        </w:numPr>
        <w:spacing w:lineRule="auto" w:line="360" w:beforeAutospacing="0" w:afterAutospacing="0"/>
        <w:ind w:firstLine="993" w:left="0"/>
        <w:contextualSpacing w:val="1"/>
        <w:jc w:val="both"/>
        <w:rPr>
          <w:color w:val="FF0000"/>
          <w:sz w:val="28"/>
          <w:szCs w:val="28"/>
          <w:lang w:val="ru-RU"/>
        </w:rPr>
      </w:pPr>
      <w:r>
        <w:rPr>
          <w:color w:val="FF0000"/>
          <w:sz w:val="28"/>
          <w:szCs w:val="28"/>
          <w:lang w:val="ru-RU"/>
        </w:rPr>
        <w:t>структура: туристический сектор (Гран-Бассам) насчитывает 120 гостиниц, 45 ресторанов, развито рыболовство и переработка (Ассинье, Адьяке) и мелкая торговля вдоль лагун;</w:t>
      </w:r>
    </w:p>
    <w:p>
      <w:pPr>
        <w:numPr>
          <w:ilvl w:val="0"/>
          <w:numId w:val="27"/>
        </w:numPr>
        <w:tabs>
          <w:tab w:val="clear" w:pos="720" w:leader="none"/>
        </w:tabs>
        <w:spacing w:lineRule="auto" w:line="360" w:after="0" w:beforeAutospacing="0" w:afterAutospacing="0"/>
        <w:ind w:firstLine="993" w:left="0"/>
        <w:jc w:val="both"/>
        <w:rPr>
          <w:rFonts w:ascii="Times New Roman" w:hAnsi="Times New Roman" w:cs="Times New Roman"/>
          <w:color w:val="FF0000"/>
          <w:sz w:val="28"/>
          <w:szCs w:val="28"/>
        </w:rPr>
      </w:pPr>
      <w:r>
        <w:rPr>
          <w:rFonts w:ascii="Times New Roman" w:hAnsi="Times New Roman" w:cs="Times New Roman"/>
          <w:color w:val="FF0000"/>
          <w:sz w:val="28"/>
          <w:szCs w:val="28"/>
        </w:rPr>
        <w:t>цифровая зрелость: покрытие 4G – 85–92%, скорость интернета 18–25 Мбит/с</w:t>
      </w:r>
    </w:p>
    <w:p>
      <w:pPr>
        <w:numPr>
          <w:ilvl w:val="0"/>
          <w:numId w:val="27"/>
        </w:numPr>
        <w:tabs>
          <w:tab w:val="clear" w:pos="720" w:leader="none"/>
        </w:tabs>
        <w:spacing w:lineRule="auto" w:line="360" w:after="0" w:beforeAutospacing="0" w:afterAutospacing="0"/>
        <w:ind w:firstLine="993" w:left="0"/>
        <w:jc w:val="both"/>
        <w:rPr>
          <w:rFonts w:ascii="Times New Roman" w:hAnsi="Times New Roman" w:cs="Times New Roman"/>
          <w:color w:val="FF0000"/>
          <w:sz w:val="28"/>
          <w:szCs w:val="28"/>
        </w:rPr>
      </w:pPr>
      <w:r>
        <w:rPr>
          <w:rFonts w:ascii="Times New Roman" w:hAnsi="Times New Roman" w:cs="Times New Roman"/>
          <w:color w:val="FF0000"/>
          <w:sz w:val="28"/>
          <w:szCs w:val="28"/>
        </w:rPr>
        <w:t>риски для цифровых проектов – средние (оценка 5/10);</w:t>
      </w:r>
    </w:p>
    <w:p>
      <w:pPr>
        <w:numPr>
          <w:ilvl w:val="0"/>
          <w:numId w:val="27"/>
        </w:numPr>
        <w:tabs>
          <w:tab w:val="clear" w:pos="720" w:leader="none"/>
        </w:tabs>
        <w:spacing w:lineRule="auto" w:line="360" w:after="0" w:beforeAutospacing="0" w:afterAutospacing="0"/>
        <w:ind w:firstLine="993" w:left="0"/>
        <w:jc w:val="both"/>
        <w:rPr>
          <w:rFonts w:ascii="Times New Roman" w:hAnsi="Times New Roman" w:cs="Times New Roman"/>
          <w:color w:val="FF0000"/>
          <w:sz w:val="28"/>
          <w:szCs w:val="28"/>
        </w:rPr>
      </w:pPr>
      <w:r>
        <w:rPr>
          <w:rFonts w:ascii="Times New Roman" w:hAnsi="Times New Roman" w:cs="Times New Roman"/>
          <w:color w:val="FF0000"/>
          <w:sz w:val="28"/>
          <w:szCs w:val="28"/>
        </w:rPr>
        <w:t>проблемы: сезонность туризма, неравномерное качество связи, дефицит ИТ-кадров вне Абиджана.</w:t>
      </w:r>
    </w:p>
    <w:p>
      <w:pPr>
        <w:spacing w:lineRule="auto" w:line="360" w:after="0" w:beforeAutospacing="0" w:afterAutospacing="0"/>
        <w:ind w:firstLine="709"/>
        <w:jc w:val="both"/>
        <w:rPr>
          <w:rFonts w:ascii="Times New Roman" w:hAnsi="Times New Roman" w:cs="Times New Roman"/>
          <w:color w:val="FF0000"/>
          <w:sz w:val="28"/>
          <w:szCs w:val="28"/>
        </w:rPr>
      </w:pPr>
      <w:r>
        <w:rPr>
          <w:rFonts w:ascii="Times New Roman" w:hAnsi="Times New Roman" w:cs="Times New Roman"/>
          <w:color w:val="FF0000"/>
          <w:sz w:val="28"/>
          <w:szCs w:val="28"/>
        </w:rPr>
        <w:t xml:space="preserve">3. Зона низкой активности (бледно-желтый) – </w:t>
      </w:r>
      <w:r>
        <w:rPr>
          <w:rFonts w:ascii="Times New Roman" w:hAnsi="Times New Roman" w:cs="Times New Roman"/>
          <w:iCs w:val="1"/>
          <w:color w:val="FF0000"/>
          <w:sz w:val="28"/>
          <w:szCs w:val="28"/>
        </w:rPr>
        <w:t>Сан-Педро и прилегающие прибрежные коммуны:</w:t>
      </w:r>
    </w:p>
    <w:p>
      <w:pPr>
        <w:pStyle w:val="P15"/>
        <w:numPr>
          <w:ilvl w:val="0"/>
          <w:numId w:val="25"/>
        </w:numPr>
        <w:tabs>
          <w:tab w:val="left" w:pos="1276" w:leader="none"/>
        </w:tabs>
        <w:spacing w:lineRule="auto" w:line="360" w:beforeAutospacing="0" w:afterAutospacing="0"/>
        <w:ind w:firstLine="993" w:left="0"/>
        <w:jc w:val="both"/>
        <w:rPr>
          <w:color w:val="FF0000"/>
          <w:sz w:val="28"/>
          <w:szCs w:val="28"/>
          <w:lang w:val="ru-RU"/>
        </w:rPr>
      </w:pPr>
      <w:r>
        <w:rPr>
          <w:color w:val="FF0000"/>
          <w:sz w:val="28"/>
          <w:szCs w:val="28"/>
          <w:lang w:val="ru-RU"/>
        </w:rPr>
        <w:t>концентрация МСБ достигает 8–10% предприятий прибрежной зоны;</w:t>
      </w:r>
    </w:p>
    <w:p>
      <w:pPr>
        <w:pStyle w:val="P15"/>
        <w:numPr>
          <w:ilvl w:val="0"/>
          <w:numId w:val="25"/>
        </w:numPr>
        <w:tabs>
          <w:tab w:val="left" w:pos="1276" w:leader="none"/>
        </w:tabs>
        <w:spacing w:lineRule="auto" w:line="360" w:beforeAutospacing="0" w:afterAutospacing="0"/>
        <w:ind w:firstLine="993" w:left="0"/>
        <w:jc w:val="both"/>
        <w:rPr>
          <w:color w:val="FF0000"/>
          <w:sz w:val="28"/>
          <w:szCs w:val="28"/>
          <w:lang w:val="ru-RU"/>
        </w:rPr>
      </w:pPr>
      <w:r>
        <w:rPr>
          <w:color w:val="FF0000"/>
          <w:sz w:val="28"/>
          <w:szCs w:val="28"/>
          <w:lang w:val="ru-RU"/>
        </w:rPr>
        <w:t>структура: портовая логистика (Сан-Педро – 2-й порт Западной Африки), развита сельскохозяйственная переработка (какао, кешью), неформальный сектор составляет больше 65% экономической активности;</w:t>
      </w:r>
    </w:p>
    <w:p>
      <w:pPr>
        <w:pStyle w:val="P15"/>
        <w:numPr>
          <w:ilvl w:val="0"/>
          <w:numId w:val="25"/>
        </w:numPr>
        <w:tabs>
          <w:tab w:val="left" w:pos="1276" w:leader="none"/>
        </w:tabs>
        <w:spacing w:lineRule="auto" w:line="360" w:beforeAutospacing="0" w:afterAutospacing="0"/>
        <w:ind w:firstLine="993" w:left="0"/>
        <w:jc w:val="both"/>
        <w:rPr>
          <w:color w:val="FF0000"/>
          <w:sz w:val="28"/>
          <w:szCs w:val="28"/>
          <w:lang w:val="ru-RU"/>
        </w:rPr>
      </w:pPr>
      <w:r>
        <w:rPr>
          <w:color w:val="FF0000"/>
          <w:sz w:val="28"/>
          <w:szCs w:val="28"/>
          <w:lang w:val="ru-RU"/>
        </w:rPr>
        <w:t>цифровая зрелость: покрытие 4</w:t>
      </w:r>
      <w:r>
        <w:rPr>
          <w:color w:val="FF0000"/>
          <w:sz w:val="28"/>
          <w:szCs w:val="28"/>
        </w:rPr>
        <w:t>G</w:t>
      </w:r>
      <w:r>
        <w:rPr>
          <w:color w:val="FF0000"/>
          <w:sz w:val="28"/>
          <w:szCs w:val="28"/>
          <w:lang w:val="ru-RU"/>
        </w:rPr>
        <w:t xml:space="preserve"> – 76%, скорость интернета – 12–18 Мбит/с, проникновение </w:t>
      </w:r>
      <w:r>
        <w:rPr>
          <w:iCs w:val="1"/>
          <w:color w:val="FF0000"/>
          <w:sz w:val="28"/>
          <w:szCs w:val="28"/>
        </w:rPr>
        <w:t>Mobile</w:t>
      </w:r>
      <w:r>
        <w:rPr>
          <w:iCs w:val="1"/>
          <w:color w:val="FF0000"/>
          <w:sz w:val="28"/>
          <w:szCs w:val="28"/>
          <w:lang w:val="ru-RU"/>
        </w:rPr>
        <w:t xml:space="preserve"> </w:t>
      </w:r>
      <w:r>
        <w:rPr>
          <w:iCs w:val="1"/>
          <w:color w:val="FF0000"/>
          <w:sz w:val="28"/>
          <w:szCs w:val="28"/>
        </w:rPr>
        <w:t>Money</w:t>
      </w:r>
      <w:r>
        <w:rPr>
          <w:color w:val="FF0000"/>
          <w:sz w:val="28"/>
          <w:szCs w:val="28"/>
          <w:lang w:val="ru-RU"/>
        </w:rPr>
        <w:t xml:space="preserve"> – 62%;</w:t>
      </w:r>
    </w:p>
    <w:p>
      <w:pPr>
        <w:pStyle w:val="P15"/>
        <w:numPr>
          <w:ilvl w:val="0"/>
          <w:numId w:val="25"/>
        </w:numPr>
        <w:tabs>
          <w:tab w:val="left" w:pos="1276" w:leader="none"/>
        </w:tabs>
        <w:spacing w:lineRule="auto" w:line="360" w:beforeAutospacing="0" w:afterAutospacing="0"/>
        <w:ind w:firstLine="993" w:left="0"/>
        <w:jc w:val="both"/>
        <w:rPr>
          <w:color w:val="FF0000"/>
          <w:sz w:val="28"/>
          <w:szCs w:val="28"/>
          <w:lang w:val="ru-RU"/>
        </w:rPr>
      </w:pPr>
      <w:r>
        <w:rPr>
          <w:color w:val="FF0000"/>
          <w:sz w:val="28"/>
          <w:szCs w:val="28"/>
          <w:lang w:val="ru-RU"/>
        </w:rPr>
        <w:t>риски для цифровых проектов – высокие (оценка 7/10), среди наиболее критических рисков выделяются: кибербезопасность (дефицит специалистов 84%), цифровое неравенство (только 38% женщин используют цифровые сервисы), зависимость от единого подводного кабеля.</w:t>
      </w:r>
    </w:p>
    <w:p>
      <w:pPr>
        <w:pStyle w:val="P15"/>
        <w:spacing w:lineRule="auto" w:line="360" w:beforeAutospacing="0" w:afterAutospacing="0"/>
        <w:ind w:firstLine="709" w:left="0"/>
        <w:jc w:val="both"/>
        <w:rPr>
          <w:color w:val="FF0000"/>
          <w:sz w:val="28"/>
          <w:szCs w:val="28"/>
          <w:lang w:val="ru-RU"/>
        </w:rPr>
      </w:pPr>
      <w:r>
        <w:rPr>
          <w:color w:val="FF0000"/>
          <w:sz w:val="28"/>
          <w:szCs w:val="28"/>
          <w:lang w:val="ru-RU"/>
        </w:rPr>
        <w:t>4. Зона дефицита/высоких рисков (бледно-серый/голубой) – п</w:t>
      </w:r>
      <w:r>
        <w:rPr>
          <w:iCs w:val="1"/>
          <w:color w:val="FF0000"/>
          <w:sz w:val="28"/>
          <w:szCs w:val="28"/>
          <w:lang w:val="ru-RU"/>
        </w:rPr>
        <w:t>ериферийные прибрежные коммуны: Гранд-Лагун (отдаленные кварталы), Абьян-Моро, прибрежные деревни Суд-Комоэ:</w:t>
      </w:r>
    </w:p>
    <w:p>
      <w:pPr>
        <w:pStyle w:val="P15"/>
        <w:numPr>
          <w:ilvl w:val="0"/>
          <w:numId w:val="25"/>
        </w:numPr>
        <w:tabs>
          <w:tab w:val="left" w:pos="1276" w:leader="none"/>
        </w:tabs>
        <w:spacing w:lineRule="auto" w:line="360" w:beforeAutospacing="0" w:afterAutospacing="0"/>
        <w:ind w:firstLine="993" w:left="0"/>
        <w:jc w:val="both"/>
        <w:rPr>
          <w:color w:val="FF0000"/>
          <w:sz w:val="28"/>
          <w:szCs w:val="28"/>
          <w:lang w:val="ru-RU"/>
        </w:rPr>
      </w:pPr>
      <w:r>
        <w:rPr>
          <w:color w:val="FF0000"/>
          <w:sz w:val="28"/>
          <w:szCs w:val="28"/>
          <w:lang w:val="ru-RU"/>
        </w:rPr>
        <w:t>концентрация МСБ достигает менее 5% предприятий прибрежной зоны;</w:t>
      </w:r>
    </w:p>
    <w:p>
      <w:pPr>
        <w:pStyle w:val="P15"/>
        <w:numPr>
          <w:ilvl w:val="0"/>
          <w:numId w:val="25"/>
        </w:numPr>
        <w:tabs>
          <w:tab w:val="left" w:pos="1276" w:leader="none"/>
        </w:tabs>
        <w:spacing w:lineRule="auto" w:line="360" w:beforeAutospacing="0" w:afterAutospacing="0"/>
        <w:ind w:firstLine="993" w:left="0"/>
        <w:jc w:val="both"/>
        <w:rPr>
          <w:color w:val="FF0000"/>
          <w:sz w:val="28"/>
          <w:szCs w:val="28"/>
          <w:lang w:val="ru-RU"/>
        </w:rPr>
      </w:pPr>
      <w:r>
        <w:rPr>
          <w:color w:val="FF0000"/>
          <w:sz w:val="28"/>
          <w:szCs w:val="28"/>
          <w:lang w:val="ru-RU"/>
        </w:rPr>
        <w:t>структура: преобладание неформального сектора (&gt;90% занятости), рыболовство развито на уровне промысла, отсутствуют формальные кооперативы;</w:t>
      </w:r>
    </w:p>
    <w:p>
      <w:pPr>
        <w:pStyle w:val="P15"/>
        <w:numPr>
          <w:ilvl w:val="0"/>
          <w:numId w:val="25"/>
        </w:numPr>
        <w:tabs>
          <w:tab w:val="left" w:pos="1276" w:leader="none"/>
        </w:tabs>
        <w:spacing w:lineRule="auto" w:line="360" w:beforeAutospacing="0" w:afterAutospacing="0"/>
        <w:ind w:firstLine="993" w:left="0"/>
        <w:jc w:val="both"/>
        <w:rPr>
          <w:color w:val="FF0000"/>
          <w:sz w:val="28"/>
          <w:szCs w:val="28"/>
          <w:lang w:val="ru-RU"/>
        </w:rPr>
      </w:pPr>
      <w:r>
        <w:rPr>
          <w:color w:val="FF0000"/>
          <w:sz w:val="28"/>
          <w:szCs w:val="28"/>
          <w:lang w:val="ru-RU"/>
        </w:rPr>
        <w:t>цифровая зрелость: покрытие 4</w:t>
      </w:r>
      <w:r>
        <w:rPr>
          <w:color w:val="FF0000"/>
          <w:sz w:val="28"/>
          <w:szCs w:val="28"/>
        </w:rPr>
        <w:t>G</w:t>
      </w:r>
      <w:r>
        <w:rPr>
          <w:color w:val="FF0000"/>
          <w:sz w:val="28"/>
          <w:szCs w:val="28"/>
          <w:lang w:val="ru-RU"/>
        </w:rPr>
        <w:t xml:space="preserve"> – 45–60%, скорость интернета – 5–12 Мбит/с,  доступ к электричеству составляет 68%;</w:t>
      </w:r>
    </w:p>
    <w:p>
      <w:pPr>
        <w:pStyle w:val="P15"/>
        <w:numPr>
          <w:ilvl w:val="0"/>
          <w:numId w:val="25"/>
        </w:numPr>
        <w:tabs>
          <w:tab w:val="left" w:pos="1276" w:leader="none"/>
        </w:tabs>
        <w:spacing w:lineRule="auto" w:line="360" w:beforeAutospacing="0" w:afterAutospacing="0"/>
        <w:ind w:firstLine="993" w:left="0"/>
        <w:jc w:val="both"/>
        <w:rPr>
          <w:color w:val="FF0000"/>
          <w:sz w:val="28"/>
          <w:szCs w:val="28"/>
          <w:lang w:val="ru-RU"/>
        </w:rPr>
      </w:pPr>
      <w:r>
        <w:rPr>
          <w:color w:val="FF0000"/>
          <w:sz w:val="28"/>
          <w:szCs w:val="28"/>
          <w:lang w:val="ru-RU"/>
        </w:rPr>
        <w:t xml:space="preserve">риски для цифровых проектов – критические (оценка 9/10), обусловлены такими системными барьерами,  как отсутствие цифровой грамотности (только 22% взрослого населения), эрозия побережья (до 2 м в год в некоторых районах) угрожает инфраструктуре, низкая плотность населения (&lt;50 чел./км²), что делает развертывание инфраструктуры экономически невыгодным.</w:t>
      </w:r>
    </w:p>
    <w:p>
      <w:pPr>
        <w:widowControl w:val="0"/>
        <w:spacing w:lineRule="auto" w:line="360" w:after="0" w:beforeAutospacing="0" w:afterAutospacing="0"/>
        <w:ind w:firstLine="709"/>
        <w:jc w:val="both"/>
        <w:rPr>
          <w:rFonts w:ascii="Times New Roman" w:hAnsi="Times New Roman" w:cs="Times New Roman"/>
          <w:color w:val="FF0000"/>
          <w:sz w:val="28"/>
          <w:szCs w:val="28"/>
        </w:rPr>
      </w:pPr>
      <w:r>
        <w:rPr>
          <w:rFonts w:ascii="Times New Roman" w:hAnsi="Times New Roman" w:cs="Times New Roman"/>
          <w:color w:val="FF0000"/>
          <w:sz w:val="28"/>
          <w:szCs w:val="28"/>
        </w:rPr>
        <w:t>Таким образом, прибрежная зона Кот-д'Ивуара обладает значительным потенциалом для успешной реализации масштабных цифровых платформ в рамках национальной стратегии достижения статуса страны со средним уровнем дохода. Высокий уровень экономического развития, развитая инфраструктура и концентрация образованного населения создают благоприятные условия для цифровой трансформации и позволяют выделить:</w:t>
      </w:r>
    </w:p>
    <w:p>
      <w:pPr>
        <w:pStyle w:val="P15"/>
        <w:numPr>
          <w:ilvl w:val="2"/>
          <w:numId w:val="28"/>
        </w:numPr>
        <w:spacing w:lineRule="auto" w:line="360" w:beforeAutospacing="0" w:afterAutospacing="0"/>
        <w:ind w:firstLine="709" w:left="0"/>
        <w:jc w:val="both"/>
        <w:rPr>
          <w:color w:val="FF0000"/>
          <w:sz w:val="28"/>
          <w:szCs w:val="28"/>
          <w:lang w:val="ru-RU"/>
        </w:rPr>
      </w:pPr>
      <w:r>
        <w:rPr>
          <w:color w:val="FF0000"/>
          <w:sz w:val="28"/>
          <w:szCs w:val="28"/>
          <w:lang w:val="ru-RU"/>
        </w:rPr>
        <w:t xml:space="preserve">оптимальные локации для пилотного внедрения: Центральный Абиджан (Плато, Кокоди, Маркуси), Гран-Бассам (туристический кластер), портовый комплекс Сан-Педро (логистический хаб); </w:t>
      </w:r>
    </w:p>
    <w:p>
      <w:pPr>
        <w:pStyle w:val="P15"/>
        <w:numPr>
          <w:ilvl w:val="2"/>
          <w:numId w:val="28"/>
        </w:numPr>
        <w:spacing w:lineRule="auto" w:line="360" w:beforeAutospacing="0" w:afterAutospacing="0"/>
        <w:ind w:firstLine="709" w:left="0"/>
        <w:jc w:val="both"/>
        <w:rPr>
          <w:color w:val="FF0000"/>
          <w:sz w:val="28"/>
          <w:szCs w:val="28"/>
          <w:lang w:val="ru-RU"/>
        </w:rPr>
      </w:pPr>
      <w:r>
        <w:rPr>
          <w:color w:val="FF0000"/>
          <w:sz w:val="28"/>
          <w:szCs w:val="28"/>
          <w:lang w:val="ru-RU"/>
        </w:rPr>
        <w:t>зоны, требующие предварительных инвестиций: периферийные районы Абиджана (Якопо, Анике), где требуется улучшение цифровой инфраструктуры, и прибрежные коммуны Суд-Комоэ, где необходимы программы цифровой грамотности.</w:t>
      </w:r>
    </w:p>
    <w:p>
      <w:pPr>
        <w:spacing w:lineRule="auto" w:line="360" w:after="0" w:beforeAutospacing="0" w:afterAutospacing="0"/>
        <w:ind w:firstLine="709"/>
        <w:jc w:val="both"/>
        <w:rPr>
          <w:rFonts w:ascii="Times New Roman" w:hAnsi="Times New Roman" w:cs="Times New Roman"/>
          <w:color w:val="FF0000"/>
          <w:sz w:val="28"/>
          <w:szCs w:val="28"/>
        </w:rPr>
      </w:pPr>
      <w:r>
        <w:rPr>
          <w:rFonts w:ascii="Times New Roman" w:hAnsi="Times New Roman" w:cs="Times New Roman"/>
          <w:color w:val="FF0000"/>
          <w:sz w:val="28"/>
          <w:szCs w:val="28"/>
        </w:rPr>
        <w:t>Для преодоления этих ограничений требуется комплексный подход, сочетающий инвестиции в человеческий капитал, модернизацию инфраструктуры, укрепление институциональной среды и обеспечение социальной инклюзии. Особое внимание следует уделить подготовке кадров, поскольку без решения проблемы дефицита специалистов любые технологические инвестиции окажутся неэффективными.</w:t>
      </w:r>
    </w:p>
    <w:p>
      <w:pPr>
        <w:spacing w:lineRule="auto" w:line="360" w:after="0" w:beforeAutospacing="0" w:afterAutospacing="0"/>
        <w:ind w:firstLine="709"/>
        <w:jc w:val="both"/>
        <w:rPr>
          <w:rFonts w:ascii="Times New Roman" w:hAnsi="Times New Roman" w:cs="Times New Roman"/>
          <w:color w:val="FF0000"/>
          <w:sz w:val="28"/>
          <w:szCs w:val="28"/>
        </w:rPr>
      </w:pPr>
      <w:r>
        <w:rPr>
          <w:rFonts w:ascii="Times New Roman" w:hAnsi="Times New Roman" w:cs="Times New Roman"/>
          <w:color w:val="FF0000"/>
          <w:sz w:val="28"/>
          <w:szCs w:val="28"/>
        </w:rPr>
        <w:t>При условии реализации предложенных мер прибрежная зона Кот-д'Ивуара может стать не только локомотивом национальной цифровой трансформации, но и образцом для других стран Западной Африки в области сбалансированного и инклюзивного цифрового развития.</w:t>
      </w:r>
    </w:p>
    <w:p>
      <w:pPr>
        <w:spacing w:lineRule="auto" w:line="360" w:after="0" w:beforeAutospacing="0" w:afterAutospacing="0"/>
        <w:ind w:firstLine="709"/>
        <w:jc w:val="both"/>
        <w:rPr>
          <w:rFonts w:ascii="Times New Roman" w:hAnsi="Times New Roman" w:cs="Times New Roman"/>
          <w:color w:val="FF0000"/>
          <w:sz w:val="28"/>
          <w:szCs w:val="28"/>
        </w:rPr>
      </w:pPr>
      <w:r>
        <w:rPr>
          <w:rFonts w:ascii="Times New Roman" w:hAnsi="Times New Roman" w:cs="Times New Roman"/>
          <w:color w:val="FF0000"/>
          <w:sz w:val="28"/>
          <w:szCs w:val="28"/>
        </w:rPr>
        <w:t xml:space="preserve">Таким образом, результаты моделирования и последующей оценки пилотной готовности прибрежной зоны позволяют заключить, что цифровая трансформация в Республике Кот-д’Ивуар формирует необходимые предпосылки для устойчивых траекторий инновационно-инклюзивного развития, однако ее эффект не является автоматическим и зависит от институционализации цифровых взаимодействий в форме платформенных механизмов, обеспечивающих доверие, снижение трансакционных издержек и вовлечение МСП в формальные экономические контуры. Выбор Абиджана в качестве стартовой территории обусловлен концентрацией инфраструктуры и спроса на цифровые сервисы, что позволяет использовать пилот как «узел» масштабирования цифровых практик на другие территории и сектора. Вместе с тем стратегическая результативность цифровизации определяется ее способностью трансформироваться в рост добавленной стоимости и расширение участия национальных производителей в более длинных цепочках создания стоимости. В этой связи необходим дальнейший анализ  участия Республики Кот-д’Ивуар в глобальных инновационных и торговых сетях и выявление каналов, через которые переработка, стандартизация и цифровизация (включая цифровые реестры, прослеживаемость, электронные процедуры и платежи) могут обеспечить включение МСП в экспортные контуры и укрепить позиции страны в региональных и мировых объединениях.</w:t>
      </w:r>
    </w:p>
    <w:p>
      <w:pPr>
        <w:pStyle w:val="P13"/>
        <w:spacing w:lineRule="auto" w:line="360" w:beforeAutospacing="0" w:afterAutospacing="0"/>
        <w:ind w:firstLine="709"/>
        <w:jc w:val="both"/>
        <w:rPr>
          <w:sz w:val="28"/>
          <w:szCs w:val="28"/>
          <w:lang w:val="ru-RU"/>
        </w:rPr>
      </w:pPr>
      <w:r>
        <w:rPr>
          <w:sz w:val="28"/>
          <w:szCs w:val="28"/>
          <w:lang w:val="ru-RU"/>
        </w:rPr>
        <w:t xml:space="preserve"> </w:t>
      </w:r>
    </w:p>
    <w:p>
      <w:pPr>
        <w:spacing w:lineRule="auto" w:line="360" w:after="0" w:beforeAutospacing="0" w:afterAutospacing="0"/>
        <w:jc w:val="center"/>
        <w:rPr>
          <w:rStyle w:val="C4"/>
          <w:rFonts w:eastAsiaTheme="minorHAnsi"/>
          <w:b w:val="0"/>
          <w:bCs w:val="0"/>
          <w:color w:val="auto"/>
          <w:sz w:val="28"/>
          <w:szCs w:val="28"/>
          <w:lang w:val="ru-RU"/>
        </w:rPr>
      </w:pPr>
    </w:p>
    <w:p>
      <w:pPr>
        <w:spacing w:lineRule="auto" w:line="360" w:after="0" w:beforeAutospacing="0" w:afterAutospacing="0"/>
        <w:ind w:firstLine="709"/>
        <w:jc w:val="both"/>
        <w:rPr>
          <w:rFonts w:ascii="Times New Roman" w:hAnsi="Times New Roman" w:cs="Times New Roman"/>
          <w:b w:val="1"/>
          <w:bCs w:val="1"/>
          <w:sz w:val="28"/>
          <w:szCs w:val="28"/>
        </w:rPr>
      </w:pPr>
      <w:r>
        <w:rPr>
          <w:rFonts w:ascii="Times New Roman" w:hAnsi="Times New Roman" w:cs="Times New Roman"/>
          <w:b w:val="1"/>
          <w:bCs w:val="1"/>
          <w:sz w:val="28"/>
          <w:szCs w:val="28"/>
        </w:rPr>
        <w:t>2.4 Анализ институциональных и сетевых механизмов внешнего включения Республики Кот-д’Ивуар в региональные и глобальные цепочки создания стоимости</w:t>
      </w:r>
    </w:p>
    <w:p>
      <w:pPr>
        <w:spacing w:lineRule="auto" w:line="360" w:after="0" w:beforeAutospacing="0" w:afterAutospacing="0"/>
        <w:ind w:firstLine="709"/>
        <w:jc w:val="both"/>
        <w:rPr>
          <w:rFonts w:ascii="Times New Roman" w:hAnsi="Times New Roman" w:cs="Times New Roman"/>
          <w:b w:val="1"/>
          <w:bCs w:val="1"/>
          <w:sz w:val="28"/>
          <w:szCs w:val="28"/>
        </w:rPr>
      </w:pPr>
    </w:p>
    <w:p>
      <w:pPr>
        <w:pStyle w:val="P21"/>
        <w:shd w:val="clear" w:fill="auto"/>
        <w:spacing w:lineRule="auto" w:line="360" w:beforeAutospacing="0" w:afterAutospacing="0"/>
        <w:ind w:firstLine="689" w:left="20" w:right="20"/>
        <w:jc w:val="both"/>
        <w:rPr>
          <w:rFonts w:ascii="Times New Roman" w:hAnsi="Times New Roman" w:cs="Times New Roman"/>
          <w:sz w:val="28"/>
          <w:szCs w:val="28"/>
          <w:highlight w:val="yellow"/>
        </w:rPr>
      </w:pPr>
    </w:p>
    <w:p>
      <w:pPr>
        <w:pStyle w:val="P21"/>
        <w:shd w:val="clear" w:fill="auto"/>
        <w:spacing w:lineRule="auto" w:line="360" w:beforeAutospacing="0" w:afterAutospacing="0"/>
        <w:ind w:firstLine="689" w:left="20" w:right="20"/>
        <w:jc w:val="both"/>
        <w:rPr>
          <w:rFonts w:ascii="Times New Roman" w:hAnsi="Times New Roman" w:cs="Times New Roman"/>
          <w:sz w:val="28"/>
          <w:szCs w:val="28"/>
          <w:highlight w:val="yellow"/>
        </w:rPr>
      </w:pPr>
    </w:p>
    <w:p>
      <w:pPr>
        <w:pStyle w:val="P21"/>
        <w:shd w:val="clear" w:fill="auto"/>
        <w:spacing w:lineRule="auto" w:line="360" w:beforeAutospacing="0" w:afterAutospacing="0"/>
        <w:ind w:firstLine="689" w:left="20" w:right="20"/>
        <w:jc w:val="both"/>
        <w:rPr>
          <w:rFonts w:ascii="Times New Roman" w:hAnsi="Times New Roman" w:cs="Times New Roman"/>
          <w:sz w:val="28"/>
          <w:szCs w:val="28"/>
        </w:rPr>
      </w:pPr>
      <w:r>
        <w:rPr>
          <w:rFonts w:ascii="Times New Roman" w:hAnsi="Times New Roman" w:cs="Times New Roman"/>
          <w:sz w:val="28"/>
          <w:szCs w:val="28"/>
        </w:rPr>
        <w:t>В условиях развивающейся экономики устойчивость инновационно-инклюзивного роста определяется не только динамикой национальных и региональных показателей, но и степенью внешнего включения страны в региональные и континентальные режимы торговли, движения факторов производства и технологического обмена, а также в формирующиеся цифровые режимы трансграничного взаимодействия.</w:t>
      </w:r>
    </w:p>
    <w:p>
      <w:pPr>
        <w:pStyle w:val="P21"/>
        <w:shd w:val="clear" w:fill="auto"/>
        <w:spacing w:lineRule="auto" w:line="360" w:beforeAutospacing="0" w:afterAutospacing="0"/>
        <w:ind w:firstLine="689" w:left="20" w:right="20"/>
        <w:jc w:val="both"/>
        <w:rPr>
          <w:rFonts w:ascii="Times New Roman" w:hAnsi="Times New Roman" w:cs="Times New Roman"/>
          <w:sz w:val="28"/>
          <w:szCs w:val="28"/>
          <w:highlight w:val="yellow"/>
        </w:rPr>
      </w:pPr>
      <w:r>
        <w:rPr>
          <w:rFonts w:ascii="Times New Roman" w:hAnsi="Times New Roman" w:cs="Times New Roman"/>
          <w:sz w:val="28"/>
          <w:szCs w:val="28"/>
        </w:rPr>
        <w:t>Институциональная архитектура экономической интеграции Республики Кот-д’Ивуар формируется на трех уровнях: субрегиональном (Экономическое сообщество западноафриканских государств – ЭКОВАС), валютно-экономическом (Западноафриканский экономический и валютный союз – ЮЭМОА/WAEMU) и континентальном (Африканская континентальная зона свободной торговли – AfCFTA). Содержательно данная архитектура задает режимы либерализации торговли, правила движения людей и капиталов, механизмы координации макроэкономической политики, а также рамочные условия для цифрового взаимодействия и цифровой торговли, которые становятся ключевыми для инновационно-инклюзивной траектории развития. Рассмотрим особенности участия и роли Республики в этих интеграционных объединениях, а также как формирующиеся тенденции во взаимодействии наднациональных объединений будут влиять на ее траектории инновационно-инклюзивного развития.</w:t>
      </w:r>
    </w:p>
    <w:p>
      <w:pPr>
        <w:pStyle w:val="P21"/>
        <w:shd w:val="clear" w:fill="auto"/>
        <w:spacing w:lineRule="auto" w:line="360" w:beforeAutospacing="0" w:afterAutospacing="0"/>
        <w:ind w:firstLine="689" w:left="20" w:right="40"/>
        <w:jc w:val="both"/>
        <w:rPr>
          <w:rFonts w:ascii="Times New Roman" w:hAnsi="Times New Roman" w:cs="Times New Roman"/>
          <w:sz w:val="28"/>
          <w:szCs w:val="28"/>
          <w:highlight w:val="yellow"/>
        </w:rPr>
      </w:pPr>
      <w:r>
        <w:rPr>
          <w:rFonts w:ascii="Times New Roman" w:hAnsi="Times New Roman" w:cs="Times New Roman"/>
          <w:sz w:val="28"/>
          <w:szCs w:val="28"/>
        </w:rPr>
        <w:t>Экономические показатели стран Западной Африки, измеряемые ростом дохода на душу населения, снижаются с момента обретения ими политической независимости. Невысокие ежегодные темпы роста в 1,5%, достигнутые в 1960-х годах, упали в среднем до 0,7% в 1970-х и стали отрицательными в 1980-х (-1,2%) [163], поскольку сочетание внешних и внутренних факторов свело процесс развития к минимуму запущен после обретения политической независимости. Как отмечает</w:t>
      </w:r>
      <w:r>
        <w:rPr>
          <w:bCs w:val="1"/>
          <w:sz w:val="28"/>
          <w:szCs w:val="28"/>
        </w:rPr>
        <w:t xml:space="preserve"> Е. </w:t>
      </w:r>
      <w:r>
        <w:rPr>
          <w:rFonts w:ascii="Times New Roman" w:hAnsi="Times New Roman" w:cs="Times New Roman"/>
          <w:bCs w:val="1"/>
          <w:sz w:val="28"/>
          <w:szCs w:val="28"/>
        </w:rPr>
        <w:t>Осабуохинен</w:t>
      </w:r>
      <w:r>
        <w:rPr>
          <w:rFonts w:ascii="Times New Roman" w:hAnsi="Times New Roman" w:cs="Times New Roman"/>
          <w:sz w:val="28"/>
          <w:szCs w:val="28"/>
        </w:rPr>
        <w:t xml:space="preserve">: «Законные устремления африканцев к более высокому уровню жизни не оправдались, и наша национальная экономика сохраняет черты колониальной экономики» </w:t>
      </w:r>
      <w:r>
        <w:rPr>
          <w:rFonts w:ascii="Times New Roman" w:hAnsi="Times New Roman" w:cs="Times New Roman"/>
          <w:sz w:val="28"/>
          <w:szCs w:val="28"/>
          <w:highlight w:val="yellow"/>
        </w:rPr>
        <w:t xml:space="preserve">[146]. </w:t>
      </w:r>
    </w:p>
    <w:p>
      <w:pPr>
        <w:pStyle w:val="P21"/>
        <w:shd w:val="clear" w:fill="auto"/>
        <w:spacing w:lineRule="auto" w:line="360" w:beforeAutospacing="0" w:afterAutospacing="0"/>
        <w:ind w:firstLine="689" w:left="20" w:right="40"/>
        <w:jc w:val="both"/>
        <w:rPr>
          <w:rFonts w:ascii="Times New Roman" w:hAnsi="Times New Roman" w:cs="Times New Roman"/>
          <w:sz w:val="28"/>
          <w:szCs w:val="28"/>
          <w:highlight w:val="yellow"/>
        </w:rPr>
      </w:pPr>
      <w:r>
        <w:rPr>
          <w:rFonts w:ascii="Times New Roman" w:hAnsi="Times New Roman" w:cs="Times New Roman"/>
          <w:sz w:val="28"/>
          <w:szCs w:val="28"/>
        </w:rPr>
        <w:t xml:space="preserve">Экономические проблемы, по-видимому, накапливались с течением времени, поскольку правительства боролись с хронической нехваткой продовольствия, высокими темпами роста населения, обезлесением и опустыниванием, чрезмерной зависимостью от экспорта сырьевых товаров, ухудшение условий торговли, огромным дефицитом платежного баланса, невозможностью финансирования дефицита бюджета и ростом задолженности (как внутренней, так и внешней). Справедливым представляется мнение О. Ихедуру, который отметил, что ни в одной стране Западной Африки стратегии развития не привели к успеху в устранении структурных диспропорций </w:t>
      </w:r>
      <w:r>
        <w:rPr>
          <w:rFonts w:ascii="Times New Roman" w:hAnsi="Times New Roman" w:cs="Times New Roman"/>
          <w:sz w:val="28"/>
          <w:szCs w:val="28"/>
          <w:highlight w:val="yellow"/>
        </w:rPr>
        <w:t>[109].</w:t>
      </w:r>
    </w:p>
    <w:p>
      <w:pPr>
        <w:pStyle w:val="P21"/>
        <w:shd w:val="clear" w:fill="auto"/>
        <w:spacing w:lineRule="auto" w:line="360" w:beforeAutospacing="0" w:afterAutospacing="0"/>
        <w:ind w:firstLine="689" w:left="20" w:right="40"/>
        <w:jc w:val="both"/>
        <w:rPr>
          <w:rFonts w:ascii="Times New Roman" w:hAnsi="Times New Roman" w:cs="Times New Roman"/>
          <w:sz w:val="28"/>
          <w:szCs w:val="28"/>
          <w:highlight w:val="yellow"/>
        </w:rPr>
      </w:pPr>
      <w:r>
        <w:rPr>
          <w:rFonts w:ascii="Times New Roman" w:hAnsi="Times New Roman" w:cs="Times New Roman"/>
          <w:sz w:val="28"/>
          <w:szCs w:val="28"/>
        </w:rPr>
        <w:t xml:space="preserve">После неудавшихся экономических реформ спада и структурной перестройки западноафриканские страны находятся в поисках жизнеспособных стратегий развития и все больше обращают внимание на ту роль, которую региональная интеграция и сотрудничество могли бы сыграть в оживлении и изменении направления процесса развития в сторону инновационно-инклюзивного роста </w:t>
      </w:r>
      <w:r>
        <w:rPr>
          <w:rFonts w:ascii="Times New Roman" w:hAnsi="Times New Roman" w:cs="Times New Roman"/>
          <w:sz w:val="28"/>
          <w:szCs w:val="28"/>
          <w:highlight w:val="yellow"/>
        </w:rPr>
        <w:t>[27].</w:t>
      </w:r>
    </w:p>
    <w:p>
      <w:pPr>
        <w:pStyle w:val="P21"/>
        <w:shd w:val="clear" w:fill="auto"/>
        <w:spacing w:lineRule="auto" w:line="360" w:beforeAutospacing="0" w:afterAutospacing="0"/>
        <w:ind w:firstLine="689" w:left="20" w:right="40"/>
        <w:jc w:val="both"/>
        <w:rPr>
          <w:rFonts w:ascii="Times New Roman" w:hAnsi="Times New Roman" w:cs="Times New Roman"/>
          <w:sz w:val="28"/>
          <w:szCs w:val="28"/>
        </w:rPr>
      </w:pPr>
      <w:r>
        <w:rPr>
          <w:rFonts w:ascii="Times New Roman" w:hAnsi="Times New Roman" w:cs="Times New Roman"/>
          <w:sz w:val="28"/>
          <w:szCs w:val="28"/>
        </w:rPr>
        <w:t>Хотя концепции и практика региональной интеграции и сотрудничества в том виде, в каком они известны международному сообществу, появились относительно недавно, Западную Африку следует отнести к регионам мира, имеющим определенный опыт в этой области. В этом регионе насчитывается около 40 межправительственных организаций (МПО), некоторые из которых уходят корнями в колониальное прошлое. Большинство из них носят предметный характер или представляют собой свободные формы регионального сотрудничества, но есть и три экономических сообщества, каждое из которых занимается экономической интеграцией входящих в него стран.</w:t>
      </w:r>
    </w:p>
    <w:p>
      <w:pPr>
        <w:pStyle w:val="P21"/>
        <w:shd w:val="clear" w:fill="auto"/>
        <w:spacing w:lineRule="auto" w:line="360" w:beforeAutospacing="0" w:afterAutospacing="0"/>
        <w:ind w:firstLine="689" w:left="20" w:right="40"/>
        <w:jc w:val="both"/>
        <w:rPr>
          <w:rFonts w:ascii="Times New Roman" w:hAnsi="Times New Roman" w:cs="Times New Roman"/>
          <w:sz w:val="28"/>
          <w:szCs w:val="28"/>
          <w:highlight w:val="yellow"/>
        </w:rPr>
      </w:pPr>
      <w:r>
        <w:rPr>
          <w:rFonts w:ascii="Times New Roman" w:hAnsi="Times New Roman" w:cs="Times New Roman"/>
          <w:sz w:val="28"/>
          <w:szCs w:val="28"/>
        </w:rPr>
        <w:t xml:space="preserve">Первым из них было создано Западноафриканское экономическое сообщество (CEAO) в 1972 году путем преобразования гораздо более старой таможенной и экономической группировки в Douaniere et Economice de l'Afrique de l'Ouest (UDEAO) </w:t>
      </w:r>
      <w:r>
        <w:rPr>
          <w:rFonts w:ascii="Times New Roman" w:hAnsi="Times New Roman" w:cs="Times New Roman"/>
          <w:sz w:val="28"/>
          <w:szCs w:val="28"/>
          <w:highlight w:val="yellow"/>
        </w:rPr>
        <w:t xml:space="preserve">[143]. </w:t>
      </w:r>
      <w:r>
        <w:rPr>
          <w:rFonts w:ascii="Times New Roman" w:hAnsi="Times New Roman" w:cs="Times New Roman"/>
          <w:sz w:val="28"/>
          <w:szCs w:val="28"/>
        </w:rPr>
        <w:t xml:space="preserve">Расформированная 14 марта 1994 года, CEAO была заменена Западноафриканским валютно-экономическим союзом (UEMOA). Другими экономическими сообществами являются Союз стран бассейна реки Мано (MRU), созданный в 1973 г., и Экономическое сообщество западноафриканских государств (CEDEAO, ЭКОВАС), образованное в 1975 г. Членами этих сообществ незадолго до роспуска CEAO были, соответственно, Бенин, Буркина-Иасо, Кот-д'Ивуар, Мали, Мавритания, Нигер и Сенегал для CEAO; Гвинея, Либерия и Сьерра-Леоне и все 16 стран Западной Африки, от Кабо-Верде до Нигерии в настоящее время входят ЭКОВАС </w:t>
      </w:r>
      <w:r>
        <w:rPr>
          <w:rFonts w:ascii="Times New Roman" w:hAnsi="Times New Roman" w:cs="Times New Roman"/>
          <w:sz w:val="28"/>
          <w:szCs w:val="28"/>
          <w:highlight w:val="yellow"/>
        </w:rPr>
        <w:t>[143].</w:t>
      </w:r>
    </w:p>
    <w:p>
      <w:pPr>
        <w:pStyle w:val="P21"/>
        <w:shd w:val="clear" w:fill="auto"/>
        <w:spacing w:lineRule="auto" w:line="360" w:beforeAutospacing="0" w:afterAutospacing="0"/>
        <w:ind w:firstLine="689" w:left="20" w:right="40"/>
        <w:jc w:val="both"/>
        <w:rPr>
          <w:rFonts w:ascii="Times New Roman" w:hAnsi="Times New Roman" w:cs="Times New Roman"/>
          <w:sz w:val="28"/>
          <w:szCs w:val="28"/>
        </w:rPr>
      </w:pPr>
      <w:r>
        <w:rPr>
          <w:rFonts w:ascii="Times New Roman" w:hAnsi="Times New Roman" w:cs="Times New Roman"/>
          <w:sz w:val="28"/>
          <w:szCs w:val="28"/>
        </w:rPr>
        <w:t xml:space="preserve">Основной упор при создании каждого из трех сообществ делался на либерализацию внутриобщинной торговли и связанных с ней форм сотрудничества, таких как региональные дороги и телекоммуникационные сети, поддерживаемые ЭКОВАС </w:t>
      </w:r>
      <w:r>
        <w:rPr>
          <w:rFonts w:ascii="Times New Roman" w:hAnsi="Times New Roman" w:cs="Times New Roman"/>
          <w:sz w:val="28"/>
          <w:szCs w:val="28"/>
          <w:highlight w:val="yellow"/>
        </w:rPr>
        <w:t xml:space="preserve">[46]. </w:t>
      </w:r>
      <w:r>
        <w:rPr>
          <w:rFonts w:ascii="Times New Roman" w:hAnsi="Times New Roman" w:cs="Times New Roman"/>
          <w:sz w:val="28"/>
          <w:szCs w:val="28"/>
        </w:rPr>
        <w:t>Другие направления деятельности ЭКОВАС включали меры по содействию свободному перемещению людей путем введения безвизового режима для граждан западноафриканских стран по всему региону и признания права людей проживать и поселяться в любой стране региона. ЭКОВАС также приняло программы сельскохозяйственного и промышленного сотрудничества, направленные на расширение региональной производственной базы и обеспечение большей взаимодополняемости различных национальных производственных систем.</w:t>
      </w:r>
    </w:p>
    <w:p>
      <w:pPr>
        <w:pStyle w:val="P21"/>
        <w:shd w:val="clear" w:fill="auto"/>
        <w:spacing w:lineRule="auto" w:line="360" w:beforeAutospacing="0" w:afterAutospacing="0"/>
        <w:ind w:firstLine="689" w:left="20" w:right="40"/>
        <w:jc w:val="both"/>
        <w:rPr>
          <w:rFonts w:ascii="Times New Roman" w:hAnsi="Times New Roman" w:cs="Times New Roman"/>
          <w:sz w:val="28"/>
          <w:szCs w:val="28"/>
        </w:rPr>
      </w:pPr>
      <w:r>
        <w:rPr>
          <w:rFonts w:ascii="Times New Roman" w:hAnsi="Times New Roman" w:cs="Times New Roman"/>
          <w:sz w:val="28"/>
          <w:szCs w:val="28"/>
        </w:rPr>
        <w:t>Данные сообщества также продвигали и конкретные проекты. CEAO создала институт управления в Дакаре (CESAG), институт рыболовства в Нуадибу (Мавритания), и Региональный центр солнечной энергии (CRES) в Бамако (Мали). MRU аналогичным образом создал ряд так называемых «профсоюзных институтов»</w:t>
      </w:r>
      <w:r>
        <w:rPr>
          <w:rFonts w:ascii="Times New Roman" w:hAnsi="Times New Roman" w:cs="Times New Roman"/>
          <w:sz w:val="28"/>
          <w:szCs w:val="28"/>
          <w:highlight w:val="yellow"/>
        </w:rPr>
        <w:t xml:space="preserve"> [68</w:t>
      </w:r>
      <w:r>
        <w:rPr>
          <w:rFonts w:ascii="Times New Roman" w:hAnsi="Times New Roman" w:cs="Times New Roman"/>
          <w:sz w:val="28"/>
          <w:szCs w:val="28"/>
        </w:rPr>
        <w:t>]: телекоммуникации во Фритауне, морское обучение в Монровии и обучение лесоводству в Боми-Хиллз (Либерия). Финансовые учреждения, ответственные за финансирование проектов и программ региональной интеграции, участвовали в инициативах как СЕАО, так и ЭКОВАС.</w:t>
      </w:r>
    </w:p>
    <w:p>
      <w:pPr>
        <w:pStyle w:val="P21"/>
        <w:shd w:val="clear" w:fill="auto"/>
        <w:spacing w:lineRule="auto" w:line="360" w:beforeAutospacing="0" w:afterAutospacing="0"/>
        <w:ind w:firstLine="689" w:left="20" w:right="20"/>
        <w:jc w:val="both"/>
        <w:rPr>
          <w:rFonts w:ascii="Times New Roman" w:hAnsi="Times New Roman" w:cs="Times New Roman"/>
          <w:sz w:val="28"/>
          <w:szCs w:val="28"/>
        </w:rPr>
      </w:pPr>
      <w:r>
        <w:rPr>
          <w:rFonts w:ascii="Times New Roman" w:hAnsi="Times New Roman" w:cs="Times New Roman"/>
          <w:sz w:val="28"/>
          <w:szCs w:val="28"/>
        </w:rPr>
        <w:t>В отличие от трех экономических сообществ, другие западноафриканские МПО имеют более специализированные цели. Каждая из них была создана, чтобы помочь своим странам-членам решить общую проблему или способствовать развитию общих ресурсов.</w:t>
      </w:r>
    </w:p>
    <w:p>
      <w:pPr>
        <w:pStyle w:val="P21"/>
        <w:spacing w:lineRule="auto" w:line="360" w:beforeAutospacing="0" w:afterAutospacing="0"/>
        <w:ind w:firstLine="689" w:left="20" w:right="20"/>
        <w:jc w:val="both"/>
        <w:rPr>
          <w:rFonts w:ascii="Times New Roman" w:hAnsi="Times New Roman" w:cs="Times New Roman"/>
          <w:sz w:val="28"/>
          <w:szCs w:val="28"/>
        </w:rPr>
      </w:pPr>
      <w:r>
        <w:rPr>
          <w:rFonts w:ascii="Times New Roman" w:hAnsi="Times New Roman" w:cs="Times New Roman"/>
          <w:sz w:val="28"/>
          <w:szCs w:val="28"/>
        </w:rPr>
        <w:t>В сфере валютного сотрудничества Западноафриканский валютный союз (ЗВСС) с января 1994 года стал ЗАЭВС (UEMOA). С точки зрения внешнего включения Кот-д’Ивуара данный уровень интеграции принципиален по двум причинам. Во-первых, валютно-финансовая согласованность снижает трансакционные издержки торговли и инвестиционного взаимодействия внутри интеграционного пространства, повышая предсказуемость расчетов и контрактов (что напрямую связано с институтом доверия в экономике платформ). Во-вторых, финансовые институты и наднациональные правила выступают «контуром дисциплины», повышающим качество макроэкономического управления и тем самым косвенно влияющим на способность страны привлекать ресурсы для цифровой модернизации и инновационной инфраструктуры. В этой связи денежно-кредитная интеграция важна как условие гармонизации политики, повышения качества управления и формирования более устойчивых оснований развития.</w:t>
      </w:r>
    </w:p>
    <w:p>
      <w:pPr>
        <w:pStyle w:val="P21"/>
        <w:shd w:val="clear" w:fill="auto"/>
        <w:spacing w:lineRule="auto" w:line="360" w:beforeAutospacing="0" w:afterAutospacing="0"/>
        <w:ind w:firstLine="689" w:left="20" w:right="20"/>
        <w:jc w:val="both"/>
        <w:rPr>
          <w:rFonts w:ascii="Times New Roman" w:hAnsi="Times New Roman" w:cs="Times New Roman"/>
          <w:sz w:val="28"/>
          <w:szCs w:val="28"/>
        </w:rPr>
      </w:pPr>
      <w:r>
        <w:rPr>
          <w:rFonts w:ascii="Times New Roman" w:hAnsi="Times New Roman" w:cs="Times New Roman"/>
          <w:sz w:val="28"/>
          <w:szCs w:val="28"/>
        </w:rPr>
        <w:t>ЗАЭВС объединяет семь франкоязычных стран под управлением Центрального банка западноафриканских государств (штаб-квартира находится в Абиджане), который является органом, эмитирующим западноафриканский франк. Относительно успешный, благодаря наднациональному характеру учреждения и внешней поддержке со стороны Франции, союз активно расширяет свои функции за пределы денежного сотрудничества в экономической сфере. Для Западной Африки в целом центральные банки региона учредили Западноафриканскую клиринговую палату (WACH) для облегчения внутрирегиональных операций и экономии на использовании иностранных конвертируемых валют. Сфера деятельности WACH в настоящее время расширяется, и оно трансформируется в Западноафриканское валютное агентство.</w:t>
      </w:r>
    </w:p>
    <w:p>
      <w:pPr>
        <w:pStyle w:val="P21"/>
        <w:shd w:val="clear" w:fill="auto"/>
        <w:spacing w:lineRule="auto" w:line="360" w:beforeAutospacing="0" w:afterAutospacing="0"/>
        <w:ind w:firstLine="689" w:left="20" w:right="20"/>
        <w:jc w:val="both"/>
        <w:rPr>
          <w:rFonts w:ascii="Times New Roman" w:hAnsi="Times New Roman" w:cs="Times New Roman"/>
          <w:sz w:val="28"/>
          <w:szCs w:val="28"/>
          <w:highlight w:val="yellow"/>
        </w:rPr>
      </w:pPr>
      <w:r>
        <w:rPr>
          <w:rFonts w:ascii="Times New Roman" w:hAnsi="Times New Roman" w:cs="Times New Roman"/>
          <w:sz w:val="28"/>
          <w:szCs w:val="28"/>
        </w:rPr>
        <w:t>Несколько МПО активно работают в области сельского хозяйства и управления природными ресурсами. К ним относятся</w:t>
      </w:r>
      <w:r>
        <w:rPr>
          <w:rFonts w:ascii="Times New Roman" w:hAnsi="Times New Roman" w:cs="Times New Roman"/>
          <w:sz w:val="28"/>
          <w:szCs w:val="28"/>
          <w:highlight w:val="yellow"/>
          <w:lang w:val="en-US"/>
        </w:rPr>
        <w:t xml:space="preserve"> [176]</w:t>
      </w:r>
      <w:r>
        <w:rPr>
          <w:rFonts w:ascii="Times New Roman" w:hAnsi="Times New Roman" w:cs="Times New Roman"/>
          <w:sz w:val="28"/>
          <w:szCs w:val="28"/>
          <w:highlight w:val="yellow"/>
        </w:rPr>
        <w:t>:</w:t>
      </w:r>
    </w:p>
    <w:p>
      <w:pPr>
        <w:pStyle w:val="P21"/>
        <w:numPr>
          <w:ilvl w:val="0"/>
          <w:numId w:val="2"/>
        </w:numPr>
        <w:shd w:val="clear" w:fill="auto"/>
        <w:tabs>
          <w:tab w:val="left" w:pos="607" w:leader="none"/>
          <w:tab w:val="left" w:pos="993" w:leader="none"/>
        </w:tabs>
        <w:spacing w:lineRule="auto" w:line="360" w:beforeAutospacing="0" w:afterAutospacing="0"/>
        <w:ind w:firstLine="709" w:right="20"/>
        <w:jc w:val="both"/>
        <w:rPr>
          <w:rFonts w:ascii="Times New Roman" w:hAnsi="Times New Roman" w:cs="Times New Roman"/>
          <w:sz w:val="28"/>
          <w:szCs w:val="28"/>
        </w:rPr>
      </w:pPr>
      <w:r>
        <w:rPr>
          <w:rFonts w:ascii="Times New Roman" w:hAnsi="Times New Roman" w:cs="Times New Roman"/>
          <w:sz w:val="28"/>
          <w:szCs w:val="28"/>
        </w:rPr>
        <w:t>постоянный межгосударственный комитет по борьбе с засухой в Сахеле (CILSS), созданный в 1973 году для борьбы с растущей угрозой засухи и опустынивания; эта организация была координационным центром как внешних, так и местных усилий по сдерживанию экологической деградации и содействию устойчивому развитию;</w:t>
      </w:r>
    </w:p>
    <w:p>
      <w:pPr>
        <w:pStyle w:val="P21"/>
        <w:numPr>
          <w:ilvl w:val="0"/>
          <w:numId w:val="2"/>
        </w:numPr>
        <w:shd w:val="clear" w:fill="auto"/>
        <w:tabs>
          <w:tab w:val="left" w:pos="628" w:leader="none"/>
          <w:tab w:val="left" w:pos="993" w:leader="none"/>
        </w:tabs>
        <w:spacing w:lineRule="auto" w:line="360" w:beforeAutospacing="0" w:afterAutospacing="0"/>
        <w:ind w:firstLine="709" w:right="20"/>
        <w:jc w:val="both"/>
        <w:rPr>
          <w:rFonts w:ascii="Times New Roman" w:hAnsi="Times New Roman" w:cs="Times New Roman"/>
          <w:sz w:val="28"/>
          <w:szCs w:val="28"/>
        </w:rPr>
      </w:pPr>
      <w:r>
        <w:rPr>
          <w:rFonts w:ascii="Times New Roman" w:hAnsi="Times New Roman" w:cs="Times New Roman"/>
          <w:sz w:val="28"/>
          <w:szCs w:val="28"/>
        </w:rPr>
        <w:t>экономическое сообщество скота (CEBV), созданное в 1970 году для укрепления животноводческой отрасли, который является основным сектором экономики в зоне саванн, и организатором торговли скотом между производителями и странами-потребителями региона;</w:t>
      </w:r>
    </w:p>
    <w:p>
      <w:pPr>
        <w:pStyle w:val="P21"/>
        <w:numPr>
          <w:ilvl w:val="0"/>
          <w:numId w:val="2"/>
        </w:numPr>
        <w:shd w:val="clear" w:fill="auto"/>
        <w:tabs>
          <w:tab w:val="left" w:pos="628" w:leader="none"/>
          <w:tab w:val="left" w:pos="993" w:leader="none"/>
        </w:tabs>
        <w:spacing w:lineRule="auto" w:line="360" w:beforeAutospacing="0" w:afterAutospacing="0"/>
        <w:ind w:firstLine="709" w:right="20"/>
        <w:jc w:val="both"/>
        <w:rPr>
          <w:rFonts w:ascii="Times New Roman" w:hAnsi="Times New Roman" w:cs="Times New Roman"/>
          <w:sz w:val="28"/>
          <w:szCs w:val="28"/>
        </w:rPr>
      </w:pPr>
      <w:r>
        <w:rPr>
          <w:rFonts w:ascii="Times New Roman" w:hAnsi="Times New Roman" w:cs="Times New Roman"/>
          <w:sz w:val="28"/>
          <w:szCs w:val="28"/>
        </w:rPr>
        <w:t>западноафриканская ассоциация развития риса (WARDA), созданная в 1970 году для улучшения производства риса, основного продукта питания в Западной Африке;</w:t>
      </w:r>
    </w:p>
    <w:p>
      <w:pPr>
        <w:pStyle w:val="P21"/>
        <w:numPr>
          <w:ilvl w:val="0"/>
          <w:numId w:val="2"/>
        </w:numPr>
        <w:shd w:val="clear" w:fill="auto"/>
        <w:tabs>
          <w:tab w:val="left" w:pos="628" w:leader="none"/>
          <w:tab w:val="left" w:pos="993" w:leader="none"/>
        </w:tabs>
        <w:spacing w:lineRule="auto" w:line="360" w:beforeAutospacing="0" w:afterAutospacing="0"/>
        <w:ind w:firstLine="709" w:right="20"/>
        <w:jc w:val="both"/>
        <w:rPr>
          <w:rFonts w:ascii="Times New Roman" w:hAnsi="Times New Roman" w:cs="Times New Roman"/>
          <w:sz w:val="28"/>
          <w:szCs w:val="28"/>
        </w:rPr>
      </w:pPr>
      <w:r>
        <w:rPr>
          <w:rFonts w:ascii="Times New Roman" w:hAnsi="Times New Roman" w:cs="Times New Roman"/>
          <w:sz w:val="28"/>
          <w:szCs w:val="28"/>
        </w:rPr>
        <w:t>две крупные организации по борьбе с вредителями, Международная организация по борьбе с мигрирующей африканской саранчой (OICMA) и Организация по борьбе с птицами-вредителями (OCLALAV), были созданы для борьбы с вредителями, которые уничтожали посевы сельскохозяйственных культур, что особенно актуально для Сахелианского региона;</w:t>
      </w:r>
    </w:p>
    <w:p>
      <w:pPr>
        <w:pStyle w:val="P21"/>
        <w:numPr>
          <w:ilvl w:val="0"/>
          <w:numId w:val="2"/>
        </w:numPr>
        <w:shd w:val="clear" w:fill="auto"/>
        <w:tabs>
          <w:tab w:val="left" w:pos="628" w:leader="none"/>
          <w:tab w:val="left" w:pos="993" w:leader="none"/>
        </w:tabs>
        <w:spacing w:lineRule="auto" w:line="360" w:beforeAutospacing="0" w:afterAutospacing="0"/>
        <w:ind w:firstLine="709" w:right="20"/>
        <w:jc w:val="both"/>
        <w:rPr>
          <w:rFonts w:ascii="Times New Roman" w:hAnsi="Times New Roman" w:cs="Times New Roman"/>
          <w:sz w:val="28"/>
          <w:szCs w:val="28"/>
        </w:rPr>
      </w:pPr>
      <w:r>
        <w:rPr>
          <w:rFonts w:ascii="Times New Roman" w:hAnsi="Times New Roman" w:cs="Times New Roman"/>
          <w:sz w:val="28"/>
          <w:szCs w:val="28"/>
        </w:rPr>
        <w:t xml:space="preserve">организации речных и озерных бассейнов, такие как Управление бассейна Нигера, Организация по развитию рек Сенегала (OMVS), Организация по развитию рек Гамбии (OMVG) и Комиссия по бассейну озера Чад (LCBC); </w:t>
      </w:r>
    </w:p>
    <w:p>
      <w:pPr>
        <w:pStyle w:val="P21"/>
        <w:numPr>
          <w:ilvl w:val="0"/>
          <w:numId w:val="2"/>
        </w:numPr>
        <w:shd w:val="clear" w:fill="auto"/>
        <w:tabs>
          <w:tab w:val="left" w:pos="628" w:leader="none"/>
          <w:tab w:val="left" w:pos="993" w:leader="none"/>
        </w:tabs>
        <w:spacing w:lineRule="auto" w:line="360" w:beforeAutospacing="0" w:afterAutospacing="0"/>
        <w:ind w:firstLine="709" w:right="20"/>
        <w:jc w:val="both"/>
        <w:rPr>
          <w:rFonts w:ascii="Times New Roman" w:hAnsi="Times New Roman" w:cs="Times New Roman"/>
          <w:sz w:val="28"/>
          <w:szCs w:val="28"/>
        </w:rPr>
      </w:pPr>
      <w:r>
        <w:rPr>
          <w:rFonts w:ascii="Times New Roman" w:hAnsi="Times New Roman" w:cs="Times New Roman"/>
          <w:sz w:val="28"/>
          <w:szCs w:val="28"/>
        </w:rPr>
        <w:t>Liptako Gourma Authority, организация для скоординированного и ускоренного освоения ресурсов региона, разделяемого Нигером, Мали и Буркина-Фасо.</w:t>
      </w:r>
    </w:p>
    <w:p>
      <w:pPr>
        <w:pStyle w:val="P21"/>
        <w:shd w:val="clear" w:fill="auto"/>
        <w:spacing w:lineRule="auto" w:line="360" w:beforeAutospacing="0" w:afterAutospacing="0"/>
        <w:ind w:firstLine="689" w:left="20" w:right="20"/>
        <w:jc w:val="both"/>
        <w:rPr>
          <w:rFonts w:ascii="Times New Roman" w:hAnsi="Times New Roman" w:cs="Times New Roman"/>
          <w:sz w:val="28"/>
          <w:szCs w:val="28"/>
          <w:highlight w:val="yellow"/>
        </w:rPr>
      </w:pPr>
      <w:r>
        <w:rPr>
          <w:rFonts w:ascii="Times New Roman" w:hAnsi="Times New Roman" w:cs="Times New Roman"/>
          <w:sz w:val="28"/>
          <w:szCs w:val="28"/>
        </w:rPr>
        <w:t xml:space="preserve">Что касается развития человеческих ресурсов, то в секторе здравоохранения действуют две западноафриканские организации: Западноафриканское сообщество здравоохранения (WAHC) и Организация по координации и сотрудничеству в борьбе с основными эндемическими заболеваниями (OCCGE). Они объединяются в Западноафриканскую организацию здравоохранения, специализированное учреждение ЭКОВАС </w:t>
      </w:r>
      <w:r>
        <w:rPr>
          <w:rFonts w:ascii="Times New Roman" w:hAnsi="Times New Roman" w:cs="Times New Roman"/>
          <w:sz w:val="28"/>
          <w:szCs w:val="28"/>
          <w:highlight w:val="yellow"/>
        </w:rPr>
        <w:t xml:space="preserve">[143]. </w:t>
      </w:r>
      <w:r>
        <w:rPr>
          <w:rFonts w:ascii="Times New Roman" w:hAnsi="Times New Roman" w:cs="Times New Roman"/>
          <w:sz w:val="28"/>
          <w:szCs w:val="28"/>
        </w:rPr>
        <w:t xml:space="preserve">В сфере образования есть Западноафриканский экзаменационный совет (WAEC) и его франкоязычный эквивалент, Африканский и малагасийский совет по высшему образованию (CAMES) </w:t>
      </w:r>
      <w:r>
        <w:rPr>
          <w:rFonts w:ascii="Times New Roman" w:hAnsi="Times New Roman" w:cs="Times New Roman"/>
          <w:sz w:val="28"/>
          <w:szCs w:val="28"/>
          <w:highlight w:val="yellow"/>
        </w:rPr>
        <w:t>[143].</w:t>
      </w:r>
    </w:p>
    <w:p>
      <w:pPr>
        <w:pStyle w:val="P21"/>
        <w:shd w:val="clear" w:fill="auto"/>
        <w:spacing w:lineRule="auto" w:line="360" w:beforeAutospacing="0" w:afterAutospacing="0"/>
        <w:ind w:firstLine="689" w:left="20" w:right="20"/>
        <w:jc w:val="both"/>
        <w:rPr>
          <w:rFonts w:ascii="Times New Roman" w:hAnsi="Times New Roman" w:cs="Times New Roman"/>
          <w:sz w:val="28"/>
          <w:szCs w:val="28"/>
          <w:highlight w:val="yellow"/>
        </w:rPr>
      </w:pPr>
      <w:r>
        <w:rPr>
          <w:rFonts w:ascii="Times New Roman" w:hAnsi="Times New Roman" w:cs="Times New Roman"/>
          <w:sz w:val="28"/>
          <w:szCs w:val="28"/>
        </w:rPr>
        <w:t xml:space="preserve">Наконец, ЭКОВАС поощряло создание ряда ассоциаций по вовлечению граждан Западной Африки в интеграционный процесс; к ним относятся Союз молодежи Западной Африки, Ассоциация женщин Западной Африки и Союз рабочих Западной Африки. Существуют также региональные бизнес-ассоциации, такие как Федерация западноафриканских торговых палат, Федерация ассоциаций производителей Западной Африки, Ассоциация западноафриканских банков и Союз автомобильных перевозчиков Западной Африки </w:t>
      </w:r>
      <w:r>
        <w:rPr>
          <w:rFonts w:ascii="Times New Roman" w:hAnsi="Times New Roman" w:cs="Times New Roman"/>
          <w:sz w:val="28"/>
          <w:szCs w:val="28"/>
          <w:highlight w:val="yellow"/>
        </w:rPr>
        <w:t>[128].</w:t>
      </w:r>
    </w:p>
    <w:p>
      <w:pPr>
        <w:pStyle w:val="P21"/>
        <w:shd w:val="clear" w:fill="auto"/>
        <w:spacing w:lineRule="auto" w:line="360" w:beforeAutospacing="0" w:afterAutospacing="0"/>
        <w:ind w:firstLine="689" w:left="20" w:right="20"/>
        <w:jc w:val="both"/>
        <w:rPr>
          <w:rFonts w:ascii="Times New Roman" w:hAnsi="Times New Roman" w:cs="Times New Roman"/>
          <w:sz w:val="28"/>
          <w:szCs w:val="28"/>
          <w:highlight w:val="yellow"/>
        </w:rPr>
      </w:pPr>
      <w:r>
        <w:rPr>
          <w:rFonts w:ascii="Times New Roman" w:hAnsi="Times New Roman" w:cs="Times New Roman"/>
          <w:sz w:val="28"/>
          <w:szCs w:val="28"/>
        </w:rPr>
        <w:t xml:space="preserve">Эти региональные организации, их политика и инициированные ими программы обеспечивают готовую основу для построения процесса интеграции. В настоящее время 16 стран Западной Африки в рамках ЭКОВАС согласовали зоны свободной торговли, правила свободного передвижения людей, валютный союз, принципы регионального сотрудничества в области обороны и совместного развития региональных транспортных и коммуникационных сетей. Как отмечает К. Праа: «Это знак солидарности и духа общности, которые развивались с годами среди стран Западной Африки, несмотря на различный колониальный опыт, языковые и культурные корни, а также правовые и административные системы, разделившие регион» </w:t>
      </w:r>
      <w:r>
        <w:rPr>
          <w:rFonts w:ascii="Times New Roman" w:hAnsi="Times New Roman" w:cs="Times New Roman"/>
          <w:sz w:val="28"/>
          <w:szCs w:val="28"/>
          <w:highlight w:val="yellow"/>
        </w:rPr>
        <w:t>[155].</w:t>
      </w:r>
    </w:p>
    <w:p>
      <w:pPr>
        <w:pStyle w:val="P21"/>
        <w:shd w:val="clear" w:fill="auto"/>
        <w:spacing w:lineRule="auto" w:line="360" w:beforeAutospacing="0" w:afterAutospacing="0"/>
        <w:ind w:firstLine="689" w:left="20" w:right="40"/>
        <w:jc w:val="both"/>
        <w:rPr>
          <w:rFonts w:ascii="Times New Roman" w:hAnsi="Times New Roman" w:cs="Times New Roman"/>
          <w:sz w:val="28"/>
          <w:szCs w:val="28"/>
        </w:rPr>
      </w:pPr>
      <w:r>
        <w:rPr>
          <w:rFonts w:ascii="Times New Roman" w:hAnsi="Times New Roman" w:cs="Times New Roman"/>
          <w:sz w:val="28"/>
          <w:szCs w:val="28"/>
        </w:rPr>
        <w:t xml:space="preserve">Плохое экономическое состояние стран Западной Африки с начала 1980-х годов было основным препятствием для развития процессов интеграции. Тяжелая экономическая ситуация вынудила государства-члены отказаться от всех планов долгосрочного экономического развития, включая региональную интеграцию, в погоне за краткосрочной стабилизацией. Таким образом, низкий уровень доходов бюджетной системы вынудил распределять средства, прежде всего, в соответствии с краткосрочными приоритетами, которые исключали инклюзивный рост или признавали цели устойчивого развития лишь символически. </w:t>
      </w:r>
    </w:p>
    <w:p>
      <w:pPr>
        <w:pStyle w:val="P21"/>
        <w:shd w:val="clear" w:fill="auto"/>
        <w:spacing w:lineRule="auto" w:line="360" w:beforeAutospacing="0" w:afterAutospacing="0"/>
        <w:ind w:firstLine="689" w:left="20" w:right="40"/>
        <w:jc w:val="both"/>
        <w:rPr>
          <w:rFonts w:ascii="Times New Roman" w:hAnsi="Times New Roman" w:cs="Times New Roman"/>
          <w:sz w:val="28"/>
          <w:szCs w:val="28"/>
        </w:rPr>
      </w:pPr>
      <w:r>
        <w:rPr>
          <w:rFonts w:ascii="Times New Roman" w:hAnsi="Times New Roman" w:cs="Times New Roman"/>
          <w:sz w:val="28"/>
          <w:szCs w:val="28"/>
        </w:rPr>
        <w:t xml:space="preserve">Отдельные авторы отмечают очевидность срыва программ региональной интеграции из-за политической напряженности </w:t>
      </w:r>
      <w:r>
        <w:rPr>
          <w:rFonts w:ascii="Times New Roman" w:hAnsi="Times New Roman" w:cs="Times New Roman"/>
          <w:sz w:val="28"/>
          <w:szCs w:val="28"/>
          <w:highlight w:val="yellow"/>
        </w:rPr>
        <w:t xml:space="preserve">[45]. </w:t>
      </w:r>
      <w:r>
        <w:rPr>
          <w:rFonts w:ascii="Times New Roman" w:hAnsi="Times New Roman" w:cs="Times New Roman"/>
          <w:sz w:val="28"/>
          <w:szCs w:val="28"/>
        </w:rPr>
        <w:t>Региональная нестабильность также сдерживает инклюзивный рост государств-членов и препятствует устойчивому развитию. Поэтому необходим какой-то общий механизм взаимодействия, который защитил бы и гарантировал долгосрочный рост и развитие в регионе и отвечал бы потребностям всех государств-членов. Два упомянутых выше протокола касаются организации взаимодействия между государствами-членами, а также выделения грантовой помощи со стороны международных организаций и могут стать основой для создания такой системы. Имея в своем распоряжении ограниченные ресурсы, государства-члены могли бы расширить текущие статьи бюджетных расходов, чтобы покрыть расходы на социальное обеспечение и экологию в контексте такой интеграционной региональной системы.</w:t>
      </w:r>
    </w:p>
    <w:p>
      <w:pPr>
        <w:pStyle w:val="P21"/>
        <w:shd w:val="clear" w:fill="auto"/>
        <w:spacing w:lineRule="auto" w:line="360" w:beforeAutospacing="0" w:afterAutospacing="0"/>
        <w:ind w:firstLine="689" w:left="20" w:right="20"/>
        <w:jc w:val="both"/>
        <w:rPr>
          <w:rFonts w:ascii="Times New Roman" w:hAnsi="Times New Roman" w:cs="Times New Roman"/>
          <w:sz w:val="28"/>
          <w:szCs w:val="28"/>
        </w:rPr>
      </w:pPr>
      <w:r>
        <w:rPr>
          <w:rFonts w:ascii="Times New Roman" w:hAnsi="Times New Roman" w:cs="Times New Roman"/>
          <w:sz w:val="28"/>
          <w:szCs w:val="28"/>
        </w:rPr>
        <w:t>Государственное управление в Западной Африке было созданием колониальных держав и инструментом налогообложения, принуждения и общего управления. Функции развития были добавлены, когда африканцы взяли бразды правления в свои руки в 1960-х годах. Несмотря на свои ограниченные технические и управленческие возможности, правительства того времени были более склонны жестко регулировать экономику, чем способствовать созданию благоприятной экономической среды для частного сектора. Это не могло не затормозить региональный интеграционный процесс. Недавние меры по либерализации снижают роль правительства в экономике и поощряют его более позитивную и поддерживающую роль в отношениях с частным сектором. Это должно положительно сказаться на процессе формирования траектории инновационно-инклюзивного роста.</w:t>
      </w:r>
    </w:p>
    <w:p>
      <w:pPr>
        <w:pStyle w:val="P21"/>
        <w:shd w:val="clear" w:fill="auto"/>
        <w:spacing w:lineRule="auto" w:line="360" w:beforeAutospacing="0" w:afterAutospacing="0"/>
        <w:ind w:firstLine="689" w:left="20" w:right="20"/>
        <w:jc w:val="both"/>
        <w:rPr>
          <w:rFonts w:ascii="Times New Roman" w:hAnsi="Times New Roman" w:cs="Times New Roman"/>
          <w:sz w:val="28"/>
          <w:szCs w:val="28"/>
        </w:rPr>
      </w:pPr>
      <w:r>
        <w:rPr>
          <w:rFonts w:ascii="Times New Roman" w:hAnsi="Times New Roman" w:cs="Times New Roman"/>
          <w:sz w:val="28"/>
          <w:szCs w:val="28"/>
        </w:rPr>
        <w:t>Экономическая либерализация должна также повлиять на характер государственной политики. В прошлом решения по региональной интеграции принимались главами государств, а дела велись исключительно на межправительственной основе. По мере продолжения либерализации можно ожидать, что правительства будут поощрять более активную роль частного сектора в процессе интеграции путем активного участия региональных организаций частного сектора, таких как Федерация западноафриканских торговых палат, Федерация западноафриканских торговых палат, Ассоциации производителей и Ассоциация западноафриканских банков в процессе принятия решений ЭКОВАС.</w:t>
      </w:r>
    </w:p>
    <w:p>
      <w:pPr>
        <w:pStyle w:val="P21"/>
        <w:shd w:val="clear" w:fill="auto"/>
        <w:spacing w:lineRule="auto" w:line="360" w:beforeAutospacing="0" w:afterAutospacing="0"/>
        <w:ind w:firstLine="689" w:left="20" w:right="20"/>
        <w:jc w:val="both"/>
        <w:rPr>
          <w:rFonts w:ascii="Times New Roman" w:hAnsi="Times New Roman" w:cs="Times New Roman"/>
          <w:strike w:val="1"/>
          <w:sz w:val="28"/>
          <w:szCs w:val="28"/>
          <w:highlight w:val="yellow"/>
        </w:rPr>
      </w:pPr>
      <w:r>
        <w:rPr>
          <w:rFonts w:ascii="Times New Roman" w:hAnsi="Times New Roman" w:cs="Times New Roman"/>
          <w:sz w:val="28"/>
          <w:szCs w:val="28"/>
        </w:rPr>
        <w:t>Чтобы региональная интеграция стала основой для инновационно-инклюзивного роста, также требуется реструктуризация национальных институциональных механизмов. Важность региональной интеграции требует, чтобы в каждой стране было создано ключевое министерство, которое действовало бы в качестве координационного центра. Данный орган должен быть уполномочен взять на себя координацию всех форм региональной интеграции и сотрудничества и должен обеспечить, чтобы устойчивое развитие с экономической, социальной и экологической точки зрения не противоречило наднациональным интересам. Хотя попытки такого рода предпринимаются в отдельных странах, все они основаны на помощи международных организаций, самостоятельно страны Западной Африки такие механизмы не инициируют. Вместо этого можно найти небольшие координационные группы, созданные в некоторых министерствах в качестве символических жестов, отражающих фрагментарные аспекты инклюзивного роста и достижения целей устойчивого развития. Такое положение отрицательно влияет и на вопросы региональной интеграции.</w:t>
      </w:r>
    </w:p>
    <w:p>
      <w:pPr>
        <w:pStyle w:val="P21"/>
        <w:shd w:val="clear" w:fill="auto"/>
        <w:spacing w:lineRule="auto" w:line="360" w:beforeAutospacing="0" w:afterAutospacing="0"/>
        <w:ind w:firstLine="689" w:left="20" w:right="40"/>
        <w:jc w:val="both"/>
        <w:rPr>
          <w:rFonts w:ascii="Times New Roman" w:hAnsi="Times New Roman" w:cs="Times New Roman"/>
          <w:sz w:val="28"/>
          <w:szCs w:val="28"/>
        </w:rPr>
      </w:pPr>
      <w:r>
        <w:rPr>
          <w:rFonts w:ascii="Times New Roman" w:hAnsi="Times New Roman" w:cs="Times New Roman"/>
          <w:sz w:val="28"/>
          <w:szCs w:val="28"/>
        </w:rPr>
        <w:t>Положительным моментом является то, что международные организации, выделяющие финансовое средства на достижение целей устойчивого развития, также стали уделять больше внимания к региональному сотрудничеству между развивающимися странами. Первоначальный толчок этому дало подписание Договора об АЭС в 1991 г. и многие международные организации с тех пор активно стимулируют развитие интеграционных процессов в Африке. Эти инициативы следует координировать, чтобы обеспечить более позитивный вклад в процесс континентальной экономической интеграции. Недостаточное финансирование продолжает сказываться на усилиях по региональному сотрудничеству, и несмотря на растущий интерес международного сообщества к региональной интеграции приводит к росту финансовой поддержки, целиком надеется на нее нельзя. Не вызывает сомнений то, что внешняя поддержка будет поступать только тогда, когда международные организации будет убеждены в твердой приверженности государств-членов ЭКОВАС инклюзивному росту и что выделяемые финансовые средства расходуются эффективно.</w:t>
      </w:r>
    </w:p>
    <w:p>
      <w:pPr>
        <w:pStyle w:val="P21"/>
        <w:shd w:val="clear" w:fill="auto"/>
        <w:spacing w:lineRule="auto" w:line="360" w:beforeAutospacing="0" w:afterAutospacing="0"/>
        <w:ind w:firstLine="689" w:left="20" w:right="20"/>
        <w:jc w:val="both"/>
        <w:rPr>
          <w:rFonts w:ascii="Times New Roman" w:hAnsi="Times New Roman" w:cs="Times New Roman"/>
          <w:sz w:val="28"/>
          <w:szCs w:val="28"/>
        </w:rPr>
      </w:pPr>
      <w:r>
        <w:rPr>
          <w:rFonts w:ascii="Times New Roman" w:hAnsi="Times New Roman" w:cs="Times New Roman"/>
          <w:sz w:val="28"/>
          <w:szCs w:val="28"/>
        </w:rPr>
        <w:t>Рост политической нестабильности, продолжающийся экономический спад и социальное расслоение в Африке отражают кризис достижения ЦУР на континенте. Очевидно, что если это верно для отдельных стран, то это в равной степени справедливо и для процесса региональной интеграции. Появление более эффективного руководства могло бы обеспечить видение и необходимое направление и продемонстрировать приверженность инклюзивному росту, которые необходимы для достижения целей устойчивого развития.</w:t>
      </w:r>
    </w:p>
    <w:p>
      <w:pPr>
        <w:pStyle w:val="P21"/>
        <w:shd w:val="clear" w:fill="auto"/>
        <w:spacing w:lineRule="auto" w:line="360" w:beforeAutospacing="0" w:afterAutospacing="0"/>
        <w:ind w:firstLine="689" w:left="20" w:right="20"/>
        <w:jc w:val="both"/>
        <w:rPr>
          <w:rFonts w:ascii="Times New Roman" w:hAnsi="Times New Roman" w:cs="Times New Roman"/>
          <w:sz w:val="28"/>
          <w:szCs w:val="28"/>
        </w:rPr>
      </w:pPr>
      <w:r>
        <w:rPr>
          <w:rFonts w:ascii="Times New Roman" w:hAnsi="Times New Roman" w:cs="Times New Roman"/>
          <w:sz w:val="28"/>
          <w:szCs w:val="28"/>
        </w:rPr>
        <w:t xml:space="preserve">Не все страны одинаково готовы к более тесной интеграции в силу высокой социально-экономической дифференциации. В Западной Африке существуют страны-лидеры, которые отчасти решили отдельные проблемы, связанные с устойчивым развитием. Например, в Республике Кот-д’Ивуар практически полностью решена проблема всеобщности начального образования и грамотности, а также значительно снижена детская смертность. В других государствах-членах ЭКОВАС идет активная работа над ростом налоговых доходов бюджетной системы и соответствующим ростом затрат для выполнения социальных обязательства перед сообществом. Некоторые страны, например, Мали, инициировали возглавили важные наднациональные проекты и программы регионального сотрудничества. </w:t>
      </w:r>
    </w:p>
    <w:p>
      <w:pPr>
        <w:pStyle w:val="P21"/>
        <w:shd w:val="clear" w:fill="auto"/>
        <w:spacing w:lineRule="auto" w:line="360" w:beforeAutospacing="0" w:afterAutospacing="0"/>
        <w:ind w:firstLine="689" w:left="20" w:right="20"/>
        <w:jc w:val="both"/>
        <w:rPr>
          <w:rFonts w:ascii="Times New Roman" w:hAnsi="Times New Roman" w:cs="Times New Roman"/>
          <w:sz w:val="28"/>
          <w:szCs w:val="28"/>
        </w:rPr>
      </w:pPr>
      <w:r>
        <w:rPr>
          <w:rFonts w:ascii="Times New Roman" w:hAnsi="Times New Roman" w:cs="Times New Roman"/>
          <w:sz w:val="28"/>
          <w:szCs w:val="28"/>
        </w:rPr>
        <w:t>На современном этапе западноафриканская интеграции достигла того уровня, когда для дальнейшего прогресса требуется реализация множества крупномасштабных и новых инициатив, что создает новые потребности в поиске инструментов и механизмов реализации. Каждая страна-член ЭКОВАС должна иметь возможности по точному определению своих обязательств перед местными сообществами.</w:t>
      </w:r>
    </w:p>
    <w:p>
      <w:pPr>
        <w:pStyle w:val="P21"/>
        <w:spacing w:lineRule="auto" w:line="360" w:beforeAutospacing="0" w:afterAutospacing="0"/>
        <w:ind w:firstLine="689" w:left="20" w:right="20"/>
        <w:jc w:val="both"/>
        <w:rPr>
          <w:rFonts w:ascii="Times New Roman" w:hAnsi="Times New Roman" w:cs="Times New Roman"/>
          <w:sz w:val="28"/>
          <w:szCs w:val="28"/>
        </w:rPr>
      </w:pPr>
      <w:r>
        <w:rPr>
          <w:rFonts w:ascii="Times New Roman" w:hAnsi="Times New Roman" w:cs="Times New Roman"/>
          <w:sz w:val="28"/>
          <w:szCs w:val="28"/>
        </w:rPr>
        <w:t xml:space="preserve">По своей сути ЭКОВАС выступает базовой наднациональной площадкой, внутри которой закреплена логика расширения экономической и социальной взаимосвязанности стран Западной Африки. Пересмотренный  договор ЭКОВАС (1993 г.) усилил наднациональную ориентацию интеграции: </w:t>
      </w:r>
    </w:p>
    <w:p>
      <w:pPr>
        <w:pStyle w:val="P21"/>
        <w:spacing w:lineRule="auto" w:line="360" w:beforeAutospacing="0" w:afterAutospacing="0"/>
        <w:ind w:firstLine="689" w:left="20" w:right="20"/>
        <w:jc w:val="both"/>
        <w:rPr>
          <w:rFonts w:ascii="Times New Roman" w:hAnsi="Times New Roman" w:cs="Times New Roman"/>
          <w:sz w:val="28"/>
          <w:szCs w:val="28"/>
        </w:rPr>
      </w:pPr>
      <w:r>
        <w:rPr>
          <w:rFonts w:ascii="Times New Roman" w:hAnsi="Times New Roman" w:cs="Times New Roman"/>
          <w:sz w:val="28"/>
          <w:szCs w:val="28"/>
        </w:rPr>
        <w:t xml:space="preserve">а) ЭКОВАС было определено как ключевое экономическое сообщество региона; </w:t>
      </w:r>
    </w:p>
    <w:p>
      <w:pPr>
        <w:pStyle w:val="P21"/>
        <w:spacing w:lineRule="auto" w:line="360" w:beforeAutospacing="0" w:afterAutospacing="0"/>
        <w:ind w:firstLine="689" w:left="20" w:right="20"/>
        <w:jc w:val="both"/>
        <w:rPr>
          <w:rFonts w:ascii="Times New Roman" w:hAnsi="Times New Roman" w:cs="Times New Roman"/>
          <w:sz w:val="28"/>
          <w:szCs w:val="28"/>
        </w:rPr>
      </w:pPr>
      <w:r>
        <w:rPr>
          <w:rFonts w:ascii="Times New Roman" w:hAnsi="Times New Roman" w:cs="Times New Roman"/>
          <w:sz w:val="28"/>
          <w:szCs w:val="28"/>
        </w:rPr>
        <w:t xml:space="preserve">б) акцентировано укрепление институтов и реальная исполнимость решений межправительственных организаций в государствах-членах; </w:t>
      </w:r>
    </w:p>
    <w:p>
      <w:pPr>
        <w:pStyle w:val="P21"/>
        <w:spacing w:lineRule="auto" w:line="360" w:beforeAutospacing="0" w:afterAutospacing="0"/>
        <w:ind w:firstLine="689" w:left="20" w:right="20"/>
        <w:jc w:val="both"/>
        <w:rPr>
          <w:rFonts w:ascii="Times New Roman" w:hAnsi="Times New Roman" w:cs="Times New Roman"/>
          <w:sz w:val="28"/>
          <w:szCs w:val="28"/>
        </w:rPr>
      </w:pPr>
      <w:r>
        <w:rPr>
          <w:rFonts w:ascii="Times New Roman" w:hAnsi="Times New Roman" w:cs="Times New Roman"/>
          <w:sz w:val="28"/>
          <w:szCs w:val="28"/>
        </w:rPr>
        <w:t xml:space="preserve">в) расширены полномочия общественных институтов и исполнительного секретаря, что отражало рост приоритета интеграции </w:t>
      </w:r>
      <w:r>
        <w:rPr>
          <w:rFonts w:ascii="Times New Roman" w:hAnsi="Times New Roman" w:cs="Times New Roman"/>
          <w:sz w:val="28"/>
          <w:szCs w:val="28"/>
          <w:highlight w:val="yellow"/>
        </w:rPr>
        <w:t>[143].</w:t>
      </w:r>
      <w:r>
        <w:rPr>
          <w:rFonts w:ascii="Times New Roman" w:hAnsi="Times New Roman" w:cs="Times New Roman"/>
          <w:strike w:val="1"/>
          <w:sz w:val="28"/>
          <w:szCs w:val="28"/>
          <w:highlight w:val="yellow"/>
        </w:rPr>
        <w:t xml:space="preserve"> </w:t>
      </w:r>
    </w:p>
    <w:p>
      <w:pPr>
        <w:pStyle w:val="P21"/>
        <w:spacing w:lineRule="auto" w:line="360" w:beforeAutospacing="0" w:afterAutospacing="0"/>
        <w:ind w:firstLine="689" w:left="20" w:right="20"/>
        <w:jc w:val="both"/>
        <w:rPr>
          <w:rFonts w:ascii="Times New Roman" w:hAnsi="Times New Roman" w:cs="Times New Roman"/>
          <w:sz w:val="28"/>
          <w:szCs w:val="28"/>
        </w:rPr>
      </w:pPr>
      <w:r>
        <w:rPr>
          <w:rFonts w:ascii="Times New Roman" w:hAnsi="Times New Roman" w:cs="Times New Roman"/>
          <w:sz w:val="28"/>
          <w:szCs w:val="28"/>
        </w:rPr>
        <w:t>С точки зрения логики инновационно-инклюзивного развития существенным является то, что интеграция в рамках ЭКОВАС изначально выходила за рамки «чистой» либерализации торговли, поскольку в качестве целевых направлений фиксировались транспортные и коммуникационные сети, свобода передвижения людей и развитие производственной взаимодополняемости национальных экономик, включая программы сельскохозяйственного и промышленного сотрудничества. Это принципиально, поскольку формирование инновационно-инклюзивных траекторий предполагает наличие не только рынков сбыта, но и инфраструктурных и институциональных условий масштабирования инноваций, распространения технологий и включения МСП в кооперационные контуры.</w:t>
      </w:r>
    </w:p>
    <w:p>
      <w:pPr>
        <w:pStyle w:val="P21"/>
        <w:shd w:val="clear" w:fill="auto"/>
        <w:spacing w:lineRule="auto" w:line="360" w:beforeAutospacing="0" w:afterAutospacing="0"/>
        <w:ind w:firstLine="689" w:left="20" w:right="20"/>
        <w:jc w:val="both"/>
        <w:rPr>
          <w:rFonts w:ascii="Times New Roman" w:hAnsi="Times New Roman" w:cs="Times New Roman"/>
          <w:sz w:val="28"/>
          <w:szCs w:val="28"/>
        </w:rPr>
      </w:pPr>
      <w:r>
        <w:rPr>
          <w:rFonts w:ascii="Times New Roman" w:hAnsi="Times New Roman" w:cs="Times New Roman"/>
          <w:sz w:val="28"/>
          <w:szCs w:val="28"/>
        </w:rPr>
        <w:t>Отдельного внимания заслуживает институционализация участия частного сектора. ЭКОВАС целенаправленно усиливало роль частного бизнеса в реализации программ устойчивого развития и решении социальных проблем, включая пересмотр протокола о «общинных предприятиях» и разработку режима, стимулирующего участие частного сектора в программах устойчивого развития. По нашему мнению, вовлечение частного сектора и институтов предпринимательского сообщества. является необходимым условием того, чтобы цифровые решения переходили из режима «проектов государства» в режим самоподдерживающихся сетевых взаимодействий.</w:t>
      </w:r>
    </w:p>
    <w:p>
      <w:pPr>
        <w:pStyle w:val="P21"/>
        <w:shd w:val="clear" w:fill="auto"/>
        <w:spacing w:lineRule="auto" w:line="360" w:beforeAutospacing="0" w:afterAutospacing="0"/>
        <w:ind w:firstLine="689" w:left="20" w:right="20"/>
        <w:jc w:val="both"/>
        <w:rPr>
          <w:rFonts w:ascii="Times New Roman" w:hAnsi="Times New Roman" w:cs="Times New Roman"/>
          <w:sz w:val="28"/>
          <w:szCs w:val="28"/>
        </w:rPr>
      </w:pPr>
      <w:r>
        <w:rPr>
          <w:rFonts w:ascii="Times New Roman" w:hAnsi="Times New Roman" w:cs="Times New Roman"/>
          <w:sz w:val="28"/>
          <w:szCs w:val="28"/>
        </w:rPr>
        <w:t>Как ранее указывалось нами, институциональная структура ЭКОВАС дополняется сетью специализированных региональных организаций в социальной сфере (например, региональная организация здравоохранения, координационные структуры в сфере образования), а также формированием ассоциаций, стимулирующих участие населения, молодежи и профессиональных групп в интеграционном процессе. В логике инновационно-инклюзивной модели это создает основу для «социального контура» интеграции, без которого цифровизация и технологические реформы могут приводить к усилению неравенства и выпадению уязвимых групп из формального сектора.</w:t>
      </w:r>
    </w:p>
    <w:p>
      <w:pPr>
        <w:pStyle w:val="P21"/>
        <w:shd w:val="clear" w:fill="auto"/>
        <w:spacing w:lineRule="auto" w:line="360" w:beforeAutospacing="0" w:afterAutospacing="0"/>
        <w:ind w:firstLine="689" w:left="20" w:right="40"/>
        <w:jc w:val="both"/>
        <w:rPr>
          <w:rFonts w:ascii="Times New Roman" w:hAnsi="Times New Roman" w:cs="Times New Roman"/>
          <w:sz w:val="28"/>
          <w:szCs w:val="28"/>
          <w:highlight w:val="yellow"/>
        </w:rPr>
      </w:pPr>
      <w:r>
        <w:rPr>
          <w:rFonts w:ascii="Times New Roman" w:hAnsi="Times New Roman" w:cs="Times New Roman"/>
          <w:sz w:val="28"/>
          <w:szCs w:val="28"/>
        </w:rPr>
        <w:t xml:space="preserve">Вместе с тем отдельные исследователи доказывают, что низкий уровень экономического развития стран Западной Африки тормозят интеграцию в рамках ЭКОВАС и заставляют Западную Африку принять лишь условную форму инклюзивного роста, осуществляемого на прагматичной и реалистичной основе </w:t>
      </w:r>
      <w:r>
        <w:rPr>
          <w:rFonts w:ascii="Times New Roman" w:hAnsi="Times New Roman" w:cs="Times New Roman"/>
          <w:sz w:val="28"/>
          <w:szCs w:val="28"/>
          <w:highlight w:val="yellow"/>
        </w:rPr>
        <w:t xml:space="preserve">[71]. </w:t>
      </w:r>
      <w:r>
        <w:rPr>
          <w:rFonts w:ascii="Times New Roman" w:hAnsi="Times New Roman" w:cs="Times New Roman"/>
          <w:sz w:val="28"/>
          <w:szCs w:val="28"/>
        </w:rPr>
        <w:t xml:space="preserve">Успехи Сообщества по вопросам развития юга Африки (SADC, ранее SADCC, Конференция по координации развития юга Африки) и Ассоциации государств Юго-Восточной Азии (АСЕАН), а также неэффективное устройство в рамках Латиноамериканской экономической системы (ЛАЭС), по их мнению, подтверждает их аргументы </w:t>
      </w:r>
      <w:r>
        <w:rPr>
          <w:rFonts w:ascii="Times New Roman" w:hAnsi="Times New Roman" w:cs="Times New Roman"/>
          <w:sz w:val="28"/>
          <w:szCs w:val="28"/>
          <w:highlight w:val="yellow"/>
        </w:rPr>
        <w:t>[45].</w:t>
      </w:r>
    </w:p>
    <w:p>
      <w:pPr>
        <w:pStyle w:val="P21"/>
        <w:shd w:val="clear" w:fill="auto"/>
        <w:spacing w:lineRule="auto" w:line="360" w:beforeAutospacing="0" w:afterAutospacing="0"/>
        <w:ind w:firstLine="689" w:left="20" w:right="40"/>
        <w:jc w:val="both"/>
        <w:rPr>
          <w:rFonts w:ascii="Times New Roman" w:hAnsi="Times New Roman" w:cs="Times New Roman"/>
          <w:sz w:val="28"/>
          <w:szCs w:val="28"/>
        </w:rPr>
      </w:pPr>
      <w:r>
        <w:rPr>
          <w:rFonts w:ascii="Times New Roman" w:hAnsi="Times New Roman" w:cs="Times New Roman"/>
          <w:sz w:val="28"/>
          <w:szCs w:val="28"/>
        </w:rPr>
        <w:t>Мы считаем, что региональная экономическая интеграция включает в себя больше, чем либерализацию рынка и является необходимым условием для достижения траекторий инновационно-инклюзивного роста. Опыт ЭКОВАС свидетельствует не только о важности инвестиций в физическую инфраструктуру, но и для поощрения развития и диверсификации региональной производственной базы и внешнеторговых отношений. Денежно-кредитная интеграция также необходима для гармонизации денежно-кредитной политики, улучшения макроэкономического управления и, в конечном итоге, замены слабых неконвертируемых национальных валют региона единой региональной валютой. Региональная интеграция должна также включать сотрудничество в социальной, культурной, экологической и политической областях хотя бы потому, что отсутствие стабильной и совместимой политики в этих областях препятствует достижению ЦУР и обеспечению инновационно-инклюзивного роста.</w:t>
      </w:r>
    </w:p>
    <w:p>
      <w:pPr>
        <w:pStyle w:val="P21"/>
        <w:spacing w:lineRule="auto" w:line="360" w:beforeAutospacing="0" w:afterAutospacing="0"/>
        <w:ind w:firstLine="689" w:left="20" w:right="40"/>
        <w:jc w:val="both"/>
        <w:rPr>
          <w:rFonts w:ascii="Times New Roman" w:hAnsi="Times New Roman" w:cs="Times New Roman"/>
          <w:sz w:val="28"/>
          <w:szCs w:val="28"/>
        </w:rPr>
      </w:pPr>
      <w:r>
        <w:rPr>
          <w:rFonts w:ascii="Times New Roman" w:hAnsi="Times New Roman" w:cs="Times New Roman"/>
          <w:sz w:val="28"/>
          <w:szCs w:val="28"/>
        </w:rPr>
        <w:t>Если ЭКОВАС формируется основу для интеграции, ЗАЭВС обеспечивает ее «жесткий» контур за счет валютно-финансовой согласованности и унификации правил экономической политики, то AfCFTA отражает уровень континентальный, важный для перехода от субрегиональной кооперации к включению в более емкие рынки и формирование масштабируемых цепочек создания стоимости. Кот-д’Ивуар является участником AfCFTA. При этом AfCFTA развивается не только как тарифно-торговый режим, но и как инфраструктура цифровой торговли. Так, Африканским союзом принят Протокол о цифровой торговле AfCFTA, направленный на гармонизацию правил цифровой торговли и поддержку цифровой трансформации и инклюзивного устойчивого развития.</w:t>
      </w:r>
    </w:p>
    <w:p>
      <w:pPr>
        <w:pStyle w:val="P21"/>
        <w:shd w:val="clear" w:fill="auto"/>
        <w:spacing w:lineRule="auto" w:line="360" w:beforeAutospacing="0" w:afterAutospacing="0"/>
        <w:ind w:firstLine="689" w:left="20" w:right="40"/>
        <w:jc w:val="both"/>
        <w:rPr>
          <w:rFonts w:ascii="Times New Roman" w:hAnsi="Times New Roman" w:cs="Times New Roman"/>
          <w:sz w:val="28"/>
          <w:szCs w:val="28"/>
        </w:rPr>
      </w:pPr>
      <w:r>
        <w:rPr>
          <w:rFonts w:ascii="Times New Roman" w:hAnsi="Times New Roman" w:cs="Times New Roman"/>
          <w:sz w:val="28"/>
          <w:szCs w:val="28"/>
        </w:rPr>
        <w:t>Следовательно, институциональная архитектура внешнего включения Республики Кот-д’Ивуар уже содержит формальные предпосылки для того, чтобы цифровизация и платформизация выполняли роль «технологии интеграции» –через унификацию процедур, снижение трансакционных издержек, расширение доверия и масштабирование доступа МСП к рынкам. Вместе с тем наличие рамочных институтов само по себе не гарантирует перехода к инновационно-инклюзивной траектории, так как требуется эмпирическая оценка того, в какой мере эти институты конвертируются в реальные торговые и технологические потоки и какие узкие места (инфраструктурные, кадровые, регуляторные, доверительные) блокируют включение страны в региональные и глобальные сети.</w:t>
      </w:r>
    </w:p>
    <w:p>
      <w:pPr>
        <w:pStyle w:val="P21"/>
        <w:spacing w:lineRule="auto" w:line="360" w:beforeAutospacing="0" w:afterAutospacing="0"/>
        <w:ind w:firstLine="689" w:left="20" w:right="40"/>
        <w:jc w:val="both"/>
        <w:rPr>
          <w:rFonts w:ascii="Times New Roman" w:hAnsi="Times New Roman" w:cs="Times New Roman"/>
          <w:sz w:val="28"/>
          <w:szCs w:val="28"/>
        </w:rPr>
      </w:pPr>
      <w:r>
        <w:rPr>
          <w:rFonts w:ascii="Times New Roman" w:hAnsi="Times New Roman" w:cs="Times New Roman"/>
          <w:sz w:val="28"/>
          <w:szCs w:val="28"/>
        </w:rPr>
        <w:t>Подчеркнем, что институциональная архитектура интеграции Республики Кот-д’Ивуар формируется не только через региональные экономические объединения (ECOWAS, UEMOA, AfCFTA), но и через систему международных организаций, выступающих ключевыми акторами в финансировании и институциональном сопровождении устойчивого развития стран Западной Африки.</w:t>
      </w:r>
    </w:p>
    <w:p>
      <w:pPr>
        <w:pStyle w:val="P21"/>
        <w:spacing w:lineRule="auto" w:line="360" w:beforeAutospacing="0" w:afterAutospacing="0"/>
        <w:ind w:firstLine="689" w:left="20" w:right="40"/>
        <w:jc w:val="both"/>
        <w:rPr>
          <w:rFonts w:ascii="Times New Roman" w:hAnsi="Times New Roman" w:cs="Times New Roman"/>
          <w:sz w:val="28"/>
          <w:szCs w:val="28"/>
        </w:rPr>
      </w:pPr>
      <w:r>
        <w:rPr>
          <w:rFonts w:ascii="Times New Roman" w:hAnsi="Times New Roman" w:cs="Times New Roman"/>
          <w:sz w:val="28"/>
          <w:szCs w:val="28"/>
        </w:rPr>
        <w:t>Анализ роли международных организаций, проведенный нами в исследовании совместно с Кулаговской Т.А.</w:t>
      </w:r>
      <w:r>
        <w:rPr>
          <w:rStyle w:val="C42"/>
          <w:rFonts w:ascii="Times New Roman" w:hAnsi="Times New Roman" w:cs="Times New Roman"/>
          <w:sz w:val="28"/>
          <w:szCs w:val="28"/>
        </w:rPr>
        <w:footnoteReference w:id="97"/>
      </w:r>
      <w:r>
        <w:rPr>
          <w:rFonts w:ascii="Times New Roman" w:hAnsi="Times New Roman" w:cs="Times New Roman"/>
          <w:sz w:val="28"/>
          <w:szCs w:val="28"/>
        </w:rPr>
        <w:t>, показывает, что официальная помощь в целях развития (ОПР) на протяжении длительного периода являлась системообразующим источником финансирования социальной и инфраструктурной сферы стран региона. В ряде государств чистая ОПР составляла более 40 % бюджетных доходов, а в отдельных случаях превышала 60 %, что свидетельствует о высокой зависимости от внешнего финансирования.</w:t>
      </w:r>
    </w:p>
    <w:p>
      <w:pPr>
        <w:pStyle w:val="P21"/>
        <w:spacing w:lineRule="auto" w:line="360" w:beforeAutospacing="0" w:afterAutospacing="0"/>
        <w:ind w:firstLine="689" w:left="20" w:right="40"/>
        <w:jc w:val="both"/>
        <w:rPr>
          <w:rFonts w:ascii="Times New Roman" w:hAnsi="Times New Roman" w:cs="Times New Roman"/>
          <w:sz w:val="28"/>
          <w:szCs w:val="28"/>
        </w:rPr>
      </w:pPr>
      <w:r>
        <w:rPr>
          <w:rFonts w:ascii="Times New Roman" w:hAnsi="Times New Roman" w:cs="Times New Roman"/>
          <w:sz w:val="28"/>
          <w:szCs w:val="28"/>
        </w:rPr>
        <w:t>При этом структурные ограничения региона сохраняются. Уровень бедности в странах Западной Африки остается высоким (более 40 % населения), а демографическая динамика характеризуется устойчивым ростом населения (среднегодовые темпы – около 2,7 %), что существенно превышает среднемировые показатели. Быстрая урбанизация, рост нагрузки на инфраструктуру, дефицит ресурсов здравоохранения и образования создают дополнительное давление на государственные бюджеты.</w:t>
      </w:r>
    </w:p>
    <w:p>
      <w:pPr>
        <w:pStyle w:val="P21"/>
        <w:spacing w:lineRule="auto" w:line="360" w:beforeAutospacing="0" w:afterAutospacing="0"/>
        <w:ind w:firstLine="689" w:left="20" w:right="40"/>
        <w:jc w:val="both"/>
        <w:rPr>
          <w:rFonts w:ascii="Times New Roman" w:hAnsi="Times New Roman" w:cs="Times New Roman"/>
          <w:sz w:val="28"/>
          <w:szCs w:val="28"/>
        </w:rPr>
      </w:pPr>
      <w:r>
        <w:rPr>
          <w:rFonts w:ascii="Times New Roman" w:hAnsi="Times New Roman" w:cs="Times New Roman"/>
          <w:sz w:val="28"/>
          <w:szCs w:val="28"/>
        </w:rPr>
        <w:t>В условиях перераспределения глобальных потоков помощи и относительного снижения доли стран Западной Африки в структурах ОПР возникает риск усиления социально-экономической уязвимости региона. Одновременно усиливается тенденция к географическому перераспределению внешнего взаимодействия в сторону расширения экономического сотрудничества с новыми центрами роста (Китай, Индия, Россия), а также к переходу от донорской модели поддержки к модели стимулирования прямых иностранных инвестиций и внешней торговли.</w:t>
      </w:r>
    </w:p>
    <w:p>
      <w:pPr>
        <w:pStyle w:val="P21"/>
        <w:spacing w:lineRule="auto" w:line="360" w:beforeAutospacing="0" w:afterAutospacing="0"/>
        <w:ind w:firstLine="689" w:left="20" w:right="40"/>
        <w:jc w:val="both"/>
        <w:rPr>
          <w:rFonts w:ascii="Times New Roman" w:hAnsi="Times New Roman" w:cs="Times New Roman"/>
          <w:sz w:val="28"/>
          <w:szCs w:val="28"/>
        </w:rPr>
      </w:pPr>
      <w:r>
        <w:rPr>
          <w:rFonts w:ascii="Times New Roman" w:hAnsi="Times New Roman" w:cs="Times New Roman"/>
          <w:sz w:val="28"/>
          <w:szCs w:val="28"/>
        </w:rPr>
        <w:t>Данный переход имеет принципиальное значение для формирования устойчивых траекторий инновационно-инклюзивного развития. Донорская модель ориентирована преимущественно на восполнение бюджетного дефицита и финансирование социальных расходов, тогда как инвестиционно-торговая модель предполагает:</w:t>
      </w:r>
    </w:p>
    <w:p>
      <w:pPr>
        <w:pStyle w:val="P21"/>
        <w:spacing w:lineRule="auto" w:line="360" w:beforeAutospacing="0" w:afterAutospacing="0"/>
        <w:ind w:firstLine="689" w:left="20" w:right="40"/>
        <w:jc w:val="both"/>
        <w:rPr>
          <w:rFonts w:ascii="Times New Roman" w:hAnsi="Times New Roman" w:cs="Times New Roman"/>
          <w:sz w:val="28"/>
          <w:szCs w:val="28"/>
        </w:rPr>
      </w:pPr>
      <w:r>
        <w:rPr>
          <w:rFonts w:ascii="Times New Roman" w:hAnsi="Times New Roman" w:cs="Times New Roman"/>
          <w:sz w:val="28"/>
          <w:szCs w:val="28"/>
        </w:rPr>
        <w:t>– включение стран региона в производственные и логистические цепочки;</w:t>
      </w:r>
    </w:p>
    <w:p>
      <w:pPr>
        <w:pStyle w:val="P21"/>
        <w:spacing w:lineRule="auto" w:line="360" w:beforeAutospacing="0" w:afterAutospacing="0"/>
        <w:ind w:firstLine="689" w:left="20" w:right="40"/>
        <w:jc w:val="both"/>
        <w:rPr>
          <w:rFonts w:ascii="Times New Roman" w:hAnsi="Times New Roman" w:cs="Times New Roman"/>
          <w:sz w:val="28"/>
          <w:szCs w:val="28"/>
        </w:rPr>
      </w:pPr>
      <w:r>
        <w:rPr>
          <w:rFonts w:ascii="Times New Roman" w:hAnsi="Times New Roman" w:cs="Times New Roman"/>
          <w:sz w:val="28"/>
          <w:szCs w:val="28"/>
        </w:rPr>
        <w:t>– развитие переработки и рост добавленной стоимости;</w:t>
      </w:r>
    </w:p>
    <w:p>
      <w:pPr>
        <w:pStyle w:val="P21"/>
        <w:spacing w:lineRule="auto" w:line="360" w:beforeAutospacing="0" w:afterAutospacing="0"/>
        <w:ind w:firstLine="689" w:left="20" w:right="40"/>
        <w:jc w:val="both"/>
        <w:rPr>
          <w:rFonts w:ascii="Times New Roman" w:hAnsi="Times New Roman" w:cs="Times New Roman"/>
          <w:sz w:val="28"/>
          <w:szCs w:val="28"/>
        </w:rPr>
      </w:pPr>
      <w:r>
        <w:rPr>
          <w:rFonts w:ascii="Times New Roman" w:hAnsi="Times New Roman" w:cs="Times New Roman"/>
          <w:sz w:val="28"/>
          <w:szCs w:val="28"/>
        </w:rPr>
        <w:t>– усиление роли частного сектора;</w:t>
      </w:r>
    </w:p>
    <w:p>
      <w:pPr>
        <w:pStyle w:val="P21"/>
        <w:spacing w:lineRule="auto" w:line="360" w:beforeAutospacing="0" w:afterAutospacing="0"/>
        <w:ind w:firstLine="689" w:left="20" w:right="40"/>
        <w:jc w:val="both"/>
        <w:rPr>
          <w:rFonts w:ascii="Times New Roman" w:hAnsi="Times New Roman" w:cs="Times New Roman"/>
          <w:sz w:val="28"/>
          <w:szCs w:val="28"/>
        </w:rPr>
      </w:pPr>
      <w:r>
        <w:rPr>
          <w:rFonts w:ascii="Times New Roman" w:hAnsi="Times New Roman" w:cs="Times New Roman"/>
          <w:sz w:val="28"/>
          <w:szCs w:val="28"/>
        </w:rPr>
        <w:t>– институционализацию стандартов управления, отчетности и цифровых процедур.</w:t>
      </w:r>
    </w:p>
    <w:p>
      <w:pPr>
        <w:pStyle w:val="P21"/>
        <w:spacing w:lineRule="auto" w:line="360" w:beforeAutospacing="0" w:afterAutospacing="0"/>
        <w:ind w:firstLine="689" w:left="20" w:right="40"/>
        <w:jc w:val="both"/>
        <w:rPr>
          <w:rFonts w:ascii="Times New Roman" w:hAnsi="Times New Roman" w:cs="Times New Roman"/>
          <w:sz w:val="28"/>
          <w:szCs w:val="28"/>
        </w:rPr>
      </w:pPr>
      <w:r>
        <w:rPr>
          <w:rFonts w:ascii="Times New Roman" w:hAnsi="Times New Roman" w:cs="Times New Roman"/>
          <w:sz w:val="28"/>
          <w:szCs w:val="28"/>
        </w:rPr>
        <w:t>Таким образом, международные организации выполняют двойственную функцию, с одной стороны, обеспечивают финансовую и институциональную поддержку, с другой – формируют рамки, в которых происходит постепенный переход от помощи к интеграции в глобальные торгово-инновационные сети</w:t>
      </w:r>
      <w:r>
        <w:rPr>
          <w:rStyle w:val="C42"/>
          <w:rFonts w:ascii="Times New Roman" w:hAnsi="Times New Roman" w:cs="Times New Roman"/>
          <w:sz w:val="28"/>
          <w:szCs w:val="28"/>
        </w:rPr>
        <w:footnoteReference w:id="98"/>
      </w:r>
      <w:r>
        <w:rPr>
          <w:rFonts w:ascii="Times New Roman" w:hAnsi="Times New Roman" w:cs="Times New Roman"/>
          <w:sz w:val="28"/>
          <w:szCs w:val="28"/>
        </w:rPr>
        <w:t>.</w:t>
      </w:r>
    </w:p>
    <w:p>
      <w:pPr>
        <w:pStyle w:val="P21"/>
        <w:spacing w:lineRule="auto" w:line="360" w:beforeAutospacing="0" w:afterAutospacing="0"/>
        <w:ind w:firstLine="689" w:left="20" w:right="40"/>
        <w:jc w:val="both"/>
        <w:rPr>
          <w:rFonts w:ascii="Times New Roman" w:hAnsi="Times New Roman" w:cs="Times New Roman"/>
          <w:sz w:val="28"/>
          <w:szCs w:val="28"/>
        </w:rPr>
      </w:pPr>
      <w:r>
        <w:rPr>
          <w:rFonts w:ascii="Times New Roman" w:hAnsi="Times New Roman" w:cs="Times New Roman"/>
          <w:sz w:val="28"/>
          <w:szCs w:val="28"/>
        </w:rPr>
        <w:t>В этой логике участие Республики Кот-д’Ивуар в ECOWAS, UEMOA и AfCFTA следует рассматривать как механизм институциональной конвертации внешней поддержки в устойчивые экономические взаимодействия. Однако эффективность такой конвертации зависит от способности страны трансформировать доступ к рынкам и финансированию в:</w:t>
      </w:r>
    </w:p>
    <w:p>
      <w:pPr>
        <w:pStyle w:val="P21"/>
        <w:spacing w:lineRule="auto" w:line="360" w:beforeAutospacing="0" w:afterAutospacing="0"/>
        <w:ind w:firstLine="689" w:left="20" w:right="40"/>
        <w:jc w:val="both"/>
        <w:rPr>
          <w:rFonts w:ascii="Times New Roman" w:hAnsi="Times New Roman" w:cs="Times New Roman"/>
          <w:sz w:val="28"/>
          <w:szCs w:val="28"/>
        </w:rPr>
      </w:pPr>
      <w:r>
        <w:rPr>
          <w:rFonts w:ascii="Times New Roman" w:hAnsi="Times New Roman" w:cs="Times New Roman"/>
          <w:sz w:val="28"/>
          <w:szCs w:val="28"/>
        </w:rPr>
        <w:t>– расширение перерабатывающих производств;</w:t>
      </w:r>
    </w:p>
    <w:p>
      <w:pPr>
        <w:pStyle w:val="P21"/>
        <w:spacing w:lineRule="auto" w:line="360" w:beforeAutospacing="0" w:afterAutospacing="0"/>
        <w:ind w:firstLine="689" w:left="20" w:right="40"/>
        <w:jc w:val="both"/>
        <w:rPr>
          <w:rFonts w:ascii="Times New Roman" w:hAnsi="Times New Roman" w:cs="Times New Roman"/>
          <w:sz w:val="28"/>
          <w:szCs w:val="28"/>
        </w:rPr>
      </w:pPr>
      <w:r>
        <w:rPr>
          <w:rFonts w:ascii="Times New Roman" w:hAnsi="Times New Roman" w:cs="Times New Roman"/>
          <w:sz w:val="28"/>
          <w:szCs w:val="28"/>
        </w:rPr>
        <w:t>– цифровизацию торговых процедур;</w:t>
      </w:r>
    </w:p>
    <w:p>
      <w:pPr>
        <w:pStyle w:val="P21"/>
        <w:spacing w:lineRule="auto" w:line="360" w:beforeAutospacing="0" w:afterAutospacing="0"/>
        <w:ind w:firstLine="689" w:left="20" w:right="40"/>
        <w:jc w:val="both"/>
        <w:rPr>
          <w:rFonts w:ascii="Times New Roman" w:hAnsi="Times New Roman" w:cs="Times New Roman"/>
          <w:sz w:val="28"/>
          <w:szCs w:val="28"/>
        </w:rPr>
      </w:pPr>
      <w:r>
        <w:rPr>
          <w:rFonts w:ascii="Times New Roman" w:hAnsi="Times New Roman" w:cs="Times New Roman"/>
          <w:sz w:val="28"/>
          <w:szCs w:val="28"/>
        </w:rPr>
        <w:t>– снижение трансакционных издержек;</w:t>
      </w:r>
    </w:p>
    <w:p>
      <w:pPr>
        <w:pStyle w:val="P21"/>
        <w:spacing w:lineRule="auto" w:line="360" w:beforeAutospacing="0" w:afterAutospacing="0"/>
        <w:ind w:firstLine="689" w:left="20" w:right="40"/>
        <w:jc w:val="both"/>
        <w:rPr>
          <w:rFonts w:ascii="Times New Roman" w:hAnsi="Times New Roman" w:cs="Times New Roman"/>
          <w:sz w:val="28"/>
          <w:szCs w:val="28"/>
        </w:rPr>
      </w:pPr>
      <w:r>
        <w:rPr>
          <w:rFonts w:ascii="Times New Roman" w:hAnsi="Times New Roman" w:cs="Times New Roman"/>
          <w:sz w:val="28"/>
          <w:szCs w:val="28"/>
        </w:rPr>
        <w:t>– вовлечение МСП в формальные региональные и континентальные цепочки стоимости.</w:t>
      </w:r>
    </w:p>
    <w:p>
      <w:pPr>
        <w:pStyle w:val="P21"/>
        <w:shd w:val="clear" w:fill="auto"/>
        <w:spacing w:lineRule="auto" w:line="360" w:beforeAutospacing="0" w:afterAutospacing="0"/>
        <w:ind w:firstLine="689" w:left="20" w:right="40"/>
        <w:jc w:val="both"/>
        <w:rPr>
          <w:rFonts w:ascii="Times New Roman" w:hAnsi="Times New Roman" w:cs="Times New Roman"/>
          <w:sz w:val="28"/>
          <w:szCs w:val="28"/>
        </w:rPr>
      </w:pPr>
      <w:r>
        <w:rPr>
          <w:rFonts w:ascii="Times New Roman" w:hAnsi="Times New Roman" w:cs="Times New Roman"/>
          <w:sz w:val="28"/>
          <w:szCs w:val="28"/>
        </w:rPr>
        <w:t>Именно в этом контексте цифровизация и платформенные механизмы приобретают значение инструмента перехода от модели «помощь – зависимость» к модели «интеграция – кооперация – добавленная стоимость».</w:t>
      </w:r>
    </w:p>
    <w:p>
      <w:pPr>
        <w:pStyle w:val="P21"/>
        <w:shd w:val="clear" w:fill="auto"/>
        <w:spacing w:lineRule="auto" w:line="360" w:beforeAutospacing="0" w:afterAutospacing="0"/>
        <w:ind w:firstLine="689" w:left="20" w:right="40"/>
        <w:jc w:val="both"/>
        <w:rPr>
          <w:rFonts w:ascii="Times New Roman" w:hAnsi="Times New Roman" w:cs="Times New Roman"/>
          <w:sz w:val="28"/>
          <w:szCs w:val="28"/>
        </w:rPr>
      </w:pPr>
      <w:r>
        <w:rPr>
          <w:rFonts w:ascii="Times New Roman" w:hAnsi="Times New Roman" w:cs="Times New Roman"/>
          <w:sz w:val="28"/>
          <w:szCs w:val="28"/>
        </w:rPr>
        <w:t>Для оценки институциональной архитектуры интеграции исследуем, в какой мере Республика Кот-д’Ивуар фактически встроена в региональные и мировые торговые потоки, и носит ли это включение инновационно-инклюзивный характер либо воспроизводит сырьевую модель зависимости. Отметим, что в дальнейших расчетах числовые значения агрегированы на основе открытых данных UNCTAD, World Bank, ITC Trade Map, AfDB, национальной статистики и GII, в ряде случаев использованы усредненные значения и прокси-оценки.</w:t>
      </w:r>
    </w:p>
    <w:p>
      <w:pPr>
        <w:pStyle w:val="P21"/>
        <w:spacing w:lineRule="auto" w:line="360" w:beforeAutospacing="0" w:afterAutospacing="0"/>
        <w:ind w:firstLine="689" w:left="20" w:right="40"/>
        <w:jc w:val="both"/>
        <w:rPr>
          <w:rFonts w:ascii="Times New Roman" w:hAnsi="Times New Roman" w:cs="Times New Roman"/>
          <w:sz w:val="28"/>
          <w:szCs w:val="28"/>
        </w:rPr>
      </w:pPr>
      <w:r>
        <w:rPr>
          <w:rFonts w:ascii="Times New Roman" w:hAnsi="Times New Roman" w:cs="Times New Roman"/>
          <w:sz w:val="28"/>
          <w:szCs w:val="28"/>
        </w:rPr>
        <w:t xml:space="preserve">Согласно данным </w:t>
      </w:r>
      <w:r>
        <w:rPr>
          <w:rFonts w:ascii="Times New Roman" w:hAnsi="Times New Roman" w:cs="Times New Roman"/>
          <w:sz w:val="28"/>
          <w:szCs w:val="28"/>
          <w:highlight w:val="yellow"/>
        </w:rPr>
        <w:t>таблицы ??</w:t>
      </w:r>
      <w:r>
        <w:rPr>
          <w:rFonts w:ascii="Times New Roman" w:hAnsi="Times New Roman" w:cs="Times New Roman"/>
          <w:sz w:val="28"/>
          <w:szCs w:val="28"/>
        </w:rPr>
        <w:t xml:space="preserve"> экономика остается высокой степени открытости (экспорт &gt;40 % ВВП), однако с 2023 г. наблюдается сокращение положительного торгового сальдо на фоне роста импорта и ценовой волатильности сырьевых рынков.</w:t>
      </w:r>
    </w:p>
    <w:p>
      <w:pPr>
        <w:pStyle w:val="P21"/>
        <w:spacing w:lineRule="auto" w:line="360" w:beforeAutospacing="0" w:afterAutospacing="0"/>
        <w:ind w:firstLine="689" w:left="20" w:right="40"/>
        <w:jc w:val="both"/>
        <w:rPr>
          <w:rFonts w:ascii="Times New Roman" w:hAnsi="Times New Roman" w:cs="Times New Roman"/>
          <w:sz w:val="28"/>
          <w:szCs w:val="28"/>
        </w:rPr>
      </w:pPr>
    </w:p>
    <w:p>
      <w:pPr>
        <w:pStyle w:val="P21"/>
        <w:spacing w:lineRule="auto" w:line="360" w:beforeAutospacing="0" w:afterAutospacing="0"/>
        <w:ind w:firstLine="0" w:right="40"/>
        <w:jc w:val="both"/>
        <w:rPr>
          <w:rFonts w:ascii="Times New Roman" w:hAnsi="Times New Roman" w:cs="Times New Roman"/>
          <w:color w:val="00B0F0"/>
          <w:sz w:val="28"/>
          <w:szCs w:val="28"/>
        </w:rPr>
      </w:pPr>
      <w:r>
        <w:rPr>
          <w:rFonts w:ascii="Times New Roman" w:hAnsi="Times New Roman" w:cs="Times New Roman"/>
          <w:sz w:val="28"/>
          <w:szCs w:val="28"/>
        </w:rPr>
        <w:t xml:space="preserve">Таблица  – Основные показатели внешней торговли Республики Кот-д’Ивуар (2020–2024 гг.)</w:t>
      </w:r>
      <w:r>
        <w:rPr>
          <w:rStyle w:val="C42"/>
          <w:rFonts w:ascii="Times New Roman" w:hAnsi="Times New Roman" w:cs="Times New Roman"/>
          <w:sz w:val="28"/>
          <w:szCs w:val="28"/>
        </w:rPr>
        <w:footnoteReference w:id="99"/>
      </w:r>
    </w:p>
    <w:tbl>
      <w:tblPr>
        <w:tblStyle w:val="T3"/>
        <w:tblW w:w="9856" w:type="dxa"/>
        <w:tblLook w:val="04A0"/>
      </w:tblPr>
      <w:tblGrid>
        <w:gridCol w:w="5143"/>
        <w:gridCol w:w="911"/>
        <w:gridCol w:w="911"/>
        <w:gridCol w:w="911"/>
        <w:gridCol w:w="911"/>
        <w:gridCol w:w="1069"/>
      </w:tblGrid>
      <w:tr>
        <w:trPr>
          <w:trHeight w:hRule="atLeast" w:val="274"/>
        </w:trPr>
        <w:tc>
          <w:tcPr>
            <w:tcW w:w="0" w:type="auto"/>
            <w:vMerge w:val="restart"/>
            <w:hideMark/>
          </w:tcPr>
          <w:p>
            <w:pPr>
              <w:jc w:val="center"/>
              <w:rPr>
                <w:rFonts w:ascii="Times New Roman" w:hAnsi="Times New Roman" w:cs="Times New Roman" w:eastAsia="Times New Roman"/>
                <w:bCs w:val="1"/>
                <w:sz w:val="24"/>
                <w:szCs w:val="24"/>
                <w:lang w:eastAsia="ru-RU"/>
              </w:rPr>
            </w:pPr>
            <w:r>
              <w:rPr>
                <w:rFonts w:ascii="Times New Roman" w:hAnsi="Times New Roman" w:cs="Times New Roman" w:eastAsia="Times New Roman"/>
                <w:bCs w:val="1"/>
                <w:sz w:val="24"/>
                <w:szCs w:val="24"/>
                <w:lang w:eastAsia="ru-RU"/>
              </w:rPr>
              <w:t>Показатель</w:t>
            </w:r>
          </w:p>
        </w:tc>
        <w:tc>
          <w:tcPr>
            <w:tcW w:w="0" w:type="auto"/>
            <w:gridSpan w:val="5"/>
          </w:tcPr>
          <w:p>
            <w:pPr>
              <w:jc w:val="center"/>
              <w:rPr>
                <w:rFonts w:ascii="Times New Roman" w:hAnsi="Times New Roman" w:cs="Times New Roman" w:eastAsia="Times New Roman"/>
                <w:bCs w:val="1"/>
                <w:sz w:val="24"/>
                <w:szCs w:val="24"/>
                <w:lang w:eastAsia="ru-RU"/>
              </w:rPr>
            </w:pPr>
            <w:r>
              <w:rPr>
                <w:rFonts w:ascii="Times New Roman" w:hAnsi="Times New Roman" w:cs="Times New Roman" w:eastAsia="Times New Roman"/>
                <w:bCs w:val="1"/>
                <w:sz w:val="24"/>
                <w:szCs w:val="24"/>
                <w:lang w:eastAsia="ru-RU"/>
              </w:rPr>
              <w:t>Значение по годам</w:t>
            </w:r>
          </w:p>
        </w:tc>
      </w:tr>
      <w:tr>
        <w:trPr>
          <w:trHeight w:hRule="atLeast" w:val="274"/>
        </w:trPr>
        <w:tc>
          <w:tcPr>
            <w:tcW w:w="0" w:type="auto"/>
            <w:vMerge w:val="continue"/>
          </w:tcPr>
          <w:p>
            <w:pPr>
              <w:jc w:val="center"/>
              <w:rPr>
                <w:rFonts w:ascii="Times New Roman" w:hAnsi="Times New Roman" w:cs="Times New Roman" w:eastAsia="Times New Roman"/>
                <w:bCs w:val="1"/>
                <w:sz w:val="24"/>
                <w:szCs w:val="24"/>
                <w:lang w:eastAsia="ru-RU"/>
              </w:rPr>
            </w:pPr>
          </w:p>
        </w:tc>
        <w:tc>
          <w:tcPr>
            <w:tcW w:w="0" w:type="auto"/>
          </w:tcPr>
          <w:p>
            <w:pPr>
              <w:jc w:val="center"/>
              <w:rPr>
                <w:rFonts w:ascii="Times New Roman" w:hAnsi="Times New Roman" w:cs="Times New Roman" w:eastAsia="Times New Roman"/>
                <w:bCs w:val="1"/>
                <w:sz w:val="24"/>
                <w:szCs w:val="24"/>
                <w:lang w:eastAsia="ru-RU"/>
              </w:rPr>
            </w:pPr>
            <w:r>
              <w:rPr>
                <w:rFonts w:ascii="Times New Roman" w:hAnsi="Times New Roman" w:cs="Times New Roman" w:eastAsia="Times New Roman"/>
                <w:bCs w:val="1"/>
                <w:sz w:val="24"/>
                <w:szCs w:val="24"/>
                <w:lang w:eastAsia="ru-RU"/>
              </w:rPr>
              <w:t>2020</w:t>
            </w:r>
          </w:p>
        </w:tc>
        <w:tc>
          <w:tcPr>
            <w:tcW w:w="0" w:type="auto"/>
          </w:tcPr>
          <w:p>
            <w:pPr>
              <w:jc w:val="center"/>
              <w:rPr>
                <w:rFonts w:ascii="Times New Roman" w:hAnsi="Times New Roman" w:cs="Times New Roman" w:eastAsia="Times New Roman"/>
                <w:bCs w:val="1"/>
                <w:sz w:val="24"/>
                <w:szCs w:val="24"/>
                <w:lang w:eastAsia="ru-RU"/>
              </w:rPr>
            </w:pPr>
            <w:r>
              <w:rPr>
                <w:rFonts w:ascii="Times New Roman" w:hAnsi="Times New Roman" w:cs="Times New Roman" w:eastAsia="Times New Roman"/>
                <w:bCs w:val="1"/>
                <w:sz w:val="24"/>
                <w:szCs w:val="24"/>
                <w:lang w:eastAsia="ru-RU"/>
              </w:rPr>
              <w:t>2021</w:t>
            </w:r>
          </w:p>
        </w:tc>
        <w:tc>
          <w:tcPr>
            <w:tcW w:w="0" w:type="auto"/>
          </w:tcPr>
          <w:p>
            <w:pPr>
              <w:jc w:val="center"/>
              <w:rPr>
                <w:rFonts w:ascii="Times New Roman" w:hAnsi="Times New Roman" w:cs="Times New Roman" w:eastAsia="Times New Roman"/>
                <w:bCs w:val="1"/>
                <w:sz w:val="24"/>
                <w:szCs w:val="24"/>
                <w:lang w:eastAsia="ru-RU"/>
              </w:rPr>
            </w:pPr>
            <w:r>
              <w:rPr>
                <w:rFonts w:ascii="Times New Roman" w:hAnsi="Times New Roman" w:cs="Times New Roman" w:eastAsia="Times New Roman"/>
                <w:bCs w:val="1"/>
                <w:sz w:val="24"/>
                <w:szCs w:val="24"/>
                <w:lang w:eastAsia="ru-RU"/>
              </w:rPr>
              <w:t>2022</w:t>
            </w:r>
          </w:p>
        </w:tc>
        <w:tc>
          <w:tcPr>
            <w:tcW w:w="0" w:type="auto"/>
          </w:tcPr>
          <w:p>
            <w:pPr>
              <w:jc w:val="center"/>
              <w:rPr>
                <w:rFonts w:ascii="Times New Roman" w:hAnsi="Times New Roman" w:cs="Times New Roman" w:eastAsia="Times New Roman"/>
                <w:bCs w:val="1"/>
                <w:sz w:val="24"/>
                <w:szCs w:val="24"/>
                <w:lang w:eastAsia="ru-RU"/>
              </w:rPr>
            </w:pPr>
            <w:r>
              <w:rPr>
                <w:rFonts w:ascii="Times New Roman" w:hAnsi="Times New Roman" w:cs="Times New Roman" w:eastAsia="Times New Roman"/>
                <w:bCs w:val="1"/>
                <w:sz w:val="24"/>
                <w:szCs w:val="24"/>
                <w:lang w:eastAsia="ru-RU"/>
              </w:rPr>
              <w:t>2023</w:t>
            </w:r>
          </w:p>
        </w:tc>
        <w:tc>
          <w:tcPr>
            <w:tcW w:w="0" w:type="auto"/>
          </w:tcPr>
          <w:p>
            <w:pPr>
              <w:jc w:val="center"/>
              <w:rPr>
                <w:rFonts w:ascii="Times New Roman" w:hAnsi="Times New Roman" w:cs="Times New Roman" w:eastAsia="Times New Roman"/>
                <w:bCs w:val="1"/>
                <w:sz w:val="24"/>
                <w:szCs w:val="24"/>
                <w:lang w:eastAsia="ru-RU"/>
              </w:rPr>
            </w:pPr>
            <w:r>
              <w:rPr>
                <w:rFonts w:ascii="Times New Roman" w:hAnsi="Times New Roman" w:cs="Times New Roman" w:eastAsia="Times New Roman"/>
                <w:bCs w:val="1"/>
                <w:sz w:val="24"/>
                <w:szCs w:val="24"/>
                <w:lang w:eastAsia="ru-RU"/>
              </w:rPr>
              <w:t>2024*</w:t>
            </w:r>
          </w:p>
        </w:tc>
      </w:tr>
      <w:tr>
        <w:trPr>
          <w:trHeight w:hRule="atLeast" w:val="274"/>
        </w:trPr>
        <w:tc>
          <w:tcPr>
            <w:tcW w:w="0" w:type="auto"/>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Экспорт товаров и услуг, млрд долл.</w:t>
            </w:r>
          </w:p>
        </w:tc>
        <w:tc>
          <w:tcPr>
            <w:tcW w:w="0" w:type="auto"/>
            <w:hideMark/>
          </w:tcPr>
          <w:p>
            <w:pPr>
              <w:jc w:val="cente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12,7</w:t>
            </w:r>
          </w:p>
        </w:tc>
        <w:tc>
          <w:tcPr>
            <w:tcW w:w="0" w:type="auto"/>
            <w:hideMark/>
          </w:tcPr>
          <w:p>
            <w:pPr>
              <w:jc w:val="cente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15,6</w:t>
            </w:r>
          </w:p>
        </w:tc>
        <w:tc>
          <w:tcPr>
            <w:tcW w:w="0" w:type="auto"/>
            <w:hideMark/>
          </w:tcPr>
          <w:p>
            <w:pPr>
              <w:jc w:val="cente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18,4</w:t>
            </w:r>
          </w:p>
        </w:tc>
        <w:tc>
          <w:tcPr>
            <w:tcW w:w="0" w:type="auto"/>
            <w:hideMark/>
          </w:tcPr>
          <w:p>
            <w:pPr>
              <w:jc w:val="cente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17,9</w:t>
            </w:r>
          </w:p>
        </w:tc>
        <w:tc>
          <w:tcPr>
            <w:tcW w:w="0" w:type="auto"/>
            <w:hideMark/>
          </w:tcPr>
          <w:p>
            <w:pPr>
              <w:jc w:val="cente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18,6</w:t>
            </w:r>
          </w:p>
        </w:tc>
      </w:tr>
      <w:tr>
        <w:trPr>
          <w:trHeight w:hRule="atLeast" w:val="274"/>
        </w:trPr>
        <w:tc>
          <w:tcPr>
            <w:tcW w:w="0" w:type="auto"/>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Импорт товаров и услуг, млрд долл.</w:t>
            </w:r>
          </w:p>
        </w:tc>
        <w:tc>
          <w:tcPr>
            <w:tcW w:w="0" w:type="auto"/>
            <w:hideMark/>
          </w:tcPr>
          <w:p>
            <w:pPr>
              <w:jc w:val="cente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10,9</w:t>
            </w:r>
          </w:p>
        </w:tc>
        <w:tc>
          <w:tcPr>
            <w:tcW w:w="0" w:type="auto"/>
            <w:hideMark/>
          </w:tcPr>
          <w:p>
            <w:pPr>
              <w:jc w:val="cente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13,8</w:t>
            </w:r>
          </w:p>
        </w:tc>
        <w:tc>
          <w:tcPr>
            <w:tcW w:w="0" w:type="auto"/>
            <w:hideMark/>
          </w:tcPr>
          <w:p>
            <w:pPr>
              <w:jc w:val="cente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16,9</w:t>
            </w:r>
          </w:p>
        </w:tc>
        <w:tc>
          <w:tcPr>
            <w:tcW w:w="0" w:type="auto"/>
            <w:hideMark/>
          </w:tcPr>
          <w:p>
            <w:pPr>
              <w:jc w:val="cente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17,5</w:t>
            </w:r>
          </w:p>
        </w:tc>
        <w:tc>
          <w:tcPr>
            <w:tcW w:w="0" w:type="auto"/>
            <w:hideMark/>
          </w:tcPr>
          <w:p>
            <w:pPr>
              <w:jc w:val="cente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18,2</w:t>
            </w:r>
          </w:p>
        </w:tc>
      </w:tr>
      <w:tr>
        <w:trPr>
          <w:trHeight w:hRule="atLeast" w:val="274"/>
        </w:trPr>
        <w:tc>
          <w:tcPr>
            <w:tcW w:w="0" w:type="auto"/>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Торговый баланс, млрд долл.</w:t>
            </w:r>
          </w:p>
        </w:tc>
        <w:tc>
          <w:tcPr>
            <w:tcW w:w="0" w:type="auto"/>
            <w:hideMark/>
          </w:tcPr>
          <w:p>
            <w:pPr>
              <w:jc w:val="cente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+1,8</w:t>
            </w:r>
          </w:p>
        </w:tc>
        <w:tc>
          <w:tcPr>
            <w:tcW w:w="0" w:type="auto"/>
            <w:hideMark/>
          </w:tcPr>
          <w:p>
            <w:pPr>
              <w:jc w:val="cente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+1,8</w:t>
            </w:r>
          </w:p>
        </w:tc>
        <w:tc>
          <w:tcPr>
            <w:tcW w:w="0" w:type="auto"/>
            <w:hideMark/>
          </w:tcPr>
          <w:p>
            <w:pPr>
              <w:jc w:val="cente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+1,5</w:t>
            </w:r>
          </w:p>
        </w:tc>
        <w:tc>
          <w:tcPr>
            <w:tcW w:w="0" w:type="auto"/>
            <w:hideMark/>
          </w:tcPr>
          <w:p>
            <w:pPr>
              <w:jc w:val="cente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+0,4</w:t>
            </w:r>
          </w:p>
        </w:tc>
        <w:tc>
          <w:tcPr>
            <w:tcW w:w="0" w:type="auto"/>
            <w:hideMark/>
          </w:tcPr>
          <w:p>
            <w:pPr>
              <w:jc w:val="cente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+0,4</w:t>
            </w:r>
          </w:p>
        </w:tc>
      </w:tr>
      <w:tr>
        <w:trPr>
          <w:trHeight w:hRule="atLeast" w:val="274"/>
        </w:trPr>
        <w:tc>
          <w:tcPr>
            <w:tcW w:w="0" w:type="auto"/>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Экспорт, % ВВП</w:t>
            </w:r>
          </w:p>
        </w:tc>
        <w:tc>
          <w:tcPr>
            <w:tcW w:w="0" w:type="auto"/>
            <w:hideMark/>
          </w:tcPr>
          <w:p>
            <w:pPr>
              <w:jc w:val="cente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42</w:t>
            </w:r>
          </w:p>
        </w:tc>
        <w:tc>
          <w:tcPr>
            <w:tcW w:w="0" w:type="auto"/>
            <w:hideMark/>
          </w:tcPr>
          <w:p>
            <w:pPr>
              <w:jc w:val="cente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44</w:t>
            </w:r>
          </w:p>
        </w:tc>
        <w:tc>
          <w:tcPr>
            <w:tcW w:w="0" w:type="auto"/>
            <w:hideMark/>
          </w:tcPr>
          <w:p>
            <w:pPr>
              <w:jc w:val="cente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46</w:t>
            </w:r>
          </w:p>
        </w:tc>
        <w:tc>
          <w:tcPr>
            <w:tcW w:w="0" w:type="auto"/>
            <w:hideMark/>
          </w:tcPr>
          <w:p>
            <w:pPr>
              <w:jc w:val="cente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43</w:t>
            </w:r>
          </w:p>
        </w:tc>
        <w:tc>
          <w:tcPr>
            <w:tcW w:w="0" w:type="auto"/>
            <w:hideMark/>
          </w:tcPr>
          <w:p>
            <w:pPr>
              <w:jc w:val="cente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42</w:t>
            </w:r>
          </w:p>
        </w:tc>
      </w:tr>
      <w:tr>
        <w:trPr>
          <w:trHeight w:hRule="atLeast" w:val="274"/>
        </w:trPr>
        <w:tc>
          <w:tcPr>
            <w:tcW w:w="0" w:type="auto"/>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Импорт, % ВВП</w:t>
            </w:r>
          </w:p>
        </w:tc>
        <w:tc>
          <w:tcPr>
            <w:tcW w:w="0" w:type="auto"/>
            <w:hideMark/>
          </w:tcPr>
          <w:p>
            <w:pPr>
              <w:jc w:val="cente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36</w:t>
            </w:r>
          </w:p>
        </w:tc>
        <w:tc>
          <w:tcPr>
            <w:tcW w:w="0" w:type="auto"/>
            <w:hideMark/>
          </w:tcPr>
          <w:p>
            <w:pPr>
              <w:jc w:val="cente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39</w:t>
            </w:r>
          </w:p>
        </w:tc>
        <w:tc>
          <w:tcPr>
            <w:tcW w:w="0" w:type="auto"/>
            <w:hideMark/>
          </w:tcPr>
          <w:p>
            <w:pPr>
              <w:jc w:val="cente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42</w:t>
            </w:r>
          </w:p>
        </w:tc>
        <w:tc>
          <w:tcPr>
            <w:tcW w:w="0" w:type="auto"/>
            <w:hideMark/>
          </w:tcPr>
          <w:p>
            <w:pPr>
              <w:jc w:val="cente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42</w:t>
            </w:r>
          </w:p>
        </w:tc>
        <w:tc>
          <w:tcPr>
            <w:tcW w:w="0" w:type="auto"/>
            <w:hideMark/>
          </w:tcPr>
          <w:p>
            <w:pPr>
              <w:jc w:val="cente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41</w:t>
            </w:r>
          </w:p>
        </w:tc>
      </w:tr>
    </w:tbl>
    <w:p>
      <w:pPr>
        <w:pStyle w:val="P21"/>
        <w:spacing w:lineRule="auto" w:line="360" w:beforeAutospacing="0" w:afterAutospacing="0"/>
        <w:ind w:firstLine="0" w:right="40"/>
        <w:jc w:val="both"/>
        <w:rPr>
          <w:rFonts w:ascii="Times New Roman" w:hAnsi="Times New Roman" w:cs="Times New Roman"/>
          <w:sz w:val="24"/>
          <w:szCs w:val="24"/>
        </w:rPr>
      </w:pPr>
      <w:r>
        <w:rPr>
          <w:rFonts w:ascii="Times New Roman" w:hAnsi="Times New Roman" w:cs="Times New Roman"/>
          <w:sz w:val="24"/>
          <w:szCs w:val="24"/>
        </w:rPr>
        <w:t>Примечание: * – оценка по предварительным данным</w:t>
      </w:r>
    </w:p>
    <w:p>
      <w:pPr>
        <w:pStyle w:val="P21"/>
        <w:spacing w:lineRule="auto" w:line="360" w:beforeAutospacing="0" w:afterAutospacing="0"/>
        <w:ind w:firstLine="689" w:left="20" w:right="40"/>
        <w:jc w:val="both"/>
        <w:rPr>
          <w:rFonts w:ascii="Times New Roman" w:hAnsi="Times New Roman" w:cs="Times New Roman"/>
          <w:sz w:val="28"/>
          <w:szCs w:val="28"/>
        </w:rPr>
      </w:pPr>
    </w:p>
    <w:p>
      <w:pPr>
        <w:pStyle w:val="P21"/>
        <w:spacing w:lineRule="auto" w:line="360" w:beforeAutospacing="0" w:afterAutospacing="0"/>
        <w:ind w:firstLine="689" w:left="20" w:right="40"/>
        <w:jc w:val="both"/>
        <w:rPr>
          <w:rFonts w:ascii="Times New Roman" w:hAnsi="Times New Roman" w:cs="Times New Roman"/>
          <w:sz w:val="24"/>
          <w:szCs w:val="24"/>
        </w:rPr>
      </w:pPr>
      <w:r>
        <w:rPr>
          <w:rFonts w:ascii="Times New Roman" w:hAnsi="Times New Roman" w:cs="Times New Roman"/>
          <w:sz w:val="28"/>
          <w:szCs w:val="28"/>
        </w:rPr>
        <w:t xml:space="preserve">Республика Кот-д’Ивуар является крупнейшим в мире производителем и экспортером какао-бобов, обеспечивая порядка </w:t>
      </w:r>
      <w:r>
        <w:rPr>
          <w:rFonts w:ascii="Times New Roman" w:hAnsi="Times New Roman" w:cs="Times New Roman"/>
          <w:sz w:val="28"/>
          <w:szCs w:val="28"/>
          <w:highlight w:val="yellow"/>
        </w:rPr>
        <w:t>40 % мирового предложения</w:t>
      </w:r>
      <w:r>
        <w:rPr>
          <w:rFonts w:ascii="Times New Roman" w:hAnsi="Times New Roman" w:cs="Times New Roman"/>
          <w:sz w:val="28"/>
          <w:szCs w:val="28"/>
        </w:rPr>
        <w:t xml:space="preserve"> (</w:t>
      </w:r>
      <w:r>
        <w:rPr>
          <w:rFonts w:ascii="Times New Roman" w:hAnsi="Times New Roman" w:cs="Times New Roman"/>
          <w:sz w:val="28"/>
          <w:szCs w:val="28"/>
          <w:highlight w:val="yellow"/>
        </w:rPr>
        <w:t>таблица ??</w:t>
      </w:r>
      <w:r>
        <w:rPr>
          <w:rFonts w:ascii="Times New Roman" w:hAnsi="Times New Roman" w:cs="Times New Roman"/>
          <w:sz w:val="28"/>
          <w:szCs w:val="28"/>
        </w:rPr>
        <w:t>). Структура экспорта страны характеризуется высокой концентрацией на первичных товарах аграрного и сырьевого характера. Так, порядка 4–5 товарных групп формируют более 70 % экспортной выручки.</w:t>
      </w:r>
    </w:p>
    <w:p>
      <w:pPr>
        <w:pStyle w:val="P21"/>
        <w:spacing w:lineRule="auto" w:line="360" w:beforeAutospacing="0" w:afterAutospacing="0"/>
        <w:ind w:firstLine="0" w:right="40"/>
        <w:jc w:val="both"/>
        <w:rPr>
          <w:rFonts w:ascii="Times New Roman" w:hAnsi="Times New Roman" w:cs="Times New Roman"/>
          <w:sz w:val="28"/>
          <w:szCs w:val="28"/>
        </w:rPr>
      </w:pPr>
    </w:p>
    <w:p>
      <w:pPr>
        <w:pStyle w:val="P21"/>
        <w:spacing w:lineRule="auto" w:line="360" w:beforeAutospacing="0" w:afterAutospacing="0"/>
        <w:ind w:firstLine="0" w:right="40"/>
        <w:jc w:val="both"/>
        <w:rPr>
          <w:rFonts w:ascii="Times New Roman" w:hAnsi="Times New Roman" w:cs="Times New Roman"/>
          <w:color w:val="00B0F0"/>
          <w:sz w:val="28"/>
          <w:szCs w:val="28"/>
        </w:rPr>
      </w:pPr>
      <w:r>
        <w:rPr>
          <w:rFonts w:ascii="Times New Roman" w:hAnsi="Times New Roman" w:cs="Times New Roman"/>
          <w:sz w:val="28"/>
          <w:szCs w:val="28"/>
        </w:rPr>
        <w:t>Таблица 2.8 – Структура экспорта по основным товарным группам (% от общего экспорта)</w:t>
      </w:r>
      <w:r>
        <w:rPr>
          <w:rStyle w:val="C42"/>
          <w:rFonts w:ascii="Times New Roman" w:hAnsi="Times New Roman" w:cs="Times New Roman"/>
          <w:sz w:val="28"/>
          <w:szCs w:val="28"/>
        </w:rPr>
        <w:footnoteReference w:id="100"/>
      </w:r>
    </w:p>
    <w:tbl>
      <w:tblPr>
        <w:tblStyle w:val="T3"/>
        <w:tblW w:w="9883" w:type="dxa"/>
        <w:tblLook w:val="04A0"/>
      </w:tblPr>
      <w:tblGrid>
        <w:gridCol w:w="5281"/>
        <w:gridCol w:w="920"/>
        <w:gridCol w:w="920"/>
        <w:gridCol w:w="920"/>
        <w:gridCol w:w="921"/>
        <w:gridCol w:w="921"/>
      </w:tblGrid>
      <w:tr>
        <w:trPr>
          <w:trHeight w:hRule="atLeast" w:val="255"/>
        </w:trPr>
        <w:tc>
          <w:tcPr>
            <w:tcW w:w="0" w:type="auto"/>
            <w:vMerge w:val="restart"/>
            <w:hideMark/>
          </w:tcPr>
          <w:p>
            <w:pPr>
              <w:jc w:val="center"/>
              <w:rPr>
                <w:rFonts w:ascii="Times New Roman" w:hAnsi="Times New Roman" w:cs="Times New Roman" w:eastAsia="Times New Roman"/>
                <w:bCs w:val="1"/>
                <w:sz w:val="24"/>
                <w:szCs w:val="24"/>
                <w:lang w:eastAsia="ru-RU"/>
              </w:rPr>
            </w:pPr>
            <w:r>
              <w:rPr>
                <w:rFonts w:ascii="Times New Roman" w:hAnsi="Times New Roman" w:cs="Times New Roman" w:eastAsia="Times New Roman"/>
                <w:bCs w:val="1"/>
                <w:sz w:val="24"/>
                <w:szCs w:val="24"/>
                <w:lang w:eastAsia="ru-RU"/>
              </w:rPr>
              <w:t>Товарная группа</w:t>
            </w:r>
          </w:p>
        </w:tc>
        <w:tc>
          <w:tcPr>
            <w:tcW w:w="0" w:type="auto"/>
            <w:gridSpan w:val="5"/>
          </w:tcPr>
          <w:p>
            <w:pPr>
              <w:jc w:val="center"/>
              <w:rPr>
                <w:rFonts w:ascii="Times New Roman" w:hAnsi="Times New Roman" w:cs="Times New Roman" w:eastAsia="Times New Roman"/>
                <w:bCs w:val="1"/>
                <w:sz w:val="24"/>
                <w:szCs w:val="24"/>
                <w:lang w:eastAsia="ru-RU"/>
              </w:rPr>
            </w:pPr>
            <w:r>
              <w:rPr>
                <w:rFonts w:ascii="Times New Roman" w:hAnsi="Times New Roman" w:cs="Times New Roman" w:eastAsia="Times New Roman"/>
                <w:bCs w:val="1"/>
                <w:sz w:val="24"/>
                <w:szCs w:val="24"/>
                <w:lang w:eastAsia="ru-RU"/>
              </w:rPr>
              <w:t xml:space="preserve">Значение по годам </w:t>
            </w:r>
          </w:p>
        </w:tc>
      </w:tr>
      <w:tr>
        <w:trPr>
          <w:trHeight w:hRule="atLeast" w:val="255"/>
        </w:trPr>
        <w:tc>
          <w:tcPr>
            <w:tcW w:w="0" w:type="auto"/>
            <w:vMerge w:val="continue"/>
          </w:tcPr>
          <w:p>
            <w:pPr>
              <w:jc w:val="center"/>
              <w:rPr>
                <w:rFonts w:ascii="Times New Roman" w:hAnsi="Times New Roman" w:cs="Times New Roman" w:eastAsia="Times New Roman"/>
                <w:bCs w:val="1"/>
                <w:sz w:val="24"/>
                <w:szCs w:val="24"/>
                <w:lang w:eastAsia="ru-RU"/>
              </w:rPr>
            </w:pPr>
          </w:p>
        </w:tc>
        <w:tc>
          <w:tcPr>
            <w:tcW w:w="0" w:type="auto"/>
          </w:tcPr>
          <w:p>
            <w:pPr>
              <w:jc w:val="center"/>
              <w:rPr>
                <w:rFonts w:ascii="Times New Roman" w:hAnsi="Times New Roman" w:cs="Times New Roman" w:eastAsia="Times New Roman"/>
                <w:bCs w:val="1"/>
                <w:sz w:val="24"/>
                <w:szCs w:val="24"/>
                <w:lang w:eastAsia="ru-RU"/>
              </w:rPr>
            </w:pPr>
            <w:r>
              <w:rPr>
                <w:rFonts w:ascii="Times New Roman" w:hAnsi="Times New Roman" w:cs="Times New Roman" w:eastAsia="Times New Roman"/>
                <w:bCs w:val="1"/>
                <w:sz w:val="24"/>
                <w:szCs w:val="24"/>
                <w:lang w:eastAsia="ru-RU"/>
              </w:rPr>
              <w:t>2020</w:t>
            </w:r>
          </w:p>
        </w:tc>
        <w:tc>
          <w:tcPr>
            <w:tcW w:w="0" w:type="auto"/>
          </w:tcPr>
          <w:p>
            <w:pPr>
              <w:jc w:val="center"/>
              <w:rPr>
                <w:rFonts w:ascii="Times New Roman" w:hAnsi="Times New Roman" w:cs="Times New Roman" w:eastAsia="Times New Roman"/>
                <w:bCs w:val="1"/>
                <w:sz w:val="24"/>
                <w:szCs w:val="24"/>
                <w:lang w:eastAsia="ru-RU"/>
              </w:rPr>
            </w:pPr>
            <w:r>
              <w:rPr>
                <w:rFonts w:ascii="Times New Roman" w:hAnsi="Times New Roman" w:cs="Times New Roman" w:eastAsia="Times New Roman"/>
                <w:bCs w:val="1"/>
                <w:sz w:val="24"/>
                <w:szCs w:val="24"/>
                <w:lang w:eastAsia="ru-RU"/>
              </w:rPr>
              <w:t>2021</w:t>
            </w:r>
          </w:p>
        </w:tc>
        <w:tc>
          <w:tcPr>
            <w:tcW w:w="0" w:type="auto"/>
          </w:tcPr>
          <w:p>
            <w:pPr>
              <w:jc w:val="center"/>
              <w:rPr>
                <w:rFonts w:ascii="Times New Roman" w:hAnsi="Times New Roman" w:cs="Times New Roman" w:eastAsia="Times New Roman"/>
                <w:bCs w:val="1"/>
                <w:sz w:val="24"/>
                <w:szCs w:val="24"/>
                <w:lang w:eastAsia="ru-RU"/>
              </w:rPr>
            </w:pPr>
            <w:r>
              <w:rPr>
                <w:rFonts w:ascii="Times New Roman" w:hAnsi="Times New Roman" w:cs="Times New Roman" w:eastAsia="Times New Roman"/>
                <w:bCs w:val="1"/>
                <w:sz w:val="24"/>
                <w:szCs w:val="24"/>
                <w:lang w:eastAsia="ru-RU"/>
              </w:rPr>
              <w:t>2022</w:t>
            </w:r>
          </w:p>
        </w:tc>
        <w:tc>
          <w:tcPr>
            <w:tcW w:w="0" w:type="auto"/>
          </w:tcPr>
          <w:p>
            <w:pPr>
              <w:jc w:val="center"/>
              <w:rPr>
                <w:rFonts w:ascii="Times New Roman" w:hAnsi="Times New Roman" w:cs="Times New Roman" w:eastAsia="Times New Roman"/>
                <w:bCs w:val="1"/>
                <w:sz w:val="24"/>
                <w:szCs w:val="24"/>
                <w:lang w:eastAsia="ru-RU"/>
              </w:rPr>
            </w:pPr>
            <w:r>
              <w:rPr>
                <w:rFonts w:ascii="Times New Roman" w:hAnsi="Times New Roman" w:cs="Times New Roman" w:eastAsia="Times New Roman"/>
                <w:bCs w:val="1"/>
                <w:sz w:val="24"/>
                <w:szCs w:val="24"/>
                <w:lang w:eastAsia="ru-RU"/>
              </w:rPr>
              <w:t>2023</w:t>
            </w:r>
          </w:p>
        </w:tc>
        <w:tc>
          <w:tcPr>
            <w:tcW w:w="0" w:type="auto"/>
          </w:tcPr>
          <w:p>
            <w:pPr>
              <w:jc w:val="center"/>
              <w:rPr>
                <w:rFonts w:ascii="Times New Roman" w:hAnsi="Times New Roman" w:cs="Times New Roman" w:eastAsia="Times New Roman"/>
                <w:bCs w:val="1"/>
                <w:sz w:val="24"/>
                <w:szCs w:val="24"/>
                <w:lang w:eastAsia="ru-RU"/>
              </w:rPr>
            </w:pPr>
            <w:r>
              <w:rPr>
                <w:rFonts w:ascii="Times New Roman" w:hAnsi="Times New Roman" w:cs="Times New Roman" w:eastAsia="Times New Roman"/>
                <w:bCs w:val="1"/>
                <w:sz w:val="24"/>
                <w:szCs w:val="24"/>
                <w:lang w:eastAsia="ru-RU"/>
              </w:rPr>
              <w:t>2024</w:t>
            </w:r>
          </w:p>
        </w:tc>
      </w:tr>
      <w:tr>
        <w:trPr>
          <w:trHeight w:hRule="atLeast" w:val="255"/>
        </w:trPr>
        <w:tc>
          <w:tcPr>
            <w:tcW w:w="0" w:type="auto"/>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Какао-бобы и продукты переработки</w:t>
            </w:r>
          </w:p>
        </w:tc>
        <w:tc>
          <w:tcPr>
            <w:tcW w:w="0" w:type="auto"/>
            <w:hideMark/>
          </w:tcPr>
          <w:p>
            <w:pPr>
              <w:jc w:val="cente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 xml:space="preserve">36 </w:t>
            </w:r>
          </w:p>
        </w:tc>
        <w:tc>
          <w:tcPr>
            <w:tcW w:w="0" w:type="auto"/>
            <w:hideMark/>
          </w:tcPr>
          <w:p>
            <w:pPr>
              <w:jc w:val="cente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 xml:space="preserve">38 </w:t>
            </w:r>
          </w:p>
        </w:tc>
        <w:tc>
          <w:tcPr>
            <w:tcW w:w="0" w:type="auto"/>
            <w:hideMark/>
          </w:tcPr>
          <w:p>
            <w:pPr>
              <w:jc w:val="cente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 xml:space="preserve">39 </w:t>
            </w:r>
          </w:p>
        </w:tc>
        <w:tc>
          <w:tcPr>
            <w:tcW w:w="0" w:type="auto"/>
            <w:hideMark/>
          </w:tcPr>
          <w:p>
            <w:pPr>
              <w:jc w:val="cente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37</w:t>
            </w:r>
          </w:p>
        </w:tc>
        <w:tc>
          <w:tcPr>
            <w:tcW w:w="0" w:type="auto"/>
            <w:hideMark/>
          </w:tcPr>
          <w:p>
            <w:pPr>
              <w:jc w:val="cente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 xml:space="preserve">38 </w:t>
            </w:r>
          </w:p>
        </w:tc>
      </w:tr>
      <w:tr>
        <w:trPr>
          <w:trHeight w:hRule="atLeast" w:val="255"/>
        </w:trPr>
        <w:tc>
          <w:tcPr>
            <w:tcW w:w="0" w:type="auto"/>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Кешью</w:t>
            </w:r>
          </w:p>
        </w:tc>
        <w:tc>
          <w:tcPr>
            <w:tcW w:w="0" w:type="auto"/>
            <w:hideMark/>
          </w:tcPr>
          <w:p>
            <w:pPr>
              <w:jc w:val="cente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 xml:space="preserve">9 </w:t>
            </w:r>
          </w:p>
        </w:tc>
        <w:tc>
          <w:tcPr>
            <w:tcW w:w="0" w:type="auto"/>
            <w:hideMark/>
          </w:tcPr>
          <w:p>
            <w:pPr>
              <w:jc w:val="cente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 xml:space="preserve">8 </w:t>
            </w:r>
          </w:p>
        </w:tc>
        <w:tc>
          <w:tcPr>
            <w:tcW w:w="0" w:type="auto"/>
            <w:hideMark/>
          </w:tcPr>
          <w:p>
            <w:pPr>
              <w:jc w:val="cente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 xml:space="preserve">8 </w:t>
            </w:r>
          </w:p>
        </w:tc>
        <w:tc>
          <w:tcPr>
            <w:tcW w:w="0" w:type="auto"/>
            <w:hideMark/>
          </w:tcPr>
          <w:p>
            <w:pPr>
              <w:jc w:val="cente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 xml:space="preserve">9 </w:t>
            </w:r>
          </w:p>
        </w:tc>
        <w:tc>
          <w:tcPr>
            <w:tcW w:w="0" w:type="auto"/>
            <w:hideMark/>
          </w:tcPr>
          <w:p>
            <w:pPr>
              <w:jc w:val="cente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 xml:space="preserve">9 </w:t>
            </w:r>
          </w:p>
        </w:tc>
      </w:tr>
      <w:tr>
        <w:trPr>
          <w:trHeight w:hRule="atLeast" w:val="255"/>
        </w:trPr>
        <w:tc>
          <w:tcPr>
            <w:tcW w:w="0" w:type="auto"/>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Золото</w:t>
            </w:r>
          </w:p>
        </w:tc>
        <w:tc>
          <w:tcPr>
            <w:tcW w:w="0" w:type="auto"/>
            <w:hideMark/>
          </w:tcPr>
          <w:p>
            <w:pPr>
              <w:jc w:val="cente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 xml:space="preserve">10 </w:t>
            </w:r>
          </w:p>
        </w:tc>
        <w:tc>
          <w:tcPr>
            <w:tcW w:w="0" w:type="auto"/>
            <w:hideMark/>
          </w:tcPr>
          <w:p>
            <w:pPr>
              <w:jc w:val="cente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 xml:space="preserve">9 </w:t>
            </w:r>
          </w:p>
        </w:tc>
        <w:tc>
          <w:tcPr>
            <w:tcW w:w="0" w:type="auto"/>
            <w:hideMark/>
          </w:tcPr>
          <w:p>
            <w:pPr>
              <w:jc w:val="cente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 xml:space="preserve">11 </w:t>
            </w:r>
          </w:p>
        </w:tc>
        <w:tc>
          <w:tcPr>
            <w:tcW w:w="0" w:type="auto"/>
            <w:hideMark/>
          </w:tcPr>
          <w:p>
            <w:pPr>
              <w:jc w:val="cente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 xml:space="preserve">12 </w:t>
            </w:r>
          </w:p>
        </w:tc>
        <w:tc>
          <w:tcPr>
            <w:tcW w:w="0" w:type="auto"/>
            <w:hideMark/>
          </w:tcPr>
          <w:p>
            <w:pPr>
              <w:jc w:val="cente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 xml:space="preserve">11 </w:t>
            </w:r>
          </w:p>
        </w:tc>
      </w:tr>
      <w:tr>
        <w:trPr>
          <w:trHeight w:hRule="atLeast" w:val="255"/>
        </w:trPr>
        <w:tc>
          <w:tcPr>
            <w:tcW w:w="0" w:type="auto"/>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Нефть и нефтепродукты</w:t>
            </w:r>
          </w:p>
        </w:tc>
        <w:tc>
          <w:tcPr>
            <w:tcW w:w="0" w:type="auto"/>
            <w:hideMark/>
          </w:tcPr>
          <w:p>
            <w:pPr>
              <w:jc w:val="cente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 xml:space="preserve">13 </w:t>
            </w:r>
          </w:p>
        </w:tc>
        <w:tc>
          <w:tcPr>
            <w:tcW w:w="0" w:type="auto"/>
            <w:hideMark/>
          </w:tcPr>
          <w:p>
            <w:pPr>
              <w:jc w:val="cente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 xml:space="preserve">14 </w:t>
            </w:r>
          </w:p>
        </w:tc>
        <w:tc>
          <w:tcPr>
            <w:tcW w:w="0" w:type="auto"/>
            <w:hideMark/>
          </w:tcPr>
          <w:p>
            <w:pPr>
              <w:jc w:val="cente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 xml:space="preserve">12 </w:t>
            </w:r>
          </w:p>
        </w:tc>
        <w:tc>
          <w:tcPr>
            <w:tcW w:w="0" w:type="auto"/>
            <w:hideMark/>
          </w:tcPr>
          <w:p>
            <w:pPr>
              <w:jc w:val="cente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 xml:space="preserve">11 </w:t>
            </w:r>
          </w:p>
        </w:tc>
        <w:tc>
          <w:tcPr>
            <w:tcW w:w="0" w:type="auto"/>
            <w:hideMark/>
          </w:tcPr>
          <w:p>
            <w:pPr>
              <w:jc w:val="cente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 xml:space="preserve">10 </w:t>
            </w:r>
          </w:p>
        </w:tc>
      </w:tr>
      <w:tr>
        <w:trPr>
          <w:trHeight w:hRule="atLeast" w:val="255"/>
        </w:trPr>
        <w:tc>
          <w:tcPr>
            <w:tcW w:w="0" w:type="auto"/>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Каучук</w:t>
            </w:r>
          </w:p>
        </w:tc>
        <w:tc>
          <w:tcPr>
            <w:tcW w:w="0" w:type="auto"/>
            <w:hideMark/>
          </w:tcPr>
          <w:p>
            <w:pPr>
              <w:jc w:val="cente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 xml:space="preserve">7 </w:t>
            </w:r>
          </w:p>
        </w:tc>
        <w:tc>
          <w:tcPr>
            <w:tcW w:w="0" w:type="auto"/>
            <w:hideMark/>
          </w:tcPr>
          <w:p>
            <w:pPr>
              <w:jc w:val="cente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 xml:space="preserve">6 </w:t>
            </w:r>
          </w:p>
        </w:tc>
        <w:tc>
          <w:tcPr>
            <w:tcW w:w="0" w:type="auto"/>
            <w:hideMark/>
          </w:tcPr>
          <w:p>
            <w:pPr>
              <w:jc w:val="cente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 xml:space="preserve">6 </w:t>
            </w:r>
          </w:p>
        </w:tc>
        <w:tc>
          <w:tcPr>
            <w:tcW w:w="0" w:type="auto"/>
            <w:hideMark/>
          </w:tcPr>
          <w:p>
            <w:pPr>
              <w:jc w:val="cente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 xml:space="preserve">7 </w:t>
            </w:r>
          </w:p>
        </w:tc>
        <w:tc>
          <w:tcPr>
            <w:tcW w:w="0" w:type="auto"/>
            <w:hideMark/>
          </w:tcPr>
          <w:p>
            <w:pPr>
              <w:jc w:val="cente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 xml:space="preserve">6 </w:t>
            </w:r>
          </w:p>
        </w:tc>
      </w:tr>
      <w:tr>
        <w:trPr>
          <w:trHeight w:hRule="atLeast" w:val="255"/>
        </w:trPr>
        <w:tc>
          <w:tcPr>
            <w:tcW w:w="0" w:type="auto"/>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Прочие товары</w:t>
            </w:r>
          </w:p>
        </w:tc>
        <w:tc>
          <w:tcPr>
            <w:tcW w:w="0" w:type="auto"/>
            <w:hideMark/>
          </w:tcPr>
          <w:p>
            <w:pPr>
              <w:jc w:val="cente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 xml:space="preserve">25 </w:t>
            </w:r>
          </w:p>
        </w:tc>
        <w:tc>
          <w:tcPr>
            <w:tcW w:w="0" w:type="auto"/>
            <w:hideMark/>
          </w:tcPr>
          <w:p>
            <w:pPr>
              <w:jc w:val="cente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 xml:space="preserve">25 </w:t>
            </w:r>
          </w:p>
        </w:tc>
        <w:tc>
          <w:tcPr>
            <w:tcW w:w="0" w:type="auto"/>
            <w:hideMark/>
          </w:tcPr>
          <w:p>
            <w:pPr>
              <w:jc w:val="cente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 xml:space="preserve">24 </w:t>
            </w:r>
          </w:p>
        </w:tc>
        <w:tc>
          <w:tcPr>
            <w:tcW w:w="0" w:type="auto"/>
            <w:hideMark/>
          </w:tcPr>
          <w:p>
            <w:pPr>
              <w:jc w:val="cente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 xml:space="preserve">24 </w:t>
            </w:r>
          </w:p>
        </w:tc>
        <w:tc>
          <w:tcPr>
            <w:tcW w:w="0" w:type="auto"/>
            <w:hideMark/>
          </w:tcPr>
          <w:p>
            <w:pPr>
              <w:jc w:val="cente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 xml:space="preserve">26 </w:t>
            </w:r>
          </w:p>
        </w:tc>
      </w:tr>
    </w:tbl>
    <w:p>
      <w:pPr>
        <w:pStyle w:val="P21"/>
        <w:spacing w:lineRule="auto" w:line="360" w:beforeAutospacing="0" w:afterAutospacing="0"/>
        <w:ind w:firstLine="0" w:right="40"/>
        <w:jc w:val="both"/>
        <w:rPr>
          <w:rFonts w:ascii="Times New Roman" w:hAnsi="Times New Roman" w:cs="Times New Roman"/>
          <w:sz w:val="28"/>
          <w:szCs w:val="28"/>
        </w:rPr>
      </w:pPr>
    </w:p>
    <w:p>
      <w:pPr>
        <w:pStyle w:val="P21"/>
        <w:spacing w:lineRule="auto" w:line="360" w:beforeAutospacing="0" w:afterAutospacing="0"/>
        <w:ind w:firstLine="689" w:left="20" w:right="40"/>
        <w:jc w:val="both"/>
        <w:rPr>
          <w:rFonts w:ascii="Times New Roman" w:hAnsi="Times New Roman" w:cs="Times New Roman"/>
          <w:sz w:val="28"/>
          <w:szCs w:val="28"/>
        </w:rPr>
      </w:pPr>
      <w:r>
        <w:rPr>
          <w:rFonts w:ascii="Times New Roman" w:hAnsi="Times New Roman" w:cs="Times New Roman"/>
          <w:sz w:val="28"/>
          <w:szCs w:val="28"/>
        </w:rPr>
        <w:t>В 2022–2024 гг. в структуре товарного экспорта доминировали какао-бобы и продукты их первичной переработки (какао-масло, какао-порошок), кешью (орехи кешью преимущественно в необработанном виде), натуральный каучук, нефть и нефтепродукты, золото, хлопок, пальмовое масло.</w:t>
      </w:r>
    </w:p>
    <w:p>
      <w:pPr>
        <w:pStyle w:val="P21"/>
        <w:spacing w:lineRule="auto" w:line="360" w:beforeAutospacing="0" w:afterAutospacing="0"/>
        <w:ind w:firstLine="689" w:left="20" w:right="40"/>
        <w:jc w:val="both"/>
        <w:rPr>
          <w:rFonts w:ascii="Times New Roman" w:hAnsi="Times New Roman" w:cs="Times New Roman"/>
          <w:sz w:val="28"/>
          <w:szCs w:val="28"/>
        </w:rPr>
      </w:pPr>
      <w:r>
        <w:rPr>
          <w:rFonts w:ascii="Times New Roman" w:hAnsi="Times New Roman" w:cs="Times New Roman"/>
          <w:sz w:val="28"/>
          <w:szCs w:val="28"/>
        </w:rPr>
        <w:t xml:space="preserve">Доля сельскохозяйственного и сырьевого экспорта в совокупном экспорте превышает </w:t>
      </w:r>
      <w:r>
        <w:rPr>
          <w:rFonts w:ascii="Times New Roman" w:hAnsi="Times New Roman" w:cs="Times New Roman"/>
          <w:sz w:val="28"/>
          <w:szCs w:val="28"/>
          <w:highlight w:val="yellow"/>
        </w:rPr>
        <w:t>60–65 %</w:t>
      </w:r>
      <w:r>
        <w:rPr>
          <w:rFonts w:ascii="Times New Roman" w:hAnsi="Times New Roman" w:cs="Times New Roman"/>
          <w:sz w:val="28"/>
          <w:szCs w:val="28"/>
        </w:rPr>
        <w:t>, что указывает на сохранение аграрно-сырьевой специализации.</w:t>
      </w:r>
    </w:p>
    <w:p>
      <w:pPr>
        <w:pStyle w:val="P21"/>
        <w:spacing w:lineRule="auto" w:line="360" w:beforeAutospacing="0" w:afterAutospacing="0"/>
        <w:ind w:firstLine="689" w:left="20" w:right="40"/>
        <w:jc w:val="both"/>
        <w:rPr>
          <w:rFonts w:ascii="Times New Roman" w:hAnsi="Times New Roman" w:cs="Times New Roman"/>
          <w:sz w:val="28"/>
          <w:szCs w:val="28"/>
        </w:rPr>
      </w:pPr>
      <w:r>
        <w:rPr>
          <w:rFonts w:ascii="Times New Roman" w:hAnsi="Times New Roman" w:cs="Times New Roman"/>
          <w:sz w:val="28"/>
          <w:szCs w:val="28"/>
        </w:rPr>
        <w:t xml:space="preserve">При этом анализ глубины </w:t>
      </w:r>
      <w:r>
        <w:rPr>
          <w:rFonts w:ascii="Times New Roman" w:hAnsi="Times New Roman" w:cs="Times New Roman"/>
          <w:sz w:val="28"/>
          <w:szCs w:val="28"/>
          <w:highlight w:val="yellow"/>
        </w:rPr>
        <w:t>(таблица ??)</w:t>
      </w:r>
      <w:r>
        <w:rPr>
          <w:rFonts w:ascii="Times New Roman" w:hAnsi="Times New Roman" w:cs="Times New Roman"/>
          <w:sz w:val="28"/>
          <w:szCs w:val="28"/>
        </w:rPr>
        <w:t xml:space="preserve"> переработки показывает, что несмотря на определенный прогресс в создании перерабатывающих мощностей (в частности, в секторе какао), значительная часть продукции по-прежнему экспортируется в виде сырья либо продукции низкой степени переработки. Так, например:</w:t>
      </w:r>
    </w:p>
    <w:p>
      <w:pPr>
        <w:pStyle w:val="P21"/>
        <w:spacing w:lineRule="auto" w:line="360" w:beforeAutospacing="0" w:afterAutospacing="0"/>
        <w:ind w:firstLine="689" w:left="20" w:right="40"/>
        <w:jc w:val="both"/>
        <w:rPr>
          <w:rFonts w:ascii="Times New Roman" w:hAnsi="Times New Roman" w:cs="Times New Roman"/>
          <w:sz w:val="28"/>
          <w:szCs w:val="28"/>
        </w:rPr>
      </w:pPr>
      <w:r>
        <w:rPr>
          <w:rFonts w:ascii="Times New Roman" w:hAnsi="Times New Roman" w:cs="Times New Roman"/>
          <w:sz w:val="28"/>
          <w:szCs w:val="28"/>
        </w:rPr>
        <w:t>- в секторе какао доля переработки на территории страны оценивается примерно в 30–40 %, однако основная добавленная стоимость формируется за пределами страны;</w:t>
      </w:r>
    </w:p>
    <w:p>
      <w:pPr>
        <w:pStyle w:val="P21"/>
        <w:spacing w:lineRule="auto" w:line="360" w:beforeAutospacing="0" w:afterAutospacing="0"/>
        <w:ind w:firstLine="689" w:left="20" w:right="40"/>
        <w:jc w:val="both"/>
        <w:rPr>
          <w:rFonts w:ascii="Times New Roman" w:hAnsi="Times New Roman" w:cs="Times New Roman"/>
          <w:sz w:val="28"/>
          <w:szCs w:val="28"/>
        </w:rPr>
      </w:pPr>
      <w:r>
        <w:rPr>
          <w:rFonts w:ascii="Times New Roman" w:hAnsi="Times New Roman" w:cs="Times New Roman"/>
          <w:sz w:val="28"/>
          <w:szCs w:val="28"/>
        </w:rPr>
        <w:t>- в секторе кешью уровень внутренней переработки остается ниже 25 %, несмотря на наличие государственной программы стимулирования переработки;</w:t>
      </w:r>
    </w:p>
    <w:p>
      <w:pPr>
        <w:pStyle w:val="P21"/>
        <w:spacing w:lineRule="auto" w:line="360" w:beforeAutospacing="0" w:afterAutospacing="0"/>
        <w:ind w:firstLine="689" w:left="20" w:right="40"/>
        <w:jc w:val="both"/>
        <w:rPr>
          <w:rFonts w:ascii="Times New Roman" w:hAnsi="Times New Roman" w:cs="Times New Roman"/>
          <w:sz w:val="28"/>
          <w:szCs w:val="28"/>
        </w:rPr>
      </w:pPr>
      <w:r>
        <w:rPr>
          <w:rFonts w:ascii="Times New Roman" w:hAnsi="Times New Roman" w:cs="Times New Roman"/>
          <w:sz w:val="28"/>
          <w:szCs w:val="28"/>
        </w:rPr>
        <w:t>- в секторе хлопка переработка ограничена первичными операциями (очистка, прессование), без развития текстильной индустрии полного цикла.</w:t>
      </w:r>
    </w:p>
    <w:p>
      <w:pPr>
        <w:pStyle w:val="P21"/>
        <w:spacing w:lineRule="auto" w:line="360" w:beforeAutospacing="0" w:afterAutospacing="0"/>
        <w:ind w:firstLine="689" w:left="20" w:right="40"/>
        <w:jc w:val="both"/>
        <w:rPr>
          <w:rFonts w:ascii="Times New Roman" w:hAnsi="Times New Roman" w:cs="Times New Roman"/>
          <w:sz w:val="28"/>
          <w:szCs w:val="28"/>
        </w:rPr>
      </w:pPr>
    </w:p>
    <w:p>
      <w:pPr>
        <w:pStyle w:val="P21"/>
        <w:spacing w:lineRule="auto" w:line="360" w:beforeAutospacing="0" w:afterAutospacing="0"/>
        <w:ind w:firstLine="0" w:right="40"/>
        <w:jc w:val="both"/>
        <w:rPr>
          <w:rFonts w:ascii="Times New Roman" w:hAnsi="Times New Roman" w:cs="Times New Roman"/>
          <w:sz w:val="28"/>
          <w:szCs w:val="28"/>
        </w:rPr>
      </w:pPr>
      <w:r>
        <w:rPr>
          <w:rFonts w:ascii="Times New Roman" w:hAnsi="Times New Roman" w:cs="Times New Roman"/>
          <w:sz w:val="28"/>
          <w:szCs w:val="28"/>
        </w:rPr>
        <w:t>Таблица 2.9 – Уровень внутренней переработки ключевых экспортных товаров, %</w:t>
      </w:r>
      <w:r>
        <w:rPr>
          <w:rStyle w:val="C42"/>
          <w:rFonts w:ascii="Times New Roman" w:hAnsi="Times New Roman" w:cs="Times New Roman"/>
          <w:sz w:val="28"/>
          <w:szCs w:val="28"/>
        </w:rPr>
        <w:footnoteReference w:id="101"/>
      </w:r>
    </w:p>
    <w:tbl>
      <w:tblPr>
        <w:tblStyle w:val="T3"/>
        <w:tblW w:w="9800" w:type="dxa"/>
        <w:tblLook w:val="04A0"/>
      </w:tblPr>
      <w:tblGrid>
        <w:gridCol w:w="5389"/>
        <w:gridCol w:w="882"/>
        <w:gridCol w:w="882"/>
        <w:gridCol w:w="882"/>
        <w:gridCol w:w="882"/>
        <w:gridCol w:w="883"/>
      </w:tblGrid>
      <w:tr>
        <w:trPr>
          <w:trHeight w:hRule="atLeast" w:val="255"/>
        </w:trPr>
        <w:tc>
          <w:tcPr>
            <w:tcW w:w="0" w:type="auto"/>
            <w:vMerge w:val="restart"/>
            <w:hideMark/>
          </w:tcPr>
          <w:p>
            <w:pPr>
              <w:jc w:val="center"/>
              <w:rPr>
                <w:rFonts w:ascii="Times New Roman" w:hAnsi="Times New Roman" w:cs="Times New Roman" w:eastAsia="Times New Roman"/>
                <w:bCs w:val="1"/>
                <w:sz w:val="24"/>
                <w:szCs w:val="24"/>
                <w:lang w:eastAsia="ru-RU"/>
              </w:rPr>
            </w:pPr>
            <w:r>
              <w:rPr>
                <w:rFonts w:ascii="Times New Roman" w:hAnsi="Times New Roman" w:cs="Times New Roman" w:eastAsia="Times New Roman"/>
                <w:bCs w:val="1"/>
                <w:sz w:val="24"/>
                <w:szCs w:val="24"/>
                <w:lang w:eastAsia="ru-RU"/>
              </w:rPr>
              <w:t>Сектор</w:t>
            </w:r>
          </w:p>
        </w:tc>
        <w:tc>
          <w:tcPr>
            <w:tcW w:w="0" w:type="auto"/>
            <w:gridSpan w:val="5"/>
          </w:tcPr>
          <w:p>
            <w:pPr>
              <w:jc w:val="center"/>
              <w:rPr>
                <w:rFonts w:ascii="Times New Roman" w:hAnsi="Times New Roman" w:cs="Times New Roman" w:eastAsia="Times New Roman"/>
                <w:bCs w:val="1"/>
                <w:sz w:val="24"/>
                <w:szCs w:val="24"/>
                <w:lang w:eastAsia="ru-RU"/>
              </w:rPr>
            </w:pPr>
            <w:r>
              <w:rPr>
                <w:rFonts w:ascii="Times New Roman" w:hAnsi="Times New Roman" w:cs="Times New Roman" w:eastAsia="Times New Roman"/>
                <w:bCs w:val="1"/>
                <w:sz w:val="24"/>
                <w:szCs w:val="24"/>
                <w:lang w:eastAsia="ru-RU"/>
              </w:rPr>
              <w:t>Значение по годам</w:t>
            </w:r>
          </w:p>
        </w:tc>
      </w:tr>
      <w:tr>
        <w:trPr>
          <w:trHeight w:hRule="atLeast" w:val="255"/>
        </w:trPr>
        <w:tc>
          <w:tcPr>
            <w:tcW w:w="0" w:type="auto"/>
            <w:vMerge w:val="continue"/>
          </w:tcPr>
          <w:p>
            <w:pPr>
              <w:jc w:val="center"/>
              <w:rPr>
                <w:rFonts w:ascii="Times New Roman" w:hAnsi="Times New Roman" w:cs="Times New Roman" w:eastAsia="Times New Roman"/>
                <w:bCs w:val="1"/>
                <w:sz w:val="24"/>
                <w:szCs w:val="24"/>
                <w:lang w:eastAsia="ru-RU"/>
              </w:rPr>
            </w:pPr>
          </w:p>
        </w:tc>
        <w:tc>
          <w:tcPr>
            <w:tcW w:w="0" w:type="auto"/>
          </w:tcPr>
          <w:p>
            <w:pPr>
              <w:jc w:val="center"/>
              <w:rPr>
                <w:rFonts w:ascii="Times New Roman" w:hAnsi="Times New Roman" w:cs="Times New Roman" w:eastAsia="Times New Roman"/>
                <w:bCs w:val="1"/>
                <w:sz w:val="24"/>
                <w:szCs w:val="24"/>
                <w:lang w:eastAsia="ru-RU"/>
              </w:rPr>
            </w:pPr>
            <w:r>
              <w:rPr>
                <w:rFonts w:ascii="Times New Roman" w:hAnsi="Times New Roman" w:cs="Times New Roman" w:eastAsia="Times New Roman"/>
                <w:bCs w:val="1"/>
                <w:sz w:val="24"/>
                <w:szCs w:val="24"/>
                <w:lang w:eastAsia="ru-RU"/>
              </w:rPr>
              <w:t>2020</w:t>
            </w:r>
          </w:p>
        </w:tc>
        <w:tc>
          <w:tcPr>
            <w:tcW w:w="0" w:type="auto"/>
          </w:tcPr>
          <w:p>
            <w:pPr>
              <w:jc w:val="center"/>
              <w:rPr>
                <w:rFonts w:ascii="Times New Roman" w:hAnsi="Times New Roman" w:cs="Times New Roman" w:eastAsia="Times New Roman"/>
                <w:bCs w:val="1"/>
                <w:sz w:val="24"/>
                <w:szCs w:val="24"/>
                <w:lang w:eastAsia="ru-RU"/>
              </w:rPr>
            </w:pPr>
            <w:r>
              <w:rPr>
                <w:rFonts w:ascii="Times New Roman" w:hAnsi="Times New Roman" w:cs="Times New Roman" w:eastAsia="Times New Roman"/>
                <w:bCs w:val="1"/>
                <w:sz w:val="24"/>
                <w:szCs w:val="24"/>
                <w:lang w:eastAsia="ru-RU"/>
              </w:rPr>
              <w:t>2021</w:t>
            </w:r>
          </w:p>
        </w:tc>
        <w:tc>
          <w:tcPr>
            <w:tcW w:w="0" w:type="auto"/>
          </w:tcPr>
          <w:p>
            <w:pPr>
              <w:jc w:val="center"/>
              <w:rPr>
                <w:rFonts w:ascii="Times New Roman" w:hAnsi="Times New Roman" w:cs="Times New Roman" w:eastAsia="Times New Roman"/>
                <w:bCs w:val="1"/>
                <w:sz w:val="24"/>
                <w:szCs w:val="24"/>
                <w:lang w:eastAsia="ru-RU"/>
              </w:rPr>
            </w:pPr>
            <w:r>
              <w:rPr>
                <w:rFonts w:ascii="Times New Roman" w:hAnsi="Times New Roman" w:cs="Times New Roman" w:eastAsia="Times New Roman"/>
                <w:bCs w:val="1"/>
                <w:sz w:val="24"/>
                <w:szCs w:val="24"/>
                <w:lang w:eastAsia="ru-RU"/>
              </w:rPr>
              <w:t>2022</w:t>
            </w:r>
          </w:p>
        </w:tc>
        <w:tc>
          <w:tcPr>
            <w:tcW w:w="0" w:type="auto"/>
          </w:tcPr>
          <w:p>
            <w:pPr>
              <w:jc w:val="center"/>
              <w:rPr>
                <w:rFonts w:ascii="Times New Roman" w:hAnsi="Times New Roman" w:cs="Times New Roman" w:eastAsia="Times New Roman"/>
                <w:bCs w:val="1"/>
                <w:sz w:val="24"/>
                <w:szCs w:val="24"/>
                <w:lang w:eastAsia="ru-RU"/>
              </w:rPr>
            </w:pPr>
            <w:r>
              <w:rPr>
                <w:rFonts w:ascii="Times New Roman" w:hAnsi="Times New Roman" w:cs="Times New Roman" w:eastAsia="Times New Roman"/>
                <w:bCs w:val="1"/>
                <w:sz w:val="24"/>
                <w:szCs w:val="24"/>
                <w:lang w:eastAsia="ru-RU"/>
              </w:rPr>
              <w:t>2023</w:t>
            </w:r>
          </w:p>
        </w:tc>
        <w:tc>
          <w:tcPr>
            <w:tcW w:w="0" w:type="auto"/>
          </w:tcPr>
          <w:p>
            <w:pPr>
              <w:jc w:val="center"/>
              <w:rPr>
                <w:rFonts w:ascii="Times New Roman" w:hAnsi="Times New Roman" w:cs="Times New Roman" w:eastAsia="Times New Roman"/>
                <w:bCs w:val="1"/>
                <w:sz w:val="24"/>
                <w:szCs w:val="24"/>
                <w:lang w:eastAsia="ru-RU"/>
              </w:rPr>
            </w:pPr>
            <w:r>
              <w:rPr>
                <w:rFonts w:ascii="Times New Roman" w:hAnsi="Times New Roman" w:cs="Times New Roman" w:eastAsia="Times New Roman"/>
                <w:bCs w:val="1"/>
                <w:sz w:val="24"/>
                <w:szCs w:val="24"/>
                <w:lang w:eastAsia="ru-RU"/>
              </w:rPr>
              <w:t>2024</w:t>
            </w:r>
          </w:p>
        </w:tc>
      </w:tr>
      <w:tr>
        <w:trPr>
          <w:trHeight w:hRule="atLeast" w:val="255"/>
        </w:trPr>
        <w:tc>
          <w:tcPr>
            <w:tcW w:w="0" w:type="auto"/>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Доля переработки какао внутри страны</w:t>
            </w:r>
          </w:p>
        </w:tc>
        <w:tc>
          <w:tcPr>
            <w:tcW w:w="0" w:type="auto"/>
            <w:hideMark/>
          </w:tcPr>
          <w:p>
            <w:pPr>
              <w:jc w:val="cente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31</w:t>
            </w:r>
          </w:p>
        </w:tc>
        <w:tc>
          <w:tcPr>
            <w:tcW w:w="0" w:type="auto"/>
            <w:hideMark/>
          </w:tcPr>
          <w:p>
            <w:pPr>
              <w:jc w:val="cente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34</w:t>
            </w:r>
          </w:p>
        </w:tc>
        <w:tc>
          <w:tcPr>
            <w:tcW w:w="0" w:type="auto"/>
            <w:hideMark/>
          </w:tcPr>
          <w:p>
            <w:pPr>
              <w:jc w:val="cente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36</w:t>
            </w:r>
          </w:p>
        </w:tc>
        <w:tc>
          <w:tcPr>
            <w:tcW w:w="0" w:type="auto"/>
            <w:hideMark/>
          </w:tcPr>
          <w:p>
            <w:pPr>
              <w:jc w:val="cente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38</w:t>
            </w:r>
          </w:p>
        </w:tc>
        <w:tc>
          <w:tcPr>
            <w:tcW w:w="0" w:type="auto"/>
            <w:hideMark/>
          </w:tcPr>
          <w:p>
            <w:pPr>
              <w:jc w:val="cente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40</w:t>
            </w:r>
          </w:p>
        </w:tc>
      </w:tr>
      <w:tr>
        <w:trPr>
          <w:trHeight w:hRule="atLeast" w:val="255"/>
        </w:trPr>
        <w:tc>
          <w:tcPr>
            <w:tcW w:w="0" w:type="auto"/>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Доля переработки кешью</w:t>
            </w:r>
          </w:p>
        </w:tc>
        <w:tc>
          <w:tcPr>
            <w:tcW w:w="0" w:type="auto"/>
            <w:hideMark/>
          </w:tcPr>
          <w:p>
            <w:pPr>
              <w:jc w:val="cente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15</w:t>
            </w:r>
          </w:p>
        </w:tc>
        <w:tc>
          <w:tcPr>
            <w:tcW w:w="0" w:type="auto"/>
            <w:hideMark/>
          </w:tcPr>
          <w:p>
            <w:pPr>
              <w:jc w:val="cente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18</w:t>
            </w:r>
          </w:p>
        </w:tc>
        <w:tc>
          <w:tcPr>
            <w:tcW w:w="0" w:type="auto"/>
            <w:hideMark/>
          </w:tcPr>
          <w:p>
            <w:pPr>
              <w:jc w:val="cente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20</w:t>
            </w:r>
          </w:p>
        </w:tc>
        <w:tc>
          <w:tcPr>
            <w:tcW w:w="0" w:type="auto"/>
            <w:hideMark/>
          </w:tcPr>
          <w:p>
            <w:pPr>
              <w:jc w:val="cente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23</w:t>
            </w:r>
          </w:p>
        </w:tc>
        <w:tc>
          <w:tcPr>
            <w:tcW w:w="0" w:type="auto"/>
            <w:hideMark/>
          </w:tcPr>
          <w:p>
            <w:pPr>
              <w:jc w:val="cente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25</w:t>
            </w:r>
          </w:p>
        </w:tc>
      </w:tr>
      <w:tr>
        <w:trPr>
          <w:trHeight w:hRule="atLeast" w:val="255"/>
        </w:trPr>
        <w:tc>
          <w:tcPr>
            <w:tcW w:w="0" w:type="auto"/>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Доля переработки хлопка</w:t>
            </w:r>
          </w:p>
        </w:tc>
        <w:tc>
          <w:tcPr>
            <w:tcW w:w="0" w:type="auto"/>
            <w:hideMark/>
          </w:tcPr>
          <w:p>
            <w:pPr>
              <w:jc w:val="cente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12</w:t>
            </w:r>
          </w:p>
        </w:tc>
        <w:tc>
          <w:tcPr>
            <w:tcW w:w="0" w:type="auto"/>
            <w:hideMark/>
          </w:tcPr>
          <w:p>
            <w:pPr>
              <w:jc w:val="cente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12</w:t>
            </w:r>
          </w:p>
        </w:tc>
        <w:tc>
          <w:tcPr>
            <w:tcW w:w="0" w:type="auto"/>
            <w:hideMark/>
          </w:tcPr>
          <w:p>
            <w:pPr>
              <w:jc w:val="cente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13</w:t>
            </w:r>
          </w:p>
        </w:tc>
        <w:tc>
          <w:tcPr>
            <w:tcW w:w="0" w:type="auto"/>
            <w:hideMark/>
          </w:tcPr>
          <w:p>
            <w:pPr>
              <w:jc w:val="cente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14</w:t>
            </w:r>
          </w:p>
        </w:tc>
        <w:tc>
          <w:tcPr>
            <w:tcW w:w="0" w:type="auto"/>
            <w:hideMark/>
          </w:tcPr>
          <w:p>
            <w:pPr>
              <w:jc w:val="cente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15</w:t>
            </w:r>
          </w:p>
        </w:tc>
      </w:tr>
    </w:tbl>
    <w:p>
      <w:pPr>
        <w:pStyle w:val="P21"/>
        <w:spacing w:lineRule="auto" w:line="240" w:beforeAutospacing="0" w:afterAutospacing="0"/>
        <w:ind w:firstLine="0" w:right="40"/>
        <w:jc w:val="both"/>
        <w:rPr>
          <w:rFonts w:ascii="Times New Roman" w:hAnsi="Times New Roman" w:cs="Times New Roman"/>
          <w:sz w:val="24"/>
          <w:szCs w:val="24"/>
        </w:rPr>
      </w:pPr>
      <w:r>
        <w:rPr>
          <w:rFonts w:ascii="Times New Roman" w:hAnsi="Times New Roman" w:cs="Times New Roman"/>
          <w:sz w:val="24"/>
          <w:szCs w:val="24"/>
        </w:rPr>
        <w:t>Примечание: показатели переработки являются агрегированными оценками на основе отраслевых отчетов.</w:t>
      </w:r>
    </w:p>
    <w:p>
      <w:pPr>
        <w:pStyle w:val="P21"/>
        <w:spacing w:lineRule="auto" w:line="240" w:beforeAutospacing="0" w:afterAutospacing="0"/>
        <w:ind w:firstLine="0" w:right="40"/>
        <w:jc w:val="both"/>
        <w:rPr>
          <w:rFonts w:ascii="Times New Roman" w:hAnsi="Times New Roman" w:cs="Times New Roman"/>
          <w:sz w:val="24"/>
          <w:szCs w:val="24"/>
        </w:rPr>
      </w:pPr>
    </w:p>
    <w:p>
      <w:pPr>
        <w:pStyle w:val="P21"/>
        <w:spacing w:lineRule="auto" w:line="360" w:beforeAutospacing="0" w:afterAutospacing="0"/>
        <w:ind w:firstLine="689" w:left="20" w:right="40"/>
        <w:jc w:val="both"/>
        <w:rPr>
          <w:rFonts w:ascii="Times New Roman" w:hAnsi="Times New Roman" w:cs="Times New Roman"/>
          <w:sz w:val="28"/>
          <w:szCs w:val="28"/>
        </w:rPr>
      </w:pPr>
      <w:r>
        <w:rPr>
          <w:rFonts w:ascii="Times New Roman" w:hAnsi="Times New Roman" w:cs="Times New Roman"/>
          <w:sz w:val="28"/>
          <w:szCs w:val="28"/>
        </w:rPr>
        <w:t>При этом наблюдается постепенный рост переработки. Однако, даже в 2024 г. более половины какао и около 75 % кешью экспортируются в необработанном виде.</w:t>
      </w:r>
    </w:p>
    <w:p>
      <w:pPr>
        <w:pStyle w:val="P21"/>
        <w:spacing w:lineRule="auto" w:line="360" w:beforeAutospacing="0" w:afterAutospacing="0"/>
        <w:ind w:firstLine="689" w:left="20" w:right="40"/>
        <w:jc w:val="both"/>
        <w:rPr>
          <w:rFonts w:ascii="Times New Roman" w:hAnsi="Times New Roman" w:cs="Times New Roman"/>
          <w:sz w:val="28"/>
          <w:szCs w:val="28"/>
        </w:rPr>
      </w:pPr>
      <w:r>
        <w:rPr>
          <w:rFonts w:ascii="Times New Roman" w:hAnsi="Times New Roman" w:cs="Times New Roman"/>
          <w:sz w:val="28"/>
          <w:szCs w:val="28"/>
        </w:rPr>
        <w:t>Таким образом, экспортная модель характеризуется высокой товарной концентрацией, зависимостью от мировых цен на сырье, ограниченной долей продукции с высокой добавленной стоимостью, слабой интеграцией в технологически сложные сегменты глобальных цепочек стоимости.</w:t>
      </w:r>
    </w:p>
    <w:p>
      <w:pPr>
        <w:pStyle w:val="P21"/>
        <w:spacing w:lineRule="auto" w:line="360" w:beforeAutospacing="0" w:afterAutospacing="0"/>
        <w:ind w:firstLine="689" w:left="20" w:right="40"/>
        <w:jc w:val="both"/>
        <w:rPr>
          <w:rFonts w:ascii="Times New Roman" w:hAnsi="Times New Roman" w:cs="Times New Roman"/>
          <w:sz w:val="28"/>
          <w:szCs w:val="28"/>
        </w:rPr>
      </w:pPr>
      <w:r>
        <w:rPr>
          <w:rFonts w:ascii="Times New Roman" w:hAnsi="Times New Roman" w:cs="Times New Roman"/>
          <w:sz w:val="28"/>
          <w:szCs w:val="28"/>
        </w:rPr>
        <w:t>Это формирует структурное ограничение для инновационно-инклюзивного развития, поскольку внешняя торговля не выступает каналом технологического трансфера в достаточной степени.</w:t>
      </w:r>
    </w:p>
    <w:p>
      <w:pPr>
        <w:pStyle w:val="P21"/>
        <w:spacing w:lineRule="auto" w:line="360" w:beforeAutospacing="0" w:afterAutospacing="0"/>
        <w:ind w:firstLine="689" w:left="20" w:right="40"/>
        <w:jc w:val="both"/>
        <w:rPr>
          <w:rFonts w:ascii="Times New Roman" w:hAnsi="Times New Roman" w:cs="Times New Roman"/>
          <w:sz w:val="28"/>
          <w:szCs w:val="28"/>
        </w:rPr>
      </w:pPr>
      <w:r>
        <w:rPr>
          <w:rFonts w:ascii="Times New Roman" w:hAnsi="Times New Roman" w:cs="Times New Roman"/>
          <w:sz w:val="28"/>
          <w:szCs w:val="28"/>
        </w:rPr>
        <w:t>Включение Кот-д’Ивуара в глобальные цепочки стоимости носит преимущественно «восходящий» характер, когда страна поставляет сырьевые компоненты для дальнейшей переработки в других странах.</w:t>
      </w:r>
    </w:p>
    <w:p>
      <w:pPr>
        <w:pStyle w:val="P21"/>
        <w:spacing w:lineRule="auto" w:line="360" w:beforeAutospacing="0" w:afterAutospacing="0"/>
        <w:ind w:firstLine="689" w:left="20" w:right="40"/>
        <w:jc w:val="both"/>
        <w:rPr>
          <w:rFonts w:ascii="Times New Roman" w:hAnsi="Times New Roman" w:cs="Times New Roman"/>
          <w:sz w:val="28"/>
          <w:szCs w:val="28"/>
        </w:rPr>
      </w:pPr>
      <w:r>
        <w:rPr>
          <w:rFonts w:ascii="Times New Roman" w:hAnsi="Times New Roman" w:cs="Times New Roman"/>
          <w:sz w:val="28"/>
          <w:szCs w:val="28"/>
        </w:rPr>
        <w:t>Модель участия характеризуется:</w:t>
      </w:r>
    </w:p>
    <w:p>
      <w:pPr>
        <w:pStyle w:val="P21"/>
        <w:spacing w:lineRule="auto" w:line="360" w:beforeAutospacing="0" w:afterAutospacing="0"/>
        <w:ind w:firstLine="689" w:left="20" w:right="40"/>
        <w:jc w:val="both"/>
        <w:rPr>
          <w:rFonts w:ascii="Times New Roman" w:hAnsi="Times New Roman" w:cs="Times New Roman"/>
          <w:sz w:val="28"/>
          <w:szCs w:val="28"/>
        </w:rPr>
      </w:pPr>
      <w:r>
        <w:rPr>
          <w:rFonts w:ascii="Times New Roman" w:hAnsi="Times New Roman" w:cs="Times New Roman"/>
          <w:sz w:val="28"/>
          <w:szCs w:val="28"/>
        </w:rPr>
        <w:t>- низкой долей «обратной интеграции», связанной с импортом промежуточных технологий;</w:t>
      </w:r>
    </w:p>
    <w:p>
      <w:pPr>
        <w:pStyle w:val="P21"/>
        <w:spacing w:lineRule="auto" w:line="360" w:beforeAutospacing="0" w:afterAutospacing="0"/>
        <w:ind w:firstLine="689" w:left="20" w:right="40"/>
        <w:jc w:val="both"/>
        <w:rPr>
          <w:rFonts w:ascii="Times New Roman" w:hAnsi="Times New Roman" w:cs="Times New Roman"/>
          <w:sz w:val="28"/>
          <w:szCs w:val="28"/>
        </w:rPr>
      </w:pPr>
      <w:r>
        <w:rPr>
          <w:rFonts w:ascii="Times New Roman" w:hAnsi="Times New Roman" w:cs="Times New Roman"/>
          <w:sz w:val="28"/>
          <w:szCs w:val="28"/>
        </w:rPr>
        <w:t>- ограниченным присутствием в сегментах дизайна, маркетинга, брендинга;</w:t>
      </w:r>
    </w:p>
    <w:p>
      <w:pPr>
        <w:pStyle w:val="P21"/>
        <w:spacing w:lineRule="auto" w:line="360" w:beforeAutospacing="0" w:afterAutospacing="0"/>
        <w:ind w:firstLine="689" w:left="20" w:right="40"/>
        <w:jc w:val="both"/>
        <w:rPr>
          <w:rFonts w:ascii="Times New Roman" w:hAnsi="Times New Roman" w:cs="Times New Roman"/>
          <w:sz w:val="28"/>
          <w:szCs w:val="28"/>
        </w:rPr>
      </w:pPr>
      <w:r>
        <w:rPr>
          <w:rFonts w:ascii="Times New Roman" w:hAnsi="Times New Roman" w:cs="Times New Roman"/>
          <w:sz w:val="28"/>
          <w:szCs w:val="28"/>
        </w:rPr>
        <w:t>- слабой интеграцией МСП в экспортные цепочки.</w:t>
      </w:r>
    </w:p>
    <w:p>
      <w:pPr>
        <w:pStyle w:val="P21"/>
        <w:spacing w:lineRule="auto" w:line="360" w:beforeAutospacing="0" w:afterAutospacing="0"/>
        <w:ind w:firstLine="689" w:left="20" w:right="40"/>
        <w:jc w:val="both"/>
        <w:rPr>
          <w:rFonts w:ascii="Times New Roman" w:hAnsi="Times New Roman" w:cs="Times New Roman"/>
          <w:sz w:val="28"/>
          <w:szCs w:val="28"/>
        </w:rPr>
      </w:pPr>
      <w:r>
        <w:rPr>
          <w:rFonts w:ascii="Times New Roman" w:hAnsi="Times New Roman" w:cs="Times New Roman"/>
          <w:sz w:val="28"/>
          <w:szCs w:val="28"/>
        </w:rPr>
        <w:t>Это означает, что внешнее включение страны усиливает объемы торговли, но не трансформирует структуру экономики в сторону инновационной диверсификации.</w:t>
      </w:r>
    </w:p>
    <w:p>
      <w:pPr>
        <w:pStyle w:val="P21"/>
        <w:spacing w:lineRule="auto" w:line="360" w:beforeAutospacing="0" w:afterAutospacing="0"/>
        <w:ind w:firstLine="689" w:left="20" w:right="40"/>
        <w:jc w:val="both"/>
        <w:rPr>
          <w:rFonts w:ascii="Times New Roman" w:hAnsi="Times New Roman" w:cs="Times New Roman"/>
          <w:sz w:val="28"/>
          <w:szCs w:val="28"/>
        </w:rPr>
      </w:pPr>
      <w:r>
        <w:rPr>
          <w:rFonts w:ascii="Times New Roman" w:hAnsi="Times New Roman" w:cs="Times New Roman"/>
          <w:sz w:val="28"/>
          <w:szCs w:val="28"/>
        </w:rPr>
        <w:t>По нашему, мнению, проблема переработки имеет разноплановый характер:</w:t>
      </w:r>
    </w:p>
    <w:p>
      <w:pPr>
        <w:pStyle w:val="P21"/>
        <w:spacing w:lineRule="auto" w:line="360" w:beforeAutospacing="0" w:afterAutospacing="0"/>
        <w:ind w:firstLine="689" w:left="20" w:right="40"/>
        <w:jc w:val="both"/>
        <w:rPr>
          <w:rFonts w:ascii="Times New Roman" w:hAnsi="Times New Roman" w:cs="Times New Roman"/>
          <w:sz w:val="28"/>
          <w:szCs w:val="28"/>
        </w:rPr>
      </w:pPr>
      <w:r>
        <w:rPr>
          <w:rFonts w:ascii="Times New Roman" w:hAnsi="Times New Roman" w:cs="Times New Roman"/>
          <w:sz w:val="28"/>
          <w:szCs w:val="28"/>
        </w:rPr>
        <w:t>- институциональный – недостаточная координация промышленной политики и экспортной стратегии;</w:t>
      </w:r>
    </w:p>
    <w:p>
      <w:pPr>
        <w:pStyle w:val="P21"/>
        <w:spacing w:lineRule="auto" w:line="360" w:beforeAutospacing="0" w:afterAutospacing="0"/>
        <w:ind w:firstLine="689" w:left="20" w:right="40"/>
        <w:jc w:val="both"/>
        <w:rPr>
          <w:rFonts w:ascii="Times New Roman" w:hAnsi="Times New Roman" w:cs="Times New Roman"/>
          <w:sz w:val="28"/>
          <w:szCs w:val="28"/>
        </w:rPr>
      </w:pPr>
      <w:r>
        <w:rPr>
          <w:rFonts w:ascii="Times New Roman" w:hAnsi="Times New Roman" w:cs="Times New Roman"/>
          <w:sz w:val="28"/>
          <w:szCs w:val="28"/>
        </w:rPr>
        <w:t>- инфраструктурный – высокая стоимость логистики и энергоснабжения;</w:t>
      </w:r>
    </w:p>
    <w:p>
      <w:pPr>
        <w:pStyle w:val="P21"/>
        <w:spacing w:lineRule="auto" w:line="360" w:beforeAutospacing="0" w:afterAutospacing="0"/>
        <w:ind w:firstLine="689" w:left="20" w:right="40"/>
        <w:jc w:val="both"/>
        <w:rPr>
          <w:rFonts w:ascii="Times New Roman" w:hAnsi="Times New Roman" w:cs="Times New Roman"/>
          <w:sz w:val="28"/>
          <w:szCs w:val="28"/>
        </w:rPr>
      </w:pPr>
      <w:r>
        <w:rPr>
          <w:rFonts w:ascii="Times New Roman" w:hAnsi="Times New Roman" w:cs="Times New Roman"/>
          <w:sz w:val="28"/>
          <w:szCs w:val="28"/>
        </w:rPr>
        <w:t>- технологический – дефицит квалифицированных кадров и ограниченный доступ к современным технологиям;</w:t>
      </w:r>
    </w:p>
    <w:p>
      <w:pPr>
        <w:pStyle w:val="P21"/>
        <w:spacing w:lineRule="auto" w:line="360" w:beforeAutospacing="0" w:afterAutospacing="0"/>
        <w:ind w:firstLine="689" w:left="20" w:right="40"/>
        <w:jc w:val="both"/>
        <w:rPr>
          <w:rFonts w:ascii="Times New Roman" w:hAnsi="Times New Roman" w:cs="Times New Roman"/>
          <w:sz w:val="28"/>
          <w:szCs w:val="28"/>
        </w:rPr>
      </w:pPr>
      <w:r>
        <w:rPr>
          <w:rFonts w:ascii="Times New Roman" w:hAnsi="Times New Roman" w:cs="Times New Roman"/>
          <w:sz w:val="28"/>
          <w:szCs w:val="28"/>
        </w:rPr>
        <w:t>- финансовый – ограниченность долгосрочного финансирования перерабатывающих проектов.</w:t>
      </w:r>
    </w:p>
    <w:p>
      <w:pPr>
        <w:pStyle w:val="P21"/>
        <w:spacing w:lineRule="auto" w:line="360" w:beforeAutospacing="0" w:afterAutospacing="0"/>
        <w:ind w:firstLine="689" w:left="20" w:right="40"/>
        <w:jc w:val="both"/>
        <w:rPr>
          <w:rFonts w:ascii="Times New Roman" w:hAnsi="Times New Roman" w:cs="Times New Roman"/>
          <w:sz w:val="28"/>
          <w:szCs w:val="28"/>
        </w:rPr>
      </w:pPr>
      <w:r>
        <w:rPr>
          <w:rFonts w:ascii="Times New Roman" w:hAnsi="Times New Roman" w:cs="Times New Roman"/>
          <w:sz w:val="28"/>
          <w:szCs w:val="28"/>
        </w:rPr>
        <w:t>Таким образом, структурная позиция страны в мировых цепочках стоимости остается преимущественно сырьевой.</w:t>
      </w:r>
    </w:p>
    <w:p>
      <w:pPr>
        <w:pStyle w:val="P21"/>
        <w:spacing w:lineRule="auto" w:line="360" w:beforeAutospacing="0" w:afterAutospacing="0"/>
        <w:ind w:firstLine="689" w:left="20" w:right="40"/>
        <w:jc w:val="both"/>
        <w:rPr>
          <w:rFonts w:ascii="Times New Roman" w:hAnsi="Times New Roman" w:cs="Times New Roman"/>
          <w:sz w:val="28"/>
          <w:szCs w:val="28"/>
        </w:rPr>
      </w:pPr>
      <w:r>
        <w:rPr>
          <w:rFonts w:ascii="Times New Roman" w:hAnsi="Times New Roman" w:cs="Times New Roman"/>
          <w:sz w:val="28"/>
          <w:szCs w:val="28"/>
        </w:rPr>
        <w:t xml:space="preserve">Несмотря на членство в ECOWAS и UEMOA, доля внутрирегиональной торговли остается умеренной. Основные экспортные рынки Кот-д’Ивуара включают страны Европейского союза, США, Китай, </w:t>
      </w:r>
      <w:r>
        <w:rPr>
          <w:rFonts w:ascii="Times New Roman" w:hAnsi="Times New Roman" w:cs="Times New Roman"/>
          <w:sz w:val="28"/>
          <w:szCs w:val="28"/>
          <w:highlight w:val="yellow"/>
        </w:rPr>
        <w:t>Индию</w:t>
      </w:r>
      <w:r>
        <w:rPr>
          <w:rFonts w:ascii="Times New Roman" w:hAnsi="Times New Roman" w:cs="Times New Roman"/>
          <w:sz w:val="28"/>
          <w:szCs w:val="28"/>
        </w:rPr>
        <w:t xml:space="preserve"> (</w:t>
      </w:r>
      <w:r>
        <w:rPr>
          <w:rFonts w:ascii="Times New Roman" w:hAnsi="Times New Roman" w:cs="Times New Roman"/>
          <w:sz w:val="28"/>
          <w:szCs w:val="28"/>
          <w:highlight w:val="yellow"/>
        </w:rPr>
        <w:t>таблица ??).</w:t>
      </w:r>
      <w:r>
        <w:rPr>
          <w:rFonts w:ascii="Times New Roman" w:hAnsi="Times New Roman" w:cs="Times New Roman"/>
          <w:sz w:val="28"/>
          <w:szCs w:val="28"/>
        </w:rPr>
        <w:t xml:space="preserve"> Доля торговли со странами ECOWAS варьируется в пределах </w:t>
      </w:r>
      <w:r>
        <w:rPr>
          <w:rFonts w:ascii="Times New Roman" w:hAnsi="Times New Roman" w:cs="Times New Roman"/>
          <w:sz w:val="28"/>
          <w:szCs w:val="28"/>
          <w:highlight w:val="yellow"/>
        </w:rPr>
        <w:t>12–15 %</w:t>
      </w:r>
      <w:r>
        <w:rPr>
          <w:rFonts w:ascii="Times New Roman" w:hAnsi="Times New Roman" w:cs="Times New Roman"/>
          <w:sz w:val="28"/>
          <w:szCs w:val="28"/>
        </w:rPr>
        <w:t xml:space="preserve"> общего объема экспорта, что указывает на ограниченность глубокой региональной кооперации. При этом внутрирегиональная торговля преимущественно включает переработанные нефтепродукты, продовольственные товары, цемент, товары легкой </w:t>
      </w:r>
      <w:r>
        <w:rPr>
          <w:rFonts w:ascii="Times New Roman" w:hAnsi="Times New Roman" w:cs="Times New Roman"/>
          <w:sz w:val="28"/>
          <w:szCs w:val="28"/>
          <w:highlight w:val="yellow"/>
        </w:rPr>
        <w:t>промышленности</w:t>
      </w:r>
      <w:r>
        <w:rPr>
          <w:rFonts w:ascii="Times New Roman" w:hAnsi="Times New Roman" w:cs="Times New Roman"/>
          <w:sz w:val="28"/>
          <w:szCs w:val="28"/>
        </w:rPr>
        <w:t>.</w:t>
      </w:r>
    </w:p>
    <w:p>
      <w:pPr>
        <w:pStyle w:val="P21"/>
        <w:spacing w:lineRule="auto" w:line="360" w:beforeAutospacing="0" w:afterAutospacing="0"/>
        <w:ind w:firstLine="689" w:left="20" w:right="40"/>
        <w:jc w:val="both"/>
        <w:rPr>
          <w:rFonts w:ascii="Times New Roman" w:hAnsi="Times New Roman" w:cs="Times New Roman"/>
          <w:sz w:val="28"/>
          <w:szCs w:val="28"/>
        </w:rPr>
      </w:pPr>
    </w:p>
    <w:p>
      <w:pPr>
        <w:pStyle w:val="P21"/>
        <w:spacing w:lineRule="auto" w:line="360" w:beforeAutospacing="0" w:afterAutospacing="0"/>
        <w:ind w:firstLine="0" w:right="40"/>
        <w:jc w:val="both"/>
        <w:rPr>
          <w:rFonts w:ascii="Times New Roman" w:hAnsi="Times New Roman" w:cs="Times New Roman"/>
          <w:sz w:val="28"/>
          <w:szCs w:val="28"/>
        </w:rPr>
      </w:pPr>
      <w:r>
        <w:rPr>
          <w:rFonts w:ascii="Times New Roman" w:hAnsi="Times New Roman" w:cs="Times New Roman"/>
          <w:sz w:val="28"/>
          <w:szCs w:val="28"/>
        </w:rPr>
        <w:t>Таблица 2.10 – Региональная структура экспорта, %</w:t>
      </w:r>
      <w:r>
        <w:rPr>
          <w:rStyle w:val="C42"/>
          <w:rFonts w:ascii="Times New Roman" w:hAnsi="Times New Roman" w:cs="Times New Roman"/>
          <w:sz w:val="28"/>
          <w:szCs w:val="28"/>
        </w:rPr>
        <w:footnoteReference w:id="102"/>
      </w:r>
    </w:p>
    <w:tbl>
      <w:tblPr>
        <w:tblStyle w:val="T3"/>
        <w:tblW w:w="9775" w:type="dxa"/>
        <w:tblLook w:val="04A0"/>
      </w:tblPr>
      <w:tblGrid>
        <w:gridCol w:w="4446"/>
        <w:gridCol w:w="1065"/>
        <w:gridCol w:w="1066"/>
        <w:gridCol w:w="1066"/>
        <w:gridCol w:w="1066"/>
        <w:gridCol w:w="1066"/>
      </w:tblGrid>
      <w:tr>
        <w:trPr>
          <w:trHeight w:hRule="atLeast" w:val="260"/>
        </w:trPr>
        <w:tc>
          <w:tcPr>
            <w:tcW w:w="0" w:type="auto"/>
            <w:vMerge w:val="restart"/>
            <w:hideMark/>
          </w:tcPr>
          <w:p>
            <w:pPr>
              <w:jc w:val="center"/>
              <w:rPr>
                <w:rFonts w:ascii="Times New Roman" w:hAnsi="Times New Roman" w:cs="Times New Roman" w:eastAsia="Times New Roman"/>
                <w:bCs w:val="1"/>
                <w:sz w:val="24"/>
                <w:szCs w:val="24"/>
                <w:lang w:eastAsia="ru-RU"/>
              </w:rPr>
            </w:pPr>
            <w:r>
              <w:rPr>
                <w:rFonts w:ascii="Times New Roman" w:hAnsi="Times New Roman" w:cs="Times New Roman" w:eastAsia="Times New Roman"/>
                <w:bCs w:val="1"/>
                <w:sz w:val="24"/>
                <w:szCs w:val="24"/>
                <w:lang w:eastAsia="ru-RU"/>
              </w:rPr>
              <w:t>Направление</w:t>
            </w:r>
          </w:p>
        </w:tc>
        <w:tc>
          <w:tcPr>
            <w:tcW w:w="0" w:type="auto"/>
            <w:gridSpan w:val="5"/>
          </w:tcPr>
          <w:p>
            <w:pPr>
              <w:jc w:val="center"/>
              <w:rPr>
                <w:rFonts w:ascii="Times New Roman" w:hAnsi="Times New Roman" w:cs="Times New Roman" w:eastAsia="Times New Roman"/>
                <w:bCs w:val="1"/>
                <w:sz w:val="24"/>
                <w:szCs w:val="24"/>
                <w:lang w:eastAsia="ru-RU"/>
              </w:rPr>
            </w:pPr>
            <w:r>
              <w:rPr>
                <w:rFonts w:ascii="Times New Roman" w:hAnsi="Times New Roman" w:cs="Times New Roman" w:eastAsia="Times New Roman"/>
                <w:bCs w:val="1"/>
                <w:sz w:val="24"/>
                <w:szCs w:val="24"/>
                <w:lang w:eastAsia="ru-RU"/>
              </w:rPr>
              <w:t>Значение по годам</w:t>
            </w:r>
          </w:p>
        </w:tc>
      </w:tr>
      <w:tr>
        <w:trPr>
          <w:trHeight w:hRule="atLeast" w:val="260"/>
        </w:trPr>
        <w:tc>
          <w:tcPr>
            <w:tcW w:w="0" w:type="auto"/>
            <w:vMerge w:val="continue"/>
          </w:tcPr>
          <w:p>
            <w:pPr>
              <w:jc w:val="center"/>
              <w:rPr>
                <w:rFonts w:ascii="Times New Roman" w:hAnsi="Times New Roman" w:cs="Times New Roman" w:eastAsia="Times New Roman"/>
                <w:bCs w:val="1"/>
                <w:sz w:val="24"/>
                <w:szCs w:val="24"/>
                <w:lang w:eastAsia="ru-RU"/>
              </w:rPr>
            </w:pPr>
          </w:p>
        </w:tc>
        <w:tc>
          <w:tcPr>
            <w:tcW w:w="0" w:type="auto"/>
          </w:tcPr>
          <w:p>
            <w:pPr>
              <w:jc w:val="center"/>
              <w:rPr>
                <w:rFonts w:ascii="Times New Roman" w:hAnsi="Times New Roman" w:cs="Times New Roman" w:eastAsia="Times New Roman"/>
                <w:bCs w:val="1"/>
                <w:sz w:val="24"/>
                <w:szCs w:val="24"/>
                <w:lang w:eastAsia="ru-RU"/>
              </w:rPr>
            </w:pPr>
            <w:r>
              <w:rPr>
                <w:rFonts w:ascii="Times New Roman" w:hAnsi="Times New Roman" w:cs="Times New Roman" w:eastAsia="Times New Roman"/>
                <w:bCs w:val="1"/>
                <w:sz w:val="24"/>
                <w:szCs w:val="24"/>
                <w:lang w:eastAsia="ru-RU"/>
              </w:rPr>
              <w:t>2020</w:t>
            </w:r>
          </w:p>
        </w:tc>
        <w:tc>
          <w:tcPr>
            <w:tcW w:w="0" w:type="auto"/>
          </w:tcPr>
          <w:p>
            <w:pPr>
              <w:jc w:val="center"/>
              <w:rPr>
                <w:rFonts w:ascii="Times New Roman" w:hAnsi="Times New Roman" w:cs="Times New Roman" w:eastAsia="Times New Roman"/>
                <w:bCs w:val="1"/>
                <w:sz w:val="24"/>
                <w:szCs w:val="24"/>
                <w:lang w:eastAsia="ru-RU"/>
              </w:rPr>
            </w:pPr>
            <w:r>
              <w:rPr>
                <w:rFonts w:ascii="Times New Roman" w:hAnsi="Times New Roman" w:cs="Times New Roman" w:eastAsia="Times New Roman"/>
                <w:bCs w:val="1"/>
                <w:sz w:val="24"/>
                <w:szCs w:val="24"/>
                <w:lang w:eastAsia="ru-RU"/>
              </w:rPr>
              <w:t>2021</w:t>
            </w:r>
          </w:p>
        </w:tc>
        <w:tc>
          <w:tcPr>
            <w:tcW w:w="0" w:type="auto"/>
          </w:tcPr>
          <w:p>
            <w:pPr>
              <w:jc w:val="center"/>
              <w:rPr>
                <w:rFonts w:ascii="Times New Roman" w:hAnsi="Times New Roman" w:cs="Times New Roman" w:eastAsia="Times New Roman"/>
                <w:bCs w:val="1"/>
                <w:sz w:val="24"/>
                <w:szCs w:val="24"/>
                <w:lang w:eastAsia="ru-RU"/>
              </w:rPr>
            </w:pPr>
            <w:r>
              <w:rPr>
                <w:rFonts w:ascii="Times New Roman" w:hAnsi="Times New Roman" w:cs="Times New Roman" w:eastAsia="Times New Roman"/>
                <w:bCs w:val="1"/>
                <w:sz w:val="24"/>
                <w:szCs w:val="24"/>
                <w:lang w:eastAsia="ru-RU"/>
              </w:rPr>
              <w:t>2022</w:t>
            </w:r>
          </w:p>
        </w:tc>
        <w:tc>
          <w:tcPr>
            <w:tcW w:w="0" w:type="auto"/>
          </w:tcPr>
          <w:p>
            <w:pPr>
              <w:jc w:val="center"/>
              <w:rPr>
                <w:rFonts w:ascii="Times New Roman" w:hAnsi="Times New Roman" w:cs="Times New Roman" w:eastAsia="Times New Roman"/>
                <w:bCs w:val="1"/>
                <w:sz w:val="24"/>
                <w:szCs w:val="24"/>
                <w:lang w:eastAsia="ru-RU"/>
              </w:rPr>
            </w:pPr>
            <w:r>
              <w:rPr>
                <w:rFonts w:ascii="Times New Roman" w:hAnsi="Times New Roman" w:cs="Times New Roman" w:eastAsia="Times New Roman"/>
                <w:bCs w:val="1"/>
                <w:sz w:val="24"/>
                <w:szCs w:val="24"/>
                <w:lang w:eastAsia="ru-RU"/>
              </w:rPr>
              <w:t>2023</w:t>
            </w:r>
          </w:p>
        </w:tc>
        <w:tc>
          <w:tcPr>
            <w:tcW w:w="0" w:type="auto"/>
          </w:tcPr>
          <w:p>
            <w:pPr>
              <w:jc w:val="center"/>
              <w:rPr>
                <w:rFonts w:ascii="Times New Roman" w:hAnsi="Times New Roman" w:cs="Times New Roman" w:eastAsia="Times New Roman"/>
                <w:bCs w:val="1"/>
                <w:sz w:val="24"/>
                <w:szCs w:val="24"/>
                <w:lang w:eastAsia="ru-RU"/>
              </w:rPr>
            </w:pPr>
            <w:r>
              <w:rPr>
                <w:rFonts w:ascii="Times New Roman" w:hAnsi="Times New Roman" w:cs="Times New Roman" w:eastAsia="Times New Roman"/>
                <w:bCs w:val="1"/>
                <w:sz w:val="24"/>
                <w:szCs w:val="24"/>
                <w:lang w:eastAsia="ru-RU"/>
              </w:rPr>
              <w:t>2024</w:t>
            </w:r>
          </w:p>
        </w:tc>
      </w:tr>
      <w:tr>
        <w:trPr>
          <w:trHeight w:hRule="atLeast" w:val="260"/>
        </w:trPr>
        <w:tc>
          <w:tcPr>
            <w:tcW w:w="0" w:type="auto"/>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ЕС</w:t>
            </w:r>
          </w:p>
        </w:tc>
        <w:tc>
          <w:tcPr>
            <w:tcW w:w="0" w:type="auto"/>
            <w:hideMark/>
          </w:tcPr>
          <w:p>
            <w:pPr>
              <w:jc w:val="cente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33</w:t>
            </w:r>
          </w:p>
        </w:tc>
        <w:tc>
          <w:tcPr>
            <w:tcW w:w="0" w:type="auto"/>
            <w:hideMark/>
          </w:tcPr>
          <w:p>
            <w:pPr>
              <w:jc w:val="cente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31</w:t>
            </w:r>
          </w:p>
        </w:tc>
        <w:tc>
          <w:tcPr>
            <w:tcW w:w="0" w:type="auto"/>
            <w:hideMark/>
          </w:tcPr>
          <w:p>
            <w:pPr>
              <w:jc w:val="cente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29</w:t>
            </w:r>
          </w:p>
        </w:tc>
        <w:tc>
          <w:tcPr>
            <w:tcW w:w="0" w:type="auto"/>
            <w:hideMark/>
          </w:tcPr>
          <w:p>
            <w:pPr>
              <w:jc w:val="cente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30</w:t>
            </w:r>
          </w:p>
        </w:tc>
        <w:tc>
          <w:tcPr>
            <w:tcW w:w="0" w:type="auto"/>
            <w:hideMark/>
          </w:tcPr>
          <w:p>
            <w:pPr>
              <w:jc w:val="cente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29</w:t>
            </w:r>
          </w:p>
        </w:tc>
      </w:tr>
      <w:tr>
        <w:trPr>
          <w:trHeight w:hRule="atLeast" w:val="260"/>
        </w:trPr>
        <w:tc>
          <w:tcPr>
            <w:tcW w:w="0" w:type="auto"/>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Азия (Китай, Индия и др.)</w:t>
            </w:r>
          </w:p>
        </w:tc>
        <w:tc>
          <w:tcPr>
            <w:tcW w:w="0" w:type="auto"/>
            <w:hideMark/>
          </w:tcPr>
          <w:p>
            <w:pPr>
              <w:jc w:val="cente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26</w:t>
            </w:r>
          </w:p>
        </w:tc>
        <w:tc>
          <w:tcPr>
            <w:tcW w:w="0" w:type="auto"/>
            <w:hideMark/>
          </w:tcPr>
          <w:p>
            <w:pPr>
              <w:jc w:val="cente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28</w:t>
            </w:r>
          </w:p>
        </w:tc>
        <w:tc>
          <w:tcPr>
            <w:tcW w:w="0" w:type="auto"/>
            <w:hideMark/>
          </w:tcPr>
          <w:p>
            <w:pPr>
              <w:jc w:val="cente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30</w:t>
            </w:r>
          </w:p>
        </w:tc>
        <w:tc>
          <w:tcPr>
            <w:tcW w:w="0" w:type="auto"/>
            <w:hideMark/>
          </w:tcPr>
          <w:p>
            <w:pPr>
              <w:jc w:val="cente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29</w:t>
            </w:r>
          </w:p>
        </w:tc>
        <w:tc>
          <w:tcPr>
            <w:tcW w:w="0" w:type="auto"/>
            <w:hideMark/>
          </w:tcPr>
          <w:p>
            <w:pPr>
              <w:jc w:val="cente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30</w:t>
            </w:r>
          </w:p>
        </w:tc>
      </w:tr>
      <w:tr>
        <w:trPr>
          <w:trHeight w:hRule="atLeast" w:val="260"/>
        </w:trPr>
        <w:tc>
          <w:tcPr>
            <w:tcW w:w="0" w:type="auto"/>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США</w:t>
            </w:r>
          </w:p>
        </w:tc>
        <w:tc>
          <w:tcPr>
            <w:tcW w:w="0" w:type="auto"/>
            <w:hideMark/>
          </w:tcPr>
          <w:p>
            <w:pPr>
              <w:jc w:val="cente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6</w:t>
            </w:r>
          </w:p>
        </w:tc>
        <w:tc>
          <w:tcPr>
            <w:tcW w:w="0" w:type="auto"/>
            <w:hideMark/>
          </w:tcPr>
          <w:p>
            <w:pPr>
              <w:jc w:val="cente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7</w:t>
            </w:r>
          </w:p>
        </w:tc>
        <w:tc>
          <w:tcPr>
            <w:tcW w:w="0" w:type="auto"/>
            <w:hideMark/>
          </w:tcPr>
          <w:p>
            <w:pPr>
              <w:jc w:val="cente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7</w:t>
            </w:r>
          </w:p>
        </w:tc>
        <w:tc>
          <w:tcPr>
            <w:tcW w:w="0" w:type="auto"/>
            <w:hideMark/>
          </w:tcPr>
          <w:p>
            <w:pPr>
              <w:jc w:val="cente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6</w:t>
            </w:r>
          </w:p>
        </w:tc>
        <w:tc>
          <w:tcPr>
            <w:tcW w:w="0" w:type="auto"/>
            <w:hideMark/>
          </w:tcPr>
          <w:p>
            <w:pPr>
              <w:jc w:val="cente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6</w:t>
            </w:r>
          </w:p>
        </w:tc>
      </w:tr>
      <w:tr>
        <w:trPr>
          <w:trHeight w:hRule="atLeast" w:val="260"/>
        </w:trPr>
        <w:tc>
          <w:tcPr>
            <w:tcW w:w="0" w:type="auto"/>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ECOWAS</w:t>
            </w:r>
          </w:p>
        </w:tc>
        <w:tc>
          <w:tcPr>
            <w:tcW w:w="0" w:type="auto"/>
            <w:hideMark/>
          </w:tcPr>
          <w:p>
            <w:pPr>
              <w:jc w:val="cente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12</w:t>
            </w:r>
          </w:p>
        </w:tc>
        <w:tc>
          <w:tcPr>
            <w:tcW w:w="0" w:type="auto"/>
            <w:hideMark/>
          </w:tcPr>
          <w:p>
            <w:pPr>
              <w:jc w:val="cente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13</w:t>
            </w:r>
          </w:p>
        </w:tc>
        <w:tc>
          <w:tcPr>
            <w:tcW w:w="0" w:type="auto"/>
            <w:hideMark/>
          </w:tcPr>
          <w:p>
            <w:pPr>
              <w:jc w:val="cente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14</w:t>
            </w:r>
          </w:p>
        </w:tc>
        <w:tc>
          <w:tcPr>
            <w:tcW w:w="0" w:type="auto"/>
            <w:hideMark/>
          </w:tcPr>
          <w:p>
            <w:pPr>
              <w:jc w:val="cente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15</w:t>
            </w:r>
          </w:p>
        </w:tc>
        <w:tc>
          <w:tcPr>
            <w:tcW w:w="0" w:type="auto"/>
            <w:hideMark/>
          </w:tcPr>
          <w:p>
            <w:pPr>
              <w:jc w:val="cente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14</w:t>
            </w:r>
          </w:p>
        </w:tc>
      </w:tr>
      <w:tr>
        <w:trPr>
          <w:trHeight w:hRule="atLeast" w:val="260"/>
        </w:trPr>
        <w:tc>
          <w:tcPr>
            <w:tcW w:w="0" w:type="auto"/>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Прочие</w:t>
            </w:r>
          </w:p>
        </w:tc>
        <w:tc>
          <w:tcPr>
            <w:tcW w:w="0" w:type="auto"/>
            <w:hideMark/>
          </w:tcPr>
          <w:p>
            <w:pPr>
              <w:jc w:val="cente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23</w:t>
            </w:r>
          </w:p>
        </w:tc>
        <w:tc>
          <w:tcPr>
            <w:tcW w:w="0" w:type="auto"/>
            <w:hideMark/>
          </w:tcPr>
          <w:p>
            <w:pPr>
              <w:jc w:val="cente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21</w:t>
            </w:r>
          </w:p>
        </w:tc>
        <w:tc>
          <w:tcPr>
            <w:tcW w:w="0" w:type="auto"/>
            <w:hideMark/>
          </w:tcPr>
          <w:p>
            <w:pPr>
              <w:jc w:val="cente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20</w:t>
            </w:r>
          </w:p>
        </w:tc>
        <w:tc>
          <w:tcPr>
            <w:tcW w:w="0" w:type="auto"/>
            <w:hideMark/>
          </w:tcPr>
          <w:p>
            <w:pPr>
              <w:jc w:val="cente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20</w:t>
            </w:r>
          </w:p>
        </w:tc>
        <w:tc>
          <w:tcPr>
            <w:tcW w:w="0" w:type="auto"/>
            <w:hideMark/>
          </w:tcPr>
          <w:p>
            <w:pPr>
              <w:jc w:val="cente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21</w:t>
            </w:r>
          </w:p>
        </w:tc>
      </w:tr>
    </w:tbl>
    <w:p>
      <w:pPr>
        <w:pStyle w:val="P21"/>
        <w:spacing w:lineRule="auto" w:line="360" w:beforeAutospacing="0" w:afterAutospacing="0"/>
        <w:ind w:firstLine="0" w:right="40"/>
        <w:jc w:val="both"/>
        <w:rPr>
          <w:rFonts w:ascii="Times New Roman" w:hAnsi="Times New Roman" w:cs="Times New Roman"/>
          <w:sz w:val="28"/>
          <w:szCs w:val="28"/>
        </w:rPr>
      </w:pPr>
    </w:p>
    <w:p>
      <w:pPr>
        <w:pStyle w:val="P21"/>
        <w:spacing w:lineRule="auto" w:line="360" w:beforeAutospacing="0" w:afterAutospacing="0"/>
        <w:ind w:firstLine="689" w:left="20" w:right="40"/>
        <w:jc w:val="both"/>
        <w:rPr>
          <w:rFonts w:ascii="Times New Roman" w:hAnsi="Times New Roman" w:cs="Times New Roman"/>
          <w:sz w:val="28"/>
          <w:szCs w:val="28"/>
        </w:rPr>
      </w:pPr>
      <w:r>
        <w:rPr>
          <w:rFonts w:ascii="Times New Roman" w:hAnsi="Times New Roman" w:cs="Times New Roman"/>
          <w:sz w:val="28"/>
          <w:szCs w:val="28"/>
        </w:rPr>
        <w:t>Сдерживающими факторами роста региональной торговли выступают:</w:t>
      </w:r>
    </w:p>
    <w:p>
      <w:pPr>
        <w:pStyle w:val="P21"/>
        <w:spacing w:lineRule="auto" w:line="360" w:beforeAutospacing="0" w:afterAutospacing="0"/>
        <w:ind w:firstLine="689" w:left="20" w:right="40"/>
        <w:jc w:val="both"/>
        <w:rPr>
          <w:rFonts w:ascii="Times New Roman" w:hAnsi="Times New Roman" w:cs="Times New Roman"/>
          <w:sz w:val="28"/>
          <w:szCs w:val="28"/>
        </w:rPr>
      </w:pPr>
      <w:r>
        <w:rPr>
          <w:rFonts w:ascii="Times New Roman" w:hAnsi="Times New Roman" w:cs="Times New Roman"/>
          <w:sz w:val="28"/>
          <w:szCs w:val="28"/>
        </w:rPr>
        <w:t>- нетарифные барьеры;</w:t>
      </w:r>
    </w:p>
    <w:p>
      <w:pPr>
        <w:pStyle w:val="P21"/>
        <w:spacing w:lineRule="auto" w:line="360" w:beforeAutospacing="0" w:afterAutospacing="0"/>
        <w:ind w:firstLine="689" w:left="20" w:right="40"/>
        <w:jc w:val="both"/>
        <w:rPr>
          <w:rFonts w:ascii="Times New Roman" w:hAnsi="Times New Roman" w:cs="Times New Roman"/>
          <w:sz w:val="28"/>
          <w:szCs w:val="28"/>
        </w:rPr>
      </w:pPr>
      <w:r>
        <w:rPr>
          <w:rFonts w:ascii="Times New Roman" w:hAnsi="Times New Roman" w:cs="Times New Roman"/>
          <w:sz w:val="28"/>
          <w:szCs w:val="28"/>
        </w:rPr>
        <w:t>- административные процедуры на границах;</w:t>
      </w:r>
    </w:p>
    <w:p>
      <w:pPr>
        <w:pStyle w:val="P21"/>
        <w:spacing w:lineRule="auto" w:line="360" w:beforeAutospacing="0" w:afterAutospacing="0"/>
        <w:ind w:firstLine="689" w:left="20" w:right="40"/>
        <w:jc w:val="both"/>
        <w:rPr>
          <w:rFonts w:ascii="Times New Roman" w:hAnsi="Times New Roman" w:cs="Times New Roman"/>
          <w:sz w:val="28"/>
          <w:szCs w:val="28"/>
        </w:rPr>
      </w:pPr>
      <w:r>
        <w:rPr>
          <w:rFonts w:ascii="Times New Roman" w:hAnsi="Times New Roman" w:cs="Times New Roman"/>
          <w:sz w:val="28"/>
          <w:szCs w:val="28"/>
        </w:rPr>
        <w:t>- слабая гармонизация стандартов;</w:t>
      </w:r>
    </w:p>
    <w:p>
      <w:pPr>
        <w:pStyle w:val="P21"/>
        <w:spacing w:lineRule="auto" w:line="360" w:beforeAutospacing="0" w:afterAutospacing="0"/>
        <w:ind w:firstLine="689" w:left="20" w:right="40"/>
        <w:jc w:val="both"/>
        <w:rPr>
          <w:rFonts w:ascii="Times New Roman" w:hAnsi="Times New Roman" w:cs="Times New Roman"/>
          <w:sz w:val="28"/>
          <w:szCs w:val="28"/>
        </w:rPr>
      </w:pPr>
      <w:r>
        <w:rPr>
          <w:rFonts w:ascii="Times New Roman" w:hAnsi="Times New Roman" w:cs="Times New Roman"/>
          <w:sz w:val="28"/>
          <w:szCs w:val="28"/>
        </w:rPr>
        <w:t>- инфраструктурные ограничения;</w:t>
      </w:r>
    </w:p>
    <w:p>
      <w:pPr>
        <w:pStyle w:val="P21"/>
        <w:spacing w:lineRule="auto" w:line="360" w:beforeAutospacing="0" w:afterAutospacing="0"/>
        <w:ind w:firstLine="689" w:left="20" w:right="40"/>
        <w:jc w:val="both"/>
        <w:rPr>
          <w:rFonts w:ascii="Times New Roman" w:hAnsi="Times New Roman" w:cs="Times New Roman"/>
          <w:sz w:val="28"/>
          <w:szCs w:val="28"/>
        </w:rPr>
      </w:pPr>
      <w:r>
        <w:rPr>
          <w:rFonts w:ascii="Times New Roman" w:hAnsi="Times New Roman" w:cs="Times New Roman"/>
          <w:sz w:val="28"/>
          <w:szCs w:val="28"/>
        </w:rPr>
        <w:t>- низкий уровень цифровизации таможенных процедур.</w:t>
      </w:r>
    </w:p>
    <w:p>
      <w:pPr>
        <w:pStyle w:val="P21"/>
        <w:spacing w:lineRule="auto" w:line="360" w:beforeAutospacing="0" w:afterAutospacing="0"/>
        <w:ind w:firstLine="689" w:left="20" w:right="40"/>
        <w:jc w:val="both"/>
        <w:rPr>
          <w:rFonts w:ascii="Times New Roman" w:hAnsi="Times New Roman" w:cs="Times New Roman"/>
          <w:sz w:val="28"/>
          <w:szCs w:val="28"/>
        </w:rPr>
      </w:pPr>
      <w:r>
        <w:rPr>
          <w:rFonts w:ascii="Times New Roman" w:hAnsi="Times New Roman" w:cs="Times New Roman"/>
          <w:sz w:val="28"/>
          <w:szCs w:val="28"/>
        </w:rPr>
        <w:t>Таким образом, несмотря на формальное наличие режима свободной торговли, фактическая глубина интеграции остается ограниченной.</w:t>
      </w:r>
    </w:p>
    <w:p>
      <w:pPr>
        <w:pStyle w:val="P21"/>
        <w:spacing w:lineRule="auto" w:line="360" w:beforeAutospacing="0" w:afterAutospacing="0"/>
        <w:ind w:firstLine="689" w:left="20" w:right="40"/>
        <w:jc w:val="both"/>
        <w:rPr>
          <w:rFonts w:ascii="Times New Roman" w:hAnsi="Times New Roman" w:cs="Times New Roman"/>
          <w:sz w:val="28"/>
          <w:szCs w:val="28"/>
        </w:rPr>
      </w:pPr>
      <w:r>
        <w:rPr>
          <w:rFonts w:ascii="Times New Roman" w:hAnsi="Times New Roman" w:cs="Times New Roman"/>
          <w:sz w:val="28"/>
          <w:szCs w:val="28"/>
        </w:rPr>
        <w:t>Несмотря на то что в рамках UEMOA действует общий внешний тариф, а внутри блока формально отменены тарифы, сохраняются значительные нетарифные барьеры (</w:t>
      </w:r>
      <w:r>
        <w:rPr>
          <w:rFonts w:ascii="Times New Roman" w:hAnsi="Times New Roman" w:cs="Times New Roman"/>
          <w:sz w:val="28"/>
          <w:szCs w:val="28"/>
          <w:highlight w:val="yellow"/>
        </w:rPr>
        <w:t>таблица ??</w:t>
      </w:r>
      <w:r>
        <w:rPr>
          <w:rFonts w:ascii="Times New Roman" w:hAnsi="Times New Roman" w:cs="Times New Roman"/>
          <w:sz w:val="28"/>
          <w:szCs w:val="28"/>
        </w:rPr>
        <w:t>), включая:</w:t>
      </w:r>
    </w:p>
    <w:p>
      <w:pPr>
        <w:pStyle w:val="P21"/>
        <w:numPr>
          <w:ilvl w:val="0"/>
          <w:numId w:val="29"/>
        </w:numPr>
        <w:tabs>
          <w:tab w:val="left" w:pos="1134" w:leader="none"/>
        </w:tabs>
        <w:spacing w:lineRule="auto" w:line="360" w:beforeAutospacing="0" w:afterAutospacing="0"/>
        <w:ind w:firstLine="709" w:left="0" w:right="40"/>
        <w:jc w:val="both"/>
        <w:rPr>
          <w:rFonts w:ascii="Times New Roman" w:hAnsi="Times New Roman" w:cs="Times New Roman"/>
          <w:sz w:val="28"/>
          <w:szCs w:val="28"/>
        </w:rPr>
      </w:pPr>
      <w:r>
        <w:rPr>
          <w:rFonts w:ascii="Times New Roman" w:hAnsi="Times New Roman" w:cs="Times New Roman"/>
          <w:sz w:val="28"/>
          <w:szCs w:val="28"/>
        </w:rPr>
        <w:t>сложные таможенные процедуры;</w:t>
      </w:r>
    </w:p>
    <w:p>
      <w:pPr>
        <w:pStyle w:val="P21"/>
        <w:numPr>
          <w:ilvl w:val="0"/>
          <w:numId w:val="29"/>
        </w:numPr>
        <w:tabs>
          <w:tab w:val="left" w:pos="1134" w:leader="none"/>
        </w:tabs>
        <w:spacing w:lineRule="auto" w:line="360" w:beforeAutospacing="0" w:afterAutospacing="0"/>
        <w:ind w:firstLine="709" w:left="0" w:right="40"/>
        <w:jc w:val="both"/>
        <w:rPr>
          <w:rFonts w:ascii="Times New Roman" w:hAnsi="Times New Roman" w:cs="Times New Roman"/>
          <w:sz w:val="28"/>
          <w:szCs w:val="28"/>
        </w:rPr>
      </w:pPr>
      <w:r>
        <w:rPr>
          <w:rFonts w:ascii="Times New Roman" w:hAnsi="Times New Roman" w:cs="Times New Roman"/>
          <w:sz w:val="28"/>
          <w:szCs w:val="28"/>
        </w:rPr>
        <w:t>длительное оформление документов;</w:t>
      </w:r>
    </w:p>
    <w:p>
      <w:pPr>
        <w:pStyle w:val="P21"/>
        <w:numPr>
          <w:ilvl w:val="0"/>
          <w:numId w:val="29"/>
        </w:numPr>
        <w:tabs>
          <w:tab w:val="left" w:pos="1134" w:leader="none"/>
        </w:tabs>
        <w:spacing w:lineRule="auto" w:line="360" w:beforeAutospacing="0" w:afterAutospacing="0"/>
        <w:ind w:firstLine="709" w:left="0" w:right="40"/>
        <w:jc w:val="both"/>
        <w:rPr>
          <w:rFonts w:ascii="Times New Roman" w:hAnsi="Times New Roman" w:cs="Times New Roman"/>
          <w:sz w:val="28"/>
          <w:szCs w:val="28"/>
        </w:rPr>
      </w:pPr>
      <w:r>
        <w:rPr>
          <w:rFonts w:ascii="Times New Roman" w:hAnsi="Times New Roman" w:cs="Times New Roman"/>
          <w:sz w:val="28"/>
          <w:szCs w:val="28"/>
        </w:rPr>
        <w:t>неформальные платежи;</w:t>
      </w:r>
    </w:p>
    <w:p>
      <w:pPr>
        <w:pStyle w:val="P21"/>
        <w:numPr>
          <w:ilvl w:val="0"/>
          <w:numId w:val="29"/>
        </w:numPr>
        <w:tabs>
          <w:tab w:val="left" w:pos="1134" w:leader="none"/>
        </w:tabs>
        <w:spacing w:lineRule="auto" w:line="360" w:beforeAutospacing="0" w:afterAutospacing="0"/>
        <w:ind w:firstLine="709" w:left="0" w:right="40"/>
        <w:jc w:val="both"/>
        <w:rPr>
          <w:rFonts w:ascii="Times New Roman" w:hAnsi="Times New Roman" w:cs="Times New Roman"/>
          <w:sz w:val="28"/>
          <w:szCs w:val="28"/>
        </w:rPr>
      </w:pPr>
      <w:r>
        <w:rPr>
          <w:rFonts w:ascii="Times New Roman" w:hAnsi="Times New Roman" w:cs="Times New Roman"/>
          <w:sz w:val="28"/>
          <w:szCs w:val="28"/>
        </w:rPr>
        <w:t>несогласованность санитарных и фитосанитарных стандартов;</w:t>
      </w:r>
    </w:p>
    <w:p>
      <w:pPr>
        <w:pStyle w:val="P21"/>
        <w:numPr>
          <w:ilvl w:val="0"/>
          <w:numId w:val="29"/>
        </w:numPr>
        <w:tabs>
          <w:tab w:val="left" w:pos="1134" w:leader="none"/>
        </w:tabs>
        <w:spacing w:lineRule="auto" w:line="360" w:beforeAutospacing="0" w:afterAutospacing="0"/>
        <w:ind w:firstLine="709" w:left="0" w:right="40"/>
        <w:jc w:val="both"/>
        <w:rPr>
          <w:rFonts w:ascii="Times New Roman" w:hAnsi="Times New Roman" w:cs="Times New Roman"/>
          <w:sz w:val="28"/>
          <w:szCs w:val="28"/>
        </w:rPr>
      </w:pPr>
      <w:r>
        <w:rPr>
          <w:rFonts w:ascii="Times New Roman" w:hAnsi="Times New Roman" w:cs="Times New Roman"/>
          <w:sz w:val="28"/>
          <w:szCs w:val="28"/>
        </w:rPr>
        <w:t>ограниченную цифровизацию документооборота.</w:t>
      </w:r>
    </w:p>
    <w:p>
      <w:pPr>
        <w:pStyle w:val="P21"/>
        <w:spacing w:lineRule="auto" w:line="360" w:beforeAutospacing="0" w:afterAutospacing="0"/>
        <w:ind w:firstLine="0" w:right="40"/>
        <w:jc w:val="both"/>
        <w:rPr>
          <w:rFonts w:ascii="Times New Roman" w:hAnsi="Times New Roman" w:cs="Times New Roman"/>
          <w:sz w:val="28"/>
          <w:szCs w:val="28"/>
        </w:rPr>
      </w:pPr>
    </w:p>
    <w:p>
      <w:pPr>
        <w:pStyle w:val="P21"/>
        <w:spacing w:lineRule="auto" w:line="360" w:beforeAutospacing="0" w:afterAutospacing="0"/>
        <w:ind w:firstLine="0" w:right="40"/>
        <w:jc w:val="both"/>
        <w:rPr>
          <w:rFonts w:ascii="Times New Roman" w:hAnsi="Times New Roman" w:cs="Times New Roman"/>
          <w:sz w:val="28"/>
          <w:szCs w:val="28"/>
        </w:rPr>
      </w:pPr>
      <w:r>
        <w:rPr>
          <w:rFonts w:ascii="Times New Roman" w:hAnsi="Times New Roman" w:cs="Times New Roman"/>
          <w:sz w:val="28"/>
          <w:szCs w:val="28"/>
        </w:rPr>
        <w:t>Таблица 2.12 – Нетарифные барьеры и институциональные ограничения, % (оценочные показатели)</w:t>
      </w:r>
      <w:r>
        <w:rPr>
          <w:rStyle w:val="C42"/>
          <w:rFonts w:ascii="Times New Roman" w:hAnsi="Times New Roman" w:cs="Times New Roman"/>
          <w:sz w:val="28"/>
          <w:szCs w:val="28"/>
        </w:rPr>
        <w:footnoteReference w:id="103"/>
      </w:r>
    </w:p>
    <w:tbl>
      <w:tblPr>
        <w:tblStyle w:val="T3"/>
        <w:tblW w:w="0" w:type="auto"/>
        <w:tblLook w:val="04A0"/>
      </w:tblPr>
      <w:tblGrid>
        <w:gridCol w:w="6432"/>
        <w:gridCol w:w="696"/>
        <w:gridCol w:w="696"/>
        <w:gridCol w:w="696"/>
        <w:gridCol w:w="696"/>
        <w:gridCol w:w="696"/>
      </w:tblGrid>
      <w:tr>
        <w:tc>
          <w:tcPr>
            <w:tcW w:w="0" w:type="auto"/>
            <w:vMerge w:val="restart"/>
            <w:hideMark/>
          </w:tcPr>
          <w:p>
            <w:pPr>
              <w:jc w:val="center"/>
              <w:rPr>
                <w:rFonts w:ascii="Times New Roman" w:hAnsi="Times New Roman" w:cs="Times New Roman" w:eastAsia="Times New Roman"/>
                <w:bCs w:val="1"/>
                <w:sz w:val="24"/>
                <w:szCs w:val="24"/>
                <w:lang w:eastAsia="ru-RU"/>
              </w:rPr>
            </w:pPr>
            <w:r>
              <w:rPr>
                <w:rFonts w:ascii="Times New Roman" w:hAnsi="Times New Roman" w:cs="Times New Roman" w:eastAsia="Times New Roman"/>
                <w:bCs w:val="1"/>
                <w:sz w:val="24"/>
                <w:szCs w:val="24"/>
                <w:lang w:eastAsia="ru-RU"/>
              </w:rPr>
              <w:t>Показатель</w:t>
            </w:r>
          </w:p>
        </w:tc>
        <w:tc>
          <w:tcPr>
            <w:tcW w:w="0" w:type="auto"/>
            <w:gridSpan w:val="5"/>
          </w:tcPr>
          <w:p>
            <w:pPr>
              <w:jc w:val="center"/>
              <w:rPr>
                <w:rFonts w:ascii="Times New Roman" w:hAnsi="Times New Roman" w:cs="Times New Roman" w:eastAsia="Times New Roman"/>
                <w:bCs w:val="1"/>
                <w:sz w:val="24"/>
                <w:szCs w:val="24"/>
                <w:lang w:eastAsia="ru-RU"/>
              </w:rPr>
            </w:pPr>
            <w:r>
              <w:rPr>
                <w:rFonts w:ascii="Times New Roman" w:hAnsi="Times New Roman" w:cs="Times New Roman" w:eastAsia="Times New Roman"/>
                <w:bCs w:val="1"/>
                <w:sz w:val="24"/>
                <w:szCs w:val="24"/>
                <w:lang w:eastAsia="ru-RU"/>
              </w:rPr>
              <w:t xml:space="preserve">Значение по годам </w:t>
            </w:r>
          </w:p>
        </w:tc>
      </w:tr>
      <w:tr>
        <w:tc>
          <w:tcPr>
            <w:tcW w:w="0" w:type="auto"/>
            <w:vMerge w:val="continue"/>
          </w:tcPr>
          <w:p>
            <w:pPr>
              <w:jc w:val="center"/>
              <w:rPr>
                <w:rFonts w:ascii="Times New Roman" w:hAnsi="Times New Roman" w:cs="Times New Roman" w:eastAsia="Times New Roman"/>
                <w:bCs w:val="1"/>
                <w:sz w:val="24"/>
                <w:szCs w:val="24"/>
                <w:lang w:eastAsia="ru-RU"/>
              </w:rPr>
            </w:pPr>
          </w:p>
        </w:tc>
        <w:tc>
          <w:tcPr>
            <w:tcW w:w="0" w:type="auto"/>
          </w:tcPr>
          <w:p>
            <w:pPr>
              <w:jc w:val="center"/>
              <w:rPr>
                <w:rFonts w:ascii="Times New Roman" w:hAnsi="Times New Roman" w:cs="Times New Roman" w:eastAsia="Times New Roman"/>
                <w:bCs w:val="1"/>
                <w:sz w:val="24"/>
                <w:szCs w:val="24"/>
                <w:lang w:eastAsia="ru-RU"/>
              </w:rPr>
            </w:pPr>
            <w:r>
              <w:rPr>
                <w:rFonts w:ascii="Times New Roman" w:hAnsi="Times New Roman" w:cs="Times New Roman" w:eastAsia="Times New Roman"/>
                <w:bCs w:val="1"/>
                <w:sz w:val="24"/>
                <w:szCs w:val="24"/>
                <w:lang w:eastAsia="ru-RU"/>
              </w:rPr>
              <w:t>2020</w:t>
            </w:r>
          </w:p>
        </w:tc>
        <w:tc>
          <w:tcPr>
            <w:tcW w:w="0" w:type="auto"/>
          </w:tcPr>
          <w:p>
            <w:pPr>
              <w:jc w:val="center"/>
              <w:rPr>
                <w:rFonts w:ascii="Times New Roman" w:hAnsi="Times New Roman" w:cs="Times New Roman" w:eastAsia="Times New Roman"/>
                <w:bCs w:val="1"/>
                <w:sz w:val="24"/>
                <w:szCs w:val="24"/>
                <w:lang w:eastAsia="ru-RU"/>
              </w:rPr>
            </w:pPr>
            <w:r>
              <w:rPr>
                <w:rFonts w:ascii="Times New Roman" w:hAnsi="Times New Roman" w:cs="Times New Roman" w:eastAsia="Times New Roman"/>
                <w:bCs w:val="1"/>
                <w:sz w:val="24"/>
                <w:szCs w:val="24"/>
                <w:lang w:eastAsia="ru-RU"/>
              </w:rPr>
              <w:t>2021</w:t>
            </w:r>
          </w:p>
        </w:tc>
        <w:tc>
          <w:tcPr>
            <w:tcW w:w="0" w:type="auto"/>
          </w:tcPr>
          <w:p>
            <w:pPr>
              <w:jc w:val="center"/>
              <w:rPr>
                <w:rFonts w:ascii="Times New Roman" w:hAnsi="Times New Roman" w:cs="Times New Roman" w:eastAsia="Times New Roman"/>
                <w:bCs w:val="1"/>
                <w:sz w:val="24"/>
                <w:szCs w:val="24"/>
                <w:lang w:eastAsia="ru-RU"/>
              </w:rPr>
            </w:pPr>
            <w:r>
              <w:rPr>
                <w:rFonts w:ascii="Times New Roman" w:hAnsi="Times New Roman" w:cs="Times New Roman" w:eastAsia="Times New Roman"/>
                <w:bCs w:val="1"/>
                <w:sz w:val="24"/>
                <w:szCs w:val="24"/>
                <w:lang w:eastAsia="ru-RU"/>
              </w:rPr>
              <w:t>2022</w:t>
            </w:r>
          </w:p>
        </w:tc>
        <w:tc>
          <w:tcPr>
            <w:tcW w:w="0" w:type="auto"/>
          </w:tcPr>
          <w:p>
            <w:pPr>
              <w:jc w:val="center"/>
              <w:rPr>
                <w:rFonts w:ascii="Times New Roman" w:hAnsi="Times New Roman" w:cs="Times New Roman" w:eastAsia="Times New Roman"/>
                <w:bCs w:val="1"/>
                <w:sz w:val="24"/>
                <w:szCs w:val="24"/>
                <w:lang w:eastAsia="ru-RU"/>
              </w:rPr>
            </w:pPr>
            <w:r>
              <w:rPr>
                <w:rFonts w:ascii="Times New Roman" w:hAnsi="Times New Roman" w:cs="Times New Roman" w:eastAsia="Times New Roman"/>
                <w:bCs w:val="1"/>
                <w:sz w:val="24"/>
                <w:szCs w:val="24"/>
                <w:lang w:eastAsia="ru-RU"/>
              </w:rPr>
              <w:t>2023</w:t>
            </w:r>
          </w:p>
        </w:tc>
        <w:tc>
          <w:tcPr>
            <w:tcW w:w="0" w:type="auto"/>
          </w:tcPr>
          <w:p>
            <w:pPr>
              <w:jc w:val="center"/>
              <w:rPr>
                <w:rFonts w:ascii="Times New Roman" w:hAnsi="Times New Roman" w:cs="Times New Roman" w:eastAsia="Times New Roman"/>
                <w:bCs w:val="1"/>
                <w:sz w:val="24"/>
                <w:szCs w:val="24"/>
                <w:lang w:eastAsia="ru-RU"/>
              </w:rPr>
            </w:pPr>
            <w:r>
              <w:rPr>
                <w:rFonts w:ascii="Times New Roman" w:hAnsi="Times New Roman" w:cs="Times New Roman" w:eastAsia="Times New Roman"/>
                <w:bCs w:val="1"/>
                <w:sz w:val="24"/>
                <w:szCs w:val="24"/>
                <w:lang w:eastAsia="ru-RU"/>
              </w:rPr>
              <w:t>2024</w:t>
            </w:r>
          </w:p>
        </w:tc>
      </w:tr>
      <w:tr>
        <w:tc>
          <w:tcPr>
            <w:tcW w:w="0" w:type="auto"/>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Доля предприятий, сталкивающихся с нетарифными барьерами</w:t>
            </w:r>
          </w:p>
        </w:tc>
        <w:tc>
          <w:tcPr>
            <w:tcW w:w="0" w:type="auto"/>
            <w:hideMark/>
          </w:tcPr>
          <w:p>
            <w:pPr>
              <w:jc w:val="cente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41</w:t>
            </w:r>
          </w:p>
        </w:tc>
        <w:tc>
          <w:tcPr>
            <w:tcW w:w="0" w:type="auto"/>
            <w:hideMark/>
          </w:tcPr>
          <w:p>
            <w:pPr>
              <w:jc w:val="cente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39</w:t>
            </w:r>
          </w:p>
        </w:tc>
        <w:tc>
          <w:tcPr>
            <w:tcW w:w="0" w:type="auto"/>
            <w:hideMark/>
          </w:tcPr>
          <w:p>
            <w:pPr>
              <w:jc w:val="cente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38</w:t>
            </w:r>
          </w:p>
        </w:tc>
        <w:tc>
          <w:tcPr>
            <w:tcW w:w="0" w:type="auto"/>
            <w:hideMark/>
          </w:tcPr>
          <w:p>
            <w:pPr>
              <w:jc w:val="cente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37</w:t>
            </w:r>
          </w:p>
        </w:tc>
        <w:tc>
          <w:tcPr>
            <w:tcW w:w="0" w:type="auto"/>
            <w:hideMark/>
          </w:tcPr>
          <w:p>
            <w:pPr>
              <w:jc w:val="cente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35</w:t>
            </w:r>
          </w:p>
        </w:tc>
      </w:tr>
      <w:tr>
        <w:tc>
          <w:tcPr>
            <w:tcW w:w="0" w:type="auto"/>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Доля полностью цифровизированных таможенных процедур</w:t>
            </w:r>
          </w:p>
        </w:tc>
        <w:tc>
          <w:tcPr>
            <w:tcW w:w="0" w:type="auto"/>
            <w:hideMark/>
          </w:tcPr>
          <w:p>
            <w:pPr>
              <w:jc w:val="cente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48</w:t>
            </w:r>
          </w:p>
        </w:tc>
        <w:tc>
          <w:tcPr>
            <w:tcW w:w="0" w:type="auto"/>
            <w:hideMark/>
          </w:tcPr>
          <w:p>
            <w:pPr>
              <w:jc w:val="cente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55</w:t>
            </w:r>
          </w:p>
        </w:tc>
        <w:tc>
          <w:tcPr>
            <w:tcW w:w="0" w:type="auto"/>
            <w:hideMark/>
          </w:tcPr>
          <w:p>
            <w:pPr>
              <w:jc w:val="cente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63</w:t>
            </w:r>
          </w:p>
        </w:tc>
        <w:tc>
          <w:tcPr>
            <w:tcW w:w="0" w:type="auto"/>
            <w:hideMark/>
          </w:tcPr>
          <w:p>
            <w:pPr>
              <w:jc w:val="cente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71</w:t>
            </w:r>
          </w:p>
        </w:tc>
        <w:tc>
          <w:tcPr>
            <w:tcW w:w="0" w:type="auto"/>
            <w:hideMark/>
          </w:tcPr>
          <w:p>
            <w:pPr>
              <w:jc w:val="cente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76</w:t>
            </w:r>
          </w:p>
        </w:tc>
      </w:tr>
      <w:tr>
        <w:tc>
          <w:tcPr>
            <w:tcW w:w="0" w:type="auto"/>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Уровень неформальных платежей (оценка, % предприятий)</w:t>
            </w:r>
          </w:p>
        </w:tc>
        <w:tc>
          <w:tcPr>
            <w:tcW w:w="0" w:type="auto"/>
            <w:hideMark/>
          </w:tcPr>
          <w:p>
            <w:pPr>
              <w:jc w:val="cente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29</w:t>
            </w:r>
          </w:p>
        </w:tc>
        <w:tc>
          <w:tcPr>
            <w:tcW w:w="0" w:type="auto"/>
            <w:hideMark/>
          </w:tcPr>
          <w:p>
            <w:pPr>
              <w:jc w:val="cente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27</w:t>
            </w:r>
          </w:p>
        </w:tc>
        <w:tc>
          <w:tcPr>
            <w:tcW w:w="0" w:type="auto"/>
            <w:hideMark/>
          </w:tcPr>
          <w:p>
            <w:pPr>
              <w:jc w:val="cente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25</w:t>
            </w:r>
          </w:p>
        </w:tc>
        <w:tc>
          <w:tcPr>
            <w:tcW w:w="0" w:type="auto"/>
            <w:hideMark/>
          </w:tcPr>
          <w:p>
            <w:pPr>
              <w:jc w:val="cente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24</w:t>
            </w:r>
          </w:p>
        </w:tc>
        <w:tc>
          <w:tcPr>
            <w:tcW w:w="0" w:type="auto"/>
            <w:hideMark/>
          </w:tcPr>
          <w:p>
            <w:pPr>
              <w:jc w:val="cente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22</w:t>
            </w:r>
          </w:p>
        </w:tc>
      </w:tr>
    </w:tbl>
    <w:p>
      <w:pPr>
        <w:pStyle w:val="P21"/>
        <w:spacing w:lineRule="auto" w:line="360" w:beforeAutospacing="0" w:afterAutospacing="0"/>
        <w:ind w:firstLine="0" w:right="40"/>
        <w:jc w:val="both"/>
        <w:rPr>
          <w:rFonts w:ascii="Times New Roman" w:hAnsi="Times New Roman" w:cs="Times New Roman"/>
          <w:sz w:val="28"/>
          <w:szCs w:val="28"/>
        </w:rPr>
      </w:pPr>
    </w:p>
    <w:p>
      <w:pPr>
        <w:pStyle w:val="P21"/>
        <w:spacing w:lineRule="auto" w:line="360" w:beforeAutospacing="0" w:afterAutospacing="0"/>
        <w:ind w:firstLine="689" w:left="20" w:right="40"/>
        <w:jc w:val="both"/>
        <w:rPr>
          <w:rFonts w:ascii="Times New Roman" w:hAnsi="Times New Roman" w:cs="Times New Roman"/>
          <w:sz w:val="28"/>
          <w:szCs w:val="28"/>
        </w:rPr>
      </w:pPr>
      <w:r>
        <w:rPr>
          <w:rFonts w:ascii="Times New Roman" w:hAnsi="Times New Roman" w:cs="Times New Roman"/>
          <w:sz w:val="28"/>
          <w:szCs w:val="28"/>
        </w:rPr>
        <w:t>Дополнительно для глобальных рынков барьерами выступают:</w:t>
      </w:r>
    </w:p>
    <w:p>
      <w:pPr>
        <w:pStyle w:val="P21"/>
        <w:numPr>
          <w:ilvl w:val="0"/>
          <w:numId w:val="30"/>
        </w:numPr>
        <w:tabs>
          <w:tab w:val="left" w:pos="1134" w:leader="none"/>
        </w:tabs>
        <w:spacing w:lineRule="auto" w:line="360" w:beforeAutospacing="0" w:afterAutospacing="0"/>
        <w:ind w:firstLine="709" w:left="0" w:right="40"/>
        <w:jc w:val="both"/>
        <w:rPr>
          <w:rFonts w:ascii="Times New Roman" w:hAnsi="Times New Roman" w:cs="Times New Roman"/>
          <w:sz w:val="28"/>
          <w:szCs w:val="28"/>
        </w:rPr>
      </w:pPr>
      <w:r>
        <w:rPr>
          <w:rFonts w:ascii="Times New Roman" w:hAnsi="Times New Roman" w:cs="Times New Roman"/>
          <w:sz w:val="28"/>
          <w:szCs w:val="28"/>
        </w:rPr>
        <w:t>требования по сертификации;</w:t>
      </w:r>
    </w:p>
    <w:p>
      <w:pPr>
        <w:pStyle w:val="P21"/>
        <w:numPr>
          <w:ilvl w:val="0"/>
          <w:numId w:val="30"/>
        </w:numPr>
        <w:tabs>
          <w:tab w:val="left" w:pos="1134" w:leader="none"/>
        </w:tabs>
        <w:spacing w:lineRule="auto" w:line="360" w:beforeAutospacing="0" w:afterAutospacing="0"/>
        <w:ind w:firstLine="709" w:left="0" w:right="40"/>
        <w:jc w:val="both"/>
        <w:rPr>
          <w:rFonts w:ascii="Times New Roman" w:hAnsi="Times New Roman" w:cs="Times New Roman"/>
          <w:sz w:val="28"/>
          <w:szCs w:val="28"/>
        </w:rPr>
      </w:pPr>
      <w:r>
        <w:rPr>
          <w:rFonts w:ascii="Times New Roman" w:hAnsi="Times New Roman" w:cs="Times New Roman"/>
          <w:sz w:val="28"/>
          <w:szCs w:val="28"/>
        </w:rPr>
        <w:t>экологические стандарты (например, регулирование вырубки лесов);</w:t>
      </w:r>
    </w:p>
    <w:p>
      <w:pPr>
        <w:pStyle w:val="P21"/>
        <w:numPr>
          <w:ilvl w:val="0"/>
          <w:numId w:val="30"/>
        </w:numPr>
        <w:tabs>
          <w:tab w:val="left" w:pos="1134" w:leader="none"/>
        </w:tabs>
        <w:spacing w:lineRule="auto" w:line="360" w:beforeAutospacing="0" w:afterAutospacing="0"/>
        <w:ind w:firstLine="709" w:left="0" w:right="40"/>
        <w:jc w:val="both"/>
        <w:rPr>
          <w:rFonts w:ascii="Times New Roman" w:hAnsi="Times New Roman" w:cs="Times New Roman"/>
          <w:sz w:val="28"/>
          <w:szCs w:val="28"/>
        </w:rPr>
      </w:pPr>
      <w:r>
        <w:rPr>
          <w:rFonts w:ascii="Times New Roman" w:hAnsi="Times New Roman" w:cs="Times New Roman"/>
          <w:sz w:val="28"/>
          <w:szCs w:val="28"/>
        </w:rPr>
        <w:t>требования к прослеживаемости продукции;</w:t>
      </w:r>
    </w:p>
    <w:p>
      <w:pPr>
        <w:pStyle w:val="P21"/>
        <w:numPr>
          <w:ilvl w:val="0"/>
          <w:numId w:val="30"/>
        </w:numPr>
        <w:tabs>
          <w:tab w:val="left" w:pos="1134" w:leader="none"/>
        </w:tabs>
        <w:spacing w:lineRule="auto" w:line="360" w:beforeAutospacing="0" w:afterAutospacing="0"/>
        <w:ind w:firstLine="709" w:left="0" w:right="40"/>
        <w:jc w:val="both"/>
        <w:rPr>
          <w:rFonts w:ascii="Times New Roman" w:hAnsi="Times New Roman" w:cs="Times New Roman"/>
          <w:sz w:val="28"/>
          <w:szCs w:val="28"/>
        </w:rPr>
      </w:pPr>
      <w:r>
        <w:rPr>
          <w:rFonts w:ascii="Times New Roman" w:hAnsi="Times New Roman" w:cs="Times New Roman"/>
          <w:sz w:val="28"/>
          <w:szCs w:val="28"/>
        </w:rPr>
        <w:t>волатильность мировых цен.</w:t>
      </w:r>
    </w:p>
    <w:p>
      <w:pPr>
        <w:pStyle w:val="P21"/>
        <w:spacing w:lineRule="auto" w:line="360" w:beforeAutospacing="0" w:afterAutospacing="0"/>
        <w:ind w:firstLine="689" w:left="20" w:right="40"/>
        <w:jc w:val="both"/>
        <w:rPr>
          <w:rFonts w:ascii="Times New Roman" w:hAnsi="Times New Roman" w:cs="Times New Roman"/>
          <w:sz w:val="28"/>
          <w:szCs w:val="28"/>
        </w:rPr>
      </w:pPr>
      <w:r>
        <w:rPr>
          <w:rFonts w:ascii="Times New Roman" w:hAnsi="Times New Roman" w:cs="Times New Roman"/>
          <w:sz w:val="28"/>
          <w:szCs w:val="28"/>
        </w:rPr>
        <w:t>Это, в свою очередь, увеличивает трансакционные издержки и снижает конкурентоспособность национальных производителей.</w:t>
      </w:r>
    </w:p>
    <w:p>
      <w:pPr>
        <w:pStyle w:val="P21"/>
        <w:spacing w:lineRule="auto" w:line="360" w:beforeAutospacing="0" w:afterAutospacing="0"/>
        <w:ind w:firstLine="689" w:left="20" w:right="40"/>
        <w:jc w:val="both"/>
        <w:rPr>
          <w:rFonts w:ascii="Times New Roman" w:hAnsi="Times New Roman" w:cs="Times New Roman"/>
          <w:sz w:val="28"/>
          <w:szCs w:val="28"/>
        </w:rPr>
      </w:pPr>
      <w:r>
        <w:rPr>
          <w:rFonts w:ascii="Times New Roman" w:hAnsi="Times New Roman" w:cs="Times New Roman"/>
          <w:sz w:val="28"/>
          <w:szCs w:val="28"/>
        </w:rPr>
        <w:t>Как было установлено ранее, Кот-д’Ивуар обладает развитой портовой инфраструктурой (порт Абиджана, порт Сан-Педро), что является стратегическим преимуществом для Западной Африки. Однако логистическая система сталкивается со следующими проблемами:</w:t>
      </w:r>
    </w:p>
    <w:p>
      <w:pPr>
        <w:pStyle w:val="P21"/>
        <w:numPr>
          <w:ilvl w:val="0"/>
          <w:numId w:val="31"/>
        </w:numPr>
        <w:tabs>
          <w:tab w:val="left" w:pos="993" w:leader="none"/>
        </w:tabs>
        <w:spacing w:lineRule="auto" w:line="360" w:beforeAutospacing="0" w:afterAutospacing="0"/>
        <w:ind w:firstLine="709" w:left="0" w:right="40"/>
        <w:jc w:val="both"/>
        <w:rPr>
          <w:rFonts w:ascii="Times New Roman" w:hAnsi="Times New Roman" w:cs="Times New Roman"/>
          <w:sz w:val="28"/>
          <w:szCs w:val="28"/>
        </w:rPr>
      </w:pPr>
      <w:r>
        <w:rPr>
          <w:rFonts w:ascii="Times New Roman" w:hAnsi="Times New Roman" w:cs="Times New Roman"/>
          <w:sz w:val="28"/>
          <w:szCs w:val="28"/>
        </w:rPr>
        <w:t>перегруженность портовой инфраструктуры;</w:t>
      </w:r>
    </w:p>
    <w:p>
      <w:pPr>
        <w:pStyle w:val="P21"/>
        <w:numPr>
          <w:ilvl w:val="0"/>
          <w:numId w:val="31"/>
        </w:numPr>
        <w:tabs>
          <w:tab w:val="left" w:pos="993" w:leader="none"/>
        </w:tabs>
        <w:spacing w:lineRule="auto" w:line="360" w:beforeAutospacing="0" w:afterAutospacing="0"/>
        <w:ind w:firstLine="709" w:left="0" w:right="40"/>
        <w:jc w:val="both"/>
        <w:rPr>
          <w:rFonts w:ascii="Times New Roman" w:hAnsi="Times New Roman" w:cs="Times New Roman"/>
          <w:sz w:val="28"/>
          <w:szCs w:val="28"/>
        </w:rPr>
      </w:pPr>
      <w:r>
        <w:rPr>
          <w:rFonts w:ascii="Times New Roman" w:hAnsi="Times New Roman" w:cs="Times New Roman"/>
          <w:sz w:val="28"/>
          <w:szCs w:val="28"/>
        </w:rPr>
        <w:t>высокая стоимость внутреннего транспортирования;</w:t>
      </w:r>
    </w:p>
    <w:p>
      <w:pPr>
        <w:pStyle w:val="P21"/>
        <w:numPr>
          <w:ilvl w:val="0"/>
          <w:numId w:val="31"/>
        </w:numPr>
        <w:tabs>
          <w:tab w:val="left" w:pos="993" w:leader="none"/>
        </w:tabs>
        <w:spacing w:lineRule="auto" w:line="360" w:beforeAutospacing="0" w:afterAutospacing="0"/>
        <w:ind w:firstLine="709" w:left="0" w:right="40"/>
        <w:jc w:val="both"/>
        <w:rPr>
          <w:rFonts w:ascii="Times New Roman" w:hAnsi="Times New Roman" w:cs="Times New Roman"/>
          <w:sz w:val="28"/>
          <w:szCs w:val="28"/>
        </w:rPr>
      </w:pPr>
      <w:r>
        <w:rPr>
          <w:rFonts w:ascii="Times New Roman" w:hAnsi="Times New Roman" w:cs="Times New Roman"/>
          <w:sz w:val="28"/>
          <w:szCs w:val="28"/>
        </w:rPr>
        <w:t>ограниченная пропускная способность железнодорожной сети;</w:t>
      </w:r>
    </w:p>
    <w:p>
      <w:pPr>
        <w:pStyle w:val="P21"/>
        <w:numPr>
          <w:ilvl w:val="0"/>
          <w:numId w:val="31"/>
        </w:numPr>
        <w:tabs>
          <w:tab w:val="left" w:pos="993" w:leader="none"/>
        </w:tabs>
        <w:spacing w:lineRule="auto" w:line="360" w:beforeAutospacing="0" w:afterAutospacing="0"/>
        <w:ind w:firstLine="709" w:left="0" w:right="40"/>
        <w:jc w:val="both"/>
        <w:rPr>
          <w:rFonts w:ascii="Times New Roman" w:hAnsi="Times New Roman" w:cs="Times New Roman"/>
          <w:sz w:val="28"/>
          <w:szCs w:val="28"/>
        </w:rPr>
      </w:pPr>
      <w:r>
        <w:rPr>
          <w:rFonts w:ascii="Times New Roman" w:hAnsi="Times New Roman" w:cs="Times New Roman"/>
          <w:sz w:val="28"/>
          <w:szCs w:val="28"/>
        </w:rPr>
        <w:t>низкое качество дорожной инфраструктуры вне основных экономических центров;</w:t>
      </w:r>
    </w:p>
    <w:p>
      <w:pPr>
        <w:pStyle w:val="P21"/>
        <w:numPr>
          <w:ilvl w:val="0"/>
          <w:numId w:val="31"/>
        </w:numPr>
        <w:tabs>
          <w:tab w:val="left" w:pos="993" w:leader="none"/>
        </w:tabs>
        <w:spacing w:lineRule="auto" w:line="360" w:beforeAutospacing="0" w:afterAutospacing="0"/>
        <w:ind w:firstLine="709" w:left="0" w:right="40"/>
        <w:jc w:val="both"/>
        <w:rPr>
          <w:rFonts w:ascii="Times New Roman" w:hAnsi="Times New Roman" w:cs="Times New Roman"/>
          <w:sz w:val="28"/>
          <w:szCs w:val="28"/>
        </w:rPr>
      </w:pPr>
      <w:r>
        <w:rPr>
          <w:rFonts w:ascii="Times New Roman" w:hAnsi="Times New Roman" w:cs="Times New Roman"/>
          <w:sz w:val="28"/>
          <w:szCs w:val="28"/>
        </w:rPr>
        <w:t xml:space="preserve">высокие временные издержки при пересечении границ. </w:t>
      </w:r>
      <w:r>
        <w:rPr>
          <w:rFonts w:ascii="Times New Roman" w:hAnsi="Times New Roman" w:cs="Times New Roman"/>
          <w:color w:val="00B0F0"/>
          <w:sz w:val="28"/>
          <w:szCs w:val="28"/>
          <w:highlight w:val="yellow"/>
        </w:rPr>
        <w:t>?ссылка</w:t>
      </w:r>
    </w:p>
    <w:p>
      <w:pPr>
        <w:pStyle w:val="P21"/>
        <w:spacing w:lineRule="auto" w:line="360" w:beforeAutospacing="0" w:afterAutospacing="0"/>
        <w:ind w:firstLine="689" w:left="20" w:right="40"/>
        <w:jc w:val="both"/>
        <w:rPr>
          <w:rFonts w:ascii="Times New Roman" w:hAnsi="Times New Roman" w:cs="Times New Roman"/>
          <w:sz w:val="28"/>
          <w:szCs w:val="28"/>
        </w:rPr>
      </w:pPr>
      <w:r>
        <w:rPr>
          <w:rFonts w:ascii="Times New Roman" w:hAnsi="Times New Roman" w:cs="Times New Roman"/>
          <w:sz w:val="28"/>
          <w:szCs w:val="28"/>
        </w:rPr>
        <w:t>Дополнительно сохраняется зависимость от ограниченного числа морских маршрутов и подводных кабелей связи, что создает риски как для торговых, так и для цифровых потоков.</w:t>
      </w:r>
    </w:p>
    <w:p>
      <w:pPr>
        <w:pStyle w:val="P21"/>
        <w:spacing w:lineRule="auto" w:line="360" w:beforeAutospacing="0" w:afterAutospacing="0"/>
        <w:ind w:firstLine="689" w:left="20" w:right="40"/>
        <w:jc w:val="both"/>
        <w:rPr>
          <w:rFonts w:ascii="Times New Roman" w:hAnsi="Times New Roman" w:cs="Times New Roman"/>
          <w:sz w:val="28"/>
          <w:szCs w:val="28"/>
        </w:rPr>
      </w:pPr>
      <w:r>
        <w:rPr>
          <w:rFonts w:ascii="Times New Roman" w:hAnsi="Times New Roman" w:cs="Times New Roman"/>
          <w:sz w:val="28"/>
          <w:szCs w:val="28"/>
        </w:rPr>
        <w:t xml:space="preserve">Несмотря на улучшение временных параметров, логистические издержки остаются высокими, особенно в периоды глобальных шоков (2022 г.) </w:t>
      </w:r>
      <w:r>
        <w:rPr>
          <w:rFonts w:ascii="Times New Roman" w:hAnsi="Times New Roman" w:cs="Times New Roman"/>
          <w:sz w:val="28"/>
          <w:szCs w:val="28"/>
          <w:highlight w:val="yellow"/>
        </w:rPr>
        <w:t>(таблица ???</w:t>
      </w:r>
      <w:r>
        <w:rPr>
          <w:rFonts w:ascii="Times New Roman" w:hAnsi="Times New Roman" w:cs="Times New Roman"/>
          <w:sz w:val="28"/>
          <w:szCs w:val="28"/>
        </w:rPr>
        <w:t>). Высокие логистические издержки уменьшают маржу переработки и делают локализацию производства менее привлекательной.</w:t>
      </w:r>
    </w:p>
    <w:p>
      <w:pPr>
        <w:pStyle w:val="P21"/>
        <w:spacing w:lineRule="auto" w:line="360" w:beforeAutospacing="0" w:afterAutospacing="0"/>
        <w:ind w:firstLine="689" w:left="20" w:right="40"/>
        <w:jc w:val="both"/>
        <w:rPr>
          <w:rFonts w:ascii="Times New Roman" w:hAnsi="Times New Roman" w:cs="Times New Roman"/>
          <w:sz w:val="28"/>
          <w:szCs w:val="28"/>
        </w:rPr>
      </w:pPr>
    </w:p>
    <w:p>
      <w:pPr>
        <w:pStyle w:val="P21"/>
        <w:spacing w:lineRule="auto" w:line="360" w:beforeAutospacing="0" w:afterAutospacing="0"/>
        <w:ind w:firstLine="0" w:right="40"/>
        <w:jc w:val="both"/>
        <w:rPr>
          <w:rFonts w:ascii="Times New Roman" w:hAnsi="Times New Roman" w:cs="Times New Roman"/>
          <w:sz w:val="28"/>
          <w:szCs w:val="28"/>
        </w:rPr>
      </w:pPr>
      <w:r>
        <w:rPr>
          <w:rFonts w:ascii="Times New Roman" w:hAnsi="Times New Roman" w:cs="Times New Roman"/>
          <w:sz w:val="28"/>
          <w:szCs w:val="28"/>
        </w:rPr>
        <w:t>Таблица 2.11 – Показатели логистики и торговых процедур</w:t>
      </w:r>
      <w:r>
        <w:rPr>
          <w:rStyle w:val="C42"/>
          <w:rFonts w:ascii="Times New Roman" w:hAnsi="Times New Roman" w:cs="Times New Roman"/>
          <w:sz w:val="28"/>
          <w:szCs w:val="28"/>
        </w:rPr>
        <w:footnoteReference w:id="104"/>
      </w:r>
    </w:p>
    <w:tbl>
      <w:tblPr>
        <w:tblStyle w:val="T3"/>
        <w:tblW w:w="9800" w:type="dxa"/>
        <w:tblLook w:val="04A0"/>
      </w:tblPr>
      <w:tblGrid>
        <w:gridCol w:w="5839"/>
        <w:gridCol w:w="778"/>
        <w:gridCol w:w="778"/>
        <w:gridCol w:w="779"/>
        <w:gridCol w:w="779"/>
        <w:gridCol w:w="847"/>
      </w:tblGrid>
      <w:tr>
        <w:trPr>
          <w:trHeight w:hRule="atLeast" w:val="255"/>
        </w:trPr>
        <w:tc>
          <w:tcPr>
            <w:tcW w:w="0" w:type="auto"/>
            <w:vMerge w:val="restart"/>
            <w:hideMark/>
          </w:tcPr>
          <w:p>
            <w:pPr>
              <w:jc w:val="center"/>
              <w:rPr>
                <w:rFonts w:ascii="Times New Roman" w:hAnsi="Times New Roman" w:cs="Times New Roman" w:eastAsia="Times New Roman"/>
                <w:bCs w:val="1"/>
                <w:sz w:val="24"/>
                <w:szCs w:val="24"/>
                <w:lang w:eastAsia="ru-RU"/>
              </w:rPr>
            </w:pPr>
            <w:r>
              <w:rPr>
                <w:rFonts w:ascii="Times New Roman" w:hAnsi="Times New Roman" w:cs="Times New Roman" w:eastAsia="Times New Roman"/>
                <w:bCs w:val="1"/>
                <w:sz w:val="24"/>
                <w:szCs w:val="24"/>
                <w:lang w:eastAsia="ru-RU"/>
              </w:rPr>
              <w:t>Индикатор</w:t>
            </w:r>
          </w:p>
        </w:tc>
        <w:tc>
          <w:tcPr>
            <w:tcW w:w="0" w:type="auto"/>
            <w:gridSpan w:val="5"/>
          </w:tcPr>
          <w:p>
            <w:pPr>
              <w:jc w:val="center"/>
              <w:rPr>
                <w:rFonts w:ascii="Times New Roman" w:hAnsi="Times New Roman" w:cs="Times New Roman" w:eastAsia="Times New Roman"/>
                <w:bCs w:val="1"/>
                <w:sz w:val="24"/>
                <w:szCs w:val="24"/>
                <w:lang w:eastAsia="ru-RU"/>
              </w:rPr>
            </w:pPr>
            <w:r>
              <w:rPr>
                <w:rFonts w:ascii="Times New Roman" w:hAnsi="Times New Roman" w:cs="Times New Roman" w:eastAsia="Times New Roman"/>
                <w:bCs w:val="1"/>
                <w:sz w:val="24"/>
                <w:szCs w:val="24"/>
                <w:lang w:eastAsia="ru-RU"/>
              </w:rPr>
              <w:t>Значение по годам</w:t>
            </w:r>
          </w:p>
        </w:tc>
      </w:tr>
      <w:tr>
        <w:trPr>
          <w:trHeight w:hRule="atLeast" w:val="255"/>
        </w:trPr>
        <w:tc>
          <w:tcPr>
            <w:tcW w:w="0" w:type="auto"/>
            <w:vMerge w:val="continue"/>
          </w:tcPr>
          <w:p>
            <w:pPr>
              <w:jc w:val="center"/>
              <w:rPr>
                <w:rFonts w:ascii="Times New Roman" w:hAnsi="Times New Roman" w:cs="Times New Roman" w:eastAsia="Times New Roman"/>
                <w:bCs w:val="1"/>
                <w:sz w:val="24"/>
                <w:szCs w:val="24"/>
                <w:lang w:eastAsia="ru-RU"/>
              </w:rPr>
            </w:pPr>
          </w:p>
        </w:tc>
        <w:tc>
          <w:tcPr>
            <w:tcW w:w="0" w:type="auto"/>
          </w:tcPr>
          <w:p>
            <w:pPr>
              <w:jc w:val="center"/>
              <w:rPr>
                <w:rFonts w:ascii="Times New Roman" w:hAnsi="Times New Roman" w:cs="Times New Roman" w:eastAsia="Times New Roman"/>
                <w:bCs w:val="1"/>
                <w:sz w:val="24"/>
                <w:szCs w:val="24"/>
                <w:lang w:eastAsia="ru-RU"/>
              </w:rPr>
            </w:pPr>
            <w:r>
              <w:rPr>
                <w:rFonts w:ascii="Times New Roman" w:hAnsi="Times New Roman" w:cs="Times New Roman" w:eastAsia="Times New Roman"/>
                <w:bCs w:val="1"/>
                <w:sz w:val="24"/>
                <w:szCs w:val="24"/>
                <w:lang w:eastAsia="ru-RU"/>
              </w:rPr>
              <w:t>2020</w:t>
            </w:r>
          </w:p>
        </w:tc>
        <w:tc>
          <w:tcPr>
            <w:tcW w:w="0" w:type="auto"/>
          </w:tcPr>
          <w:p>
            <w:pPr>
              <w:jc w:val="center"/>
              <w:rPr>
                <w:rFonts w:ascii="Times New Roman" w:hAnsi="Times New Roman" w:cs="Times New Roman" w:eastAsia="Times New Roman"/>
                <w:bCs w:val="1"/>
                <w:sz w:val="24"/>
                <w:szCs w:val="24"/>
                <w:lang w:eastAsia="ru-RU"/>
              </w:rPr>
            </w:pPr>
            <w:r>
              <w:rPr>
                <w:rFonts w:ascii="Times New Roman" w:hAnsi="Times New Roman" w:cs="Times New Roman" w:eastAsia="Times New Roman"/>
                <w:bCs w:val="1"/>
                <w:sz w:val="24"/>
                <w:szCs w:val="24"/>
                <w:lang w:eastAsia="ru-RU"/>
              </w:rPr>
              <w:t>2021</w:t>
            </w:r>
          </w:p>
        </w:tc>
        <w:tc>
          <w:tcPr>
            <w:tcW w:w="0" w:type="auto"/>
          </w:tcPr>
          <w:p>
            <w:pPr>
              <w:jc w:val="center"/>
              <w:rPr>
                <w:rFonts w:ascii="Times New Roman" w:hAnsi="Times New Roman" w:cs="Times New Roman" w:eastAsia="Times New Roman"/>
                <w:bCs w:val="1"/>
                <w:sz w:val="24"/>
                <w:szCs w:val="24"/>
                <w:lang w:eastAsia="ru-RU"/>
              </w:rPr>
            </w:pPr>
            <w:r>
              <w:rPr>
                <w:rFonts w:ascii="Times New Roman" w:hAnsi="Times New Roman" w:cs="Times New Roman" w:eastAsia="Times New Roman"/>
                <w:bCs w:val="1"/>
                <w:sz w:val="24"/>
                <w:szCs w:val="24"/>
                <w:lang w:eastAsia="ru-RU"/>
              </w:rPr>
              <w:t>2022</w:t>
            </w:r>
          </w:p>
        </w:tc>
        <w:tc>
          <w:tcPr>
            <w:tcW w:w="0" w:type="auto"/>
          </w:tcPr>
          <w:p>
            <w:pPr>
              <w:jc w:val="center"/>
              <w:rPr>
                <w:rFonts w:ascii="Times New Roman" w:hAnsi="Times New Roman" w:cs="Times New Roman" w:eastAsia="Times New Roman"/>
                <w:bCs w:val="1"/>
                <w:sz w:val="24"/>
                <w:szCs w:val="24"/>
                <w:lang w:eastAsia="ru-RU"/>
              </w:rPr>
            </w:pPr>
            <w:r>
              <w:rPr>
                <w:rFonts w:ascii="Times New Roman" w:hAnsi="Times New Roman" w:cs="Times New Roman" w:eastAsia="Times New Roman"/>
                <w:bCs w:val="1"/>
                <w:sz w:val="24"/>
                <w:szCs w:val="24"/>
                <w:lang w:eastAsia="ru-RU"/>
              </w:rPr>
              <w:t>2023</w:t>
            </w:r>
          </w:p>
        </w:tc>
        <w:tc>
          <w:tcPr>
            <w:tcW w:w="0" w:type="auto"/>
          </w:tcPr>
          <w:p>
            <w:pPr>
              <w:jc w:val="center"/>
              <w:rPr>
                <w:rFonts w:ascii="Times New Roman" w:hAnsi="Times New Roman" w:cs="Times New Roman" w:eastAsia="Times New Roman"/>
                <w:bCs w:val="1"/>
                <w:sz w:val="24"/>
                <w:szCs w:val="24"/>
                <w:lang w:eastAsia="ru-RU"/>
              </w:rPr>
            </w:pPr>
            <w:r>
              <w:rPr>
                <w:rFonts w:ascii="Times New Roman" w:hAnsi="Times New Roman" w:cs="Times New Roman" w:eastAsia="Times New Roman"/>
                <w:bCs w:val="1"/>
                <w:sz w:val="24"/>
                <w:szCs w:val="24"/>
                <w:lang w:eastAsia="ru-RU"/>
              </w:rPr>
              <w:t>2024</w:t>
            </w:r>
          </w:p>
        </w:tc>
      </w:tr>
      <w:tr>
        <w:trPr>
          <w:trHeight w:hRule="atLeast" w:val="255"/>
        </w:trPr>
        <w:tc>
          <w:tcPr>
            <w:tcW w:w="0" w:type="auto"/>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Время экспорта, дн.</w:t>
            </w:r>
          </w:p>
        </w:tc>
        <w:tc>
          <w:tcPr>
            <w:tcW w:w="0" w:type="auto"/>
            <w:hideMark/>
          </w:tcPr>
          <w:p>
            <w:pPr>
              <w:jc w:val="cente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6,5</w:t>
            </w:r>
          </w:p>
        </w:tc>
        <w:tc>
          <w:tcPr>
            <w:tcW w:w="0" w:type="auto"/>
            <w:hideMark/>
          </w:tcPr>
          <w:p>
            <w:pPr>
              <w:jc w:val="cente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6,0</w:t>
            </w:r>
          </w:p>
        </w:tc>
        <w:tc>
          <w:tcPr>
            <w:tcW w:w="0" w:type="auto"/>
            <w:hideMark/>
          </w:tcPr>
          <w:p>
            <w:pPr>
              <w:jc w:val="cente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5,8</w:t>
            </w:r>
          </w:p>
        </w:tc>
        <w:tc>
          <w:tcPr>
            <w:tcW w:w="0" w:type="auto"/>
            <w:hideMark/>
          </w:tcPr>
          <w:p>
            <w:pPr>
              <w:jc w:val="cente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5,5</w:t>
            </w:r>
          </w:p>
        </w:tc>
        <w:tc>
          <w:tcPr>
            <w:tcW w:w="0" w:type="auto"/>
            <w:hideMark/>
          </w:tcPr>
          <w:p>
            <w:pPr>
              <w:jc w:val="cente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5,3</w:t>
            </w:r>
          </w:p>
        </w:tc>
      </w:tr>
      <w:tr>
        <w:trPr>
          <w:trHeight w:hRule="atLeast" w:val="255"/>
        </w:trPr>
        <w:tc>
          <w:tcPr>
            <w:tcW w:w="0" w:type="auto"/>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Время импорта, дн.</w:t>
            </w:r>
          </w:p>
        </w:tc>
        <w:tc>
          <w:tcPr>
            <w:tcW w:w="0" w:type="auto"/>
            <w:hideMark/>
          </w:tcPr>
          <w:p>
            <w:pPr>
              <w:jc w:val="cente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7,2</w:t>
            </w:r>
          </w:p>
        </w:tc>
        <w:tc>
          <w:tcPr>
            <w:tcW w:w="0" w:type="auto"/>
            <w:hideMark/>
          </w:tcPr>
          <w:p>
            <w:pPr>
              <w:jc w:val="cente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6,8</w:t>
            </w:r>
          </w:p>
        </w:tc>
        <w:tc>
          <w:tcPr>
            <w:tcW w:w="0" w:type="auto"/>
            <w:hideMark/>
          </w:tcPr>
          <w:p>
            <w:pPr>
              <w:jc w:val="cente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6,5</w:t>
            </w:r>
          </w:p>
        </w:tc>
        <w:tc>
          <w:tcPr>
            <w:tcW w:w="0" w:type="auto"/>
            <w:hideMark/>
          </w:tcPr>
          <w:p>
            <w:pPr>
              <w:jc w:val="cente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6,2</w:t>
            </w:r>
          </w:p>
        </w:tc>
        <w:tc>
          <w:tcPr>
            <w:tcW w:w="0" w:type="auto"/>
            <w:hideMark/>
          </w:tcPr>
          <w:p>
            <w:pPr>
              <w:jc w:val="cente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6,0</w:t>
            </w:r>
          </w:p>
        </w:tc>
      </w:tr>
      <w:tr>
        <w:trPr>
          <w:trHeight w:hRule="atLeast" w:val="255"/>
        </w:trPr>
        <w:tc>
          <w:tcPr>
            <w:tcW w:w="0" w:type="auto"/>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Стоимость контейнера экспорта, долл.</w:t>
            </w:r>
          </w:p>
        </w:tc>
        <w:tc>
          <w:tcPr>
            <w:tcW w:w="0" w:type="auto"/>
            <w:hideMark/>
          </w:tcPr>
          <w:p>
            <w:pPr>
              <w:jc w:val="cente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1280</w:t>
            </w:r>
          </w:p>
        </w:tc>
        <w:tc>
          <w:tcPr>
            <w:tcW w:w="0" w:type="auto"/>
            <w:hideMark/>
          </w:tcPr>
          <w:p>
            <w:pPr>
              <w:jc w:val="cente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1340</w:t>
            </w:r>
          </w:p>
        </w:tc>
        <w:tc>
          <w:tcPr>
            <w:tcW w:w="0" w:type="auto"/>
            <w:hideMark/>
          </w:tcPr>
          <w:p>
            <w:pPr>
              <w:jc w:val="cente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1700</w:t>
            </w:r>
          </w:p>
        </w:tc>
        <w:tc>
          <w:tcPr>
            <w:tcW w:w="0" w:type="auto"/>
            <w:hideMark/>
          </w:tcPr>
          <w:p>
            <w:pPr>
              <w:jc w:val="cente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1500</w:t>
            </w:r>
          </w:p>
        </w:tc>
        <w:tc>
          <w:tcPr>
            <w:tcW w:w="0" w:type="auto"/>
            <w:hideMark/>
          </w:tcPr>
          <w:p>
            <w:pPr>
              <w:jc w:val="cente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1420</w:t>
            </w:r>
          </w:p>
        </w:tc>
      </w:tr>
      <w:tr>
        <w:trPr>
          <w:trHeight w:hRule="atLeast" w:val="255"/>
        </w:trPr>
        <w:tc>
          <w:tcPr>
            <w:tcW w:w="0" w:type="auto"/>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Индекс логистической эффективности (LPI, 1–5)</w:t>
            </w:r>
          </w:p>
        </w:tc>
        <w:tc>
          <w:tcPr>
            <w:tcW w:w="0" w:type="auto"/>
            <w:hideMark/>
          </w:tcPr>
          <w:p>
            <w:pPr>
              <w:jc w:val="cente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2,66</w:t>
            </w:r>
          </w:p>
        </w:tc>
        <w:tc>
          <w:tcPr>
            <w:tcW w:w="0" w:type="auto"/>
            <w:hideMark/>
          </w:tcPr>
          <w:p>
            <w:pPr>
              <w:jc w:val="cente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w:t>
            </w:r>
          </w:p>
        </w:tc>
        <w:tc>
          <w:tcPr>
            <w:tcW w:w="0" w:type="auto"/>
            <w:hideMark/>
          </w:tcPr>
          <w:p>
            <w:pPr>
              <w:jc w:val="cente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2,80</w:t>
            </w:r>
          </w:p>
        </w:tc>
        <w:tc>
          <w:tcPr>
            <w:tcW w:w="0" w:type="auto"/>
            <w:hideMark/>
          </w:tcPr>
          <w:p>
            <w:pPr>
              <w:jc w:val="cente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w:t>
            </w:r>
          </w:p>
        </w:tc>
        <w:tc>
          <w:tcPr>
            <w:tcW w:w="0" w:type="auto"/>
            <w:hideMark/>
          </w:tcPr>
          <w:p>
            <w:pPr>
              <w:jc w:val="cente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2,85*</w:t>
            </w:r>
          </w:p>
        </w:tc>
      </w:tr>
    </w:tbl>
    <w:p>
      <w:pPr>
        <w:pStyle w:val="P21"/>
        <w:spacing w:lineRule="auto" w:line="360" w:beforeAutospacing="0" w:afterAutospacing="0"/>
        <w:ind w:firstLine="0" w:right="40"/>
        <w:jc w:val="both"/>
        <w:rPr>
          <w:rFonts w:ascii="Times New Roman" w:hAnsi="Times New Roman" w:cs="Times New Roman"/>
          <w:sz w:val="24"/>
          <w:szCs w:val="24"/>
        </w:rPr>
      </w:pPr>
      <w:r>
        <w:rPr>
          <w:rFonts w:ascii="Times New Roman" w:hAnsi="Times New Roman" w:cs="Times New Roman"/>
          <w:sz w:val="24"/>
          <w:szCs w:val="24"/>
        </w:rPr>
        <w:t>Примечание: *– оценка по предварительным данным</w:t>
      </w:r>
    </w:p>
    <w:p>
      <w:pPr>
        <w:pStyle w:val="P21"/>
        <w:spacing w:lineRule="auto" w:line="360" w:beforeAutospacing="0" w:afterAutospacing="0"/>
        <w:ind w:firstLine="0" w:right="40"/>
        <w:jc w:val="both"/>
        <w:rPr>
          <w:rFonts w:ascii="Times New Roman" w:hAnsi="Times New Roman" w:cs="Times New Roman"/>
          <w:sz w:val="24"/>
          <w:szCs w:val="24"/>
        </w:rPr>
      </w:pPr>
    </w:p>
    <w:p>
      <w:pPr>
        <w:pStyle w:val="P21"/>
        <w:spacing w:lineRule="auto" w:line="360" w:beforeAutospacing="0" w:afterAutospacing="0"/>
        <w:ind w:firstLine="689" w:left="20" w:right="40"/>
        <w:jc w:val="both"/>
        <w:rPr>
          <w:rFonts w:ascii="Times New Roman" w:hAnsi="Times New Roman" w:cs="Times New Roman"/>
          <w:sz w:val="28"/>
          <w:szCs w:val="28"/>
        </w:rPr>
      </w:pPr>
      <w:r>
        <w:rPr>
          <w:rFonts w:ascii="Times New Roman" w:hAnsi="Times New Roman" w:cs="Times New Roman"/>
          <w:sz w:val="28"/>
          <w:szCs w:val="28"/>
        </w:rPr>
        <w:t xml:space="preserve">Анализ показывает, что Республика Кот-д’Ивуар занимает промежуточную позицию. Она  является региональным торговым и портовым хабом, обладает значительным экспортным потенциалом, активно участвует в международной торговле. При этом сохраняет сырьевую специализацию, имеет ограниченную долю глубокой переработки, слабо интегрирована в технологические сегменты глобальных цепочек, сталкивается с нетарифными и логистическими барьерами, демонстрирует недостаточную цифровизацию торговых процедур (</w:t>
      </w:r>
      <w:r>
        <w:rPr>
          <w:rFonts w:ascii="Times New Roman" w:hAnsi="Times New Roman" w:cs="Times New Roman"/>
          <w:sz w:val="28"/>
          <w:szCs w:val="28"/>
          <w:highlight w:val="yellow"/>
        </w:rPr>
        <w:t>таблица ??).</w:t>
      </w:r>
    </w:p>
    <w:p>
      <w:pPr>
        <w:pStyle w:val="P21"/>
        <w:spacing w:lineRule="auto" w:line="360" w:beforeAutospacing="0" w:afterAutospacing="0"/>
        <w:ind w:firstLine="0" w:right="40"/>
        <w:jc w:val="both"/>
        <w:rPr>
          <w:rFonts w:ascii="Times New Roman" w:hAnsi="Times New Roman" w:cs="Times New Roman"/>
          <w:sz w:val="28"/>
          <w:szCs w:val="28"/>
        </w:rPr>
      </w:pPr>
    </w:p>
    <w:p>
      <w:pPr>
        <w:pStyle w:val="P21"/>
        <w:spacing w:lineRule="auto" w:line="360" w:beforeAutospacing="0" w:afterAutospacing="0"/>
        <w:ind w:firstLine="142" w:right="40"/>
        <w:jc w:val="both"/>
        <w:rPr>
          <w:rFonts w:ascii="Times New Roman" w:hAnsi="Times New Roman" w:cs="Times New Roman"/>
          <w:sz w:val="28"/>
          <w:szCs w:val="28"/>
        </w:rPr>
      </w:pPr>
      <w:r>
        <w:rPr>
          <w:rFonts w:ascii="Times New Roman" w:hAnsi="Times New Roman" w:cs="Times New Roman"/>
          <w:sz w:val="28"/>
          <w:szCs w:val="28"/>
        </w:rPr>
        <w:t>Таблица 2.13 – Структурные ограничения внешнего включения и их влияние на инновационно-инклюзивное развитие Республики Кот-д’Ивуар (составлено автором)</w:t>
      </w:r>
    </w:p>
    <w:tbl>
      <w:tblPr>
        <w:tblStyle w:val="T3"/>
        <w:tblW w:w="0" w:type="auto"/>
        <w:tblLayout w:type="fixed"/>
        <w:tblLook w:val="04A0"/>
      </w:tblPr>
      <w:tblGrid>
        <w:gridCol w:w="1680"/>
        <w:gridCol w:w="1907"/>
        <w:gridCol w:w="1511"/>
        <w:gridCol w:w="1418"/>
        <w:gridCol w:w="1801"/>
        <w:gridCol w:w="1595"/>
      </w:tblGrid>
      <w:tr>
        <w:tc>
          <w:tcPr>
            <w:tcW w:w="1680" w:type="dxa"/>
            <w:hideMark/>
          </w:tcPr>
          <w:p>
            <w:pPr>
              <w:jc w:val="center"/>
              <w:rPr>
                <w:rFonts w:ascii="Times New Roman" w:hAnsi="Times New Roman" w:cs="Times New Roman" w:eastAsia="Times New Roman"/>
                <w:bCs w:val="1"/>
                <w:sz w:val="24"/>
                <w:szCs w:val="24"/>
                <w:lang w:eastAsia="ru-RU"/>
              </w:rPr>
            </w:pPr>
            <w:r>
              <w:rPr>
                <w:rFonts w:ascii="Times New Roman" w:hAnsi="Times New Roman" w:cs="Times New Roman" w:eastAsia="Times New Roman"/>
                <w:bCs w:val="1"/>
                <w:sz w:val="24"/>
                <w:szCs w:val="24"/>
                <w:lang w:eastAsia="ru-RU"/>
              </w:rPr>
              <w:t>Структурное ограничение</w:t>
            </w:r>
          </w:p>
        </w:tc>
        <w:tc>
          <w:tcPr>
            <w:tcW w:w="1907" w:type="dxa"/>
            <w:hideMark/>
          </w:tcPr>
          <w:p>
            <w:pPr>
              <w:jc w:val="center"/>
              <w:rPr>
                <w:rFonts w:ascii="Times New Roman" w:hAnsi="Times New Roman" w:cs="Times New Roman" w:eastAsia="Times New Roman"/>
                <w:bCs w:val="1"/>
                <w:sz w:val="24"/>
                <w:szCs w:val="24"/>
                <w:lang w:eastAsia="ru-RU"/>
              </w:rPr>
            </w:pPr>
            <w:r>
              <w:rPr>
                <w:rFonts w:ascii="Times New Roman" w:hAnsi="Times New Roman" w:cs="Times New Roman" w:eastAsia="Times New Roman"/>
                <w:bCs w:val="1"/>
                <w:sz w:val="24"/>
                <w:szCs w:val="24"/>
                <w:lang w:eastAsia="ru-RU"/>
              </w:rPr>
              <w:t>Эмпирическое проявление (2020–2024 гг.)</w:t>
            </w:r>
          </w:p>
        </w:tc>
        <w:tc>
          <w:tcPr>
            <w:tcW w:w="1511" w:type="dxa"/>
            <w:hideMark/>
          </w:tcPr>
          <w:p>
            <w:pPr>
              <w:jc w:val="center"/>
              <w:rPr>
                <w:rFonts w:ascii="Times New Roman" w:hAnsi="Times New Roman" w:cs="Times New Roman" w:eastAsia="Times New Roman"/>
                <w:bCs w:val="1"/>
                <w:sz w:val="24"/>
                <w:szCs w:val="24"/>
                <w:lang w:eastAsia="ru-RU"/>
              </w:rPr>
            </w:pPr>
            <w:r>
              <w:rPr>
                <w:rFonts w:ascii="Times New Roman" w:hAnsi="Times New Roman" w:cs="Times New Roman" w:eastAsia="Times New Roman"/>
                <w:bCs w:val="1"/>
                <w:sz w:val="24"/>
                <w:szCs w:val="24"/>
                <w:lang w:eastAsia="ru-RU"/>
              </w:rPr>
              <w:t>Влияние на инновацио-нное развитие</w:t>
            </w:r>
          </w:p>
        </w:tc>
        <w:tc>
          <w:tcPr>
            <w:tcW w:w="1418" w:type="dxa"/>
            <w:hideMark/>
          </w:tcPr>
          <w:p>
            <w:pPr>
              <w:jc w:val="center"/>
              <w:rPr>
                <w:rFonts w:ascii="Times New Roman" w:hAnsi="Times New Roman" w:cs="Times New Roman" w:eastAsia="Times New Roman"/>
                <w:bCs w:val="1"/>
                <w:sz w:val="24"/>
                <w:szCs w:val="24"/>
                <w:lang w:eastAsia="ru-RU"/>
              </w:rPr>
            </w:pPr>
            <w:r>
              <w:rPr>
                <w:rFonts w:ascii="Times New Roman" w:hAnsi="Times New Roman" w:cs="Times New Roman" w:eastAsia="Times New Roman"/>
                <w:bCs w:val="1"/>
                <w:sz w:val="24"/>
                <w:szCs w:val="24"/>
                <w:lang w:eastAsia="ru-RU"/>
              </w:rPr>
              <w:t>Влияние на инклюзив-ность</w:t>
            </w:r>
          </w:p>
        </w:tc>
        <w:tc>
          <w:tcPr>
            <w:tcW w:w="1801" w:type="dxa"/>
            <w:hideMark/>
          </w:tcPr>
          <w:p>
            <w:pPr>
              <w:jc w:val="center"/>
              <w:rPr>
                <w:rFonts w:ascii="Times New Roman" w:hAnsi="Times New Roman" w:cs="Times New Roman" w:eastAsia="Times New Roman"/>
                <w:bCs w:val="1"/>
                <w:sz w:val="24"/>
                <w:szCs w:val="24"/>
                <w:lang w:eastAsia="ru-RU"/>
              </w:rPr>
            </w:pPr>
            <w:r>
              <w:rPr>
                <w:rFonts w:ascii="Times New Roman" w:hAnsi="Times New Roman" w:cs="Times New Roman" w:eastAsia="Times New Roman"/>
                <w:bCs w:val="1"/>
                <w:sz w:val="24"/>
                <w:szCs w:val="24"/>
                <w:lang w:eastAsia="ru-RU"/>
              </w:rPr>
              <w:t>Системный эффект</w:t>
            </w:r>
          </w:p>
        </w:tc>
        <w:tc>
          <w:tcPr>
            <w:tcW w:w="1595" w:type="dxa"/>
            <w:hideMark/>
          </w:tcPr>
          <w:p>
            <w:pPr>
              <w:jc w:val="center"/>
              <w:rPr>
                <w:rFonts w:ascii="Times New Roman" w:hAnsi="Times New Roman" w:cs="Times New Roman" w:eastAsia="Times New Roman"/>
                <w:bCs w:val="1"/>
                <w:sz w:val="24"/>
                <w:szCs w:val="24"/>
                <w:lang w:eastAsia="ru-RU"/>
              </w:rPr>
            </w:pPr>
            <w:r>
              <w:rPr>
                <w:rFonts w:ascii="Times New Roman" w:hAnsi="Times New Roman" w:cs="Times New Roman" w:eastAsia="Times New Roman"/>
                <w:bCs w:val="1"/>
                <w:sz w:val="24"/>
                <w:szCs w:val="24"/>
                <w:lang w:eastAsia="ru-RU"/>
              </w:rPr>
              <w:t>Потенциал платформен-ной коррекции</w:t>
            </w:r>
          </w:p>
        </w:tc>
      </w:tr>
      <w:tr>
        <w:tc>
          <w:tcPr>
            <w:tcW w:w="1680"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Сырьевая концентрация экспорта</w:t>
            </w:r>
          </w:p>
        </w:tc>
        <w:tc>
          <w:tcPr>
            <w:tcW w:w="1907"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&gt;70 % экспорта – 5 товарных групп</w:t>
            </w:r>
          </w:p>
        </w:tc>
        <w:tc>
          <w:tcPr>
            <w:tcW w:w="1511"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Ограниче-нный технологи-ческий трансфер</w:t>
            </w:r>
          </w:p>
        </w:tc>
        <w:tc>
          <w:tcPr>
            <w:tcW w:w="1418"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Низкая вовлечен-ность МСП в экспорт</w:t>
            </w:r>
          </w:p>
        </w:tc>
        <w:tc>
          <w:tcPr>
            <w:tcW w:w="1801"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Волатильность доходов</w:t>
            </w:r>
          </w:p>
        </w:tc>
        <w:tc>
          <w:tcPr>
            <w:tcW w:w="1595"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Платформа прослежива-емости и кооперации переработки</w:t>
            </w:r>
          </w:p>
        </w:tc>
      </w:tr>
      <w:tr>
        <w:tc>
          <w:tcPr>
            <w:tcW w:w="1680"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Низкая глубина переработки</w:t>
            </w:r>
          </w:p>
        </w:tc>
        <w:tc>
          <w:tcPr>
            <w:tcW w:w="1907"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Кешью – переработка 25 %, какао – 40 %</w:t>
            </w:r>
          </w:p>
        </w:tc>
        <w:tc>
          <w:tcPr>
            <w:tcW w:w="1511"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Отсутствие кластерно-го эффекта</w:t>
            </w:r>
          </w:p>
        </w:tc>
        <w:tc>
          <w:tcPr>
            <w:tcW w:w="1418"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Ограниче-нный рост занятости</w:t>
            </w:r>
          </w:p>
        </w:tc>
        <w:tc>
          <w:tcPr>
            <w:tcW w:w="1801"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Утечка добавленной стоимости</w:t>
            </w:r>
          </w:p>
        </w:tc>
        <w:tc>
          <w:tcPr>
            <w:tcW w:w="1595" w:type="dxa"/>
            <w:hideMark/>
          </w:tcPr>
          <w:p>
            <w:pPr>
              <w:ind w:right="-114"/>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Цифровая интеграция переработчиков и кооперативов</w:t>
            </w:r>
          </w:p>
        </w:tc>
      </w:tr>
      <w:tr>
        <w:tc>
          <w:tcPr>
            <w:tcW w:w="1680" w:type="dxa"/>
            <w:hideMark/>
          </w:tcPr>
          <w:p>
            <w:pPr>
              <w:ind w:right="-144"/>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Ограниченная региональная торговля</w:t>
            </w:r>
          </w:p>
        </w:tc>
        <w:tc>
          <w:tcPr>
            <w:tcW w:w="1907"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ECOWAS – ~14–15 % экспорта</w:t>
            </w:r>
          </w:p>
        </w:tc>
        <w:tc>
          <w:tcPr>
            <w:tcW w:w="1511"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Слабая региональ-ная кооперация</w:t>
            </w:r>
          </w:p>
        </w:tc>
        <w:tc>
          <w:tcPr>
            <w:tcW w:w="1418"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Ограничен-ный доступ МСП к соседним рынкам</w:t>
            </w:r>
          </w:p>
        </w:tc>
        <w:tc>
          <w:tcPr>
            <w:tcW w:w="1801"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Недоиспользо-вание AfCFTA</w:t>
            </w:r>
          </w:p>
        </w:tc>
        <w:tc>
          <w:tcPr>
            <w:tcW w:w="1595"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Платформа трансграни-чной торговли</w:t>
            </w:r>
          </w:p>
        </w:tc>
      </w:tr>
      <w:tr>
        <w:tc>
          <w:tcPr>
            <w:tcW w:w="1680"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Нетарифные барьеры</w:t>
            </w:r>
          </w:p>
        </w:tc>
        <w:tc>
          <w:tcPr>
            <w:tcW w:w="1907"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35–40 % предприятий сталкиваются с НТБ</w:t>
            </w:r>
          </w:p>
        </w:tc>
        <w:tc>
          <w:tcPr>
            <w:tcW w:w="1511"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Повышен-ные трансакци-онные издержки</w:t>
            </w:r>
          </w:p>
        </w:tc>
        <w:tc>
          <w:tcPr>
            <w:tcW w:w="1418"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Выпадение малых производи-телей</w:t>
            </w:r>
          </w:p>
        </w:tc>
        <w:tc>
          <w:tcPr>
            <w:tcW w:w="1801"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Теневая экономика</w:t>
            </w:r>
          </w:p>
        </w:tc>
        <w:tc>
          <w:tcPr>
            <w:tcW w:w="1595"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Электронные таможенные сервисы</w:t>
            </w:r>
          </w:p>
        </w:tc>
      </w:tr>
      <w:tr>
        <w:tc>
          <w:tcPr>
            <w:tcW w:w="1680" w:type="dxa"/>
            <w:hideMark/>
          </w:tcPr>
          <w:p>
            <w:pPr>
              <w:ind w:right="-144"/>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Высокие логистические издержки</w:t>
            </w:r>
          </w:p>
        </w:tc>
        <w:tc>
          <w:tcPr>
            <w:tcW w:w="1907"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LPI ≈ 2,8; высокая стоимость контейнера</w:t>
            </w:r>
          </w:p>
        </w:tc>
        <w:tc>
          <w:tcPr>
            <w:tcW w:w="1511"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Удорожание переработки</w:t>
            </w:r>
          </w:p>
        </w:tc>
        <w:tc>
          <w:tcPr>
            <w:tcW w:w="1418"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Рост цен для потребите-лей</w:t>
            </w:r>
          </w:p>
        </w:tc>
        <w:tc>
          <w:tcPr>
            <w:tcW w:w="1801"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Снижение конкурентос-пособности</w:t>
            </w:r>
          </w:p>
        </w:tc>
        <w:tc>
          <w:tcPr>
            <w:tcW w:w="1595"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Цифровиза-ция логистических цепочек</w:t>
            </w:r>
          </w:p>
        </w:tc>
      </w:tr>
      <w:tr>
        <w:tc>
          <w:tcPr>
            <w:tcW w:w="1680"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Дефицит технологических кадров</w:t>
            </w:r>
          </w:p>
        </w:tc>
        <w:tc>
          <w:tcPr>
            <w:tcW w:w="1907"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Низкая доля высокотехнологичного экспорта</w:t>
            </w:r>
          </w:p>
        </w:tc>
        <w:tc>
          <w:tcPr>
            <w:tcW w:w="1511"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Замедление инноваций</w:t>
            </w:r>
          </w:p>
        </w:tc>
        <w:tc>
          <w:tcPr>
            <w:tcW w:w="1418"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Гендерный разрыв в ИКТ</w:t>
            </w:r>
          </w:p>
        </w:tc>
        <w:tc>
          <w:tcPr>
            <w:tcW w:w="1801"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Структурная зависимость</w:t>
            </w:r>
          </w:p>
        </w:tc>
        <w:tc>
          <w:tcPr>
            <w:tcW w:w="1595" w:type="dxa"/>
            <w:hideMark/>
          </w:tcPr>
          <w:p>
            <w:pPr>
              <w:ind w:right="-114"/>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Платформа обучения и сертификации</w:t>
            </w:r>
          </w:p>
        </w:tc>
      </w:tr>
      <w:tr>
        <w:tc>
          <w:tcPr>
            <w:tcW w:w="1680"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Институцио-нальная фрагментар-ность</w:t>
            </w:r>
          </w:p>
        </w:tc>
        <w:tc>
          <w:tcPr>
            <w:tcW w:w="1907"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Частичная цифровизация процедур (76 % к 2024 г.)</w:t>
            </w:r>
          </w:p>
        </w:tc>
        <w:tc>
          <w:tcPr>
            <w:tcW w:w="1511" w:type="dxa"/>
            <w:hideMark/>
          </w:tcPr>
          <w:p>
            <w:pPr>
              <w:ind w:right="-108"/>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Замедленная модерниз-ация</w:t>
            </w:r>
          </w:p>
        </w:tc>
        <w:tc>
          <w:tcPr>
            <w:tcW w:w="1418"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Неравномерный доступ к сервисам</w:t>
            </w:r>
          </w:p>
        </w:tc>
        <w:tc>
          <w:tcPr>
            <w:tcW w:w="1801"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Региональные диспропорции</w:t>
            </w:r>
          </w:p>
        </w:tc>
        <w:tc>
          <w:tcPr>
            <w:tcW w:w="1595" w:type="dxa"/>
            <w:hideMark/>
          </w:tcPr>
          <w:p>
            <w:pPr>
              <w:ind w:right="-114"/>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Единая национальная цифровая платформа</w:t>
            </w:r>
          </w:p>
        </w:tc>
      </w:tr>
    </w:tbl>
    <w:p>
      <w:pPr>
        <w:pStyle w:val="P21"/>
        <w:spacing w:lineRule="auto" w:line="360" w:beforeAutospacing="0" w:afterAutospacing="0"/>
        <w:ind w:firstLine="0" w:right="40"/>
        <w:jc w:val="both"/>
        <w:rPr>
          <w:rFonts w:ascii="Times New Roman" w:hAnsi="Times New Roman" w:cs="Times New Roman"/>
          <w:sz w:val="28"/>
          <w:szCs w:val="28"/>
        </w:rPr>
      </w:pPr>
    </w:p>
    <w:p>
      <w:pPr>
        <w:pStyle w:val="P21"/>
        <w:spacing w:lineRule="auto" w:line="360" w:beforeAutospacing="0" w:afterAutospacing="0"/>
        <w:ind w:firstLine="689" w:left="20" w:right="40"/>
        <w:jc w:val="both"/>
        <w:rPr>
          <w:rFonts w:ascii="Times New Roman" w:hAnsi="Times New Roman" w:cs="Times New Roman"/>
          <w:sz w:val="28"/>
          <w:szCs w:val="28"/>
        </w:rPr>
      </w:pPr>
      <w:r>
        <w:rPr>
          <w:rFonts w:ascii="Times New Roman" w:hAnsi="Times New Roman" w:cs="Times New Roman"/>
          <w:sz w:val="28"/>
          <w:szCs w:val="28"/>
        </w:rPr>
        <w:t>В этих условиях дальнейшее углубление участия в ECOWAS, UEMOA и AfCFTA не может быть обеспечено исключительно за счет тарифной либерализации. Требуется институционально-технологический механизм снижения трансакционных издержек, расширения участия МСП и повышения прозрачности торговых операций.</w:t>
      </w:r>
    </w:p>
    <w:p>
      <w:pPr>
        <w:pStyle w:val="P21"/>
        <w:spacing w:lineRule="auto" w:line="360" w:beforeAutospacing="0" w:afterAutospacing="0"/>
        <w:ind w:firstLine="689" w:left="20" w:right="40"/>
        <w:jc w:val="both"/>
        <w:rPr>
          <w:rFonts w:ascii="Times New Roman" w:hAnsi="Times New Roman" w:cs="Times New Roman"/>
          <w:sz w:val="28"/>
          <w:szCs w:val="28"/>
        </w:rPr>
      </w:pPr>
      <w:r>
        <w:rPr>
          <w:rFonts w:ascii="Times New Roman" w:hAnsi="Times New Roman" w:cs="Times New Roman"/>
          <w:sz w:val="28"/>
          <w:szCs w:val="28"/>
        </w:rPr>
        <w:t>По нашему мнению, таким механизмом выступает цифровая платформа, способная:</w:t>
      </w:r>
    </w:p>
    <w:p>
      <w:pPr>
        <w:pStyle w:val="P21"/>
        <w:spacing w:lineRule="auto" w:line="360" w:beforeAutospacing="0" w:afterAutospacing="0"/>
        <w:ind w:firstLine="689" w:left="20" w:right="40"/>
        <w:jc w:val="both"/>
        <w:rPr>
          <w:rFonts w:ascii="Times New Roman" w:hAnsi="Times New Roman" w:cs="Times New Roman"/>
          <w:sz w:val="28"/>
          <w:szCs w:val="28"/>
        </w:rPr>
      </w:pPr>
      <w:r>
        <w:rPr>
          <w:rFonts w:ascii="Times New Roman" w:hAnsi="Times New Roman" w:cs="Times New Roman"/>
          <w:sz w:val="28"/>
          <w:szCs w:val="28"/>
        </w:rPr>
        <w:t>– обеспечить прослеживаемость экспортной продукции;</w:t>
      </w:r>
    </w:p>
    <w:p>
      <w:pPr>
        <w:pStyle w:val="P21"/>
        <w:spacing w:lineRule="auto" w:line="360" w:beforeAutospacing="0" w:afterAutospacing="0"/>
        <w:ind w:firstLine="689" w:left="20" w:right="40"/>
        <w:jc w:val="both"/>
        <w:rPr>
          <w:rFonts w:ascii="Times New Roman" w:hAnsi="Times New Roman" w:cs="Times New Roman"/>
          <w:sz w:val="28"/>
          <w:szCs w:val="28"/>
        </w:rPr>
      </w:pPr>
      <w:r>
        <w:rPr>
          <w:rFonts w:ascii="Times New Roman" w:hAnsi="Times New Roman" w:cs="Times New Roman"/>
          <w:sz w:val="28"/>
          <w:szCs w:val="28"/>
        </w:rPr>
        <w:t>– интегрировать МСП в региональные цепочки;</w:t>
      </w:r>
    </w:p>
    <w:p>
      <w:pPr>
        <w:pStyle w:val="P21"/>
        <w:spacing w:lineRule="auto" w:line="360" w:beforeAutospacing="0" w:afterAutospacing="0"/>
        <w:ind w:firstLine="689" w:left="20" w:right="40"/>
        <w:jc w:val="both"/>
        <w:rPr>
          <w:rFonts w:ascii="Times New Roman" w:hAnsi="Times New Roman" w:cs="Times New Roman"/>
          <w:sz w:val="28"/>
          <w:szCs w:val="28"/>
        </w:rPr>
      </w:pPr>
      <w:r>
        <w:rPr>
          <w:rFonts w:ascii="Times New Roman" w:hAnsi="Times New Roman" w:cs="Times New Roman"/>
          <w:sz w:val="28"/>
          <w:szCs w:val="28"/>
        </w:rPr>
        <w:t>– цифровизировать таможенные и логистические процедуры;</w:t>
      </w:r>
    </w:p>
    <w:p>
      <w:pPr>
        <w:pStyle w:val="P21"/>
        <w:spacing w:lineRule="auto" w:line="360" w:beforeAutospacing="0" w:afterAutospacing="0"/>
        <w:ind w:firstLine="689" w:left="20" w:right="40"/>
        <w:jc w:val="both"/>
        <w:rPr>
          <w:rFonts w:ascii="Times New Roman" w:hAnsi="Times New Roman" w:cs="Times New Roman"/>
          <w:sz w:val="28"/>
          <w:szCs w:val="28"/>
        </w:rPr>
      </w:pPr>
      <w:r>
        <w:rPr>
          <w:rFonts w:ascii="Times New Roman" w:hAnsi="Times New Roman" w:cs="Times New Roman"/>
          <w:sz w:val="28"/>
          <w:szCs w:val="28"/>
        </w:rPr>
        <w:t>– сократить административные издержки;</w:t>
      </w:r>
    </w:p>
    <w:p>
      <w:pPr>
        <w:pStyle w:val="P21"/>
        <w:spacing w:lineRule="auto" w:line="360" w:beforeAutospacing="0" w:afterAutospacing="0"/>
        <w:ind w:firstLine="689" w:left="20" w:right="40"/>
        <w:jc w:val="both"/>
        <w:rPr>
          <w:rFonts w:ascii="Times New Roman" w:hAnsi="Times New Roman" w:cs="Times New Roman"/>
          <w:sz w:val="28"/>
          <w:szCs w:val="28"/>
        </w:rPr>
      </w:pPr>
      <w:r>
        <w:rPr>
          <w:rFonts w:ascii="Times New Roman" w:hAnsi="Times New Roman" w:cs="Times New Roman"/>
          <w:sz w:val="28"/>
          <w:szCs w:val="28"/>
        </w:rPr>
        <w:t>– повысить институциональное доверие.</w:t>
      </w:r>
    </w:p>
    <w:p>
      <w:pPr>
        <w:pStyle w:val="P21"/>
        <w:spacing w:lineRule="auto" w:line="360" w:beforeAutospacing="0" w:afterAutospacing="0"/>
        <w:ind w:firstLine="689" w:left="20" w:right="40"/>
        <w:jc w:val="both"/>
        <w:rPr>
          <w:rFonts w:ascii="Times New Roman" w:hAnsi="Times New Roman" w:cs="Times New Roman"/>
          <w:sz w:val="28"/>
          <w:szCs w:val="28"/>
        </w:rPr>
      </w:pPr>
      <w:r>
        <w:rPr>
          <w:rFonts w:ascii="Times New Roman" w:hAnsi="Times New Roman" w:cs="Times New Roman"/>
          <w:sz w:val="28"/>
          <w:szCs w:val="28"/>
        </w:rPr>
        <w:t>В 2020–2024 гг. Республика Кот-д’Ивуар продемонстрировала прогресс в цифровизации административных процедур и торговых операций. Ключевые направления:</w:t>
      </w:r>
    </w:p>
    <w:p>
      <w:pPr>
        <w:pStyle w:val="P21"/>
        <w:spacing w:lineRule="auto" w:line="360" w:beforeAutospacing="0" w:afterAutospacing="0"/>
        <w:ind w:firstLine="689" w:left="20" w:right="40"/>
        <w:jc w:val="both"/>
        <w:rPr>
          <w:rFonts w:ascii="Times New Roman" w:hAnsi="Times New Roman" w:cs="Times New Roman"/>
          <w:sz w:val="28"/>
          <w:szCs w:val="28"/>
        </w:rPr>
      </w:pPr>
      <w:r>
        <w:rPr>
          <w:rFonts w:ascii="Times New Roman" w:hAnsi="Times New Roman" w:cs="Times New Roman"/>
          <w:sz w:val="28"/>
          <w:szCs w:val="28"/>
        </w:rPr>
        <w:t>1.Электронные таможенные системы.</w:t>
      </w:r>
    </w:p>
    <w:p>
      <w:pPr>
        <w:pStyle w:val="P21"/>
        <w:spacing w:lineRule="auto" w:line="360" w:beforeAutospacing="0" w:afterAutospacing="0"/>
        <w:ind w:firstLine="689" w:left="20" w:right="40"/>
        <w:jc w:val="both"/>
        <w:rPr>
          <w:rFonts w:ascii="Times New Roman" w:hAnsi="Times New Roman" w:cs="Times New Roman"/>
          <w:sz w:val="28"/>
          <w:szCs w:val="28"/>
        </w:rPr>
      </w:pPr>
      <w:r>
        <w:rPr>
          <w:rFonts w:ascii="Times New Roman" w:hAnsi="Times New Roman" w:cs="Times New Roman"/>
          <w:sz w:val="28"/>
          <w:szCs w:val="28"/>
        </w:rPr>
        <w:t>2.Электронные лицензии и разрешения.</w:t>
      </w:r>
    </w:p>
    <w:p>
      <w:pPr>
        <w:pStyle w:val="P21"/>
        <w:spacing w:lineRule="auto" w:line="360" w:beforeAutospacing="0" w:afterAutospacing="0"/>
        <w:ind w:firstLine="689" w:left="20" w:right="40"/>
        <w:jc w:val="both"/>
        <w:rPr>
          <w:rFonts w:ascii="Times New Roman" w:hAnsi="Times New Roman" w:cs="Times New Roman"/>
          <w:sz w:val="28"/>
          <w:szCs w:val="28"/>
        </w:rPr>
      </w:pPr>
      <w:r>
        <w:rPr>
          <w:rFonts w:ascii="Times New Roman" w:hAnsi="Times New Roman" w:cs="Times New Roman"/>
          <w:sz w:val="28"/>
          <w:szCs w:val="28"/>
        </w:rPr>
        <w:t>3.Mobile Money и цифровые финансовые сервисы.</w:t>
      </w:r>
    </w:p>
    <w:p>
      <w:pPr>
        <w:pStyle w:val="P21"/>
        <w:spacing w:lineRule="auto" w:line="360" w:beforeAutospacing="0" w:afterAutospacing="0"/>
        <w:ind w:firstLine="689" w:left="20" w:right="40"/>
        <w:jc w:val="both"/>
        <w:rPr>
          <w:rFonts w:ascii="Times New Roman" w:hAnsi="Times New Roman" w:cs="Times New Roman"/>
          <w:sz w:val="28"/>
          <w:szCs w:val="28"/>
        </w:rPr>
      </w:pPr>
      <w:r>
        <w:rPr>
          <w:rFonts w:ascii="Times New Roman" w:hAnsi="Times New Roman" w:cs="Times New Roman"/>
          <w:sz w:val="28"/>
          <w:szCs w:val="28"/>
        </w:rPr>
        <w:t>4.Частичная цифровизация государственных сервисов (e-government).</w:t>
      </w:r>
    </w:p>
    <w:p>
      <w:pPr>
        <w:pStyle w:val="P21"/>
        <w:spacing w:lineRule="auto" w:line="360" w:beforeAutospacing="0" w:afterAutospacing="0"/>
        <w:ind w:firstLine="689" w:left="20" w:right="40"/>
        <w:jc w:val="both"/>
        <w:rPr>
          <w:rFonts w:ascii="Times New Roman" w:hAnsi="Times New Roman" w:cs="Times New Roman"/>
          <w:sz w:val="28"/>
          <w:szCs w:val="28"/>
        </w:rPr>
      </w:pPr>
      <w:r>
        <w:rPr>
          <w:rFonts w:ascii="Times New Roman" w:hAnsi="Times New Roman" w:cs="Times New Roman"/>
          <w:sz w:val="28"/>
          <w:szCs w:val="28"/>
        </w:rPr>
        <w:t>5.Развитие дата-центров и телеком-инфраструктуры (особенно в Абиджане).</w:t>
      </w:r>
    </w:p>
    <w:p>
      <w:pPr>
        <w:pStyle w:val="P21"/>
        <w:shd w:val="clear" w:fill="auto"/>
        <w:spacing w:lineRule="auto" w:line="360" w:beforeAutospacing="0" w:afterAutospacing="0"/>
        <w:ind w:firstLine="689" w:left="20" w:right="40"/>
        <w:jc w:val="both"/>
        <w:rPr>
          <w:rFonts w:ascii="Times New Roman" w:hAnsi="Times New Roman" w:cs="Times New Roman"/>
          <w:sz w:val="28"/>
          <w:szCs w:val="28"/>
        </w:rPr>
      </w:pPr>
      <w:r>
        <w:rPr>
          <w:rFonts w:ascii="Times New Roman" w:hAnsi="Times New Roman" w:cs="Times New Roman"/>
          <w:sz w:val="28"/>
          <w:szCs w:val="28"/>
        </w:rPr>
        <w:t>Доля цифровизированных таможенных процедур выросла с примерно 48 % в 2020 г. до 76 % в 2024 г. Однако цифровизация остается фрагментарной и не интегрированной в единую торговую платформу.</w:t>
      </w:r>
    </w:p>
    <w:p>
      <w:pPr>
        <w:pStyle w:val="P21"/>
        <w:shd w:val="clear" w:fill="auto"/>
        <w:spacing w:lineRule="auto" w:line="360" w:beforeAutospacing="0" w:afterAutospacing="0"/>
        <w:ind w:firstLine="689" w:left="20" w:right="40"/>
        <w:jc w:val="both"/>
        <w:rPr>
          <w:rFonts w:ascii="Times New Roman" w:hAnsi="Times New Roman" w:cs="Times New Roman"/>
          <w:sz w:val="28"/>
          <w:szCs w:val="28"/>
        </w:rPr>
      </w:pPr>
      <w:r>
        <w:rPr>
          <w:rFonts w:ascii="Times New Roman" w:hAnsi="Times New Roman" w:cs="Times New Roman"/>
          <w:sz w:val="28"/>
          <w:szCs w:val="28"/>
        </w:rPr>
        <w:t>Следовательно, структурный анализ торговых потоков подтверждает необходимость перехода к платформенной модели внешнего включения, что становится предметом дальнейшего исследования.</w:t>
      </w:r>
    </w:p>
    <w:p>
      <w:pPr>
        <w:pStyle w:val="P21"/>
        <w:spacing w:lineRule="auto" w:line="360" w:beforeAutospacing="0" w:afterAutospacing="0"/>
        <w:ind w:firstLine="689" w:left="20" w:right="40"/>
        <w:jc w:val="both"/>
        <w:rPr>
          <w:rFonts w:ascii="Times New Roman" w:hAnsi="Times New Roman" w:cs="Times New Roman"/>
          <w:sz w:val="28"/>
          <w:szCs w:val="28"/>
        </w:rPr>
      </w:pPr>
      <w:r>
        <w:rPr>
          <w:rFonts w:ascii="Times New Roman" w:hAnsi="Times New Roman" w:cs="Times New Roman"/>
          <w:sz w:val="28"/>
          <w:szCs w:val="28"/>
        </w:rPr>
        <w:t>Проведенный анализ институциональной архитектуры региональной интеграции, структурной позиции Республики Кот-д’Ивуар в международной торговле и потенциала цифровизации внешнеэкономических процессов позволяет сформулировать ряд обобщающих выводов.</w:t>
      </w:r>
    </w:p>
    <w:p>
      <w:pPr>
        <w:pStyle w:val="P21"/>
        <w:spacing w:lineRule="auto" w:line="360" w:beforeAutospacing="0" w:afterAutospacing="0"/>
        <w:ind w:firstLine="689" w:left="20" w:right="40"/>
        <w:jc w:val="both"/>
        <w:rPr>
          <w:rFonts w:ascii="Times New Roman" w:hAnsi="Times New Roman" w:cs="Times New Roman"/>
          <w:sz w:val="28"/>
          <w:szCs w:val="28"/>
        </w:rPr>
      </w:pPr>
      <w:r>
        <w:rPr>
          <w:rFonts w:ascii="Times New Roman" w:hAnsi="Times New Roman" w:cs="Times New Roman"/>
          <w:sz w:val="28"/>
          <w:szCs w:val="28"/>
        </w:rPr>
        <w:t>Во-первых, исследование институциональной среды показало, что Республика Кот-д’Ивуар обладает относительно благоприятными условиями для интеграции в региональные и глобальные экономические процессы. Членство страны одновременно в нескольких интеграционных объединениях – ECOWAS, UEMOA и AfCFTA – формирует институциональную основу для расширения торговых потоков, унификации регуляторных норм и развития региональных цепочек стоимости. Данные объединения обеспечивают снижение тарифных барьеров, гармонизацию экономической политики и формирование общего экономического пространства Западной Африки.</w:t>
      </w:r>
    </w:p>
    <w:p>
      <w:pPr>
        <w:pStyle w:val="P21"/>
        <w:spacing w:lineRule="auto" w:line="360" w:beforeAutospacing="0" w:afterAutospacing="0"/>
        <w:ind w:firstLine="689" w:left="20" w:right="40"/>
        <w:jc w:val="both"/>
        <w:rPr>
          <w:rFonts w:ascii="Times New Roman" w:hAnsi="Times New Roman" w:cs="Times New Roman"/>
          <w:sz w:val="28"/>
          <w:szCs w:val="28"/>
        </w:rPr>
      </w:pPr>
      <w:r>
        <w:rPr>
          <w:rFonts w:ascii="Times New Roman" w:hAnsi="Times New Roman" w:cs="Times New Roman"/>
          <w:sz w:val="28"/>
          <w:szCs w:val="28"/>
        </w:rPr>
        <w:t>Однако эмпирический анализ показал, что институциональная интеграция сама по себе не обеспечивает структурной трансформации экономики. Несмотря на формальные возможности расширения торговли, структура экспорта Республики Кот-д’Ивуар остается высоко концентрированной и сырьевой с доминированием ограниченного числа товарных групп, прежде всего какао, нефтепродуктов, золота и сельскохозяйственного сырья. Низкая доля глубокой переработки экспортной продукции приводит к утечке значительной части добавленной стоимости за пределы национальной экономики.</w:t>
      </w:r>
    </w:p>
    <w:p>
      <w:pPr>
        <w:pStyle w:val="P21"/>
        <w:spacing w:lineRule="auto" w:line="360" w:beforeAutospacing="0" w:afterAutospacing="0"/>
        <w:ind w:firstLine="689" w:left="20" w:right="40"/>
        <w:jc w:val="both"/>
        <w:rPr>
          <w:rFonts w:ascii="Times New Roman" w:hAnsi="Times New Roman" w:cs="Times New Roman"/>
          <w:sz w:val="28"/>
          <w:szCs w:val="28"/>
        </w:rPr>
      </w:pPr>
      <w:r>
        <w:rPr>
          <w:rFonts w:ascii="Times New Roman" w:hAnsi="Times New Roman" w:cs="Times New Roman"/>
          <w:sz w:val="28"/>
          <w:szCs w:val="28"/>
        </w:rPr>
        <w:t>Во-вторых, исследование участия страны в региональных и мировых торговых потоках показало, что Кот-д’Ивуар занимает промежуточную позицию между сырьевым экспортером и региональным торгово-логистическим узлом. С одной стороны, страна обладает развитой портовой инфраструктурой (Абиджан и Сан-Педро), значительным экспортным потенциалом сельскохозяйственной продукции и растущими торговыми связями с Европой и Азией. С другой стороны, участие страны в глобальных цепочках стоимости остается ограниченным. Доля иностранной добавленной стоимости в экспорте остается сравнительно низкой, что свидетельствует о слабой интеграции в международные производственные сети.</w:t>
      </w:r>
    </w:p>
    <w:p>
      <w:pPr>
        <w:pStyle w:val="P21"/>
        <w:spacing w:lineRule="auto" w:line="360" w:beforeAutospacing="0" w:afterAutospacing="0"/>
        <w:ind w:firstLine="689" w:left="20" w:right="40"/>
        <w:jc w:val="both"/>
        <w:rPr>
          <w:rFonts w:ascii="Times New Roman" w:hAnsi="Times New Roman" w:cs="Times New Roman"/>
          <w:sz w:val="28"/>
          <w:szCs w:val="28"/>
        </w:rPr>
      </w:pPr>
      <w:r>
        <w:rPr>
          <w:rFonts w:ascii="Times New Roman" w:hAnsi="Times New Roman" w:cs="Times New Roman"/>
          <w:sz w:val="28"/>
          <w:szCs w:val="28"/>
        </w:rPr>
        <w:t xml:space="preserve">Дополнительными ограничениями выступают высокая зависимость от сырьевых товаров,  ограниченная диверсификация экспорта, сравнительно высокая стоимость логистики и транспортировки,  наличие нетарифных барьеров и административных процедур,  ограниченный доступ малого и среднего бизнеса к международным рынкам.</w:t>
      </w:r>
    </w:p>
    <w:p>
      <w:pPr>
        <w:pStyle w:val="P21"/>
        <w:spacing w:lineRule="auto" w:line="360" w:beforeAutospacing="0" w:afterAutospacing="0"/>
        <w:ind w:firstLine="689" w:left="20" w:right="40"/>
        <w:jc w:val="both"/>
        <w:rPr>
          <w:rFonts w:ascii="Times New Roman" w:hAnsi="Times New Roman" w:cs="Times New Roman"/>
          <w:sz w:val="28"/>
          <w:szCs w:val="28"/>
        </w:rPr>
      </w:pPr>
      <w:r>
        <w:rPr>
          <w:rFonts w:ascii="Times New Roman" w:hAnsi="Times New Roman" w:cs="Times New Roman"/>
          <w:sz w:val="28"/>
          <w:szCs w:val="28"/>
        </w:rPr>
        <w:t>Таким образом, внешнеэкономическая модель страны по-прежнему характеризуется экстенсивным характером включения в мировую экономику, при котором рост экспорта не сопровождается достаточным ростом технологической сложности и внутренней добавленной стоимости.</w:t>
      </w:r>
    </w:p>
    <w:p>
      <w:pPr>
        <w:pStyle w:val="P21"/>
        <w:spacing w:lineRule="auto" w:line="360" w:beforeAutospacing="0" w:afterAutospacing="0"/>
        <w:ind w:firstLine="689" w:left="20" w:right="40"/>
        <w:jc w:val="both"/>
        <w:rPr>
          <w:rFonts w:ascii="Times New Roman" w:hAnsi="Times New Roman" w:cs="Times New Roman"/>
          <w:sz w:val="28"/>
          <w:szCs w:val="28"/>
        </w:rPr>
      </w:pPr>
      <w:r>
        <w:rPr>
          <w:rFonts w:ascii="Times New Roman" w:hAnsi="Times New Roman" w:cs="Times New Roman"/>
          <w:sz w:val="28"/>
          <w:szCs w:val="28"/>
        </w:rPr>
        <w:t>В-третьих, проведенный анализ показал, что цифровизация торговых процессов может выступать ключевым механизмом преодоления выявленных структурных ограничений. Цифровые платформы способны существенно снизить трансакционные издержки, повысить прозрачность торговых операций, улучшить прослеживаемость цепочек поставок и расширить доступ малых и средних предприятий к региональным и международным рынкам. В условиях усиливающейся цифровизации мировой экономики именно платформенные механизмы координации становятся важным фактором включения стран в глобальные цепочки создания стоимости.</w:t>
      </w:r>
    </w:p>
    <w:p>
      <w:pPr>
        <w:pStyle w:val="P21"/>
        <w:spacing w:lineRule="auto" w:line="360" w:beforeAutospacing="0" w:afterAutospacing="0"/>
        <w:ind w:firstLine="689" w:left="20" w:right="40"/>
        <w:jc w:val="both"/>
        <w:rPr>
          <w:rFonts w:ascii="Times New Roman" w:hAnsi="Times New Roman" w:cs="Times New Roman"/>
          <w:sz w:val="28"/>
          <w:szCs w:val="28"/>
        </w:rPr>
      </w:pPr>
      <w:r>
        <w:rPr>
          <w:rFonts w:ascii="Times New Roman" w:hAnsi="Times New Roman" w:cs="Times New Roman"/>
          <w:sz w:val="28"/>
          <w:szCs w:val="28"/>
        </w:rPr>
        <w:t>Особое значение цифровизация имеет для обеспечения инновационно-инклюзивного развития. Использование цифровых платформ позволяет вовлекать малые предприятия, сельскохозяйственные кооперативы и индивидуальных предпринимателей в формальные экономические процессы, расширяя их доступ к финансированию, рынкам и технологическим ресурсам. Таким образом, цифровая трансформация Республики может выступать одновременно инструментом экономического роста и механизмом социальной инклюзии.</w:t>
      </w:r>
    </w:p>
    <w:p>
      <w:pPr>
        <w:pStyle w:val="P21"/>
        <w:spacing w:lineRule="auto" w:line="360" w:beforeAutospacing="0" w:afterAutospacing="0"/>
        <w:ind w:firstLine="689" w:left="20" w:right="40"/>
        <w:jc w:val="both"/>
        <w:rPr>
          <w:rFonts w:ascii="Times New Roman" w:hAnsi="Times New Roman" w:cs="Times New Roman"/>
          <w:sz w:val="28"/>
          <w:szCs w:val="28"/>
        </w:rPr>
      </w:pPr>
      <w:r>
        <w:rPr>
          <w:rFonts w:ascii="Times New Roman" w:hAnsi="Times New Roman" w:cs="Times New Roman"/>
          <w:sz w:val="28"/>
          <w:szCs w:val="28"/>
        </w:rPr>
        <w:t>В результате проведенного исследования можно сделать общий вывод о том, что дальнейшее развитие Республики Кот-д’Ивуар в условиях глобальной экономики требует перехода от сырьевой экспортной модели к платформенно-координируемой модели интеграции, основанной на цифровизации торговых и производственных процессов. Такой переход предполагает формирование институционально-технологической инфраструктуры, способной объединить торговые процедуры, финансовые сервисы, логистические системы и механизмы прослеживаемости продукции в единую цифровую среду.</w:t>
      </w:r>
    </w:p>
    <w:p>
      <w:pPr>
        <w:pStyle w:val="P21"/>
        <w:spacing w:lineRule="auto" w:line="360" w:beforeAutospacing="0" w:afterAutospacing="0"/>
        <w:ind w:firstLine="689" w:left="20" w:right="40"/>
        <w:jc w:val="both"/>
        <w:rPr>
          <w:rFonts w:ascii="Times New Roman" w:hAnsi="Times New Roman" w:cs="Times New Roman"/>
          <w:sz w:val="28"/>
          <w:szCs w:val="28"/>
        </w:rPr>
      </w:pPr>
      <w:r>
        <w:rPr>
          <w:rFonts w:ascii="Times New Roman" w:hAnsi="Times New Roman" w:cs="Times New Roman"/>
          <w:sz w:val="28"/>
          <w:szCs w:val="28"/>
        </w:rPr>
        <w:t>Таким образом, результаты анализа второй главы подтверждают, что цифровизация внешнеэкономических процессов может рассматриваться как ключевой инструмент формирования устойчивых траекторий инновационно-инклюзивного развития Республики Кот-д’Ивуар.</w:t>
      </w:r>
    </w:p>
    <w:p>
      <w:pPr>
        <w:pStyle w:val="P21"/>
        <w:shd w:val="clear" w:fill="auto"/>
        <w:spacing w:lineRule="auto" w:line="360" w:beforeAutospacing="0" w:afterAutospacing="0"/>
        <w:ind w:firstLine="689" w:left="20" w:right="40"/>
        <w:jc w:val="both"/>
        <w:rPr>
          <w:rFonts w:ascii="Times New Roman" w:hAnsi="Times New Roman" w:cs="Times New Roman"/>
          <w:sz w:val="28"/>
          <w:szCs w:val="28"/>
        </w:rPr>
      </w:pPr>
      <w:r>
        <w:rPr>
          <w:rFonts w:ascii="Times New Roman" w:hAnsi="Times New Roman" w:cs="Times New Roman"/>
          <w:sz w:val="28"/>
          <w:szCs w:val="28"/>
        </w:rPr>
        <w:t xml:space="preserve">В этой связи далее перейдем к  разработке проектных предложений по  усилению участия страны в региональных и глобальных инновационных цепочках создания стоимости. </w:t>
      </w:r>
    </w:p>
    <w:p/>
    <w:p>
      <w:pPr>
        <w:rPr>
          <w:rFonts w:ascii="Times New Roman" w:hAnsi="Times New Roman" w:cs="Times New Roman"/>
          <w:b w:val="1"/>
          <w:bCs w:val="1"/>
          <w:sz w:val="28"/>
          <w:szCs w:val="28"/>
        </w:rPr>
      </w:pPr>
      <w:r>
        <w:rPr>
          <w:rFonts w:ascii="Times New Roman" w:hAnsi="Times New Roman" w:cs="Times New Roman"/>
          <w:b w:val="1"/>
          <w:bCs w:val="1"/>
          <w:sz w:val="28"/>
          <w:szCs w:val="28"/>
        </w:rPr>
        <w:br w:type="page"/>
      </w:r>
    </w:p>
    <w:p>
      <w:pPr>
        <w:spacing w:lineRule="auto" w:line="360" w:after="0" w:beforeAutospacing="0" w:afterAutospacing="0"/>
        <w:jc w:val="center"/>
        <w:rPr>
          <w:rFonts w:cs="Times New Roman"/>
          <w:b w:val="1"/>
          <w:caps w:val="1"/>
          <w:sz w:val="28"/>
          <w:szCs w:val="28"/>
        </w:rPr>
      </w:pPr>
      <w:r>
        <w:rPr>
          <w:rFonts w:ascii="Times New Roman Полужирный" w:hAnsi="Times New Roman Полужирный" w:cs="Times New Roman"/>
          <w:b w:val="1"/>
          <w:caps w:val="1"/>
          <w:sz w:val="28"/>
          <w:szCs w:val="28"/>
        </w:rPr>
        <w:t xml:space="preserve">ГЛАВА 3. Проектирование платформенного механизма инновационно-инклюзивного развития </w:t>
      </w:r>
    </w:p>
    <w:p>
      <w:pPr>
        <w:spacing w:lineRule="auto" w:line="360" w:after="0" w:beforeAutospacing="0" w:afterAutospacing="0"/>
        <w:jc w:val="center"/>
        <w:rPr>
          <w:rFonts w:ascii="Times New Roman Полужирный" w:hAnsi="Times New Roman Полужирный" w:cs="Times New Roman"/>
          <w:b w:val="1"/>
          <w:bCs w:val="1"/>
          <w:caps w:val="1"/>
          <w:sz w:val="28"/>
          <w:szCs w:val="28"/>
        </w:rPr>
      </w:pPr>
      <w:r>
        <w:rPr>
          <w:rFonts w:ascii="Times New Roman Полужирный" w:hAnsi="Times New Roman Полужирный" w:cs="Times New Roman"/>
          <w:b w:val="1"/>
          <w:caps w:val="1"/>
          <w:sz w:val="28"/>
          <w:szCs w:val="28"/>
        </w:rPr>
        <w:t>Республики Кот-д’Ивуар</w:t>
      </w:r>
    </w:p>
    <w:p>
      <w:pPr>
        <w:spacing w:lineRule="auto" w:line="360" w:after="0" w:beforeAutospacing="0" w:afterAutospacing="0"/>
        <w:jc w:val="center"/>
        <w:rPr>
          <w:rFonts w:ascii="Times New Roman" w:hAnsi="Times New Roman" w:cs="Times New Roman"/>
          <w:b w:val="1"/>
          <w:bCs w:val="1"/>
          <w:sz w:val="28"/>
          <w:szCs w:val="28"/>
        </w:rPr>
      </w:pPr>
    </w:p>
    <w:p>
      <w:pPr>
        <w:spacing w:lineRule="auto" w:line="360" w:after="0" w:beforeAutospacing="0" w:afterAutospacing="0"/>
        <w:jc w:val="center"/>
        <w:rPr>
          <w:rFonts w:ascii="Times New Roman" w:hAnsi="Times New Roman" w:cs="Times New Roman"/>
          <w:b w:val="1"/>
          <w:bCs w:val="1"/>
          <w:sz w:val="28"/>
          <w:szCs w:val="28"/>
        </w:rPr>
      </w:pPr>
    </w:p>
    <w:p>
      <w:pPr>
        <w:pStyle w:val="P13"/>
        <w:spacing w:lineRule="auto" w:line="360" w:beforeAutospacing="0" w:afterAutospacing="0"/>
        <w:ind w:firstLine="709"/>
        <w:jc w:val="both"/>
        <w:rPr>
          <w:sz w:val="28"/>
          <w:szCs w:val="28"/>
          <w:lang w:val="ru-RU"/>
        </w:rPr>
      </w:pPr>
    </w:p>
    <w:p>
      <w:pPr>
        <w:pStyle w:val="P13"/>
        <w:spacing w:lineRule="auto" w:line="360" w:beforeAutospacing="0" w:afterAutospacing="0"/>
        <w:ind w:firstLine="709"/>
        <w:jc w:val="both"/>
        <w:rPr>
          <w:sz w:val="28"/>
          <w:szCs w:val="28"/>
          <w:lang w:val="ru-RU"/>
        </w:rPr>
      </w:pPr>
      <w:r>
        <w:rPr>
          <w:b w:val="1"/>
          <w:bCs w:val="1"/>
          <w:sz w:val="28"/>
          <w:szCs w:val="28"/>
          <w:lang w:val="ru-RU"/>
        </w:rPr>
        <w:t>3.1 Обоснование платформенного подхода к структурной трансформации экономики Республики Кот-д’Ивуар</w:t>
      </w:r>
    </w:p>
    <w:p>
      <w:pPr>
        <w:pStyle w:val="P13"/>
        <w:spacing w:lineRule="auto" w:line="360" w:beforeAutospacing="0" w:afterAutospacing="0"/>
        <w:ind w:firstLine="709"/>
        <w:jc w:val="both"/>
        <w:rPr>
          <w:sz w:val="28"/>
          <w:szCs w:val="28"/>
          <w:lang w:val="ru-RU"/>
        </w:rPr>
      </w:pPr>
    </w:p>
    <w:p>
      <w:pPr>
        <w:pStyle w:val="P13"/>
        <w:spacing w:lineRule="auto" w:line="360" w:beforeAutospacing="0" w:afterAutospacing="0"/>
        <w:ind w:firstLine="709"/>
        <w:jc w:val="both"/>
        <w:rPr>
          <w:sz w:val="28"/>
          <w:szCs w:val="28"/>
          <w:lang w:val="ru-RU"/>
        </w:rPr>
      </w:pPr>
    </w:p>
    <w:p>
      <w:pPr>
        <w:pStyle w:val="P13"/>
        <w:spacing w:lineRule="auto" w:line="360" w:beforeAutospacing="0" w:afterAutospacing="0"/>
        <w:ind w:firstLine="709"/>
        <w:jc w:val="both"/>
        <w:rPr>
          <w:sz w:val="28"/>
          <w:szCs w:val="28"/>
          <w:lang w:val="ru-RU"/>
        </w:rPr>
      </w:pPr>
    </w:p>
    <w:p>
      <w:pPr>
        <w:pStyle w:val="P13"/>
        <w:spacing w:lineRule="auto" w:line="360" w:beforeAutospacing="0" w:afterAutospacing="0"/>
        <w:ind w:firstLine="709"/>
        <w:jc w:val="both"/>
        <w:rPr>
          <w:sz w:val="28"/>
          <w:szCs w:val="28"/>
          <w:lang w:val="ru-RU"/>
        </w:rPr>
      </w:pPr>
      <w:r>
        <w:rPr>
          <w:sz w:val="28"/>
          <w:szCs w:val="28"/>
          <w:lang w:val="ru-RU"/>
        </w:rPr>
        <w:t xml:space="preserve">Проведенный нами анализ показал, что Республика Кот-д’Ивуар демонстрирует устойчивую макроэкономическую динамику и остается одной из наиболее быстрорастущих экономик Западной Африки. Вместе с тем выявленные структурные ограничения  (высокая сырьевая зависимость экспорта, низкая доля переработки, ограниченное участие в глобальных цепочках добавленной стоимости, региональные диспропорции и институциональные барьеры для развития малого и среднего предпринимательства) сдерживают формирование устойчивых траекторий инновационно-инклюзивного развития.</w:t>
      </w:r>
    </w:p>
    <w:p>
      <w:pPr>
        <w:pStyle w:val="P13"/>
        <w:spacing w:lineRule="auto" w:line="360" w:beforeAutospacing="0" w:afterAutospacing="0"/>
        <w:ind w:firstLine="709"/>
        <w:jc w:val="both"/>
        <w:rPr>
          <w:sz w:val="28"/>
          <w:szCs w:val="28"/>
          <w:lang w:val="ru-RU"/>
        </w:rPr>
      </w:pPr>
      <w:r>
        <w:rPr>
          <w:sz w:val="28"/>
          <w:szCs w:val="28"/>
          <w:lang w:val="ru-RU"/>
        </w:rPr>
        <w:t>Результаты эмпирического анализа также показали, что одним из ключевых факторов, обладающих значительным синергетическим потенциалом в достижении целей устойчивого развития, является развитие информационно-коммуникационных технологий. Однако сам по себе рост цифровой инфраструктуры не гарантирует трансформации экономической структуры и расширения участия экономических агентов в инновационных процессах. Для преобразования технологического потенциала в устойчивые экономические эффекты необходим организационно-экономический механизм, способный интегрировать цифровые технологии, предпринимательскую активность, институты развития и международные экономические связи.</w:t>
      </w:r>
    </w:p>
    <w:p>
      <w:pPr>
        <w:pStyle w:val="P13"/>
        <w:spacing w:lineRule="auto" w:line="360" w:beforeAutospacing="0" w:afterAutospacing="0"/>
        <w:ind w:firstLine="709"/>
        <w:jc w:val="both"/>
        <w:rPr>
          <w:sz w:val="28"/>
          <w:szCs w:val="28"/>
          <w:lang w:val="ru-RU"/>
        </w:rPr>
      </w:pPr>
      <w:r>
        <w:rPr>
          <w:sz w:val="28"/>
          <w:szCs w:val="28"/>
          <w:lang w:val="ru-RU"/>
        </w:rPr>
        <w:t xml:space="preserve">В современных условиях таким механизмом все чаще </w:t>
      </w:r>
      <w:r>
        <w:rPr>
          <w:sz w:val="28"/>
          <w:szCs w:val="28"/>
          <w:highlight w:val="yellow"/>
          <w:lang w:val="ru-RU"/>
        </w:rPr>
        <w:t>выступают цифровые платформы,</w:t>
      </w:r>
      <w:r>
        <w:rPr>
          <w:color w:val="0070C0"/>
          <w:sz w:val="28"/>
          <w:szCs w:val="28"/>
          <w:lang w:val="ru-RU"/>
        </w:rPr>
        <w:t>ссылку сделать!!!</w:t>
      </w:r>
      <w:r>
        <w:rPr>
          <w:sz w:val="28"/>
          <w:szCs w:val="28"/>
          <w:lang w:val="ru-RU"/>
        </w:rPr>
        <w:t xml:space="preserve"> формирующие новые модели экономической координации и взаимодействия участников рынка. Платформенная экономика позволяет существенно снизить трансакционные издержки, обеспечить доступ малых и средних предприятий к рынкам и финансовым ресурсам, ускорить распространение инноваций и стимулировать формирование сетевых эффектов. Как нам представляется, для развивающихся стран, характеризующихся институциональной неоднородностью и ограниченностью ресурсов, платформенные решения могут стать эффективным инструментом структурной трансформации экономики.</w:t>
      </w:r>
    </w:p>
    <w:p>
      <w:pPr>
        <w:pStyle w:val="P13"/>
        <w:spacing w:lineRule="auto" w:line="360" w:beforeAutospacing="0" w:afterAutospacing="0"/>
        <w:ind w:firstLine="709"/>
        <w:jc w:val="both"/>
        <w:rPr>
          <w:sz w:val="28"/>
          <w:szCs w:val="28"/>
          <w:lang w:val="ru-RU"/>
        </w:rPr>
      </w:pPr>
      <w:r>
        <w:rPr>
          <w:sz w:val="28"/>
          <w:szCs w:val="28"/>
          <w:lang w:val="ru-RU"/>
        </w:rPr>
        <w:t>В условиях усиления глобальной конкуренции и ускорения процессов цифровой трансформации традиционная модель экономического развития становится все менее эффективной. Для обеспечения устойчивого роста и расширения участия Республики Кот-Д’Ивуар в международном разделении труда необходим переход к новой модели развития, основанной на:</w:t>
      </w:r>
    </w:p>
    <w:p>
      <w:pPr>
        <w:pStyle w:val="P13"/>
        <w:numPr>
          <w:ilvl w:val="0"/>
          <w:numId w:val="32"/>
        </w:numPr>
        <w:tabs>
          <w:tab w:val="left" w:pos="1134" w:leader="none"/>
        </w:tabs>
        <w:spacing w:lineRule="auto" w:line="360" w:beforeAutospacing="0" w:afterAutospacing="0"/>
        <w:ind w:firstLine="709" w:left="0"/>
        <w:jc w:val="both"/>
        <w:rPr>
          <w:sz w:val="28"/>
          <w:szCs w:val="28"/>
          <w:lang w:val="ru-RU"/>
        </w:rPr>
      </w:pPr>
      <w:r>
        <w:rPr>
          <w:sz w:val="28"/>
          <w:szCs w:val="28"/>
          <w:lang w:val="ru-RU"/>
        </w:rPr>
        <w:t>расширении переработки сырьевых ресурсов;</w:t>
      </w:r>
    </w:p>
    <w:p>
      <w:pPr>
        <w:pStyle w:val="P13"/>
        <w:numPr>
          <w:ilvl w:val="0"/>
          <w:numId w:val="32"/>
        </w:numPr>
        <w:tabs>
          <w:tab w:val="left" w:pos="1134" w:leader="none"/>
        </w:tabs>
        <w:spacing w:lineRule="auto" w:line="360" w:beforeAutospacing="0" w:afterAutospacing="0"/>
        <w:ind w:firstLine="709" w:left="0"/>
        <w:jc w:val="both"/>
        <w:rPr>
          <w:sz w:val="28"/>
          <w:szCs w:val="28"/>
          <w:lang w:val="ru-RU"/>
        </w:rPr>
      </w:pPr>
      <w:r>
        <w:rPr>
          <w:sz w:val="28"/>
          <w:szCs w:val="28"/>
          <w:lang w:val="ru-RU"/>
        </w:rPr>
        <w:t>диверсификации экспортной структуры;</w:t>
      </w:r>
    </w:p>
    <w:p>
      <w:pPr>
        <w:pStyle w:val="P13"/>
        <w:numPr>
          <w:ilvl w:val="0"/>
          <w:numId w:val="32"/>
        </w:numPr>
        <w:tabs>
          <w:tab w:val="left" w:pos="1134" w:leader="none"/>
        </w:tabs>
        <w:spacing w:lineRule="auto" w:line="360" w:beforeAutospacing="0" w:afterAutospacing="0"/>
        <w:ind w:firstLine="709" w:left="0"/>
        <w:jc w:val="both"/>
        <w:rPr>
          <w:sz w:val="28"/>
          <w:szCs w:val="28"/>
          <w:lang w:val="ru-RU"/>
        </w:rPr>
      </w:pPr>
      <w:r>
        <w:rPr>
          <w:sz w:val="28"/>
          <w:szCs w:val="28"/>
          <w:lang w:val="ru-RU"/>
        </w:rPr>
        <w:t>вовлечении малого и среднего бизнеса в глобальные цепочки стоимости;</w:t>
      </w:r>
    </w:p>
    <w:p>
      <w:pPr>
        <w:pStyle w:val="P13"/>
        <w:numPr>
          <w:ilvl w:val="0"/>
          <w:numId w:val="32"/>
        </w:numPr>
        <w:tabs>
          <w:tab w:val="left" w:pos="1134" w:leader="none"/>
        </w:tabs>
        <w:spacing w:lineRule="auto" w:line="360" w:beforeAutospacing="0" w:afterAutospacing="0"/>
        <w:ind w:firstLine="709" w:left="0"/>
        <w:jc w:val="both"/>
        <w:rPr>
          <w:sz w:val="28"/>
          <w:szCs w:val="28"/>
          <w:lang w:val="ru-RU"/>
        </w:rPr>
      </w:pPr>
      <w:r>
        <w:rPr>
          <w:sz w:val="28"/>
          <w:szCs w:val="28"/>
          <w:lang w:val="ru-RU"/>
        </w:rPr>
        <w:t>развитии цифровой инфраструктуры и инновационной среды.</w:t>
      </w:r>
    </w:p>
    <w:p>
      <w:pPr>
        <w:pStyle w:val="P13"/>
        <w:spacing w:lineRule="auto" w:line="360" w:beforeAutospacing="0" w:afterAutospacing="0"/>
        <w:ind w:firstLine="709"/>
        <w:jc w:val="both"/>
        <w:rPr>
          <w:sz w:val="28"/>
          <w:szCs w:val="28"/>
          <w:lang w:val="ru-RU"/>
        </w:rPr>
      </w:pPr>
      <w:r>
        <w:rPr>
          <w:sz w:val="28"/>
          <w:szCs w:val="28"/>
          <w:lang w:val="ru-RU"/>
        </w:rPr>
        <w:t>Одним из перспективных направлений реализации такой трансформации является использование платформенных механизмов экономической координации, позволяющих объединить производителей, переработчиков, логистические компании, финансовые институты и государственные структуры в единую цифровую экосистему.</w:t>
      </w:r>
    </w:p>
    <w:p>
      <w:pPr>
        <w:pStyle w:val="P13"/>
        <w:spacing w:lineRule="auto" w:line="360" w:beforeAutospacing="0" w:afterAutospacing="0"/>
        <w:ind w:firstLine="709"/>
        <w:jc w:val="both"/>
        <w:rPr>
          <w:sz w:val="28"/>
          <w:szCs w:val="28"/>
          <w:lang w:val="ru-RU"/>
        </w:rPr>
      </w:pPr>
      <w:r>
        <w:rPr>
          <w:sz w:val="28"/>
          <w:szCs w:val="28"/>
          <w:lang w:val="ru-RU"/>
        </w:rPr>
        <w:t>Под платформенным механизмом в рамках настоящего исследования мы понимаем совокупность институциональных, организационно-экономических и цифровых инструментов, обеспечивающих координацию взаимодействия экономических агентов через цифровую платформу и направленных на формирование сетевых эффектов, снижение транзакционных издержек и расширение возможностей инновационно-инклюзивного развития.</w:t>
      </w:r>
    </w:p>
    <w:p>
      <w:pPr>
        <w:pStyle w:val="P13"/>
        <w:spacing w:lineRule="auto" w:line="360" w:beforeAutospacing="0" w:afterAutospacing="0"/>
        <w:ind w:firstLine="709"/>
        <w:jc w:val="both"/>
        <w:rPr>
          <w:sz w:val="28"/>
          <w:szCs w:val="28"/>
          <w:lang w:val="ru-RU"/>
        </w:rPr>
      </w:pPr>
      <w:r>
        <w:rPr>
          <w:sz w:val="28"/>
          <w:szCs w:val="28"/>
          <w:lang w:val="ru-RU"/>
        </w:rPr>
        <w:t xml:space="preserve">В экономических исследованиях </w:t>
      </w:r>
      <w:r>
        <w:rPr>
          <w:color w:val="00B0F0"/>
          <w:sz w:val="28"/>
          <w:szCs w:val="28"/>
          <w:highlight w:val="yellow"/>
          <w:lang w:val="ru-RU"/>
        </w:rPr>
        <w:t>ссылку сделать!!!</w:t>
      </w:r>
      <w:r>
        <w:rPr>
          <w:color w:val="00B0F0"/>
          <w:sz w:val="28"/>
          <w:szCs w:val="28"/>
          <w:lang w:val="ru-RU"/>
        </w:rPr>
        <w:t xml:space="preserve"> </w:t>
      </w:r>
      <w:r>
        <w:rPr>
          <w:sz w:val="28"/>
          <w:szCs w:val="28"/>
          <w:lang w:val="ru-RU"/>
        </w:rPr>
        <w:t xml:space="preserve">принято выделять следующие ключевые  его компоненты:</w:t>
      </w:r>
    </w:p>
    <w:p>
      <w:pPr>
        <w:pStyle w:val="P13"/>
        <w:spacing w:lineRule="auto" w:line="360" w:beforeAutospacing="0" w:afterAutospacing="0"/>
        <w:ind w:firstLine="709"/>
        <w:jc w:val="both"/>
        <w:rPr>
          <w:sz w:val="28"/>
          <w:szCs w:val="28"/>
          <w:lang w:val="ru-RU"/>
        </w:rPr>
      </w:pPr>
      <w:r>
        <w:rPr>
          <w:sz w:val="28"/>
          <w:szCs w:val="28"/>
          <w:lang w:val="ru-RU"/>
        </w:rPr>
        <w:t>1. Цифровая инфраструктура, представляющая собой технологическую основу платформы:</w:t>
      </w:r>
    </w:p>
    <w:p>
      <w:pPr>
        <w:pStyle w:val="P13"/>
        <w:numPr>
          <w:ilvl w:val="0"/>
          <w:numId w:val="33"/>
        </w:numPr>
        <w:spacing w:lineRule="auto" w:line="360" w:beforeAutospacing="0" w:afterAutospacing="0"/>
        <w:jc w:val="both"/>
        <w:rPr>
          <w:sz w:val="28"/>
          <w:szCs w:val="28"/>
          <w:lang w:val="ru-RU"/>
        </w:rPr>
      </w:pPr>
      <w:r>
        <w:rPr>
          <w:sz w:val="28"/>
          <w:szCs w:val="28"/>
          <w:lang w:val="ru-RU"/>
        </w:rPr>
        <w:t>цифровые сервисы;</w:t>
      </w:r>
    </w:p>
    <w:p>
      <w:pPr>
        <w:pStyle w:val="P13"/>
        <w:numPr>
          <w:ilvl w:val="0"/>
          <w:numId w:val="33"/>
        </w:numPr>
        <w:spacing w:lineRule="auto" w:line="360" w:beforeAutospacing="0" w:afterAutospacing="0"/>
        <w:jc w:val="both"/>
        <w:rPr>
          <w:sz w:val="28"/>
          <w:szCs w:val="28"/>
          <w:lang w:val="ru-RU"/>
        </w:rPr>
      </w:pPr>
      <w:r>
        <w:rPr>
          <w:sz w:val="28"/>
          <w:szCs w:val="28"/>
          <w:lang w:val="ru-RU"/>
        </w:rPr>
        <w:t>базы данных;</w:t>
      </w:r>
    </w:p>
    <w:p>
      <w:pPr>
        <w:pStyle w:val="P13"/>
        <w:numPr>
          <w:ilvl w:val="0"/>
          <w:numId w:val="33"/>
        </w:numPr>
        <w:spacing w:lineRule="auto" w:line="360" w:beforeAutospacing="0" w:afterAutospacing="0"/>
        <w:jc w:val="both"/>
        <w:rPr>
          <w:sz w:val="28"/>
          <w:szCs w:val="28"/>
          <w:lang w:val="ru-RU"/>
        </w:rPr>
      </w:pPr>
      <w:r>
        <w:rPr>
          <w:sz w:val="28"/>
          <w:szCs w:val="28"/>
          <w:lang w:val="ru-RU"/>
        </w:rPr>
        <w:t>облачные системы;</w:t>
      </w:r>
    </w:p>
    <w:p>
      <w:pPr>
        <w:pStyle w:val="P13"/>
        <w:numPr>
          <w:ilvl w:val="0"/>
          <w:numId w:val="33"/>
        </w:numPr>
        <w:spacing w:lineRule="auto" w:line="360" w:beforeAutospacing="0" w:afterAutospacing="0"/>
        <w:jc w:val="both"/>
        <w:rPr>
          <w:sz w:val="28"/>
          <w:szCs w:val="28"/>
          <w:lang w:val="ru-RU"/>
        </w:rPr>
      </w:pPr>
      <w:r>
        <w:rPr>
          <w:sz w:val="28"/>
          <w:szCs w:val="28"/>
          <w:lang w:val="ru-RU"/>
        </w:rPr>
        <w:t>мобильные приложения;</w:t>
      </w:r>
    </w:p>
    <w:p>
      <w:pPr>
        <w:pStyle w:val="P13"/>
        <w:numPr>
          <w:ilvl w:val="0"/>
          <w:numId w:val="33"/>
        </w:numPr>
        <w:spacing w:lineRule="auto" w:line="360" w:beforeAutospacing="0" w:afterAutospacing="0"/>
        <w:jc w:val="both"/>
        <w:rPr>
          <w:sz w:val="28"/>
          <w:szCs w:val="28"/>
          <w:lang w:val="ru-RU"/>
        </w:rPr>
      </w:pPr>
      <w:r>
        <w:rPr>
          <w:sz w:val="28"/>
          <w:szCs w:val="28"/>
          <w:lang w:val="ru-RU"/>
        </w:rPr>
        <w:t>блокчейн и IoT;</w:t>
      </w:r>
    </w:p>
    <w:p>
      <w:pPr>
        <w:pStyle w:val="P13"/>
        <w:spacing w:lineRule="auto" w:line="360" w:beforeAutospacing="0" w:afterAutospacing="0"/>
        <w:ind w:firstLine="709"/>
        <w:jc w:val="both"/>
        <w:rPr>
          <w:sz w:val="28"/>
          <w:szCs w:val="28"/>
          <w:lang w:val="ru-RU"/>
        </w:rPr>
      </w:pPr>
      <w:r>
        <w:rPr>
          <w:sz w:val="28"/>
          <w:szCs w:val="28"/>
          <w:lang w:val="ru-RU"/>
        </w:rPr>
        <w:t>2. Институциональная среда – правила функционирования платформы:</w:t>
      </w:r>
    </w:p>
    <w:p>
      <w:pPr>
        <w:pStyle w:val="P13"/>
        <w:numPr>
          <w:ilvl w:val="0"/>
          <w:numId w:val="34"/>
        </w:numPr>
        <w:spacing w:lineRule="auto" w:line="360" w:beforeAutospacing="0" w:afterAutospacing="0"/>
        <w:jc w:val="both"/>
        <w:rPr>
          <w:sz w:val="28"/>
          <w:szCs w:val="28"/>
          <w:lang w:val="ru-RU"/>
        </w:rPr>
      </w:pPr>
      <w:r>
        <w:rPr>
          <w:sz w:val="28"/>
          <w:szCs w:val="28"/>
          <w:lang w:val="ru-RU"/>
        </w:rPr>
        <w:t>регуляторная база;</w:t>
      </w:r>
    </w:p>
    <w:p>
      <w:pPr>
        <w:pStyle w:val="P13"/>
        <w:numPr>
          <w:ilvl w:val="0"/>
          <w:numId w:val="34"/>
        </w:numPr>
        <w:spacing w:lineRule="auto" w:line="360" w:beforeAutospacing="0" w:afterAutospacing="0"/>
        <w:jc w:val="both"/>
        <w:rPr>
          <w:sz w:val="28"/>
          <w:szCs w:val="28"/>
          <w:lang w:val="ru-RU"/>
        </w:rPr>
      </w:pPr>
      <w:r>
        <w:rPr>
          <w:sz w:val="28"/>
          <w:szCs w:val="28"/>
          <w:lang w:val="ru-RU"/>
        </w:rPr>
        <w:t>стандарты взаимодействия;</w:t>
      </w:r>
    </w:p>
    <w:p>
      <w:pPr>
        <w:pStyle w:val="P13"/>
        <w:numPr>
          <w:ilvl w:val="0"/>
          <w:numId w:val="34"/>
        </w:numPr>
        <w:spacing w:lineRule="auto" w:line="360" w:beforeAutospacing="0" w:afterAutospacing="0"/>
        <w:jc w:val="both"/>
        <w:rPr>
          <w:sz w:val="28"/>
          <w:szCs w:val="28"/>
          <w:lang w:val="ru-RU"/>
        </w:rPr>
      </w:pPr>
      <w:r>
        <w:rPr>
          <w:sz w:val="28"/>
          <w:szCs w:val="28"/>
          <w:lang w:val="ru-RU"/>
        </w:rPr>
        <w:t>защита данных;</w:t>
      </w:r>
    </w:p>
    <w:p>
      <w:pPr>
        <w:pStyle w:val="P13"/>
        <w:numPr>
          <w:ilvl w:val="0"/>
          <w:numId w:val="34"/>
        </w:numPr>
        <w:spacing w:lineRule="auto" w:line="360" w:beforeAutospacing="0" w:afterAutospacing="0"/>
        <w:jc w:val="both"/>
        <w:rPr>
          <w:sz w:val="28"/>
          <w:szCs w:val="28"/>
          <w:lang w:val="ru-RU"/>
        </w:rPr>
      </w:pPr>
      <w:r>
        <w:rPr>
          <w:sz w:val="28"/>
          <w:szCs w:val="28"/>
          <w:lang w:val="ru-RU"/>
        </w:rPr>
        <w:t>механизмы доверия;</w:t>
      </w:r>
    </w:p>
    <w:p>
      <w:pPr>
        <w:pStyle w:val="P13"/>
        <w:spacing w:lineRule="auto" w:line="360" w:beforeAutospacing="0" w:afterAutospacing="0"/>
        <w:ind w:firstLine="709"/>
        <w:jc w:val="both"/>
        <w:rPr>
          <w:sz w:val="28"/>
          <w:szCs w:val="28"/>
          <w:lang w:val="ru-RU"/>
        </w:rPr>
      </w:pPr>
      <w:r>
        <w:rPr>
          <w:sz w:val="28"/>
          <w:szCs w:val="28"/>
          <w:lang w:val="ru-RU"/>
        </w:rPr>
        <w:t>3. Экономические стимулы представляют собой механизмы вовлечения участников:</w:t>
      </w:r>
    </w:p>
    <w:p>
      <w:pPr>
        <w:pStyle w:val="P13"/>
        <w:numPr>
          <w:ilvl w:val="0"/>
          <w:numId w:val="35"/>
        </w:numPr>
        <w:spacing w:lineRule="auto" w:line="360" w:beforeAutospacing="0" w:afterAutospacing="0"/>
        <w:jc w:val="both"/>
        <w:rPr>
          <w:sz w:val="28"/>
          <w:szCs w:val="28"/>
          <w:lang w:val="ru-RU"/>
        </w:rPr>
      </w:pPr>
      <w:r>
        <w:rPr>
          <w:sz w:val="28"/>
          <w:szCs w:val="28"/>
          <w:lang w:val="ru-RU"/>
        </w:rPr>
        <w:t>доступ к рынкам;</w:t>
      </w:r>
    </w:p>
    <w:p>
      <w:pPr>
        <w:pStyle w:val="P13"/>
        <w:numPr>
          <w:ilvl w:val="0"/>
          <w:numId w:val="35"/>
        </w:numPr>
        <w:spacing w:lineRule="auto" w:line="360" w:beforeAutospacing="0" w:afterAutospacing="0"/>
        <w:jc w:val="both"/>
        <w:rPr>
          <w:sz w:val="28"/>
          <w:szCs w:val="28"/>
          <w:lang w:val="ru-RU"/>
        </w:rPr>
      </w:pPr>
      <w:r>
        <w:rPr>
          <w:sz w:val="28"/>
          <w:szCs w:val="28"/>
          <w:lang w:val="ru-RU"/>
        </w:rPr>
        <w:t>снижение трансакционных издержек;</w:t>
      </w:r>
    </w:p>
    <w:p>
      <w:pPr>
        <w:pStyle w:val="P13"/>
        <w:numPr>
          <w:ilvl w:val="0"/>
          <w:numId w:val="35"/>
        </w:numPr>
        <w:spacing w:lineRule="auto" w:line="360" w:beforeAutospacing="0" w:afterAutospacing="0"/>
        <w:jc w:val="both"/>
        <w:rPr>
          <w:sz w:val="28"/>
          <w:szCs w:val="28"/>
          <w:lang w:val="ru-RU"/>
        </w:rPr>
      </w:pPr>
      <w:r>
        <w:rPr>
          <w:sz w:val="28"/>
          <w:szCs w:val="28"/>
          <w:lang w:val="ru-RU"/>
        </w:rPr>
        <w:t>доступ к финансированию;</w:t>
      </w:r>
    </w:p>
    <w:p>
      <w:pPr>
        <w:pStyle w:val="P13"/>
        <w:numPr>
          <w:ilvl w:val="0"/>
          <w:numId w:val="35"/>
        </w:numPr>
        <w:spacing w:lineRule="auto" w:line="360" w:beforeAutospacing="0" w:afterAutospacing="0"/>
        <w:jc w:val="both"/>
        <w:rPr>
          <w:sz w:val="28"/>
          <w:szCs w:val="28"/>
          <w:lang w:val="ru-RU"/>
        </w:rPr>
      </w:pPr>
      <w:r>
        <w:rPr>
          <w:sz w:val="28"/>
          <w:szCs w:val="28"/>
          <w:lang w:val="ru-RU"/>
        </w:rPr>
        <w:t>новые каналы сбыта;</w:t>
      </w:r>
    </w:p>
    <w:p>
      <w:pPr>
        <w:pStyle w:val="P13"/>
        <w:spacing w:lineRule="auto" w:line="360" w:beforeAutospacing="0" w:afterAutospacing="0"/>
        <w:ind w:firstLine="709"/>
        <w:jc w:val="both"/>
        <w:rPr>
          <w:sz w:val="28"/>
          <w:szCs w:val="28"/>
          <w:lang w:val="ru-RU"/>
        </w:rPr>
      </w:pPr>
      <w:r>
        <w:rPr>
          <w:sz w:val="28"/>
          <w:szCs w:val="28"/>
          <w:lang w:val="ru-RU"/>
        </w:rPr>
        <w:t>4. Сетевые эффекты как ключевой источник эффективности платформ: чем больше участников платформы, тем выше ее ценность для всех пользователей. Это создает условия для ускоренного распространения инноваций, расширения предпринимательской активности и формирования новых рынков.</w:t>
      </w:r>
    </w:p>
    <w:p>
      <w:pPr>
        <w:pStyle w:val="P13"/>
        <w:spacing w:lineRule="auto" w:line="360" w:beforeAutospacing="0" w:afterAutospacing="0"/>
        <w:ind w:firstLine="709"/>
        <w:jc w:val="both"/>
        <w:rPr>
          <w:sz w:val="28"/>
          <w:szCs w:val="28"/>
          <w:lang w:val="ru-RU"/>
        </w:rPr>
      </w:pPr>
      <w:r>
        <w:rPr>
          <w:sz w:val="28"/>
          <w:szCs w:val="28"/>
          <w:lang w:val="ru-RU"/>
        </w:rPr>
        <w:t xml:space="preserve">Как нам представляется,  для развивающихся стран платформенные решения обладают рядом важных преимуществ. Во-первых, они позволяют существенно снизить трансакционные издержки, связанные с поиском партнеров, заключением контрактов и организацией поставок. Во-вторых, цифровые платформы облегчают доступ малых и средних предприятий к рынкам, финансовым инструментам и информационным ресурсам. В-третьих, платформенная экономика способствует формированию новых форм кооперации между государством, бизнесом и научно-образовательными организациями.</w:t>
      </w:r>
    </w:p>
    <w:p>
      <w:pPr>
        <w:pStyle w:val="P13"/>
        <w:spacing w:lineRule="auto" w:line="360" w:beforeAutospacing="0" w:afterAutospacing="0"/>
        <w:ind w:firstLine="709"/>
        <w:jc w:val="both"/>
        <w:rPr>
          <w:sz w:val="28"/>
          <w:szCs w:val="28"/>
          <w:lang w:val="ru-RU"/>
        </w:rPr>
      </w:pPr>
      <w:r>
        <w:rPr>
          <w:sz w:val="28"/>
          <w:szCs w:val="28"/>
          <w:lang w:val="ru-RU"/>
        </w:rPr>
        <w:t>Таким образом, использование платформенных механизмов может стать важным инструментом структурной трансформации экономики Республики Кот-д’Ивуар, обеспечивая переход от сырьевой модели развития к более диверсифицированной и инновационной экономике.</w:t>
      </w:r>
    </w:p>
    <w:p>
      <w:pPr>
        <w:pStyle w:val="P13"/>
        <w:spacing w:lineRule="auto" w:line="360" w:beforeAutospacing="0" w:afterAutospacing="0"/>
        <w:ind w:firstLine="709"/>
        <w:jc w:val="both"/>
        <w:rPr>
          <w:sz w:val="28"/>
          <w:szCs w:val="28"/>
          <w:lang w:val="ru-RU"/>
        </w:rPr>
      </w:pPr>
      <w:r>
        <w:rPr>
          <w:sz w:val="28"/>
          <w:szCs w:val="28"/>
          <w:lang w:val="ru-RU"/>
        </w:rPr>
        <w:t>Для Республики Кот-Д’Ивуар, как и большинства других стран Западной Африки, промышленная политика и государственное регулирование остаются наиболее прагматичным вариантом устойчивого развития и формирования фундамента для инновационно-инклюзивного роста. При этом ключевая роль в такой политике традиционно отводится финансовой системе причем это характерно не только для наименее развитых стран, но и для развитых стран, так как наличие доступных источников финансирования сильно влияет на результаты деятельности фирмы. Как отмечается в литературе, доступ к финансированию является важным фактором, который может стимулировать индустриализацию [</w:t>
      </w:r>
      <w:r>
        <w:rPr>
          <w:sz w:val="28"/>
          <w:szCs w:val="28"/>
          <w:highlight w:val="yellow"/>
          <w:lang w:val="ru-RU"/>
        </w:rPr>
        <w:t>94</w:t>
      </w:r>
      <w:r>
        <w:rPr>
          <w:sz w:val="28"/>
          <w:szCs w:val="28"/>
          <w:lang w:val="ru-RU"/>
        </w:rPr>
        <w:t>], поэтому мы считаем важным для обоснования возможности применения платформенного подхода оценить влияние наличия доступа компаний Республики Кот-Д’Ивуар к средствам и услугам государственных, частных и международных финансовых учреждений.</w:t>
      </w:r>
    </w:p>
    <w:p>
      <w:pPr>
        <w:spacing w:lineRule="auto" w:line="360" w:after="0" w:beforeAutospacing="0" w:afterAutospacing="0"/>
        <w:ind w:firstLine="708"/>
        <w:jc w:val="both"/>
        <w:rPr>
          <w:rFonts w:ascii="Times New Roman" w:hAnsi="Times New Roman" w:cs="Times New Roman"/>
          <w:sz w:val="28"/>
          <w:szCs w:val="28"/>
        </w:rPr>
      </w:pPr>
      <w:r>
        <w:rPr>
          <w:rFonts w:ascii="Times New Roman" w:hAnsi="Times New Roman" w:cs="Times New Roman"/>
          <w:sz w:val="28"/>
          <w:szCs w:val="28"/>
        </w:rPr>
        <w:t>Программа «Помощь в интересах торговли» должна быть сосредоточена на трех аспектах. Во-первых, должна поддерживать торговую политику и интеграцию, которые позволяют правительствам, например, за счет увеличения доходов, поддерживать усилия страны по сокращению бедности. Во-вторых, должна поддерживать расширение торговли, которое создает и увеличивает доходы бедных людей. В-третьих, должна смягчать и компенсировать неблагоприятные последствия изменений в торговле (связанные с торговлей издержки корректировки), особенно когда они затрагивают бедных людей.</w:t>
      </w:r>
    </w:p>
    <w:p>
      <w:pPr>
        <w:pStyle w:val="P13"/>
        <w:spacing w:lineRule="auto" w:line="360" w:beforeAutospacing="0" w:afterAutospacing="0"/>
        <w:ind w:firstLine="709"/>
        <w:jc w:val="both"/>
        <w:rPr>
          <w:sz w:val="28"/>
          <w:szCs w:val="28"/>
          <w:lang w:val="ru-RU"/>
        </w:rPr>
      </w:pPr>
      <w:r>
        <w:rPr>
          <w:sz w:val="28"/>
          <w:szCs w:val="28"/>
          <w:lang w:val="ru-RU"/>
        </w:rPr>
        <w:t>Одним из важных результатов фирмы, представляющих интерес для данного исследования, является проникновение на экспортный рынок. Степень, в которой фирмы конкурируют за пределами местного рынка, является важным показателем для измерения уровня инновационности и инклюзивности экономики. Экспортная корзина большинства африканских стран содержит значительное количество сырьевых товаров. Иными словами, структура международной торговли африканских стран растет и характеризуется высокой концентрацией: три четверти этих стран имеют долю сырьевого экспорта не менее 50 %, а одна треть – около 90 [</w:t>
      </w:r>
      <w:r>
        <w:rPr>
          <w:sz w:val="28"/>
          <w:szCs w:val="28"/>
          <w:highlight w:val="yellow"/>
          <w:lang w:val="ru-RU"/>
        </w:rPr>
        <w:t>188</w:t>
      </w:r>
      <w:r>
        <w:rPr>
          <w:sz w:val="28"/>
          <w:szCs w:val="28"/>
          <w:lang w:val="ru-RU"/>
        </w:rPr>
        <w:t xml:space="preserve">]. </w:t>
      </w:r>
    </w:p>
    <w:p>
      <w:pPr>
        <w:pStyle w:val="P13"/>
        <w:spacing w:lineRule="auto" w:line="360" w:beforeAutospacing="0" w:afterAutospacing="0"/>
        <w:ind w:firstLine="709"/>
        <w:jc w:val="both"/>
        <w:rPr>
          <w:color w:val="000000"/>
          <w:sz w:val="28"/>
          <w:lang w:val="ru-RU"/>
        </w:rPr>
      </w:pPr>
      <w:r>
        <w:rPr>
          <w:color w:val="000000"/>
          <w:sz w:val="28"/>
          <w:lang w:val="ru-RU"/>
        </w:rPr>
        <w:t xml:space="preserve">Поэтому одним из наиболее распространенных упрощенных представлений об экономической трансформации Кот-д'Ивуара является тезис о том, что достаточно масштабно развить переработку какао  и страна совершит структурный скачок. Республика Кот-д'Ивуар производит порядка 40% мирового объема какао-бобов. Казалось бы, их глубокая переработка внутри страны должна кратно увеличить добавленную стоимость и задать новую динамику ВВП. Именно этот нарратив лежит в основе многих программных документов и инвестиционных предложений</w:t>
      </w:r>
      <w:r>
        <w:rPr>
          <w:rStyle w:val="C42"/>
          <w:color w:val="000000"/>
          <w:sz w:val="28"/>
        </w:rPr>
        <w:footnoteReference w:id="105"/>
      </w:r>
      <w:r>
        <w:rPr>
          <w:color w:val="000000"/>
          <w:sz w:val="28"/>
          <w:lang w:val="ru-RU"/>
        </w:rPr>
        <w:t>. Однако количественный анализ свидетельствует, что даже при полной реализации потенциала переработки какао этот сектор не способен обеспечить структурный скачок экономики. Такая ситуация формирует так называемую «какао-ловушку», при которой страна остается преимущественно поставщиком сырья в глобальных цепочках стоимости, тогда как основные этапы переработки, брендирования и маркетинга сосредоточены в странах Европы и Северной Америки. В результате большая часть добавленной стоимости создается за пределами страны, доходы фермеров остаются низкими, инновационная активность в агросекторе ограничена, возможности промышленной диверсификации снижаются. Дополнительным фактором является высокая ценовая волатильность на мировом рынке какао, что делает экономику страны уязвимой к внешним шокам.</w:t>
      </w:r>
    </w:p>
    <w:p>
      <w:pPr>
        <w:pStyle w:val="P13"/>
        <w:spacing w:lineRule="auto" w:line="360" w:beforeAutospacing="0" w:afterAutospacing="0"/>
        <w:ind w:firstLine="709"/>
        <w:jc w:val="both"/>
        <w:rPr>
          <w:sz w:val="28"/>
          <w:szCs w:val="28"/>
          <w:lang w:val="ru-RU"/>
        </w:rPr>
      </w:pPr>
      <w:r>
        <w:rPr>
          <w:color w:val="000000"/>
          <w:sz w:val="28"/>
          <w:lang w:val="ru-RU"/>
        </w:rPr>
        <w:t>Таким образом, зависимость от сырьевого экспорта формирует структурное ограничение инновационно-инклюзивного развития, препятствуя переходу к экономике, основанной на переработке, инновациях и высоких технологиях.</w:t>
      </w:r>
    </w:p>
    <w:p>
      <w:pPr>
        <w:spacing w:lineRule="exact" w:line="440" w:after="0" w:beforeAutospacing="0" w:afterAutospacing="0"/>
        <w:ind w:firstLine="709"/>
        <w:jc w:val="both"/>
        <w:rPr>
          <w:rFonts w:ascii="Times New Roman" w:hAnsi="Times New Roman"/>
          <w:color w:val="000000"/>
          <w:sz w:val="28"/>
        </w:rPr>
      </w:pPr>
      <w:r>
        <w:rPr>
          <w:rFonts w:ascii="Times New Roman" w:hAnsi="Times New Roman"/>
          <w:color w:val="000000"/>
          <w:sz w:val="28"/>
        </w:rPr>
        <w:t>Для количественной аргументации своей позиции проведем формальный расчет максимальной добавленной стоимости при полной переработке всего производимого объема какао-бобов. Годовое производство какао в стране составляет Q = 2,2 млн тонн. Средняя перерабатывающая маржа на 1 тонну (разница между стоимостью конечного продукта (шоколада, какао-масла, какао-порошка) и стоимостью сырого боба) составляет m ≈ 400 долл/т</w:t>
      </w:r>
      <w:r>
        <w:rPr>
          <w:rStyle w:val="C42"/>
          <w:rFonts w:ascii="Times New Roman" w:hAnsi="Times New Roman"/>
          <w:color w:val="000000"/>
          <w:sz w:val="28"/>
        </w:rPr>
        <w:footnoteReference w:id="106"/>
      </w:r>
      <w:r>
        <w:rPr>
          <w:rFonts w:ascii="Times New Roman" w:hAnsi="Times New Roman"/>
          <w:color w:val="000000"/>
          <w:sz w:val="28"/>
        </w:rPr>
        <w:t>. Тогда максимальная добавленная стоимость сектора (</w:t>
      </w:r>
      <m:oMathPara xmlns:m="http://schemas.openxmlformats.org/officeDocument/2006/math">
        <m:oMath>
          <m:r>
            <m:rPr>
              <m:scr m:val="roman"/>
              <m:sty m:val="i"/>
            </m:rPr>
            <m:t>V</m:t>
          </m:r>
          <m:sSub>
            <m:sSubPr>
              <m:ctrlPr>
                <w:rPr>
                  <w:rFonts w:ascii="Cambria Math" w:hAnsi="Cambria Math"/>
                  <w:i w:val="1"/>
                  <w:sz w:val="28"/>
                </w:rPr>
              </m:ctrlPr>
            </m:sSubPr>
            <m:e>
              <m:argPr>
                <m:argSz m:val="0"/>
              </m:argPr>
              <m:r>
                <m:rPr>
                  <m:scr m:val="roman"/>
                  <m:sty m:val="i"/>
                </m:rPr>
                <m:t>A</m:t>
              </m:r>
            </m:e>
            <m:sub>
              <m:argPr>
                <m:argSz m:val="0"/>
              </m:argPr>
              <m:r>
                <m:rPr>
                  <m:scr m:val="roman"/>
                  <m:sty m:val="i"/>
                </m:rPr>
                <m:t>m</m:t>
              </m:r>
            </m:sub>
          </m:sSub>
          <m:r>
            <m:rPr>
              <m:scr m:val="roman"/>
              <m:sty m:val="i"/>
            </m:rPr>
            <m:t xml:space="preserve">ax) </m:t>
          </m:r>
        </m:oMath>
      </m:oMathPara>
      <w:r>
        <w:rPr>
          <w:rFonts w:ascii="Times New Roman" w:hAnsi="Times New Roman"/>
          <w:color w:val="000000"/>
          <w:sz w:val="28"/>
        </w:rPr>
        <w:t xml:space="preserve"> составит:</w:t>
      </w:r>
    </w:p>
    <w:p>
      <w:pPr>
        <w:spacing w:lineRule="exact" w:line="440" w:after="0" w:beforeAutospacing="0" w:afterAutospacing="0"/>
        <w:ind w:firstLine="709"/>
        <w:jc w:val="both"/>
        <w:rPr>
          <w:rFonts w:ascii="Times New Roman" w:hAnsi="Times New Roman"/>
          <w:color w:val="000000"/>
          <w:sz w:val="28"/>
        </w:rPr>
      </w:pPr>
    </w:p>
    <w:p>
      <w:pPr>
        <w:spacing w:lineRule="exact" w:line="440" w:before="80" w:after="80" w:beforeAutospacing="0" w:afterAutospacing="0"/>
        <w:jc w:val="center"/>
      </w:pPr>
      <w:r>
        <w:rPr>
          <w:rFonts w:ascii="Times New Roman" w:hAnsi="Times New Roman" w:eastAsiaTheme="minorEastAsia"/>
          <w:sz w:val="28"/>
        </w:rPr>
        <w:t xml:space="preserve">                                                      </w:t>
      </w:r>
      <m:oMathPara xmlns:m="http://schemas.openxmlformats.org/officeDocument/2006/math">
        <m:oMath>
          <m:r>
            <m:rPr>
              <m:scr m:val="roman"/>
              <m:sty m:val="i"/>
            </m:rPr>
            <m:t>V</m:t>
          </m:r>
          <m:sSub>
            <m:sSubPr>
              <m:ctrlPr>
                <w:rPr>
                  <w:rFonts w:ascii="Cambria Math" w:hAnsi="Cambria Math"/>
                  <w:i w:val="1"/>
                  <w:sz w:val="28"/>
                </w:rPr>
              </m:ctrlPr>
            </m:sSubPr>
            <m:e>
              <m:argPr>
                <m:argSz m:val="0"/>
              </m:argPr>
              <m:r>
                <m:rPr>
                  <m:scr m:val="roman"/>
                  <m:sty m:val="i"/>
                </m:rPr>
                <m:t>A</m:t>
              </m:r>
            </m:e>
            <m:sub>
              <m:argPr>
                <m:argSz m:val="0"/>
              </m:argPr>
              <m:r>
                <m:rPr>
                  <m:scr m:val="roman"/>
                  <m:sty m:val="i"/>
                </m:rPr>
                <m:t>m</m:t>
              </m:r>
            </m:sub>
          </m:sSub>
          <m:r>
            <m:rPr>
              <m:scr m:val="roman"/>
              <m:sty m:val="i"/>
            </m:rPr>
            <m:t xml:space="preserve">ax=Q×m,  </m:t>
          </m:r>
        </m:oMath>
      </m:oMathPara>
      <w:r>
        <w:rPr>
          <w:rFonts w:ascii="Times New Roman" w:hAnsi="Times New Roman"/>
          <w:sz w:val="24"/>
        </w:rPr>
        <w:t xml:space="preserve">                                                     </w:t>
      </w:r>
      <w:r>
        <w:rPr>
          <w:rFonts w:ascii="Times New Roman" w:hAnsi="Times New Roman"/>
          <w:sz w:val="28"/>
          <w:szCs w:val="28"/>
          <w:highlight w:val="yellow"/>
        </w:rPr>
        <w:t>(2.1)</w:t>
      </w:r>
    </w:p>
    <w:p>
      <w:pPr>
        <w:spacing w:lineRule="exact" w:line="440" w:after="0" w:beforeAutospacing="0" w:afterAutospacing="0"/>
        <w:ind w:firstLine="709"/>
        <w:jc w:val="both"/>
        <w:rPr>
          <w:rFonts w:eastAsiaTheme="minorEastAsia"/>
          <w:sz w:val="28"/>
        </w:rPr>
      </w:pPr>
    </w:p>
    <w:p>
      <w:pPr>
        <w:spacing w:lineRule="exact" w:line="440" w:after="0" w:beforeAutospacing="0" w:afterAutospacing="0"/>
        <w:ind w:firstLine="709"/>
        <w:jc w:val="both"/>
        <w:rPr>
          <w:rFonts w:ascii="Times New Roman" w:hAnsi="Times New Roman"/>
          <w:color w:val="000000"/>
          <w:sz w:val="28"/>
        </w:rPr>
      </w:pPr>
      <m:oMathPara xmlns:m="http://schemas.openxmlformats.org/officeDocument/2006/math">
        <m:oMath>
          <m:r>
            <m:rPr>
              <m:scr m:val="roman"/>
              <m:sty m:val="i"/>
            </m:rPr>
            <m:t>V</m:t>
          </m:r>
          <m:sSub>
            <m:sSubPr>
              <m:ctrlPr>
                <w:rPr>
                  <w:rFonts w:ascii="Cambria Math" w:hAnsi="Cambria Math"/>
                  <w:i w:val="1"/>
                  <w:sz w:val="28"/>
                </w:rPr>
              </m:ctrlPr>
            </m:sSubPr>
            <m:e>
              <m:argPr>
                <m:argSz m:val="0"/>
              </m:argPr>
              <m:r>
                <m:rPr>
                  <m:scr m:val="roman"/>
                  <m:sty m:val="i"/>
                </m:rPr>
                <m:t>A</m:t>
              </m:r>
            </m:e>
            <m:sub>
              <m:argPr>
                <m:argSz m:val="0"/>
              </m:argPr>
              <m:r>
                <m:rPr>
                  <m:scr m:val="roman"/>
                  <m:sty m:val="i"/>
                </m:rPr>
                <m:t>m</m:t>
              </m:r>
            </m:sub>
          </m:sSub>
          <m:r>
            <m:rPr>
              <m:scr m:val="roman"/>
              <m:sty m:val="i"/>
            </m:rPr>
            <m:t>ax=2200000т×400долл</m:t>
          </m:r>
          <m:r>
            <m:rPr>
              <m:lit/>
              <m:scr m:val="roman"/>
              <m:sty m:val="i"/>
            </m:rPr>
            <m:t>/</m:t>
          </m:r>
          <m:r>
            <m:rPr>
              <m:scr m:val="roman"/>
              <m:sty m:val="i"/>
            </m:rPr>
            <m:t>т=880000000 долл≈0,88 млрд долл</m:t>
          </m:r>
        </m:oMath>
      </m:oMathPara>
      <w:r>
        <w:rPr>
          <w:rFonts w:ascii="Times New Roman" w:hAnsi="Times New Roman"/>
          <w:color w:val="000000"/>
          <w:sz w:val="28"/>
        </w:rPr>
        <w:t>.</w:t>
      </w:r>
    </w:p>
    <w:p>
      <w:pPr>
        <w:spacing w:lineRule="exact" w:line="440" w:after="0" w:beforeAutospacing="0" w:afterAutospacing="0"/>
        <w:ind w:firstLine="709"/>
        <w:jc w:val="both"/>
      </w:pPr>
      <w:r>
        <w:rPr>
          <w:rFonts w:ascii="Times New Roman" w:hAnsi="Times New Roman"/>
          <w:color w:val="000000"/>
          <w:sz w:val="28"/>
        </w:rPr>
        <w:t>При номинальном ВВП Кот-д'Ивуара (в отношении 2025 г. ≈ 95,5 млрд долл) это соотношение составляет менее 1% (</w:t>
      </w:r>
      <m:oMathPara xmlns:m="http://schemas.openxmlformats.org/officeDocument/2006/math">
        <m:oMath>
          <m:r>
            <m:rPr>
              <m:scr m:val="roman"/>
              <m:sty m:val="i"/>
            </m:rPr>
            <m:t>0,88млрд</m:t>
          </m:r>
          <m:r>
            <m:rPr>
              <m:lit/>
              <m:scr m:val="roman"/>
              <m:sty m:val="i"/>
            </m:rPr>
            <m:t>/</m:t>
          </m:r>
          <m:r>
            <m:rPr>
              <m:scr m:val="roman"/>
              <m:sty m:val="i"/>
            </m:rPr>
            <m:t>95,5млрд=0,92%≈1,0%).</m:t>
          </m:r>
        </m:oMath>
      </m:oMathPara>
      <w:r>
        <w:rPr>
          <w:rFonts w:ascii="Times New Roman" w:hAnsi="Times New Roman"/>
          <w:sz w:val="24"/>
        </w:rPr>
        <w:t xml:space="preserve">  </w:t>
      </w:r>
    </w:p>
    <w:p>
      <w:pPr>
        <w:spacing w:lineRule="exact" w:line="440" w:after="0" w:beforeAutospacing="0" w:afterAutospacing="0"/>
        <w:ind w:firstLine="709"/>
        <w:jc w:val="both"/>
      </w:pPr>
      <w:r>
        <w:rPr>
          <w:rFonts w:ascii="Times New Roman" w:hAnsi="Times New Roman"/>
          <w:color w:val="000000"/>
          <w:sz w:val="28"/>
        </w:rPr>
        <w:t>Иными словами, даже если построить не 10, не 50, а ровно 100 заводов и переработать внутри страны каждое зерно урожая, эффект для ВВП не превысит 1,0–1,5 процентного пункта. Это принципиально важный вывод: при целевом приросте ВВП в 5–7 процентных пунктов сверх базового тренда моноотраслевая стратегия покрывает лишь 14–20% от поставленной цели. Стратегическая ставка исключительно на какао – это ловушка, формирующая структурное ограничение инновационно-инклюзивного развития.</w:t>
      </w:r>
    </w:p>
    <w:p>
      <w:pPr>
        <w:spacing w:lineRule="exact" w:line="440" w:after="0" w:beforeAutospacing="0" w:afterAutospacing="0"/>
        <w:ind w:firstLine="709"/>
        <w:jc w:val="both"/>
        <w:rPr>
          <w:rFonts w:ascii="Times New Roman" w:hAnsi="Times New Roman"/>
          <w:color w:val="000000"/>
          <w:sz w:val="28"/>
        </w:rPr>
      </w:pPr>
      <w:r>
        <w:rPr>
          <w:rFonts w:ascii="Times New Roman" w:hAnsi="Times New Roman"/>
          <w:color w:val="000000"/>
          <w:sz w:val="28"/>
        </w:rPr>
        <w:t>Важно понимать и ресурсную сторону этого вопроса. Согласно нашим расчетам, строительство 100 заводов по переработке какао средней мощностью 22 000 т/год потребует капитальных затрат (</w:t>
      </w:r>
      <m:oMathPara xmlns:m="http://schemas.openxmlformats.org/officeDocument/2006/math">
        <m:oMath>
          <m:r>
            <m:rPr>
              <m:scr m:val="roman"/>
              <m:sty m:val="i"/>
            </m:rPr>
            <m:t>CAPE</m:t>
          </m:r>
          <m:sSub>
            <m:sSubPr>
              <m:ctrlPr>
                <w:rPr>
                  <w:rFonts w:ascii="Cambria Math" w:hAnsi="Cambria Math"/>
                  <w:i w:val="1"/>
                  <w:sz w:val="28"/>
                  <w:lang w:val="fr-FR"/>
                </w:rPr>
              </m:ctrlPr>
            </m:sSubPr>
            <m:e>
              <m:argPr>
                <m:argSz m:val="0"/>
              </m:argPr>
              <m:r>
                <m:rPr>
                  <m:scr m:val="roman"/>
                  <m:sty m:val="i"/>
                </m:rPr>
                <m:t>X</m:t>
              </m:r>
            </m:e>
            <m:sub>
              <m:argPr>
                <m:argSz m:val="0"/>
              </m:argPr>
              <m:r>
                <m:rPr>
                  <m:scr m:val="roman"/>
                  <m:sty m:val="i"/>
                </m:rPr>
                <m:t>c</m:t>
              </m:r>
            </m:sub>
          </m:sSub>
          <m:r>
            <m:rPr>
              <m:scr m:val="roman"/>
              <m:sty m:val="i"/>
            </m:rPr>
            <m:t>ocoa</m:t>
          </m:r>
          <m:r>
            <m:rPr>
              <m:scr m:val="roman"/>
              <m:sty m:val="i"/>
            </m:rPr>
            <m:t>)</m:t>
          </m:r>
        </m:oMath>
      </m:oMathPara>
      <w:r>
        <w:rPr>
          <w:rFonts w:ascii="Times New Roman" w:hAnsi="Times New Roman"/>
          <w:color w:val="000000"/>
          <w:sz w:val="28"/>
        </w:rPr>
        <w:t xml:space="preserve"> в размере ≈ 2,5–3,0 млрд долл. Возврат на инвестиции при добавленной стоимости 0,88 млрд долл/год и сроке окупаемости 7–10 лет составит:</w:t>
      </w:r>
    </w:p>
    <w:p>
      <w:pPr>
        <w:spacing w:lineRule="exact" w:line="440" w:after="0" w:beforeAutospacing="0" w:afterAutospacing="0"/>
        <w:ind w:firstLine="709"/>
        <w:jc w:val="both"/>
      </w:pPr>
    </w:p>
    <w:p>
      <w:pPr>
        <w:spacing w:lineRule="exact" w:line="440" w:before="80" w:after="80" w:beforeAutospacing="0" w:afterAutospacing="0"/>
        <w:jc w:val="center"/>
        <w:rPr>
          <w:rFonts w:ascii="Times New Roman" w:hAnsi="Times New Roman"/>
          <w:sz w:val="28"/>
          <w:szCs w:val="28"/>
        </w:rPr>
      </w:pPr>
      <w:r>
        <w:rPr>
          <w:rFonts w:eastAsiaTheme="minorEastAsia"/>
          <w:sz w:val="28"/>
        </w:rPr>
        <w:t xml:space="preserve">                                     </w:t>
      </w:r>
      <m:oMathPara xmlns:m="http://schemas.openxmlformats.org/officeDocument/2006/math">
        <m:oMath>
          <m:r>
            <m:rPr>
              <m:scr m:val="roman"/>
              <m:sty m:val="i"/>
            </m:rPr>
            <m:t>RO</m:t>
          </m:r>
          <m:sSub>
            <m:sSubPr>
              <m:ctrlPr>
                <w:rPr>
                  <w:rFonts w:ascii="Cambria Math" w:hAnsi="Cambria Math"/>
                  <w:i w:val="1"/>
                  <w:sz w:val="28"/>
                  <w:lang w:val="fr-FR"/>
                </w:rPr>
              </m:ctrlPr>
            </m:sSubPr>
            <m:e>
              <m:argPr>
                <m:argSz m:val="0"/>
              </m:argPr>
              <m:r>
                <m:rPr>
                  <m:scr m:val="roman"/>
                  <m:sty m:val="i"/>
                </m:rPr>
                <m:t>I</m:t>
              </m:r>
            </m:e>
            <m:sub>
              <m:argPr>
                <m:argSz m:val="0"/>
              </m:argPr>
              <m:r>
                <m:rPr>
                  <m:scr m:val="roman"/>
                  <m:sty m:val="i"/>
                </m:rPr>
                <m:t>c</m:t>
              </m:r>
            </m:sub>
          </m:sSub>
          <m:r>
            <m:rPr>
              <m:scr m:val="roman"/>
              <m:sty m:val="i"/>
            </m:rPr>
            <m:t>ocoa</m:t>
          </m:r>
          <m:r>
            <m:rPr>
              <m:scr m:val="roman"/>
              <m:sty m:val="i"/>
            </m:rPr>
            <m:t>=</m:t>
          </m:r>
          <m:r>
            <m:rPr>
              <m:scr m:val="roman"/>
              <m:sty m:val="i"/>
            </m:rPr>
            <m:t>V</m:t>
          </m:r>
          <m:sSub>
            <m:sSubPr>
              <m:ctrlPr>
                <w:rPr>
                  <w:rFonts w:ascii="Cambria Math" w:hAnsi="Cambria Math"/>
                  <w:i w:val="1"/>
                  <w:sz w:val="28"/>
                  <w:lang w:val="fr-FR"/>
                </w:rPr>
              </m:ctrlPr>
            </m:sSubPr>
            <m:e>
              <m:argPr>
                <m:argSz m:val="0"/>
              </m:argPr>
              <m:r>
                <m:rPr>
                  <m:scr m:val="roman"/>
                  <m:sty m:val="i"/>
                </m:rPr>
                <m:t>A</m:t>
              </m:r>
            </m:e>
            <m:sub>
              <m:argPr>
                <m:argSz m:val="0"/>
              </m:argPr>
              <m:r>
                <m:rPr>
                  <m:scr m:val="roman"/>
                  <m:sty m:val="i"/>
                </m:rPr>
                <m:t>m</m:t>
              </m:r>
            </m:sub>
          </m:sSub>
          <m:r>
            <m:rPr>
              <m:scr m:val="roman"/>
              <m:sty m:val="i"/>
            </m:rPr>
            <m:t>ax</m:t>
          </m:r>
          <m:r>
            <m:rPr>
              <m:lit/>
              <m:scr m:val="roman"/>
              <m:sty m:val="i"/>
            </m:rPr>
            <m:t>/</m:t>
          </m:r>
          <m:r>
            <m:rPr>
              <m:scr m:val="roman"/>
              <m:sty m:val="i"/>
            </m:rPr>
            <m:t>CAPE</m:t>
          </m:r>
          <m:sSub>
            <m:sSubPr>
              <m:ctrlPr>
                <w:rPr>
                  <w:rFonts w:ascii="Cambria Math" w:hAnsi="Cambria Math"/>
                  <w:i w:val="1"/>
                  <w:sz w:val="28"/>
                  <w:lang w:val="fr-FR"/>
                </w:rPr>
              </m:ctrlPr>
            </m:sSubPr>
            <m:e>
              <m:argPr>
                <m:argSz m:val="0"/>
              </m:argPr>
              <m:r>
                <m:rPr>
                  <m:scr m:val="roman"/>
                  <m:sty m:val="i"/>
                </m:rPr>
                <m:t>X</m:t>
              </m:r>
            </m:e>
            <m:sub>
              <m:argPr>
                <m:argSz m:val="0"/>
              </m:argPr>
              <m:r>
                <m:rPr>
                  <m:scr m:val="roman"/>
                  <m:sty m:val="i"/>
                </m:rPr>
                <m:t>c</m:t>
              </m:r>
            </m:sub>
          </m:sSub>
          <m:r>
            <m:rPr>
              <m:scr m:val="roman"/>
              <m:sty m:val="i"/>
            </m:rPr>
            <m:t>ocoa</m:t>
          </m:r>
          <m:r>
            <m:rPr>
              <m:scr m:val="roman"/>
              <m:sty m:val="i"/>
            </m:rPr>
            <m:t xml:space="preserve">, </m:t>
          </m:r>
        </m:oMath>
      </m:oMathPara>
      <w:r>
        <w:rPr>
          <w:rFonts w:ascii="Times New Roman" w:hAnsi="Times New Roman"/>
          <w:sz w:val="24"/>
        </w:rPr>
        <w:t xml:space="preserve">                                       </w:t>
      </w:r>
      <w:r>
        <w:rPr>
          <w:rFonts w:ascii="Times New Roman" w:hAnsi="Times New Roman"/>
          <w:sz w:val="28"/>
          <w:szCs w:val="28"/>
        </w:rPr>
        <w:t>(2.3)</w:t>
      </w:r>
    </w:p>
    <w:p>
      <w:pPr>
        <w:spacing w:lineRule="exact" w:line="440" w:after="0" w:beforeAutospacing="0" w:afterAutospacing="0"/>
        <w:ind w:firstLine="709"/>
        <w:jc w:val="both"/>
        <w:rPr>
          <w:rFonts w:eastAsiaTheme="minorEastAsia"/>
          <w:sz w:val="28"/>
        </w:rPr>
      </w:pPr>
    </w:p>
    <w:p>
      <w:pPr>
        <w:spacing w:lineRule="exact" w:line="440" w:after="0" w:beforeAutospacing="0" w:afterAutospacing="0"/>
        <w:ind w:firstLine="709"/>
        <w:jc w:val="both"/>
        <w:rPr>
          <w:rFonts w:ascii="Times New Roman" w:hAnsi="Times New Roman"/>
          <w:color w:val="000000"/>
          <w:sz w:val="28"/>
        </w:rPr>
      </w:pPr>
      <w:r>
        <w:rPr>
          <w:rFonts w:eastAsiaTheme="minorEastAsia"/>
          <w:sz w:val="28"/>
        </w:rPr>
        <w:t xml:space="preserve"> </w:t>
      </w:r>
      <m:oMathPara xmlns:m="http://schemas.openxmlformats.org/officeDocument/2006/math">
        <m:oMath>
          <m:r>
            <m:rPr>
              <m:scr m:val="roman"/>
              <m:sty m:val="i"/>
            </m:rPr>
            <m:t>RO</m:t>
          </m:r>
          <m:sSub>
            <m:sSubPr>
              <m:ctrlPr>
                <w:rPr>
                  <w:rFonts w:ascii="Cambria Math" w:hAnsi="Cambria Math"/>
                  <w:i w:val="1"/>
                  <w:sz w:val="28"/>
                  <w:lang w:val="fr-FR"/>
                </w:rPr>
              </m:ctrlPr>
            </m:sSubPr>
            <m:e>
              <m:argPr>
                <m:argSz m:val="0"/>
              </m:argPr>
              <m:r>
                <m:rPr>
                  <m:scr m:val="roman"/>
                  <m:sty m:val="i"/>
                </m:rPr>
                <m:t>I</m:t>
              </m:r>
            </m:e>
            <m:sub>
              <m:argPr>
                <m:argSz m:val="0"/>
              </m:argPr>
              <m:r>
                <m:rPr>
                  <m:scr m:val="roman"/>
                  <m:sty m:val="i"/>
                </m:rPr>
                <m:t>c</m:t>
              </m:r>
            </m:sub>
          </m:sSub>
          <m:r>
            <m:rPr>
              <m:scr m:val="roman"/>
              <m:sty m:val="i"/>
            </m:rPr>
            <m:t>ocoa</m:t>
          </m:r>
          <m:r>
            <m:rPr>
              <m:scr m:val="roman"/>
              <m:sty m:val="i"/>
            </m:rPr>
            <m:t>=0,88</m:t>
          </m:r>
          <m:r>
            <m:rPr>
              <m:lit/>
              <m:scr m:val="roman"/>
              <m:sty m:val="i"/>
            </m:rPr>
            <m:t>/</m:t>
          </m:r>
          <m:r>
            <m:rPr>
              <m:scr m:val="roman"/>
              <m:sty m:val="i"/>
            </m:rPr>
            <m:t>2,75≈0,32, или 32%.</m:t>
          </m:r>
        </m:oMath>
      </m:oMathPara>
    </w:p>
    <w:p>
      <w:pPr>
        <w:spacing w:lineRule="exact" w:line="440" w:after="0" w:beforeAutospacing="0" w:afterAutospacing="0"/>
        <w:ind w:firstLine="709"/>
        <w:jc w:val="both"/>
        <w:rPr>
          <w:rFonts w:ascii="Times New Roman" w:hAnsi="Times New Roman"/>
          <w:color w:val="000000"/>
          <w:sz w:val="28"/>
        </w:rPr>
      </w:pPr>
      <w:r>
        <w:rPr>
          <w:rFonts w:ascii="Times New Roman" w:hAnsi="Times New Roman"/>
          <w:color w:val="000000"/>
          <w:sz w:val="28"/>
        </w:rPr>
        <w:t xml:space="preserve">Это приемлемый показатель для отдельного предприятия, но крайне низкий для национальной стратегической инициативы, претендующей на трансформацию всей структуры экономики. </w:t>
      </w:r>
    </w:p>
    <w:p>
      <w:pPr>
        <w:spacing w:lineRule="exact" w:line="440" w:after="0" w:beforeAutospacing="0" w:afterAutospacing="0"/>
        <w:ind w:firstLine="709"/>
        <w:jc w:val="both"/>
        <w:rPr>
          <w:rFonts w:ascii="Times New Roman" w:hAnsi="Times New Roman"/>
          <w:color w:val="000000"/>
          <w:sz w:val="28"/>
        </w:rPr>
      </w:pPr>
      <w:r>
        <w:rPr>
          <w:rFonts w:ascii="Times New Roman" w:hAnsi="Times New Roman"/>
          <w:color w:val="000000"/>
          <w:sz w:val="28"/>
        </w:rPr>
        <w:t>Если рассматривать предлагаемый вариант инновационно-инклюзивного развития на базе платформизации, то прогнозируемый ROI платформенных инвестиций составить:</w:t>
      </w:r>
    </w:p>
    <w:p>
      <w:pPr>
        <w:spacing w:lineRule="exact" w:line="440" w:after="0" w:beforeAutospacing="0" w:afterAutospacing="0"/>
        <w:ind w:firstLine="709"/>
        <w:jc w:val="both"/>
      </w:pPr>
    </w:p>
    <w:p>
      <w:pPr>
        <w:spacing w:lineRule="exact" w:line="440" w:before="80" w:after="80" w:beforeAutospacing="0" w:afterAutospacing="0"/>
        <w:jc w:val="center"/>
      </w:pPr>
      <w:r>
        <w:rPr>
          <w:rFonts w:eastAsiaTheme="minorEastAsia"/>
          <w:sz w:val="28"/>
        </w:rPr>
        <w:t xml:space="preserve">                </w:t>
      </w:r>
      <m:oMathPara xmlns:m="http://schemas.openxmlformats.org/officeDocument/2006/math">
        <m:oMath>
          <m:r>
            <m:rPr>
              <m:scr m:val="roman"/>
              <m:sty m:val="i"/>
            </m:rPr>
            <m:t>RO</m:t>
          </m:r>
          <m:sSub>
            <m:sSubPr>
              <m:ctrlPr>
                <w:rPr>
                  <w:rFonts w:ascii="Cambria Math" w:hAnsi="Cambria Math"/>
                  <w:i w:val="1"/>
                  <w:sz w:val="28"/>
                </w:rPr>
              </m:ctrlPr>
            </m:sSubPr>
            <m:e>
              <m:argPr>
                <m:argSz m:val="0"/>
              </m:argPr>
              <m:r>
                <m:rPr>
                  <m:scr m:val="roman"/>
                  <m:sty m:val="i"/>
                </m:rPr>
                <m:t>I</m:t>
              </m:r>
            </m:e>
            <m:sub>
              <m:argPr>
                <m:argSz m:val="0"/>
              </m:argPr>
              <m:r>
                <m:rPr>
                  <m:scr m:val="roman"/>
                  <m:sty m:val="i"/>
                </m:rPr>
                <m:t>p</m:t>
              </m:r>
            </m:sub>
          </m:sSub>
          <m:r>
            <m:rPr>
              <m:scr m:val="roman"/>
              <m:sty m:val="i"/>
            </m:rPr>
            <m:t>latform=ΔGDPᴛₒₜ</m:t>
          </m:r>
          <m:r>
            <m:rPr>
              <m:lit/>
              <m:scr m:val="roman"/>
              <m:sty m:val="i"/>
            </m:rPr>
            <m:t>/</m:t>
          </m:r>
          <m:r>
            <m:rPr>
              <m:scr m:val="roman"/>
              <m:sty m:val="i"/>
            </m:rPr>
            <m:t xml:space="preserve">CAPEXᴛₒₜ , </m:t>
          </m:r>
        </m:oMath>
      </m:oMathPara>
      <w:r>
        <w:rPr>
          <w:rFonts w:ascii="Times New Roman" w:hAnsi="Times New Roman"/>
          <w:sz w:val="24"/>
        </w:rPr>
        <w:t xml:space="preserve">         </w:t>
      </w:r>
      <w:r>
        <w:rPr>
          <w:rFonts w:ascii="Times New Roman" w:hAnsi="Times New Roman"/>
          <w:sz w:val="28"/>
          <w:szCs w:val="28"/>
          <w:highlight w:val="yellow"/>
        </w:rPr>
        <w:t>(2.4)</w:t>
      </w:r>
    </w:p>
    <w:p>
      <w:pPr>
        <w:spacing w:lineRule="exact" w:line="440" w:after="0" w:beforeAutospacing="0" w:afterAutospacing="0"/>
        <w:ind w:firstLine="709"/>
        <w:jc w:val="both"/>
        <w:rPr>
          <w:rFonts w:ascii="Times New Roman" w:hAnsi="Times New Roman"/>
          <w:color w:val="000000"/>
          <w:sz w:val="28"/>
        </w:rPr>
      </w:pPr>
    </w:p>
    <w:p>
      <w:pPr>
        <w:spacing w:lineRule="exact" w:line="440" w:after="0" w:beforeAutospacing="0" w:afterAutospacing="0"/>
        <w:ind w:firstLine="709"/>
        <w:jc w:val="both"/>
        <w:rPr>
          <w:rFonts w:ascii="Times New Roman" w:hAnsi="Times New Roman" w:eastAsiaTheme="minorEastAsia"/>
          <w:sz w:val="28"/>
        </w:rPr>
      </w:pPr>
      <w:r>
        <w:rPr>
          <w:rFonts w:ascii="Times New Roman" w:hAnsi="Times New Roman" w:eastAsiaTheme="minorEastAsia"/>
          <w:sz w:val="28"/>
        </w:rPr>
        <w:t xml:space="preserve"> </w:t>
      </w:r>
      <m:oMathPara xmlns:m="http://schemas.openxmlformats.org/officeDocument/2006/math">
        <m:oMath>
          <m:r>
            <m:rPr>
              <m:scr m:val="roman"/>
              <m:sty m:val="i"/>
            </m:rPr>
            <m:t xml:space="preserve">  RO</m:t>
          </m:r>
          <m:sSub>
            <m:sSubPr>
              <m:ctrlPr>
                <w:rPr>
                  <w:rFonts w:ascii="Cambria Math" w:hAnsi="Cambria Math"/>
                  <w:i w:val="1"/>
                  <w:sz w:val="28"/>
                </w:rPr>
              </m:ctrlPr>
            </m:sSubPr>
            <m:e>
              <m:argPr>
                <m:argSz m:val="0"/>
              </m:argPr>
              <m:r>
                <m:rPr>
                  <m:scr m:val="roman"/>
                  <m:sty m:val="i"/>
                </m:rPr>
                <m:t>I</m:t>
              </m:r>
            </m:e>
            <m:sub>
              <m:argPr>
                <m:argSz m:val="0"/>
              </m:argPr>
              <m:r>
                <m:rPr>
                  <m:scr m:val="roman"/>
                  <m:sty m:val="i"/>
                </m:rPr>
                <m:t>p</m:t>
              </m:r>
            </m:sub>
          </m:sSub>
          <m:r>
            <m:rPr>
              <m:scr m:val="roman"/>
              <m:sty m:val="i"/>
            </m:rPr>
            <m:t>latform=56,3</m:t>
          </m:r>
          <m:r>
            <m:rPr>
              <m:lit/>
              <m:scr m:val="roman"/>
              <m:sty m:val="i"/>
            </m:rPr>
            <m:t>/</m:t>
          </m:r>
          <m:r>
            <m:rPr>
              <m:scr m:val="roman"/>
              <m:sty m:val="i"/>
            </m:rPr>
            <m:t>12,5≈4,50, или 450%,</m:t>
          </m:r>
        </m:oMath>
      </m:oMathPara>
    </w:p>
    <w:p>
      <w:pPr>
        <w:spacing w:lineRule="exact" w:line="440" w:after="0" w:beforeAutospacing="0" w:afterAutospacing="0"/>
        <w:ind w:firstLine="709"/>
        <w:jc w:val="both"/>
        <w:rPr>
          <w:rFonts w:ascii="Times New Roman" w:hAnsi="Times New Roman"/>
          <w:color w:val="000000"/>
          <w:sz w:val="28"/>
        </w:rPr>
      </w:pPr>
    </w:p>
    <w:p>
      <w:pPr>
        <w:spacing w:lineRule="exact" w:line="440" w:after="0" w:beforeAutospacing="0" w:afterAutospacing="0"/>
        <w:ind w:firstLine="709"/>
        <w:jc w:val="both"/>
        <w:rPr>
          <w:rFonts w:ascii="Times New Roman" w:hAnsi="Times New Roman"/>
          <w:color w:val="000000"/>
          <w:sz w:val="28"/>
        </w:rPr>
      </w:pPr>
      <w:r>
        <w:rPr>
          <w:rFonts w:ascii="Times New Roman" w:hAnsi="Times New Roman"/>
          <w:color w:val="000000"/>
          <w:sz w:val="28"/>
        </w:rPr>
        <w:t>Это более чем в 14 раз выше, чем у какао-стратегии (ROI=32%), что свидетельствует о целесообразности мультисекторального подхода на базе платформизации (</w:t>
      </w:r>
      <w:r>
        <w:rPr>
          <w:rFonts w:ascii="Times New Roman" w:hAnsi="Times New Roman"/>
          <w:color w:val="000000"/>
          <w:sz w:val="28"/>
          <w:highlight w:val="yellow"/>
        </w:rPr>
        <w:t>таблица 2</w:t>
      </w:r>
      <w:r>
        <w:rPr>
          <w:rFonts w:ascii="Times New Roman" w:hAnsi="Times New Roman"/>
          <w:color w:val="000000"/>
          <w:sz w:val="28"/>
        </w:rPr>
        <w:t>).</w:t>
      </w:r>
    </w:p>
    <w:p>
      <w:pPr>
        <w:spacing w:lineRule="exact" w:line="440" w:after="0" w:beforeAutospacing="0" w:afterAutospacing="0"/>
        <w:ind w:firstLine="709"/>
        <w:jc w:val="both"/>
        <w:rPr>
          <w:rFonts w:ascii="Times New Roman" w:hAnsi="Times New Roman" w:eastAsiaTheme="minorEastAsia"/>
        </w:rPr>
      </w:pPr>
    </w:p>
    <w:p>
      <w:pPr>
        <w:spacing w:lineRule="exact" w:line="440" w:after="0" w:beforeAutospacing="0" w:afterAutospacing="0"/>
        <w:jc w:val="both"/>
      </w:pPr>
      <w:r>
        <w:rPr>
          <w:rFonts w:ascii="Times New Roman" w:hAnsi="Times New Roman"/>
          <w:color w:val="000000"/>
          <w:sz w:val="28"/>
        </w:rPr>
        <w:t xml:space="preserve">Таблица </w:t>
      </w:r>
      <w:r>
        <w:rPr>
          <w:rFonts w:ascii="Times New Roman" w:hAnsi="Times New Roman"/>
          <w:color w:val="000000"/>
          <w:sz w:val="28"/>
          <w:highlight w:val="yellow"/>
        </w:rPr>
        <w:t>2</w:t>
      </w:r>
      <w:r>
        <w:rPr>
          <w:rFonts w:ascii="Times New Roman" w:hAnsi="Times New Roman"/>
          <w:color w:val="000000"/>
          <w:sz w:val="28"/>
        </w:rPr>
        <w:t xml:space="preserve"> – Сравнительный анализ моноотраслевой и мультисекторальной стратегий</w:t>
      </w:r>
      <w:r>
        <w:rPr>
          <w:rStyle w:val="C42"/>
          <w:rFonts w:ascii="Times New Roman" w:hAnsi="Times New Roman"/>
          <w:color w:val="000000"/>
          <w:sz w:val="28"/>
        </w:rPr>
        <w:footnoteReference w:id="107"/>
      </w:r>
    </w:p>
    <w:tbl>
      <w:tblPr>
        <w:tblStyle w:val="T3"/>
        <w:tblW w:w="0" w:type="auto"/>
        <w:tblLook w:val="04A0"/>
      </w:tblPr>
      <w:tblGrid>
        <w:gridCol w:w="3222"/>
        <w:gridCol w:w="2160"/>
        <w:gridCol w:w="4284"/>
      </w:tblGrid>
      <w:tr>
        <w:trPr>
          <w:trHeight w:hRule="atLeast" w:val="514"/>
        </w:trPr>
        <w:tc>
          <w:tcPr>
            <w:tcW w:w="3222" w:type="dxa"/>
          </w:tcPr>
          <w:p>
            <w:pPr>
              <w:jc w:val="center"/>
              <w:rPr>
                <w:sz w:val="24"/>
                <w:szCs w:val="24"/>
              </w:rPr>
            </w:pPr>
            <w:r>
              <w:rPr>
                <w:rFonts w:ascii="Times New Roman" w:hAnsi="Times New Roman"/>
                <w:sz w:val="24"/>
                <w:szCs w:val="24"/>
              </w:rPr>
              <w:t>Параметр</w:t>
            </w:r>
          </w:p>
        </w:tc>
        <w:tc>
          <w:tcPr>
            <w:tcW w:w="2160" w:type="dxa"/>
          </w:tcPr>
          <w:p>
            <w:pPr>
              <w:jc w:val="center"/>
              <w:rPr>
                <w:sz w:val="24"/>
                <w:szCs w:val="24"/>
              </w:rPr>
            </w:pPr>
            <w:r>
              <w:rPr>
                <w:rFonts w:ascii="Times New Roman" w:hAnsi="Times New Roman"/>
                <w:sz w:val="24"/>
                <w:szCs w:val="24"/>
              </w:rPr>
              <w:t>Стратегия «100 заводов какао»</w:t>
            </w:r>
          </w:p>
        </w:tc>
        <w:tc>
          <w:tcPr>
            <w:tcW w:w="4284" w:type="dxa"/>
          </w:tcPr>
          <w:p>
            <w:pPr>
              <w:jc w:val="center"/>
              <w:rPr>
                <w:sz w:val="24"/>
                <w:szCs w:val="24"/>
                <w:vertAlign w:val="superscript"/>
              </w:rPr>
            </w:pPr>
            <w:r>
              <w:rPr>
                <w:rFonts w:ascii="Times New Roman" w:hAnsi="Times New Roman"/>
                <w:sz w:val="24"/>
                <w:szCs w:val="24"/>
              </w:rPr>
              <w:t>Платформенная модель</w:t>
            </w:r>
            <w:r>
              <w:rPr>
                <w:rFonts w:ascii="Times New Roman" w:hAnsi="Times New Roman"/>
                <w:sz w:val="24"/>
                <w:szCs w:val="24"/>
                <w:vertAlign w:val="superscript"/>
              </w:rPr>
              <w:t>*</w:t>
            </w:r>
          </w:p>
        </w:tc>
      </w:tr>
      <w:tr>
        <w:trPr>
          <w:trHeight w:hRule="atLeast" w:val="528"/>
        </w:trPr>
        <w:tc>
          <w:tcPr>
            <w:tcW w:w="3222" w:type="dxa"/>
          </w:tcPr>
          <w:p>
            <w:pPr>
              <w:rPr>
                <w:sz w:val="24"/>
                <w:szCs w:val="24"/>
              </w:rPr>
            </w:pPr>
            <w:r>
              <w:rPr>
                <w:rFonts w:ascii="Times New Roman" w:hAnsi="Times New Roman"/>
                <w:sz w:val="24"/>
                <w:szCs w:val="24"/>
              </w:rPr>
              <w:t>Прирост добавленной стоимости, млрд долл</w:t>
            </w:r>
          </w:p>
        </w:tc>
        <w:tc>
          <w:tcPr>
            <w:tcW w:w="2160" w:type="dxa"/>
          </w:tcPr>
          <w:p>
            <w:pPr>
              <w:jc w:val="center"/>
              <w:rPr>
                <w:sz w:val="24"/>
                <w:szCs w:val="24"/>
              </w:rPr>
            </w:pPr>
            <w:r>
              <w:rPr>
                <w:rFonts w:ascii="Times New Roman" w:hAnsi="Times New Roman"/>
                <w:sz w:val="24"/>
                <w:szCs w:val="24"/>
              </w:rPr>
              <w:t xml:space="preserve">≤ 0,88 </w:t>
            </w:r>
          </w:p>
        </w:tc>
        <w:tc>
          <w:tcPr>
            <w:tcW w:w="4284" w:type="dxa"/>
          </w:tcPr>
          <w:p>
            <w:pPr>
              <w:jc w:val="center"/>
              <w:rPr>
                <w:sz w:val="24"/>
                <w:szCs w:val="24"/>
              </w:rPr>
            </w:pPr>
            <w:r>
              <w:rPr>
                <w:rFonts w:ascii="Times New Roman" w:hAnsi="Times New Roman"/>
                <w:sz w:val="24"/>
                <w:szCs w:val="24"/>
              </w:rPr>
              <w:t xml:space="preserve">≈ 56,3 </w:t>
            </w:r>
          </w:p>
        </w:tc>
      </w:tr>
      <w:tr>
        <w:trPr>
          <w:trHeight w:hRule="atLeast" w:val="257"/>
        </w:trPr>
        <w:tc>
          <w:tcPr>
            <w:tcW w:w="3222" w:type="dxa"/>
          </w:tcPr>
          <w:p>
            <w:pPr>
              <w:rPr>
                <w:sz w:val="24"/>
                <w:szCs w:val="24"/>
              </w:rPr>
            </w:pPr>
            <w:r>
              <w:rPr>
                <w:rFonts w:ascii="Times New Roman" w:hAnsi="Times New Roman"/>
                <w:sz w:val="24"/>
                <w:szCs w:val="24"/>
              </w:rPr>
              <w:t>Доля в ВВП, %</w:t>
            </w:r>
          </w:p>
        </w:tc>
        <w:tc>
          <w:tcPr>
            <w:tcW w:w="2160" w:type="dxa"/>
          </w:tcPr>
          <w:p>
            <w:pPr>
              <w:jc w:val="center"/>
              <w:rPr>
                <w:sz w:val="24"/>
                <w:szCs w:val="24"/>
              </w:rPr>
            </w:pPr>
            <w:r>
              <w:rPr>
                <w:rFonts w:ascii="Times New Roman" w:hAnsi="Times New Roman"/>
                <w:sz w:val="24"/>
                <w:szCs w:val="24"/>
              </w:rPr>
              <w:t>≤ 1,0</w:t>
            </w:r>
          </w:p>
        </w:tc>
        <w:tc>
          <w:tcPr>
            <w:tcW w:w="4284" w:type="dxa"/>
          </w:tcPr>
          <w:p>
            <w:pPr>
              <w:jc w:val="center"/>
              <w:rPr>
                <w:sz w:val="24"/>
                <w:szCs w:val="24"/>
              </w:rPr>
            </w:pPr>
            <w:r>
              <w:rPr>
                <w:rFonts w:ascii="Times New Roman" w:hAnsi="Times New Roman"/>
                <w:sz w:val="24"/>
                <w:szCs w:val="24"/>
              </w:rPr>
              <w:t>≈ 58,9</w:t>
            </w:r>
          </w:p>
        </w:tc>
      </w:tr>
      <w:tr>
        <w:trPr>
          <w:trHeight w:hRule="atLeast" w:val="257"/>
        </w:trPr>
        <w:tc>
          <w:tcPr>
            <w:tcW w:w="3222" w:type="dxa"/>
          </w:tcPr>
          <w:p>
            <w:pPr>
              <w:rPr>
                <w:sz w:val="24"/>
                <w:szCs w:val="24"/>
              </w:rPr>
            </w:pPr>
            <w:r>
              <w:rPr>
                <w:rFonts w:ascii="Times New Roman" w:hAnsi="Times New Roman"/>
                <w:sz w:val="24"/>
                <w:szCs w:val="24"/>
              </w:rPr>
              <w:t>Суммарный CAPEX, млрд долл</w:t>
            </w:r>
          </w:p>
        </w:tc>
        <w:tc>
          <w:tcPr>
            <w:tcW w:w="2160" w:type="dxa"/>
          </w:tcPr>
          <w:p>
            <w:pPr>
              <w:jc w:val="center"/>
              <w:rPr>
                <w:sz w:val="24"/>
                <w:szCs w:val="24"/>
              </w:rPr>
            </w:pPr>
            <w:r>
              <w:rPr>
                <w:rFonts w:ascii="Times New Roman" w:hAnsi="Times New Roman"/>
                <w:sz w:val="24"/>
                <w:szCs w:val="24"/>
              </w:rPr>
              <w:t xml:space="preserve">≈ 2,5–3,0 </w:t>
            </w:r>
          </w:p>
        </w:tc>
        <w:tc>
          <w:tcPr>
            <w:tcW w:w="4284" w:type="dxa"/>
          </w:tcPr>
          <w:p>
            <w:pPr>
              <w:jc w:val="center"/>
              <w:rPr>
                <w:sz w:val="24"/>
                <w:szCs w:val="24"/>
              </w:rPr>
            </w:pPr>
            <w:r>
              <w:rPr>
                <w:rFonts w:ascii="Times New Roman" w:hAnsi="Times New Roman"/>
                <w:sz w:val="24"/>
                <w:szCs w:val="24"/>
              </w:rPr>
              <w:t xml:space="preserve">≈ 12,5 </w:t>
            </w:r>
          </w:p>
        </w:tc>
      </w:tr>
      <w:tr>
        <w:trPr>
          <w:trHeight w:hRule="atLeast" w:val="257"/>
        </w:trPr>
        <w:tc>
          <w:tcPr>
            <w:tcW w:w="3222" w:type="dxa"/>
          </w:tcPr>
          <w:p>
            <w:pPr>
              <w:rPr>
                <w:sz w:val="24"/>
                <w:szCs w:val="24"/>
              </w:rPr>
            </w:pPr>
            <w:r>
              <w:rPr>
                <w:rFonts w:ascii="Times New Roman" w:hAnsi="Times New Roman"/>
                <w:sz w:val="24"/>
                <w:szCs w:val="24"/>
              </w:rPr>
              <w:t>ROI стратегии, %</w:t>
            </w:r>
          </w:p>
        </w:tc>
        <w:tc>
          <w:tcPr>
            <w:tcW w:w="2160" w:type="dxa"/>
          </w:tcPr>
          <w:p>
            <w:pPr>
              <w:jc w:val="center"/>
              <w:rPr>
                <w:sz w:val="24"/>
                <w:szCs w:val="24"/>
              </w:rPr>
            </w:pPr>
            <w:r>
              <w:rPr>
                <w:rFonts w:ascii="Times New Roman" w:hAnsi="Times New Roman"/>
                <w:sz w:val="24"/>
                <w:szCs w:val="24"/>
              </w:rPr>
              <w:t>≈ 32</w:t>
            </w:r>
          </w:p>
        </w:tc>
        <w:tc>
          <w:tcPr>
            <w:tcW w:w="4284" w:type="dxa"/>
          </w:tcPr>
          <w:p>
            <w:pPr>
              <w:jc w:val="center"/>
              <w:rPr>
                <w:sz w:val="24"/>
                <w:szCs w:val="24"/>
              </w:rPr>
            </w:pPr>
            <w:r>
              <w:rPr>
                <w:rFonts w:ascii="Times New Roman" w:hAnsi="Times New Roman"/>
                <w:sz w:val="24"/>
                <w:szCs w:val="24"/>
              </w:rPr>
              <w:t>≈ 450</w:t>
            </w:r>
          </w:p>
        </w:tc>
      </w:tr>
      <w:tr>
        <w:trPr>
          <w:trHeight w:hRule="atLeast" w:val="528"/>
        </w:trPr>
        <w:tc>
          <w:tcPr>
            <w:tcW w:w="3222" w:type="dxa"/>
          </w:tcPr>
          <w:p>
            <w:pPr>
              <w:rPr>
                <w:sz w:val="24"/>
                <w:szCs w:val="24"/>
              </w:rPr>
            </w:pPr>
            <w:r>
              <w:rPr>
                <w:rFonts w:ascii="Times New Roman" w:hAnsi="Times New Roman"/>
                <w:sz w:val="24"/>
                <w:szCs w:val="24"/>
              </w:rPr>
              <w:t>Охват секторов</w:t>
            </w:r>
          </w:p>
        </w:tc>
        <w:tc>
          <w:tcPr>
            <w:tcW w:w="2160" w:type="dxa"/>
          </w:tcPr>
          <w:p>
            <w:pPr>
              <w:jc w:val="center"/>
              <w:rPr>
                <w:sz w:val="24"/>
                <w:szCs w:val="24"/>
              </w:rPr>
            </w:pPr>
            <w:r>
              <w:rPr>
                <w:rFonts w:ascii="Times New Roman" w:hAnsi="Times New Roman"/>
                <w:sz w:val="24"/>
                <w:szCs w:val="24"/>
              </w:rPr>
              <w:t>1 (агросектор)</w:t>
            </w:r>
          </w:p>
        </w:tc>
        <w:tc>
          <w:tcPr>
            <w:tcW w:w="4284" w:type="dxa"/>
          </w:tcPr>
          <w:p>
            <w:pPr>
              <w:jc w:val="center"/>
              <w:rPr>
                <w:sz w:val="24"/>
                <w:szCs w:val="24"/>
              </w:rPr>
            </w:pPr>
            <w:r>
              <w:rPr>
                <w:rFonts w:ascii="Times New Roman" w:hAnsi="Times New Roman"/>
                <w:sz w:val="24"/>
                <w:szCs w:val="24"/>
              </w:rPr>
              <w:t>9 (агро, портово-логистический, индустриально-производственный, цифровой, образовательный и R&amp;D, энергетический и ESG, финансовый, социально-инклюзивный и урбанистический, экологический)</w:t>
            </w:r>
          </w:p>
        </w:tc>
      </w:tr>
      <w:tr>
        <w:trPr>
          <w:trHeight w:hRule="atLeast" w:val="257"/>
        </w:trPr>
        <w:tc>
          <w:tcPr>
            <w:tcW w:w="3222" w:type="dxa"/>
          </w:tcPr>
          <w:p>
            <w:pPr>
              <w:rPr>
                <w:sz w:val="24"/>
                <w:szCs w:val="24"/>
              </w:rPr>
            </w:pPr>
            <w:r>
              <w:rPr>
                <w:rFonts w:ascii="Times New Roman" w:hAnsi="Times New Roman"/>
                <w:sz w:val="24"/>
                <w:szCs w:val="24"/>
              </w:rPr>
              <w:t>Устойчивость к шокам цен</w:t>
            </w:r>
          </w:p>
        </w:tc>
        <w:tc>
          <w:tcPr>
            <w:tcW w:w="2160" w:type="dxa"/>
          </w:tcPr>
          <w:p>
            <w:pPr>
              <w:jc w:val="center"/>
              <w:rPr>
                <w:sz w:val="24"/>
                <w:szCs w:val="24"/>
              </w:rPr>
            </w:pPr>
            <w:r>
              <w:rPr>
                <w:rFonts w:ascii="Times New Roman" w:hAnsi="Times New Roman"/>
                <w:sz w:val="24"/>
                <w:szCs w:val="24"/>
              </w:rPr>
              <w:t>Низкая</w:t>
            </w:r>
          </w:p>
        </w:tc>
        <w:tc>
          <w:tcPr>
            <w:tcW w:w="4284" w:type="dxa"/>
          </w:tcPr>
          <w:p>
            <w:pPr>
              <w:jc w:val="center"/>
              <w:rPr>
                <w:sz w:val="24"/>
                <w:szCs w:val="24"/>
              </w:rPr>
            </w:pPr>
            <w:r>
              <w:rPr>
                <w:rFonts w:ascii="Times New Roman" w:hAnsi="Times New Roman"/>
                <w:sz w:val="24"/>
                <w:szCs w:val="24"/>
              </w:rPr>
              <w:t>Высокая (диверсификация)</w:t>
            </w:r>
          </w:p>
        </w:tc>
      </w:tr>
      <w:tr>
        <w:trPr>
          <w:trHeight w:hRule="atLeast" w:val="528"/>
        </w:trPr>
        <w:tc>
          <w:tcPr>
            <w:tcW w:w="3222" w:type="dxa"/>
          </w:tcPr>
          <w:p>
            <w:pPr>
              <w:rPr>
                <w:sz w:val="24"/>
                <w:szCs w:val="24"/>
              </w:rPr>
            </w:pPr>
            <w:r>
              <w:rPr>
                <w:rFonts w:ascii="Times New Roman" w:hAnsi="Times New Roman"/>
                <w:sz w:val="24"/>
                <w:szCs w:val="24"/>
              </w:rPr>
              <w:t>Технологический эффект</w:t>
            </w:r>
          </w:p>
        </w:tc>
        <w:tc>
          <w:tcPr>
            <w:tcW w:w="2160" w:type="dxa"/>
          </w:tcPr>
          <w:p>
            <w:pPr>
              <w:jc w:val="center"/>
              <w:rPr>
                <w:sz w:val="24"/>
                <w:szCs w:val="24"/>
              </w:rPr>
            </w:pPr>
            <w:r>
              <w:rPr>
                <w:rFonts w:ascii="Times New Roman" w:hAnsi="Times New Roman"/>
                <w:sz w:val="24"/>
                <w:szCs w:val="24"/>
              </w:rPr>
              <w:t>Минимальный</w:t>
            </w:r>
          </w:p>
        </w:tc>
        <w:tc>
          <w:tcPr>
            <w:tcW w:w="4284" w:type="dxa"/>
          </w:tcPr>
          <w:p>
            <w:pPr>
              <w:jc w:val="center"/>
              <w:rPr>
                <w:sz w:val="24"/>
                <w:szCs w:val="24"/>
              </w:rPr>
            </w:pPr>
            <w:r>
              <w:rPr>
                <w:rFonts w:ascii="Times New Roman" w:hAnsi="Times New Roman"/>
                <w:sz w:val="24"/>
                <w:szCs w:val="24"/>
              </w:rPr>
              <w:t>Высокий платформенный эффект</w:t>
            </w:r>
          </w:p>
        </w:tc>
      </w:tr>
      <w:tr>
        <w:trPr>
          <w:trHeight w:hRule="atLeast" w:val="514"/>
        </w:trPr>
        <w:tc>
          <w:tcPr>
            <w:tcW w:w="3222" w:type="dxa"/>
          </w:tcPr>
          <w:p>
            <w:pPr>
              <w:rPr>
                <w:sz w:val="24"/>
                <w:szCs w:val="24"/>
              </w:rPr>
            </w:pPr>
            <w:r>
              <w:rPr>
                <w:rFonts w:ascii="Times New Roman" w:hAnsi="Times New Roman"/>
                <w:sz w:val="24"/>
                <w:szCs w:val="24"/>
              </w:rPr>
              <w:t>ESG-соответствие</w:t>
            </w:r>
          </w:p>
        </w:tc>
        <w:tc>
          <w:tcPr>
            <w:tcW w:w="2160" w:type="dxa"/>
          </w:tcPr>
          <w:p>
            <w:pPr>
              <w:jc w:val="center"/>
              <w:rPr>
                <w:sz w:val="24"/>
                <w:szCs w:val="24"/>
              </w:rPr>
            </w:pPr>
            <w:r>
              <w:rPr>
                <w:rFonts w:ascii="Times New Roman" w:hAnsi="Times New Roman"/>
                <w:sz w:val="24"/>
                <w:szCs w:val="24"/>
              </w:rPr>
              <w:t>Частичное</w:t>
            </w:r>
          </w:p>
        </w:tc>
        <w:tc>
          <w:tcPr>
            <w:tcW w:w="4284" w:type="dxa"/>
          </w:tcPr>
          <w:p>
            <w:pPr>
              <w:jc w:val="center"/>
              <w:rPr>
                <w:sz w:val="24"/>
                <w:szCs w:val="24"/>
              </w:rPr>
            </w:pPr>
            <w:r>
              <w:rPr>
                <w:rFonts w:ascii="Times New Roman" w:hAnsi="Times New Roman"/>
                <w:sz w:val="24"/>
                <w:szCs w:val="24"/>
              </w:rPr>
              <w:t>Полное (трейсабилити цепочек)</w:t>
            </w:r>
          </w:p>
        </w:tc>
      </w:tr>
      <w:tr>
        <w:trPr>
          <w:trHeight w:hRule="atLeast" w:val="271"/>
        </w:trPr>
        <w:tc>
          <w:tcPr>
            <w:tcW w:w="3222" w:type="dxa"/>
          </w:tcPr>
          <w:p>
            <w:pPr>
              <w:rPr>
                <w:sz w:val="24"/>
                <w:szCs w:val="24"/>
              </w:rPr>
            </w:pPr>
            <w:r>
              <w:rPr>
                <w:rFonts w:ascii="Times New Roman" w:hAnsi="Times New Roman"/>
                <w:sz w:val="24"/>
                <w:szCs w:val="24"/>
              </w:rPr>
              <w:t>Горизонт окупаемости, лет</w:t>
            </w:r>
          </w:p>
        </w:tc>
        <w:tc>
          <w:tcPr>
            <w:tcW w:w="2160" w:type="dxa"/>
          </w:tcPr>
          <w:p>
            <w:pPr>
              <w:jc w:val="center"/>
              <w:rPr>
                <w:sz w:val="24"/>
                <w:szCs w:val="24"/>
              </w:rPr>
            </w:pPr>
            <w:r>
              <w:rPr>
                <w:rFonts w:ascii="Times New Roman" w:hAnsi="Times New Roman"/>
                <w:sz w:val="24"/>
                <w:szCs w:val="24"/>
              </w:rPr>
              <w:t xml:space="preserve">7–10 </w:t>
            </w:r>
          </w:p>
        </w:tc>
        <w:tc>
          <w:tcPr>
            <w:tcW w:w="4284" w:type="dxa"/>
          </w:tcPr>
          <w:p>
            <w:pPr>
              <w:jc w:val="center"/>
              <w:rPr>
                <w:sz w:val="24"/>
                <w:szCs w:val="24"/>
              </w:rPr>
            </w:pPr>
            <w:r>
              <w:rPr>
                <w:rFonts w:ascii="Times New Roman" w:hAnsi="Times New Roman"/>
                <w:sz w:val="24"/>
                <w:szCs w:val="24"/>
              </w:rPr>
              <w:t xml:space="preserve">8–12 </w:t>
            </w:r>
          </w:p>
        </w:tc>
      </w:tr>
      <w:tr>
        <w:trPr>
          <w:trHeight w:hRule="atLeast" w:val="242"/>
        </w:trPr>
        <w:tc>
          <w:tcPr>
            <w:tcW w:w="3222" w:type="dxa"/>
          </w:tcPr>
          <w:p>
            <w:pPr>
              <w:rPr>
                <w:sz w:val="24"/>
                <w:szCs w:val="24"/>
              </w:rPr>
            </w:pPr>
            <w:r>
              <w:rPr>
                <w:rFonts w:ascii="Times New Roman" w:hAnsi="Times New Roman"/>
                <w:sz w:val="24"/>
                <w:szCs w:val="24"/>
              </w:rPr>
              <w:t>Мультипликатор занятости</w:t>
            </w:r>
          </w:p>
        </w:tc>
        <w:tc>
          <w:tcPr>
            <w:tcW w:w="2160" w:type="dxa"/>
          </w:tcPr>
          <w:p>
            <w:pPr>
              <w:jc w:val="center"/>
              <w:rPr>
                <w:sz w:val="24"/>
                <w:szCs w:val="24"/>
              </w:rPr>
            </w:pPr>
            <w:r>
              <w:rPr>
                <w:rFonts w:ascii="Times New Roman" w:hAnsi="Times New Roman"/>
                <w:sz w:val="24"/>
                <w:szCs w:val="24"/>
              </w:rPr>
              <w:t>1:3</w:t>
            </w:r>
          </w:p>
        </w:tc>
        <w:tc>
          <w:tcPr>
            <w:tcW w:w="4284" w:type="dxa"/>
          </w:tcPr>
          <w:p>
            <w:pPr>
              <w:jc w:val="center"/>
              <w:rPr>
                <w:sz w:val="24"/>
                <w:szCs w:val="24"/>
              </w:rPr>
            </w:pPr>
            <w:r>
              <w:rPr>
                <w:rFonts w:ascii="Times New Roman" w:hAnsi="Times New Roman"/>
                <w:sz w:val="24"/>
                <w:szCs w:val="24"/>
              </w:rPr>
              <w:t>1:7–9 (по всем кластерам)</w:t>
            </w:r>
          </w:p>
        </w:tc>
      </w:tr>
    </w:tbl>
    <w:p>
      <w:pPr>
        <w:jc w:val="both"/>
        <w:rPr>
          <w:rFonts w:ascii="Times New Roman" w:hAnsi="Times New Roman" w:cs="Times New Roman"/>
          <w:sz w:val="24"/>
          <w:szCs w:val="24"/>
        </w:rPr>
      </w:pPr>
      <w:r>
        <w:rPr>
          <w:rFonts w:ascii="Times New Roman" w:hAnsi="Times New Roman" w:cs="Times New Roman"/>
          <w:sz w:val="24"/>
          <w:szCs w:val="24"/>
        </w:rPr>
        <w:t>Примечание: *рассчитано автором на симуляторе потоков цифровой платформы «Берег Восхода»</w:t>
      </w:r>
    </w:p>
    <w:p>
      <w:pPr>
        <w:spacing w:lineRule="exact" w:line="440" w:after="0" w:beforeAutospacing="0" w:afterAutospacing="0"/>
        <w:ind w:firstLine="709"/>
        <w:jc w:val="both"/>
        <w:rPr>
          <w:rFonts w:ascii="Times New Roman" w:hAnsi="Times New Roman"/>
          <w:color w:val="000000"/>
          <w:sz w:val="28"/>
        </w:rPr>
      </w:pPr>
      <w:r>
        <w:rPr>
          <w:rFonts w:ascii="Times New Roman" w:hAnsi="Times New Roman"/>
          <w:color w:val="000000"/>
          <w:sz w:val="28"/>
        </w:rPr>
        <w:t xml:space="preserve">Рисунок </w:t>
      </w:r>
      <w:r>
        <w:rPr>
          <w:rFonts w:ascii="Times New Roman" w:hAnsi="Times New Roman"/>
          <w:color w:val="000000"/>
          <w:sz w:val="28"/>
          <w:highlight w:val="yellow"/>
        </w:rPr>
        <w:t>3</w:t>
      </w:r>
      <w:r>
        <w:rPr>
          <w:rFonts w:ascii="Times New Roman" w:hAnsi="Times New Roman"/>
          <w:color w:val="000000"/>
          <w:sz w:val="28"/>
        </w:rPr>
        <w:t xml:space="preserve"> наглядно иллюстрирует феномен «какао-ловушки». Левая панель показывает, что добавленная стоимость от переработки какао нарастает линейно с числом заводов, однако жестко ограничена верхней планкой ≈ 0,88 млрд USD при исчерпании сырьевой базы. Правая панель сравнивает совокупный экономический эффект двух стратегий. Так, 100 заводов по переработке какао дают 0,88 млрд USD добавленной стоимости, тогда как платформенная модель генерирует 56,3 млрд долл – в 64 раза больше.</w:t>
      </w:r>
    </w:p>
    <w:p/>
    <w:p>
      <w:pPr>
        <w:spacing w:before="120" w:beforeAutospacing="0" w:afterAutospacing="0"/>
        <w:jc w:val="center"/>
      </w:pPr>
      <w:r>
        <w:rPr>
          <w:noProof w:val="1"/>
          <w:lang w:eastAsia="ru-RU"/>
        </w:rPr>
        <w:drawing>
          <wp:inline xmlns:wp="http://schemas.openxmlformats.org/drawingml/2006/wordprocessingDrawing" distT="0" distB="0" distL="0" distR="0">
            <wp:extent cx="6264275" cy="2152650"/>
            <wp:effectExtent l="0" t="0" r="3175"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Рисунок_3.png"/>
                    <pic:cNvPicPr/>
                  </pic:nvPicPr>
                  <pic:blipFill dpi="0">
                    <a:blip xmlns:r="http://schemas.openxmlformats.org/officeDocument/2006/relationships" r:embed="Relimage6" cstate="print">
                      <a:extLst>
                        <a:ext uri="{28A0092B-C50C-407E-A947-70E740481C1C}">
                          <a14:useLocalDpi xmlns:a14="http://schemas.microsoft.com/office/drawing/2010/main" val="0"/>
                        </a:ext>
                      </a:extLst>
                    </a:blip>
                    <a:srcRect r="574" b="4615"/>
                    <a:stretch>
                      <a:fillRect/>
                    </a:stretch>
                  </pic:blipFill>
                  <pic:spPr bwMode="auto">
                    <a:xfrm>
                      <a:off x="0" y="0"/>
                      <a:ext cx="6264323" cy="2152650"/>
                    </a:xfrm>
                    <a:prstGeom prst="rect"/>
                    <a:ln>
                      <a:noFill/>
                    </a:ln>
                  </pic:spPr>
                </pic:pic>
              </a:graphicData>
            </a:graphic>
          </wp:inline>
        </w:drawing>
      </w:r>
    </w:p>
    <w:p>
      <w:pPr>
        <w:spacing w:lineRule="auto" w:line="360" w:after="0" w:beforeAutospacing="0" w:afterAutospacing="0"/>
        <w:ind w:firstLine="709"/>
        <w:jc w:val="center"/>
      </w:pPr>
      <w:r>
        <w:rPr>
          <w:rFonts w:ascii="Times New Roman" w:hAnsi="Times New Roman"/>
          <w:sz w:val="28"/>
          <w:szCs w:val="28"/>
          <w:highlight w:val="yellow"/>
        </w:rPr>
        <w:t>Рисунок 3 – Сравнение моноотраслевой стратегии и платформенного подхода (составлено автором)</w:t>
      </w:r>
      <w:r>
        <w:rPr>
          <w:rFonts w:ascii="Times New Roman" w:hAnsi="Times New Roman"/>
          <w:sz w:val="28"/>
          <w:szCs w:val="28"/>
        </w:rPr>
        <w:t xml:space="preserve"> </w:t>
      </w:r>
      <w:r>
        <w:rPr>
          <w:rFonts w:ascii="Times New Roman" w:hAnsi="Times New Roman"/>
          <w:i w:val="1"/>
          <w:color w:val="555555"/>
        </w:rPr>
        <w:br w:type="textWrapping"/>
      </w:r>
    </w:p>
    <w:p>
      <w:pPr>
        <w:spacing w:lineRule="exact" w:line="440" w:after="0" w:beforeAutospacing="0" w:afterAutospacing="0"/>
        <w:ind w:firstLine="709"/>
        <w:jc w:val="both"/>
      </w:pPr>
      <w:r>
        <w:rPr>
          <w:rFonts w:ascii="Times New Roman" w:hAnsi="Times New Roman"/>
          <w:color w:val="000000"/>
          <w:sz w:val="28"/>
        </w:rPr>
        <w:t xml:space="preserve">Следует подчеркнуть, что отказ от форсированной переработки какао нами не ставится под сомнение. Глубокая переработка сырья необходима и экономически оправдана. Она является обязательным элементом национальной экономики страны. Критика направлена против сведения всей экономической стратегии к одному этому направлению. Тезис «100 заводов спасут экономику» – политически привлекательный, но аналитически несостоятельный. Необходима принципиально иная модель –  многокластерная, платформенно-координируемая, институционально устойчивая.</w:t>
      </w:r>
    </w:p>
    <w:p>
      <w:pPr>
        <w:pStyle w:val="P13"/>
        <w:spacing w:lineRule="auto" w:line="360" w:beforeAutospacing="0" w:afterAutospacing="0"/>
        <w:ind w:firstLine="709"/>
        <w:jc w:val="both"/>
        <w:rPr>
          <w:sz w:val="28"/>
          <w:szCs w:val="28"/>
          <w:lang w:val="ru-RU"/>
        </w:rPr>
      </w:pPr>
      <w:r>
        <w:rPr>
          <w:sz w:val="28"/>
          <w:szCs w:val="28"/>
          <w:lang w:val="ru-RU"/>
        </w:rPr>
        <w:t>В связи с выявленной потребностью Республики Кот-Д’Ивуар в диверсификации своей экономики актуализируется вопрос повышения производительности компаний и расширение экспортного потенциала, что, как ожидается, приведет к устойчивому развитию и инновационно-инклюзивному росту. К сожалению, для многих фирм в Республике Кот-Д’Ивуар выход на экспортный рынок сопряжен с трудностями, так как финансирование компаний, ориентированных на экспорт, практически не имеет льготных каналов, как со стороны международных организаций, так и органов власти. В результате такие компании часто оказываются в условиях финансовой изоляции, что затрудняет удовлетворение растущего спроса на экспортных рынках и, как ранее нами было отмечено, доля африканских стран в структуре мировой торговли последние 10 лет на превышает 1 %.</w:t>
      </w:r>
    </w:p>
    <w:p>
      <w:pPr>
        <w:pStyle w:val="P13"/>
        <w:spacing w:lineRule="auto" w:line="360" w:beforeAutospacing="0" w:afterAutospacing="0"/>
        <w:ind w:firstLine="709"/>
        <w:jc w:val="both"/>
        <w:rPr>
          <w:sz w:val="28"/>
          <w:szCs w:val="28"/>
          <w:lang w:val="ru-RU"/>
        </w:rPr>
      </w:pPr>
      <w:r>
        <w:rPr>
          <w:sz w:val="28"/>
          <w:szCs w:val="28"/>
          <w:lang w:val="ru-RU"/>
        </w:rPr>
        <w:t xml:space="preserve">Динамика доступа фирм Республики Кот-д’Ивуар к банковскому финансированию в последние годы носит неоднородный, но в целом восходящий характер. Если по состоянию на 2020–2021 гг. лишь 11,4% фирм имели доступ к банковскому кредиту или кредитной линии, 6,9% использовали банки для финансирования инвестиций, а 16,9% — для покрытия потребностей в оборотном капитале </w:t>
      </w:r>
      <w:r>
        <w:rPr>
          <w:sz w:val="28"/>
          <w:szCs w:val="28"/>
          <w:highlight w:val="yellow"/>
          <w:lang w:val="ru-RU"/>
        </w:rPr>
        <w:t>[188]</w:t>
      </w:r>
      <w:r>
        <w:rPr>
          <w:sz w:val="28"/>
          <w:szCs w:val="28"/>
          <w:lang w:val="ru-RU"/>
        </w:rPr>
        <w:t>, то по данным World Bank Enterprise Surveys за 2023 г. соответствующие показатели составили 26,9%, 38,4% и 25,4%</w:t>
      </w:r>
      <w:r>
        <w:rPr>
          <w:rStyle w:val="C42"/>
          <w:sz w:val="28"/>
          <w:szCs w:val="28"/>
          <w:lang w:val="ru-RU"/>
        </w:rPr>
        <w:footnoteReference w:id="108"/>
      </w:r>
      <w:r>
        <w:rPr>
          <w:sz w:val="28"/>
          <w:szCs w:val="28"/>
          <w:lang w:val="ru-RU"/>
        </w:rPr>
        <w:t xml:space="preserve">. Однако, даже при такой положительной динамики банковское финансирование по-прежнему не стало универсальным механизмом обеспечения инвестиционной и текущей деятельности предприятий. </w:t>
      </w:r>
    </w:p>
    <w:p>
      <w:pPr>
        <w:pStyle w:val="P13"/>
        <w:spacing w:lineRule="auto" w:line="360" w:beforeAutospacing="0" w:afterAutospacing="0"/>
        <w:ind w:firstLine="709"/>
        <w:jc w:val="both"/>
        <w:rPr>
          <w:sz w:val="28"/>
          <w:szCs w:val="28"/>
          <w:lang w:val="ru-RU"/>
        </w:rPr>
      </w:pPr>
      <w:r>
        <w:rPr>
          <w:sz w:val="28"/>
          <w:szCs w:val="28"/>
          <w:lang w:val="ru-RU"/>
        </w:rPr>
        <w:t>Существует множество исследований, где показываются отрицательные последствия низкого доступности для фирм услуг финансовых учреждений [</w:t>
      </w:r>
      <w:r>
        <w:rPr>
          <w:sz w:val="28"/>
          <w:szCs w:val="28"/>
          <w:highlight w:val="yellow"/>
          <w:lang w:val="ru-RU"/>
        </w:rPr>
        <w:t>49</w:t>
      </w:r>
      <w:r>
        <w:rPr>
          <w:sz w:val="28"/>
          <w:szCs w:val="28"/>
          <w:lang w:val="ru-RU"/>
        </w:rPr>
        <w:t>]. Однако, большинство из них проведено на данных развитых стран, а если используют панели данных африканских стран, то исследуют проблемы, связанные преимущественно с инвестированием [</w:t>
      </w:r>
      <w:r>
        <w:rPr>
          <w:sz w:val="28"/>
          <w:szCs w:val="28"/>
          <w:highlight w:val="yellow"/>
          <w:lang w:val="ru-RU"/>
        </w:rPr>
        <w:t>53</w:t>
      </w:r>
      <w:r>
        <w:rPr>
          <w:sz w:val="28"/>
          <w:szCs w:val="28"/>
          <w:lang w:val="ru-RU"/>
        </w:rPr>
        <w:t xml:space="preserve">].  </w:t>
      </w:r>
    </w:p>
    <w:p>
      <w:pPr>
        <w:pStyle w:val="P13"/>
        <w:spacing w:lineRule="auto" w:line="360" w:beforeAutospacing="0" w:afterAutospacing="0"/>
        <w:ind w:firstLine="709"/>
        <w:jc w:val="both"/>
        <w:rPr>
          <w:sz w:val="28"/>
          <w:szCs w:val="28"/>
          <w:lang w:val="ru-RU"/>
        </w:rPr>
      </w:pPr>
      <w:r>
        <w:rPr>
          <w:sz w:val="28"/>
          <w:szCs w:val="28"/>
          <w:lang w:val="ru-RU"/>
        </w:rPr>
        <w:t xml:space="preserve">В этой связи изучение влияния доступа к источникам финансирования экспортоориентированных компаний Республики Кот-Д’Ивуар с учетом тенденций региональной интеграции стран Западной Африки и влияния этих процессов на формирования траекторий инновационно-инклюзивного роста на базе платформизации является весьма актуальным. Тем не менее, попытка установить, обеспечивает ли расширенная финансовая доступность для компаний дополнительные возможности для проникновения на экспортный рынок и, таким образом, заслуживает ли она продвижения в рамках национальной политики, ориентированной на инновационно-инклюзивный рост, сталкивается с одной фундаментальной проблемой. </w:t>
      </w:r>
    </w:p>
    <w:p>
      <w:pPr>
        <w:pStyle w:val="P13"/>
        <w:spacing w:lineRule="auto" w:line="360" w:beforeAutospacing="0" w:afterAutospacing="0"/>
        <w:ind w:firstLine="709"/>
        <w:jc w:val="both"/>
        <w:rPr>
          <w:sz w:val="28"/>
          <w:szCs w:val="28"/>
          <w:lang w:val="ru-RU"/>
        </w:rPr>
      </w:pPr>
      <w:r>
        <w:rPr>
          <w:sz w:val="28"/>
          <w:szCs w:val="28"/>
          <w:lang w:val="ru-RU"/>
        </w:rPr>
        <w:t>Во-первых, существует достаточное количество экспериментальных данных о том, как доступ к кредитам улучшает результаты фирмы, включая рост производительности или внедрение инноваций [</w:t>
      </w:r>
      <w:r>
        <w:rPr>
          <w:sz w:val="28"/>
          <w:szCs w:val="28"/>
          <w:highlight w:val="yellow"/>
          <w:lang w:val="ru-RU"/>
        </w:rPr>
        <w:t>42</w:t>
      </w:r>
      <w:r>
        <w:rPr>
          <w:sz w:val="28"/>
          <w:szCs w:val="28"/>
          <w:lang w:val="ru-RU"/>
        </w:rPr>
        <w:t xml:space="preserve">]. Тем не менее, неизвестно как доступ к кредитам и улучшение условий кредитования способствуют именно инновационно-инклюзивному росту за счет повышения экспортного потенциала. Это связано с тем, что существуют некоторые ограничения, с одной стороны, для расчета экспортного потенциала, а с другой – следует учитывать, что экспортный потенциал может способствовать инновационно-инклюзивному росту косвенно и это не будет отражаться в национальной статистике. Поэтому оценка влияния экспортного потенциала на уровень инновационно-инклюзивного роста вызывает методологические трудности. </w:t>
      </w:r>
    </w:p>
    <w:p>
      <w:pPr>
        <w:pStyle w:val="P13"/>
        <w:spacing w:lineRule="auto" w:line="360" w:beforeAutospacing="0" w:afterAutospacing="0"/>
        <w:ind w:firstLine="709"/>
        <w:jc w:val="both"/>
        <w:rPr>
          <w:sz w:val="28"/>
          <w:szCs w:val="28"/>
          <w:lang w:val="ru-RU"/>
        </w:rPr>
      </w:pPr>
      <w:r>
        <w:rPr>
          <w:sz w:val="28"/>
          <w:szCs w:val="28"/>
          <w:lang w:val="ru-RU"/>
        </w:rPr>
        <w:t xml:space="preserve">Чтобы решить эту проблему и изолировать оценку влияния финансовой доступности на экспортный потенциал компаний, в нашем случае эта взаимосвязь исследуется с использованием квазиэкспериментального инструмента </w:t>
      </w:r>
      <w:r>
        <w:rPr>
          <w:sz w:val="28"/>
          <w:szCs w:val="28"/>
          <w:lang w:val="ru-RU"/>
        </w:rPr>
        <w:softHyphen/>
      </w:r>
      <w:r>
        <w:rPr>
          <w:sz w:val="28"/>
          <w:szCs w:val="28"/>
          <w:lang w:val="ru-RU"/>
        </w:rPr>
        <w:t xml:space="preserve"> сопоставления показателей склонности </w:t>
      </w:r>
      <w:r>
        <w:rPr>
          <w:sz w:val="28"/>
          <w:szCs w:val="28"/>
          <w:highlight w:val="yellow"/>
          <w:lang w:val="ru-RU"/>
        </w:rPr>
        <w:t>[61</w:t>
      </w:r>
      <w:r>
        <w:rPr>
          <w:sz w:val="28"/>
          <w:szCs w:val="28"/>
          <w:lang w:val="ru-RU"/>
        </w:rPr>
        <w:t xml:space="preserve">]. Что еще более важно, мы отвечаем на следующий важный вопрос: каковы были бы экспортные показатели фирм, имеющих доступ к кредитным ресурсам, если бы он отсутствовали? </w:t>
      </w:r>
    </w:p>
    <w:p>
      <w:pPr>
        <w:pStyle w:val="P13"/>
        <w:spacing w:lineRule="auto" w:line="360" w:beforeAutospacing="0" w:afterAutospacing="0"/>
        <w:ind w:firstLine="709"/>
        <w:jc w:val="both"/>
        <w:rPr>
          <w:sz w:val="28"/>
          <w:szCs w:val="28"/>
          <w:lang w:val="ru-RU"/>
        </w:rPr>
      </w:pPr>
      <w:r>
        <w:rPr>
          <w:sz w:val="28"/>
          <w:szCs w:val="28"/>
          <w:lang w:val="ru-RU"/>
        </w:rPr>
        <w:t>Таким образом, цель модели состоит в том, чтобы определить разницу в экспортном потенциале между фирмами, имеющими доступ к услугам официальных финансовых учреждений, и теми, которые не имеют такого доступа. Принимая во внимание специфику экономического развития Республики Кот-Д’Ивуар, при определении характеристик фирм будет использован ряд индикативных характеристик. В итоге мы проверим справедливость известной гипотезы для Республики Кот-Д’Ивуар, которая звучит следующим образом: в отсутствие несовершенных рынков капитала как неоднородность фирм, так и финансовые переменные являются значимыми детерминантами поведения фирм на экспортном рынке [</w:t>
      </w:r>
      <w:r>
        <w:rPr>
          <w:sz w:val="28"/>
          <w:szCs w:val="28"/>
          <w:highlight w:val="yellow"/>
          <w:lang w:val="ru-RU"/>
        </w:rPr>
        <w:t>57</w:t>
      </w:r>
      <w:r>
        <w:rPr>
          <w:sz w:val="28"/>
          <w:szCs w:val="28"/>
          <w:lang w:val="ru-RU"/>
        </w:rPr>
        <w:t xml:space="preserve">]. </w:t>
      </w:r>
    </w:p>
    <w:p>
      <w:pPr>
        <w:pStyle w:val="P13"/>
        <w:spacing w:lineRule="auto" w:line="360" w:beforeAutospacing="0" w:afterAutospacing="0"/>
        <w:ind w:firstLine="709"/>
        <w:jc w:val="both"/>
        <w:rPr>
          <w:sz w:val="28"/>
          <w:szCs w:val="28"/>
          <w:lang w:val="ru-RU"/>
        </w:rPr>
      </w:pPr>
      <w:r>
        <w:rPr>
          <w:sz w:val="28"/>
          <w:szCs w:val="28"/>
          <w:lang w:val="ru-RU"/>
        </w:rPr>
        <w:t>Сторонники этой теории обосновывали свою позицию следующим образом. Опираясь на модели Хекшера-Олина и Рикардо, утверждается, что доступ к финансовым ресурсам является непременным требованием для участия фирм на внешнем рынке [</w:t>
      </w:r>
      <w:r>
        <w:rPr>
          <w:sz w:val="28"/>
          <w:szCs w:val="28"/>
          <w:highlight w:val="yellow"/>
          <w:lang w:val="ru-RU"/>
        </w:rPr>
        <w:t>39</w:t>
      </w:r>
      <w:r>
        <w:rPr>
          <w:sz w:val="28"/>
          <w:szCs w:val="28"/>
          <w:lang w:val="ru-RU"/>
        </w:rPr>
        <w:t>]. Таким образом, хорошо развитая финансовая система является необходимым условием для компаний в определенных отраслях, позволяющих им достичь оптимального уровня основного капитала и использовать эффект масштаба, который, следовательно, будет побуждать их к достижению сравнительных преимуществ и созданию спроса на свою продукцию на глобальных рынках [40]. Кроме того, участие на глобальных рынках требует, чтобы фирмы располагали достаточными средствами для покрытия невозвратных издержек входа, таких как индивидуализация продукта или инвестиции в маркетинг, логистику и распределительные сети. Это означает, что только фирмы, обладающие достаточной ликвидностью, смогут покрыть эти расходы [</w:t>
      </w:r>
      <w:r>
        <w:rPr>
          <w:sz w:val="28"/>
          <w:szCs w:val="28"/>
          <w:highlight w:val="yellow"/>
          <w:lang w:val="ru-RU"/>
        </w:rPr>
        <w:t>40</w:t>
      </w:r>
      <w:r>
        <w:rPr>
          <w:sz w:val="28"/>
          <w:szCs w:val="28"/>
          <w:lang w:val="ru-RU"/>
        </w:rPr>
        <w:t>].</w:t>
      </w:r>
    </w:p>
    <w:p>
      <w:pPr>
        <w:pStyle w:val="P13"/>
        <w:spacing w:lineRule="auto" w:line="360" w:beforeAutospacing="0" w:afterAutospacing="0"/>
        <w:ind w:firstLine="709"/>
        <w:jc w:val="both"/>
        <w:rPr>
          <w:sz w:val="28"/>
          <w:szCs w:val="28"/>
          <w:lang w:val="ru-RU"/>
        </w:rPr>
      </w:pPr>
      <w:r>
        <w:rPr>
          <w:sz w:val="28"/>
          <w:szCs w:val="28"/>
          <w:lang w:val="ru-RU"/>
        </w:rPr>
        <w:t xml:space="preserve">Эмпирическая проверка данной гипотезы не дает однозначных результатов. Результаты нескольких исследований, в которых проверялась гипотеза о том, что доступ к денежным средствам является предварительным условием эффективного участия фирм на внешнем рынке как на макро-, так и на микроуровне, остаются неубедительными. </w:t>
      </w:r>
    </w:p>
    <w:p>
      <w:pPr>
        <w:pStyle w:val="P13"/>
        <w:spacing w:lineRule="auto" w:line="360" w:beforeAutospacing="0" w:afterAutospacing="0"/>
        <w:ind w:firstLine="709"/>
        <w:jc w:val="both"/>
        <w:rPr>
          <w:sz w:val="28"/>
          <w:szCs w:val="28"/>
          <w:lang w:val="ru-RU"/>
        </w:rPr>
      </w:pPr>
      <w:r>
        <w:rPr>
          <w:sz w:val="28"/>
          <w:szCs w:val="28"/>
          <w:lang w:val="ru-RU"/>
        </w:rPr>
        <w:t>На макроуровне Т. Бек использовал отраслевые данные о фирмах, зависящих от внешнего финансирования, по 36 отраслям в 56 странах. Автор приходит к выводу, что страны с более развитыми финансовыми системами имеют более высокие доли экспорта и торговый баланс в тех отраслях, которые больше используют внешнее финансирование [</w:t>
      </w:r>
      <w:r>
        <w:rPr>
          <w:sz w:val="28"/>
          <w:szCs w:val="28"/>
          <w:highlight w:val="yellow"/>
          <w:lang w:val="ru-RU"/>
        </w:rPr>
        <w:t>39</w:t>
      </w:r>
      <w:r>
        <w:rPr>
          <w:sz w:val="28"/>
          <w:szCs w:val="28"/>
          <w:lang w:val="ru-RU"/>
        </w:rPr>
        <w:t>]. Точно так же Манова показывает, что страны с более развитыми финансовыми системами, как правило, экспортируют относительно больше в отраслях, сильно зависящих от заемного капитала [</w:t>
      </w:r>
      <w:r>
        <w:rPr>
          <w:sz w:val="28"/>
          <w:szCs w:val="28"/>
          <w:highlight w:val="yellow"/>
          <w:lang w:val="ru-RU"/>
        </w:rPr>
        <w:t>125</w:t>
      </w:r>
      <w:r>
        <w:rPr>
          <w:sz w:val="28"/>
          <w:szCs w:val="28"/>
          <w:lang w:val="ru-RU"/>
        </w:rPr>
        <w:t>]. После проверки гипотезы о том, что развитая финансовая система может способствовать экспорту, Д. Гринуэй и Р. Кнеллер сделали два основных замечания. Во-первых, авторы обнаружили, что финансовое развитие связано с увеличением экспорта в отраслях с высокими постоянными издержками и стоимостью импорта. Во-вторых, они подчеркивают, что на динамику торговли влияет финансовое развитие, а экспорт более чувствителен к обменным курсам в странах с более развитой финансовой системой [</w:t>
      </w:r>
      <w:r>
        <w:rPr>
          <w:sz w:val="28"/>
          <w:szCs w:val="28"/>
          <w:highlight w:val="yellow"/>
          <w:lang w:val="ru-RU"/>
        </w:rPr>
        <w:t>92</w:t>
      </w:r>
      <w:r>
        <w:rPr>
          <w:sz w:val="28"/>
          <w:szCs w:val="28"/>
          <w:lang w:val="ru-RU"/>
        </w:rPr>
        <w:t>].</w:t>
      </w:r>
    </w:p>
    <w:p>
      <w:pPr>
        <w:pStyle w:val="P13"/>
        <w:spacing w:lineRule="auto" w:line="360" w:beforeAutospacing="0" w:afterAutospacing="0"/>
        <w:ind w:firstLine="709"/>
        <w:jc w:val="both"/>
        <w:rPr>
          <w:sz w:val="28"/>
          <w:szCs w:val="28"/>
          <w:lang w:val="ru-RU"/>
        </w:rPr>
      </w:pPr>
      <w:r>
        <w:rPr>
          <w:sz w:val="28"/>
          <w:szCs w:val="28"/>
          <w:lang w:val="ru-RU"/>
        </w:rPr>
        <w:t xml:space="preserve">На микроуровне результаты исследований подтверждают аргумент в пользу первоначального доступа к финансам как необходимого условия для выхода фирм на зарубежные рынки. Например, после учета эндогенности и неоднородности финансов Дж. Ду и С. Гирма обнаруживают, что доступ к банковским кредитам связан с большей ориентацией на экспортный рынок, особенно среди политически независимых фирм в трудоемких отраслях </w:t>
      </w:r>
      <w:r>
        <w:rPr>
          <w:sz w:val="28"/>
          <w:szCs w:val="28"/>
          <w:highlight w:val="yellow"/>
          <w:lang w:val="ru-RU"/>
        </w:rPr>
        <w:t>[69</w:t>
      </w:r>
      <w:r>
        <w:rPr>
          <w:sz w:val="28"/>
          <w:szCs w:val="28"/>
          <w:lang w:val="ru-RU"/>
        </w:rPr>
        <w:t>]. М. Муулс делает выводы о том, что в Бельгии более высокая производительность и более низкие кредитные ограничения являются главными стимулами для ведения экспортной деятельности [</w:t>
      </w:r>
      <w:r>
        <w:rPr>
          <w:sz w:val="28"/>
          <w:szCs w:val="28"/>
          <w:highlight w:val="yellow"/>
          <w:lang w:val="ru-RU"/>
        </w:rPr>
        <w:t>139</w:t>
      </w:r>
      <w:r>
        <w:rPr>
          <w:sz w:val="28"/>
          <w:szCs w:val="28"/>
          <w:lang w:val="ru-RU"/>
        </w:rPr>
        <w:t>]. Далее автор отмечает, что кредитные ограничения являются важными факторами, определяющими экстенсивную, но не интенсивную торговую маржу с точки зрения пунктов назначения [</w:t>
      </w:r>
      <w:r>
        <w:rPr>
          <w:sz w:val="28"/>
          <w:szCs w:val="28"/>
          <w:highlight w:val="yellow"/>
          <w:lang w:val="ru-RU"/>
        </w:rPr>
        <w:t>139</w:t>
      </w:r>
      <w:r>
        <w:rPr>
          <w:sz w:val="28"/>
          <w:szCs w:val="28"/>
          <w:lang w:val="ru-RU"/>
        </w:rPr>
        <w:t>]. В Таиланде М. Коул и др. обнаруживают, что ликвидность является важным фактором, определяющим решение фирм об экспорте, поскольку она объясняет их способность инвестировать в невозвратные издержки входа для выхода на экспортные рынки [</w:t>
      </w:r>
      <w:r>
        <w:rPr>
          <w:sz w:val="28"/>
          <w:szCs w:val="28"/>
          <w:highlight w:val="yellow"/>
          <w:lang w:val="ru-RU"/>
        </w:rPr>
        <w:t>59</w:t>
      </w:r>
      <w:r>
        <w:rPr>
          <w:sz w:val="28"/>
          <w:szCs w:val="28"/>
          <w:lang w:val="ru-RU"/>
        </w:rPr>
        <w:t>].</w:t>
      </w:r>
    </w:p>
    <w:p>
      <w:pPr>
        <w:pStyle w:val="P13"/>
        <w:spacing w:lineRule="auto" w:line="360" w:beforeAutospacing="0" w:afterAutospacing="0"/>
        <w:ind w:firstLine="709"/>
        <w:jc w:val="both"/>
        <w:rPr>
          <w:sz w:val="28"/>
          <w:szCs w:val="28"/>
          <w:lang w:val="ru-RU"/>
        </w:rPr>
      </w:pPr>
      <w:r>
        <w:rPr>
          <w:sz w:val="28"/>
          <w:szCs w:val="28"/>
          <w:lang w:val="ru-RU"/>
        </w:rPr>
        <w:t>Для африканских стран были получены несколько иные результаты. Дж. Ван Бизебрук приходит к выводу, что после учета фактора размера фирмы экспортеры в африканских странах имеют такой же доступ к кредитам, как и фирмы, работающие только внутри страны [</w:t>
      </w:r>
      <w:r>
        <w:rPr>
          <w:sz w:val="28"/>
          <w:szCs w:val="28"/>
          <w:highlight w:val="yellow"/>
          <w:lang w:val="ru-RU"/>
        </w:rPr>
        <w:t>180</w:t>
      </w:r>
      <w:r>
        <w:rPr>
          <w:sz w:val="28"/>
          <w:szCs w:val="28"/>
          <w:lang w:val="ru-RU"/>
        </w:rPr>
        <w:t>]. Используя набор панельных данных ганских фирм М. Нго не обнаруживает существенного влияния состояния ликвидности фирмы на ее склонность к экспорту [</w:t>
      </w:r>
      <w:r>
        <w:rPr>
          <w:sz w:val="28"/>
          <w:szCs w:val="28"/>
          <w:highlight w:val="yellow"/>
          <w:lang w:val="ru-RU"/>
        </w:rPr>
        <w:t>140</w:t>
      </w:r>
      <w:r>
        <w:rPr>
          <w:sz w:val="28"/>
          <w:szCs w:val="28"/>
          <w:lang w:val="ru-RU"/>
        </w:rPr>
        <w:t xml:space="preserve">]. Очевидно, что различия во включенных в модель факторов, методах оценки и типах используемых наборов данных могут способствовать различиям в результатах. Тем не менее, из этого краткого эмпирического обзора становится очевидным, что в целом финансовая доступность имеет важное значение для выхода новой фирмы на зарубежные рынки. </w:t>
      </w:r>
    </w:p>
    <w:p>
      <w:pPr>
        <w:pStyle w:val="P13"/>
        <w:spacing w:lineRule="auto" w:line="360" w:beforeAutospacing="0" w:afterAutospacing="0"/>
        <w:ind w:firstLine="709"/>
        <w:jc w:val="both"/>
        <w:rPr>
          <w:sz w:val="28"/>
          <w:szCs w:val="28"/>
          <w:lang w:val="ru-RU"/>
        </w:rPr>
      </w:pPr>
      <w:r>
        <w:rPr>
          <w:sz w:val="28"/>
          <w:szCs w:val="28"/>
          <w:lang w:val="ru-RU"/>
        </w:rPr>
        <w:t>Для построения эмпирической модели нами использованы данные крупномасштабного обследования фирм, проведенного Всемирным банком в Республике Кот-д’Ивуар в 2020–2021 гг. В ходе опроса были анкетированы владельцы бизнеса и топ-менеджеры 2676 фирм. Информационный массив включает сведения о финансовом положении предприятий, параметрах торговой деятельности, инфраструктурной обеспеченности, характеристиках деловой среды, уровне неформальной экономической активности и других факторах, влияющих на результаты функционирования фирм</w:t>
      </w:r>
      <w:r>
        <w:rPr>
          <w:rStyle w:val="C42"/>
          <w:sz w:val="28"/>
          <w:szCs w:val="28"/>
          <w:lang w:val="ru-RU"/>
        </w:rPr>
        <w:footnoteReference w:id="109"/>
      </w:r>
      <w:r>
        <w:rPr>
          <w:sz w:val="28"/>
          <w:szCs w:val="28"/>
          <w:lang w:val="ru-RU"/>
        </w:rPr>
        <w:t>. На основе данного массива была сформирована аналитическая выборка, использованная при построении модели и расчете описательных статистик.</w:t>
      </w:r>
      <w:bookmarkStart w:id="28" w:name="_Hlk137748541"/>
      <w:r>
        <w:rPr>
          <w:sz w:val="28"/>
          <w:szCs w:val="28"/>
          <w:lang w:val="ru-RU"/>
        </w:rPr>
        <w:t xml:space="preserve"> Подробное  описание выбранных переменных модели, полученных из данного опроса, представлены в таблице </w:t>
      </w:r>
      <w:r>
        <w:rPr>
          <w:sz w:val="28"/>
          <w:szCs w:val="28"/>
          <w:highlight w:val="yellow"/>
          <w:lang w:val="ru-RU"/>
        </w:rPr>
        <w:t>3.6</w:t>
      </w:r>
      <w:r>
        <w:rPr>
          <w:sz w:val="28"/>
          <w:szCs w:val="28"/>
          <w:lang w:val="ru-RU"/>
        </w:rPr>
        <w:t xml:space="preserv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60" w:after="0" w:beforeAutospacing="0" w:afterAutospacing="0"/>
        <w:rPr>
          <w:rFonts w:ascii="Times New Roman" w:hAnsi="Times New Roman" w:cs="Times New Roman" w:eastAsia="Times New Roman"/>
          <w:sz w:val="28"/>
          <w:szCs w:val="28"/>
          <w:lang w:eastAsia="ru-RU"/>
        </w:rPr>
      </w:pP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60" w:after="0" w:beforeAutospacing="0" w:afterAutospacing="0"/>
        <w:jc w:val="both"/>
        <w:rPr>
          <w:rFonts w:ascii="Times New Roman" w:hAnsi="Times New Roman" w:cs="Times New Roman" w:eastAsia="Times New Roman"/>
          <w:sz w:val="28"/>
          <w:szCs w:val="28"/>
          <w:lang w:eastAsia="ru-RU"/>
        </w:rPr>
      </w:pPr>
      <w:r>
        <w:rPr>
          <w:rFonts w:ascii="Times New Roman" w:hAnsi="Times New Roman" w:cs="Times New Roman" w:eastAsia="Times New Roman"/>
          <w:sz w:val="28"/>
          <w:szCs w:val="28"/>
          <w:lang w:eastAsia="ru-RU"/>
        </w:rPr>
        <w:t xml:space="preserve">Таблица </w:t>
      </w:r>
      <w:r>
        <w:rPr>
          <w:rFonts w:ascii="Times New Roman" w:hAnsi="Times New Roman" w:cs="Times New Roman" w:eastAsia="Times New Roman"/>
          <w:sz w:val="28"/>
          <w:szCs w:val="28"/>
          <w:highlight w:val="yellow"/>
          <w:lang w:eastAsia="ru-RU"/>
        </w:rPr>
        <w:t>3.6</w:t>
      </w:r>
      <w:r>
        <w:rPr>
          <w:rFonts w:ascii="Times New Roman" w:hAnsi="Times New Roman" w:cs="Times New Roman" w:eastAsia="Times New Roman"/>
          <w:sz w:val="28"/>
          <w:szCs w:val="28"/>
          <w:lang w:eastAsia="ru-RU"/>
        </w:rPr>
        <w:t xml:space="preserve"> – Переменные модели и их описание </w:t>
      </w:r>
      <w:r>
        <w:rPr>
          <w:rFonts w:ascii="Times New Roman" w:hAnsi="Times New Roman" w:cs="Times New Roman"/>
          <w:sz w:val="28"/>
          <w:szCs w:val="28"/>
        </w:rPr>
        <w:t>(составлено автором)</w:t>
      </w:r>
    </w:p>
    <w:tbl>
      <w:tblPr>
        <w:tblStyle w:val="T3"/>
        <w:tblW w:w="9918" w:type="dxa"/>
        <w:tblLook w:val="04A0"/>
      </w:tblPr>
      <w:tblGrid>
        <w:gridCol w:w="1992"/>
        <w:gridCol w:w="7926"/>
      </w:tblGrid>
      <w:tr>
        <w:tc>
          <w:tcPr>
            <w:tcW w:w="1992" w:type="dxa"/>
          </w:tcPr>
          <w:p>
            <w:pPr>
              <w:pStyle w:val="P13"/>
              <w:jc w:val="center"/>
              <w:rPr>
                <w:sz w:val="24"/>
                <w:szCs w:val="24"/>
                <w:lang w:val="ru-RU"/>
              </w:rPr>
            </w:pPr>
            <w:r>
              <w:rPr>
                <w:sz w:val="24"/>
                <w:szCs w:val="24"/>
                <w:lang w:val="ru-RU"/>
              </w:rPr>
              <w:t>Переменная</w:t>
            </w:r>
          </w:p>
        </w:tc>
        <w:tc>
          <w:tcPr>
            <w:tcW w:w="7926" w:type="dxa"/>
          </w:tcPr>
          <w:p>
            <w:pPr>
              <w:pStyle w:val="P13"/>
              <w:jc w:val="center"/>
              <w:rPr>
                <w:sz w:val="24"/>
                <w:szCs w:val="24"/>
                <w:lang w:val="ru-RU"/>
              </w:rPr>
            </w:pPr>
            <w:r>
              <w:rPr>
                <w:sz w:val="24"/>
                <w:szCs w:val="24"/>
                <w:lang w:val="ru-RU"/>
              </w:rPr>
              <w:t>Описание</w:t>
            </w:r>
          </w:p>
        </w:tc>
      </w:tr>
      <w:tr>
        <w:tc>
          <w:tcPr>
            <w:tcW w:w="1992" w:type="dxa"/>
          </w:tcPr>
          <w:p>
            <w:pPr>
              <w:pStyle w:val="P13"/>
              <w:jc w:val="both"/>
              <w:rPr>
                <w:sz w:val="24"/>
                <w:szCs w:val="24"/>
                <w:lang w:val="ru-RU"/>
              </w:rPr>
            </w:pPr>
            <w:r>
              <w:rPr>
                <w:sz w:val="24"/>
                <w:szCs w:val="24"/>
                <w:lang w:val="ru-RU"/>
              </w:rPr>
              <w:t>Тип фирмы</w:t>
            </w:r>
          </w:p>
        </w:tc>
        <w:tc>
          <w:tcPr>
            <w:tcW w:w="7926" w:type="dxa"/>
          </w:tcPr>
          <w:p>
            <w:pPr>
              <w:pStyle w:val="P25"/>
              <w:rPr>
                <w:rFonts w:ascii="Times New Roman" w:hAnsi="Times New Roman" w:cs="Times New Roman"/>
                <w:sz w:val="24"/>
                <w:szCs w:val="24"/>
              </w:rPr>
            </w:pPr>
            <w:r>
              <w:rPr>
                <w:rStyle w:val="C39"/>
                <w:rFonts w:ascii="Times New Roman" w:hAnsi="Times New Roman" w:cs="Times New Roman"/>
                <w:sz w:val="24"/>
                <w:szCs w:val="24"/>
              </w:rPr>
              <w:t>Бинарная переменная, которая принимает значение 1, если фирма является публичной, 0 в противном случае</w:t>
            </w:r>
          </w:p>
        </w:tc>
      </w:tr>
      <w:tr>
        <w:tc>
          <w:tcPr>
            <w:tcW w:w="1992" w:type="dxa"/>
          </w:tcPr>
          <w:p>
            <w:pPr>
              <w:pStyle w:val="P25"/>
              <w:rPr>
                <w:sz w:val="24"/>
                <w:szCs w:val="24"/>
              </w:rPr>
            </w:pPr>
            <w:r>
              <w:rPr>
                <w:rStyle w:val="C39"/>
                <w:rFonts w:ascii="Times New Roman" w:hAnsi="Times New Roman" w:cs="Times New Roman"/>
                <w:sz w:val="24"/>
                <w:szCs w:val="24"/>
              </w:rPr>
              <w:t>Местоположение фирмы</w:t>
            </w:r>
          </w:p>
        </w:tc>
        <w:tc>
          <w:tcPr>
            <w:tcW w:w="7926" w:type="dxa"/>
          </w:tcPr>
          <w:p>
            <w:pPr>
              <w:pStyle w:val="P25"/>
              <w:rPr>
                <w:sz w:val="24"/>
                <w:szCs w:val="24"/>
              </w:rPr>
            </w:pPr>
            <w:r>
              <w:rPr>
                <w:rStyle w:val="C39"/>
                <w:rFonts w:ascii="Times New Roman" w:hAnsi="Times New Roman" w:cs="Times New Roman"/>
                <w:sz w:val="24"/>
                <w:szCs w:val="24"/>
              </w:rPr>
              <w:t>Бинарная переменная, где 1 – для фирм, находящихся в г. Абиджан, 0 – в противном случае</w:t>
            </w:r>
          </w:p>
        </w:tc>
      </w:tr>
      <w:tr>
        <w:tc>
          <w:tcPr>
            <w:tcW w:w="1992" w:type="dxa"/>
          </w:tcPr>
          <w:p>
            <w:pPr>
              <w:pStyle w:val="P13"/>
              <w:jc w:val="both"/>
              <w:rPr>
                <w:sz w:val="24"/>
                <w:szCs w:val="24"/>
                <w:lang w:val="ru-RU"/>
              </w:rPr>
            </w:pPr>
            <w:r>
              <w:rPr>
                <w:sz w:val="24"/>
                <w:szCs w:val="24"/>
                <w:lang w:val="ru-RU"/>
              </w:rPr>
              <w:t>Год</w:t>
            </w:r>
          </w:p>
        </w:tc>
        <w:tc>
          <w:tcPr>
            <w:tcW w:w="7926" w:type="dxa"/>
          </w:tcPr>
          <w:p>
            <w:pPr>
              <w:pStyle w:val="P25"/>
              <w:rPr>
                <w:sz w:val="24"/>
                <w:szCs w:val="24"/>
              </w:rPr>
            </w:pPr>
            <w:r>
              <w:rPr>
                <w:rStyle w:val="C39"/>
                <w:rFonts w:ascii="Times New Roman" w:hAnsi="Times New Roman" w:cs="Times New Roman"/>
                <w:sz w:val="24"/>
                <w:szCs w:val="24"/>
              </w:rPr>
              <w:t>Переменная, указывающая количество лет, прошедших с момента юридической регистрации фирмы</w:t>
            </w:r>
          </w:p>
        </w:tc>
      </w:tr>
      <w:tr>
        <w:tc>
          <w:tcPr>
            <w:tcW w:w="1992" w:type="dxa"/>
          </w:tcPr>
          <w:p>
            <w:pPr>
              <w:pStyle w:val="P25"/>
              <w:rPr>
                <w:rFonts w:ascii="Times New Roman" w:hAnsi="Times New Roman" w:cs="Times New Roman"/>
                <w:sz w:val="24"/>
                <w:szCs w:val="24"/>
              </w:rPr>
            </w:pPr>
            <w:r>
              <w:rPr>
                <w:rStyle w:val="C39"/>
                <w:rFonts w:ascii="Times New Roman" w:hAnsi="Times New Roman" w:cs="Times New Roman"/>
                <w:sz w:val="24"/>
                <w:szCs w:val="24"/>
              </w:rPr>
              <w:t>Инновации</w:t>
            </w:r>
          </w:p>
          <w:p>
            <w:pPr>
              <w:pStyle w:val="P13"/>
              <w:jc w:val="both"/>
              <w:rPr>
                <w:sz w:val="24"/>
                <w:szCs w:val="24"/>
                <w:lang w:val="ru-RU"/>
              </w:rPr>
            </w:pPr>
          </w:p>
        </w:tc>
        <w:tc>
          <w:tcPr>
            <w:tcW w:w="7926" w:type="dxa"/>
          </w:tcPr>
          <w:p>
            <w:pPr>
              <w:pStyle w:val="P25"/>
              <w:rPr>
                <w:rFonts w:ascii="Times New Roman" w:hAnsi="Times New Roman" w:cs="Times New Roman"/>
                <w:sz w:val="24"/>
                <w:szCs w:val="24"/>
              </w:rPr>
            </w:pPr>
            <w:r>
              <w:rPr>
                <w:rStyle w:val="C39"/>
                <w:rFonts w:ascii="Times New Roman" w:hAnsi="Times New Roman" w:cs="Times New Roman"/>
                <w:sz w:val="24"/>
                <w:szCs w:val="24"/>
              </w:rPr>
              <w:t>Индекс, лежащий в диапазоне от 0 (низкий) до 8 (высокий), которые относятся к внедрению нового продукта, производственного или управленческих процессов, расходов на исследования и разработки</w:t>
            </w:r>
          </w:p>
        </w:tc>
      </w:tr>
      <w:tr>
        <w:tc>
          <w:tcPr>
            <w:tcW w:w="1992" w:type="dxa"/>
          </w:tcPr>
          <w:p>
            <w:pPr>
              <w:pStyle w:val="P13"/>
              <w:jc w:val="both"/>
              <w:rPr>
                <w:sz w:val="24"/>
                <w:szCs w:val="24"/>
                <w:lang w:val="ru-RU"/>
              </w:rPr>
            </w:pPr>
            <w:r>
              <w:rPr>
                <w:sz w:val="24"/>
                <w:szCs w:val="24"/>
                <w:lang w:val="ru-RU"/>
              </w:rPr>
              <w:t>Размер</w:t>
            </w:r>
          </w:p>
        </w:tc>
        <w:tc>
          <w:tcPr>
            <w:tcW w:w="7926" w:type="dxa"/>
          </w:tcPr>
          <w:p>
            <w:pPr>
              <w:pStyle w:val="P25"/>
              <w:rPr>
                <w:sz w:val="24"/>
                <w:szCs w:val="24"/>
              </w:rPr>
            </w:pPr>
            <w:r>
              <w:rPr>
                <w:rStyle w:val="C39"/>
                <w:rFonts w:ascii="Times New Roman" w:hAnsi="Times New Roman" w:cs="Times New Roman"/>
                <w:sz w:val="24"/>
                <w:szCs w:val="24"/>
              </w:rPr>
              <w:t>Переменная, которая отражает количество сотрудников в фирме</w:t>
            </w:r>
          </w:p>
        </w:tc>
      </w:tr>
      <w:tr>
        <w:tc>
          <w:tcPr>
            <w:tcW w:w="1992" w:type="dxa"/>
          </w:tcPr>
          <w:p>
            <w:pPr>
              <w:pStyle w:val="P25"/>
              <w:rPr>
                <w:sz w:val="24"/>
                <w:szCs w:val="24"/>
              </w:rPr>
            </w:pPr>
            <w:r>
              <w:rPr>
                <w:rStyle w:val="C39"/>
                <w:rFonts w:ascii="Times New Roman" w:hAnsi="Times New Roman" w:cs="Times New Roman"/>
                <w:sz w:val="24"/>
                <w:szCs w:val="24"/>
              </w:rPr>
              <w:t>Накладные расходы</w:t>
            </w:r>
          </w:p>
        </w:tc>
        <w:tc>
          <w:tcPr>
            <w:tcW w:w="7926" w:type="dxa"/>
          </w:tcPr>
          <w:p>
            <w:pPr>
              <w:pStyle w:val="P25"/>
              <w:rPr>
                <w:rFonts w:ascii="Times New Roman" w:hAnsi="Times New Roman" w:cs="Times New Roman"/>
                <w:sz w:val="24"/>
                <w:szCs w:val="24"/>
              </w:rPr>
            </w:pPr>
            <w:r>
              <w:rPr>
                <w:rStyle w:val="C39"/>
                <w:rFonts w:ascii="Times New Roman" w:hAnsi="Times New Roman" w:cs="Times New Roman"/>
                <w:sz w:val="24"/>
                <w:szCs w:val="24"/>
              </w:rPr>
              <w:t>Общие годовые расходы фирмы на текущую коммерческую деятельность</w:t>
            </w:r>
          </w:p>
        </w:tc>
      </w:tr>
      <w:tr>
        <w:tc>
          <w:tcPr>
            <w:tcW w:w="1992" w:type="dxa"/>
          </w:tcPr>
          <w:p>
            <w:pPr>
              <w:pStyle w:val="P25"/>
              <w:rPr>
                <w:sz w:val="24"/>
                <w:szCs w:val="24"/>
              </w:rPr>
            </w:pPr>
            <w:r>
              <w:rPr>
                <w:rStyle w:val="C39"/>
                <w:rFonts w:ascii="Times New Roman" w:hAnsi="Times New Roman" w:cs="Times New Roman"/>
                <w:sz w:val="24"/>
                <w:szCs w:val="24"/>
              </w:rPr>
              <w:t>Капитальные затраты</w:t>
            </w:r>
          </w:p>
        </w:tc>
        <w:tc>
          <w:tcPr>
            <w:tcW w:w="7926" w:type="dxa"/>
          </w:tcPr>
          <w:p>
            <w:pPr>
              <w:pStyle w:val="P25"/>
              <w:rPr>
                <w:sz w:val="24"/>
                <w:szCs w:val="24"/>
              </w:rPr>
            </w:pPr>
            <w:r>
              <w:rPr>
                <w:rStyle w:val="C39"/>
                <w:rFonts w:ascii="Times New Roman" w:hAnsi="Times New Roman" w:cs="Times New Roman"/>
                <w:sz w:val="24"/>
                <w:szCs w:val="24"/>
              </w:rPr>
              <w:t xml:space="preserve">Общие годовые капитальные затраты фирмы </w:t>
            </w:r>
          </w:p>
          <w:p>
            <w:pPr>
              <w:pStyle w:val="P25"/>
              <w:rPr>
                <w:sz w:val="24"/>
                <w:szCs w:val="24"/>
              </w:rPr>
            </w:pPr>
          </w:p>
        </w:tc>
      </w:tr>
      <w:tr>
        <w:tc>
          <w:tcPr>
            <w:tcW w:w="1992" w:type="dxa"/>
          </w:tcPr>
          <w:p>
            <w:pPr>
              <w:pStyle w:val="P25"/>
              <w:rPr>
                <w:sz w:val="24"/>
                <w:szCs w:val="24"/>
              </w:rPr>
            </w:pPr>
            <w:r>
              <w:rPr>
                <w:rStyle w:val="C39"/>
                <w:rFonts w:ascii="Times New Roman" w:hAnsi="Times New Roman" w:cs="Times New Roman"/>
                <w:sz w:val="24"/>
                <w:szCs w:val="24"/>
              </w:rPr>
              <w:t>Показатели деятельности фирмы</w:t>
            </w:r>
          </w:p>
        </w:tc>
        <w:tc>
          <w:tcPr>
            <w:tcW w:w="7926" w:type="dxa"/>
          </w:tcPr>
          <w:p>
            <w:pPr>
              <w:pStyle w:val="P25"/>
              <w:rPr>
                <w:sz w:val="24"/>
                <w:szCs w:val="24"/>
              </w:rPr>
            </w:pPr>
            <w:r>
              <w:rPr>
                <w:rStyle w:val="C39"/>
                <w:rFonts w:ascii="Times New Roman" w:hAnsi="Times New Roman" w:cs="Times New Roman"/>
                <w:sz w:val="24"/>
                <w:szCs w:val="24"/>
              </w:rPr>
              <w:t xml:space="preserve">Общая годовая выручка (в пересчете на стоимость продаж) </w:t>
            </w:r>
          </w:p>
          <w:p>
            <w:pPr>
              <w:pStyle w:val="P25"/>
              <w:rPr>
                <w:sz w:val="24"/>
                <w:szCs w:val="24"/>
              </w:rPr>
            </w:pPr>
          </w:p>
        </w:tc>
      </w:tr>
      <w:tr>
        <w:tc>
          <w:tcPr>
            <w:tcW w:w="1992" w:type="dxa"/>
          </w:tcPr>
          <w:p>
            <w:pPr>
              <w:pStyle w:val="P25"/>
              <w:rPr>
                <w:sz w:val="24"/>
                <w:szCs w:val="24"/>
              </w:rPr>
            </w:pPr>
            <w:r>
              <w:rPr>
                <w:rStyle w:val="C39"/>
                <w:rFonts w:ascii="Times New Roman" w:hAnsi="Times New Roman" w:cs="Times New Roman"/>
                <w:sz w:val="24"/>
                <w:szCs w:val="24"/>
              </w:rPr>
              <w:t xml:space="preserve">Образование </w:t>
            </w:r>
          </w:p>
        </w:tc>
        <w:tc>
          <w:tcPr>
            <w:tcW w:w="7926" w:type="dxa"/>
          </w:tcPr>
          <w:p>
            <w:pPr>
              <w:pStyle w:val="P25"/>
              <w:rPr>
                <w:sz w:val="24"/>
                <w:szCs w:val="24"/>
              </w:rPr>
            </w:pPr>
            <w:r>
              <w:rPr>
                <w:rStyle w:val="C39"/>
                <w:rFonts w:ascii="Times New Roman" w:hAnsi="Times New Roman" w:cs="Times New Roman"/>
                <w:sz w:val="24"/>
                <w:szCs w:val="24"/>
              </w:rPr>
              <w:t xml:space="preserve">Образование руководителей. Фиктивная переменная, равная 1, если человек имеет высшее образование и выше, и 0 в противном случае </w:t>
            </w:r>
          </w:p>
        </w:tc>
      </w:tr>
      <w:tr>
        <w:tc>
          <w:tcPr>
            <w:tcW w:w="1992" w:type="dxa"/>
          </w:tcPr>
          <w:p>
            <w:pPr>
              <w:pStyle w:val="P25"/>
              <w:rPr>
                <w:rFonts w:ascii="Times New Roman" w:hAnsi="Times New Roman" w:cs="Times New Roman"/>
                <w:sz w:val="24"/>
                <w:szCs w:val="24"/>
              </w:rPr>
            </w:pPr>
            <w:r>
              <w:rPr>
                <w:rStyle w:val="C39"/>
                <w:rFonts w:ascii="Times New Roman" w:hAnsi="Times New Roman" w:cs="Times New Roman"/>
                <w:sz w:val="24"/>
                <w:szCs w:val="24"/>
              </w:rPr>
              <w:t>Опыт</w:t>
            </w:r>
          </w:p>
          <w:p>
            <w:pPr>
              <w:pStyle w:val="P25"/>
              <w:rPr>
                <w:rStyle w:val="C39"/>
                <w:rFonts w:ascii="Times New Roman" w:hAnsi="Times New Roman" w:cs="Times New Roman"/>
                <w:sz w:val="24"/>
                <w:szCs w:val="24"/>
              </w:rPr>
            </w:pPr>
          </w:p>
        </w:tc>
        <w:tc>
          <w:tcPr>
            <w:tcW w:w="7926" w:type="dxa"/>
          </w:tcPr>
          <w:p>
            <w:pPr>
              <w:pStyle w:val="P25"/>
              <w:rPr>
                <w:rStyle w:val="C39"/>
                <w:rFonts w:ascii="Times New Roman" w:hAnsi="Times New Roman" w:cs="Times New Roman"/>
                <w:sz w:val="24"/>
                <w:szCs w:val="24"/>
              </w:rPr>
            </w:pPr>
            <w:r>
              <w:rPr>
                <w:rStyle w:val="C39"/>
                <w:rFonts w:ascii="Times New Roman" w:hAnsi="Times New Roman" w:cs="Times New Roman"/>
                <w:sz w:val="24"/>
                <w:szCs w:val="24"/>
              </w:rPr>
              <w:t xml:space="preserve">Количество лет опыта работы фирмы, работающей в определенном секторе </w:t>
            </w:r>
          </w:p>
        </w:tc>
      </w:tr>
      <w:tr>
        <w:tc>
          <w:tcPr>
            <w:tcW w:w="1992" w:type="dxa"/>
          </w:tcPr>
          <w:p>
            <w:pPr>
              <w:pStyle w:val="P25"/>
              <w:rPr>
                <w:rStyle w:val="C39"/>
                <w:rFonts w:ascii="Times New Roman" w:hAnsi="Times New Roman" w:cs="Times New Roman"/>
                <w:sz w:val="24"/>
                <w:szCs w:val="24"/>
              </w:rPr>
            </w:pPr>
            <w:r>
              <w:rPr>
                <w:rStyle w:val="C39"/>
                <w:rFonts w:ascii="Times New Roman" w:hAnsi="Times New Roman" w:cs="Times New Roman"/>
                <w:sz w:val="24"/>
                <w:szCs w:val="24"/>
              </w:rPr>
              <w:t>Экспорт компаний</w:t>
            </w:r>
          </w:p>
        </w:tc>
        <w:tc>
          <w:tcPr>
            <w:tcW w:w="7926" w:type="dxa"/>
          </w:tcPr>
          <w:p>
            <w:pPr>
              <w:pStyle w:val="P25"/>
              <w:rPr>
                <w:rStyle w:val="C39"/>
                <w:rFonts w:ascii="Times New Roman" w:hAnsi="Times New Roman" w:cs="Times New Roman"/>
                <w:sz w:val="24"/>
                <w:szCs w:val="24"/>
              </w:rPr>
            </w:pPr>
            <w:r>
              <w:rPr>
                <w:rStyle w:val="C39"/>
                <w:rFonts w:ascii="Times New Roman" w:hAnsi="Times New Roman" w:cs="Times New Roman"/>
                <w:sz w:val="24"/>
                <w:szCs w:val="24"/>
              </w:rPr>
              <w:t>Доля экспорта в структуру продаж для фирм, являющихся участниками ВЭД</w:t>
            </w:r>
          </w:p>
        </w:tc>
      </w:tr>
    </w:tbl>
    <w:p>
      <w:pPr>
        <w:pStyle w:val="P13"/>
        <w:spacing w:lineRule="auto" w:line="360" w:beforeAutospacing="0" w:afterAutospacing="0"/>
        <w:ind w:firstLine="709"/>
        <w:jc w:val="both"/>
        <w:rPr>
          <w:sz w:val="28"/>
          <w:szCs w:val="28"/>
          <w:lang w:val="ru-RU"/>
        </w:rPr>
      </w:pPr>
      <w:bookmarkEnd w:id="28"/>
    </w:p>
    <w:p>
      <w:pPr>
        <w:pStyle w:val="P13"/>
        <w:spacing w:lineRule="auto" w:line="360" w:beforeAutospacing="0" w:afterAutospacing="0"/>
        <w:ind w:firstLine="709"/>
        <w:jc w:val="both"/>
        <w:rPr>
          <w:sz w:val="28"/>
          <w:szCs w:val="28"/>
          <w:lang w:val="ru-RU"/>
        </w:rPr>
      </w:pPr>
      <w:r>
        <w:rPr>
          <w:sz w:val="28"/>
          <w:szCs w:val="28"/>
          <w:lang w:val="ru-RU"/>
        </w:rPr>
        <w:t xml:space="preserve">Описательная статистика различных характеристик выборки представлены в таблице </w:t>
      </w:r>
      <w:r>
        <w:rPr>
          <w:sz w:val="28"/>
          <w:szCs w:val="28"/>
          <w:highlight w:val="yellow"/>
          <w:lang w:val="ru-RU"/>
        </w:rPr>
        <w:t>3.7</w:t>
      </w:r>
      <w:r>
        <w:rPr>
          <w:sz w:val="28"/>
          <w:szCs w:val="28"/>
          <w:lang w:val="ru-RU"/>
        </w:rPr>
        <w:t xml:space="preserve">. В нее также включены </w:t>
      </w:r>
      <w:r>
        <w:rPr>
          <w:sz w:val="28"/>
          <w:szCs w:val="28"/>
        </w:rPr>
        <w:t>t</w:t>
      </w:r>
      <w:r>
        <w:rPr>
          <w:sz w:val="28"/>
          <w:szCs w:val="28"/>
          <w:lang w:val="ru-RU"/>
        </w:rPr>
        <w:t xml:space="preserve">-статистики для проверки наличия существенных различий между выбранными фирмами в разных группах (исследуемая и контрольная группы). </w:t>
      </w:r>
    </w:p>
    <w:p>
      <w:pPr>
        <w:pStyle w:val="P13"/>
        <w:spacing w:lineRule="auto" w:line="360" w:beforeAutospacing="0" w:afterAutospacing="0"/>
        <w:ind w:firstLine="709" w:right="-1"/>
        <w:jc w:val="both"/>
        <w:rPr>
          <w:sz w:val="28"/>
          <w:szCs w:val="28"/>
          <w:lang w:val="ru-RU"/>
        </w:rPr>
      </w:pPr>
      <w:r>
        <w:rPr>
          <w:sz w:val="28"/>
          <w:szCs w:val="28"/>
          <w:lang w:val="ru-RU"/>
        </w:rPr>
        <w:t>Только 38 % фирм расположены в г. Абиджан, который является крупнейшим городом, а также культурным и бизнес центром Республики Кот-д’Ивуар. В среднем большинству фирм около 13–14 лет, в зависимости от того, относятся ли они к экспериментальной или контрольной группе, а средний штат составляет 39 сотрудников. Тем не менее, наблюдается значительная разница в двух группах по показателю количество сотрудников – в экспериментальной группе численность сотрудников составляет около 91 человек, в то время как в группе сравнения около 26 сотрудников.</w:t>
      </w:r>
    </w:p>
    <w:p>
      <w:pPr>
        <w:pStyle w:val="P13"/>
        <w:spacing w:lineRule="auto" w:line="360" w:beforeAutospacing="0" w:afterAutospacing="0"/>
        <w:ind w:firstLine="709" w:right="-1"/>
        <w:jc w:val="both"/>
        <w:rPr>
          <w:sz w:val="28"/>
          <w:szCs w:val="28"/>
          <w:lang w:val="ru-RU"/>
        </w:rPr>
      </w:pPr>
    </w:p>
    <w:p>
      <w:pPr>
        <w:pStyle w:val="P13"/>
        <w:spacing w:lineRule="auto" w:line="360" w:beforeAutospacing="0" w:afterAutospacing="0"/>
        <w:ind w:right="-1"/>
        <w:jc w:val="both"/>
        <w:rPr>
          <w:sz w:val="28"/>
          <w:szCs w:val="28"/>
          <w:lang w:val="ru-RU"/>
        </w:rPr>
      </w:pPr>
      <w:r>
        <w:rPr>
          <w:sz w:val="28"/>
          <w:szCs w:val="28"/>
          <w:lang w:val="ru-RU"/>
        </w:rPr>
        <w:t xml:space="preserve">Таблица </w:t>
      </w:r>
      <w:r>
        <w:rPr>
          <w:sz w:val="28"/>
          <w:szCs w:val="28"/>
          <w:highlight w:val="yellow"/>
          <w:lang w:val="ru-RU"/>
        </w:rPr>
        <w:t>3.7</w:t>
      </w:r>
      <w:r>
        <w:rPr>
          <w:sz w:val="28"/>
          <w:szCs w:val="28"/>
          <w:lang w:val="ru-RU"/>
        </w:rPr>
        <w:t xml:space="preserve"> – Описательные статистики переменных модели (составлено автором)</w:t>
      </w:r>
    </w:p>
    <w:tbl>
      <w:tblPr>
        <w:tblStyle w:val="T3"/>
        <w:tblW w:w="9902" w:type="dxa"/>
        <w:tblLook w:val="04A0"/>
      </w:tblPr>
      <w:tblGrid>
        <w:gridCol w:w="2189"/>
        <w:gridCol w:w="1093"/>
        <w:gridCol w:w="1185"/>
        <w:gridCol w:w="1095"/>
        <w:gridCol w:w="1028"/>
        <w:gridCol w:w="1100"/>
        <w:gridCol w:w="1015"/>
        <w:gridCol w:w="1197"/>
      </w:tblGrid>
      <w:tr>
        <w:trPr>
          <w:trHeight w:hRule="atLeast" w:val="556"/>
        </w:trPr>
        <w:tc>
          <w:tcPr>
            <w:tcW w:w="2189" w:type="dxa"/>
            <w:vMerge w:val="restart"/>
          </w:tcPr>
          <w:p>
            <w:pPr>
              <w:pStyle w:val="P13"/>
              <w:ind w:right="-1"/>
              <w:jc w:val="center"/>
              <w:rPr>
                <w:sz w:val="24"/>
                <w:szCs w:val="24"/>
                <w:lang w:val="ru-RU"/>
              </w:rPr>
            </w:pPr>
            <w:r>
              <w:rPr>
                <w:sz w:val="24"/>
                <w:szCs w:val="24"/>
                <w:lang w:val="ru-RU"/>
              </w:rPr>
              <w:t>Переменная</w:t>
            </w:r>
          </w:p>
        </w:tc>
        <w:tc>
          <w:tcPr>
            <w:tcW w:w="2278" w:type="dxa"/>
            <w:gridSpan w:val="2"/>
          </w:tcPr>
          <w:p>
            <w:pPr>
              <w:pStyle w:val="P13"/>
              <w:ind w:right="-1"/>
              <w:jc w:val="center"/>
              <w:rPr>
                <w:sz w:val="24"/>
                <w:szCs w:val="24"/>
                <w:lang w:val="ru-RU"/>
              </w:rPr>
            </w:pPr>
            <w:r>
              <w:rPr>
                <w:sz w:val="24"/>
                <w:szCs w:val="24"/>
                <w:lang w:val="ru-RU"/>
              </w:rPr>
              <w:t>Всего (2676 фирм)</w:t>
            </w:r>
          </w:p>
        </w:tc>
        <w:tc>
          <w:tcPr>
            <w:tcW w:w="2123" w:type="dxa"/>
            <w:gridSpan w:val="2"/>
          </w:tcPr>
          <w:p>
            <w:pPr>
              <w:pStyle w:val="P13"/>
              <w:ind w:right="-1"/>
              <w:jc w:val="center"/>
              <w:rPr>
                <w:sz w:val="24"/>
                <w:szCs w:val="24"/>
                <w:lang w:val="ru-RU"/>
              </w:rPr>
            </w:pPr>
            <w:r>
              <w:rPr>
                <w:sz w:val="24"/>
                <w:szCs w:val="24"/>
                <w:lang w:val="ru-RU"/>
              </w:rPr>
              <w:t>Выборка (536 фирм)</w:t>
            </w:r>
          </w:p>
        </w:tc>
        <w:tc>
          <w:tcPr>
            <w:tcW w:w="2115" w:type="dxa"/>
            <w:gridSpan w:val="2"/>
          </w:tcPr>
          <w:p>
            <w:pPr>
              <w:pStyle w:val="P13"/>
              <w:ind w:right="-1"/>
              <w:jc w:val="center"/>
              <w:rPr>
                <w:sz w:val="24"/>
                <w:szCs w:val="24"/>
                <w:lang w:val="ru-RU"/>
              </w:rPr>
            </w:pPr>
            <w:r>
              <w:rPr>
                <w:sz w:val="24"/>
                <w:szCs w:val="24"/>
                <w:lang w:val="ru-RU"/>
              </w:rPr>
              <w:t>Сравнение (2140 фирм)</w:t>
            </w:r>
          </w:p>
        </w:tc>
        <w:tc>
          <w:tcPr>
            <w:tcW w:w="1197" w:type="dxa"/>
          </w:tcPr>
          <w:p>
            <w:pPr>
              <w:pStyle w:val="P13"/>
              <w:ind w:right="-1"/>
              <w:jc w:val="both"/>
              <w:rPr>
                <w:sz w:val="24"/>
                <w:szCs w:val="24"/>
              </w:rPr>
            </w:pPr>
            <w:r>
              <w:rPr>
                <w:sz w:val="24"/>
                <w:szCs w:val="24"/>
              </w:rPr>
              <w:t>t / x</w:t>
            </w:r>
            <w:r>
              <w:rPr>
                <w:sz w:val="24"/>
                <w:szCs w:val="24"/>
                <w:vertAlign w:val="superscript"/>
              </w:rPr>
              <w:t>2</w:t>
            </w:r>
          </w:p>
        </w:tc>
      </w:tr>
      <w:tr>
        <w:trPr>
          <w:trHeight w:hRule="atLeast" w:val="290"/>
        </w:trPr>
        <w:tc>
          <w:tcPr>
            <w:tcW w:w="2189" w:type="dxa"/>
            <w:vMerge w:val="continue"/>
          </w:tcPr>
          <w:p>
            <w:pPr>
              <w:pStyle w:val="P13"/>
              <w:ind w:right="-1"/>
              <w:jc w:val="both"/>
              <w:rPr>
                <w:sz w:val="24"/>
                <w:szCs w:val="24"/>
                <w:lang w:val="ru-RU"/>
              </w:rPr>
            </w:pPr>
          </w:p>
        </w:tc>
        <w:tc>
          <w:tcPr>
            <w:tcW w:w="1093" w:type="dxa"/>
          </w:tcPr>
          <w:p>
            <w:pPr>
              <w:pStyle w:val="P13"/>
              <w:ind w:left="-112" w:right="-92"/>
              <w:jc w:val="center"/>
              <w:rPr>
                <w:sz w:val="24"/>
                <w:szCs w:val="24"/>
                <w:lang w:val="ru-RU"/>
              </w:rPr>
            </w:pPr>
            <w:r>
              <w:rPr>
                <w:sz w:val="24"/>
                <w:szCs w:val="24"/>
                <w:lang w:val="ru-RU"/>
              </w:rPr>
              <w:t>Среднее</w:t>
            </w:r>
          </w:p>
        </w:tc>
        <w:tc>
          <w:tcPr>
            <w:tcW w:w="1184" w:type="dxa"/>
          </w:tcPr>
          <w:p>
            <w:pPr>
              <w:pStyle w:val="P13"/>
              <w:ind w:left="-112" w:right="-92"/>
              <w:jc w:val="center"/>
              <w:rPr>
                <w:sz w:val="24"/>
                <w:szCs w:val="24"/>
                <w:lang w:val="ru-RU"/>
              </w:rPr>
            </w:pPr>
            <w:r>
              <w:rPr>
                <w:sz w:val="24"/>
                <w:szCs w:val="24"/>
                <w:lang w:val="ru-RU"/>
              </w:rPr>
              <w:t>Ст. откл.</w:t>
            </w:r>
          </w:p>
        </w:tc>
        <w:tc>
          <w:tcPr>
            <w:tcW w:w="1095" w:type="dxa"/>
          </w:tcPr>
          <w:p>
            <w:pPr>
              <w:pStyle w:val="P13"/>
              <w:ind w:hanging="46" w:left="-112" w:right="-92"/>
              <w:jc w:val="center"/>
              <w:rPr>
                <w:sz w:val="24"/>
                <w:szCs w:val="24"/>
                <w:lang w:val="ru-RU"/>
              </w:rPr>
            </w:pPr>
            <w:r>
              <w:rPr>
                <w:sz w:val="24"/>
                <w:szCs w:val="24"/>
                <w:lang w:val="ru-RU"/>
              </w:rPr>
              <w:t>Среднее</w:t>
            </w:r>
          </w:p>
        </w:tc>
        <w:tc>
          <w:tcPr>
            <w:tcW w:w="1028" w:type="dxa"/>
          </w:tcPr>
          <w:p>
            <w:pPr>
              <w:pStyle w:val="P13"/>
              <w:ind w:hanging="5" w:left="-112" w:right="-92"/>
              <w:jc w:val="center"/>
              <w:rPr>
                <w:sz w:val="24"/>
                <w:szCs w:val="24"/>
                <w:lang w:val="ru-RU"/>
              </w:rPr>
            </w:pPr>
            <w:r>
              <w:rPr>
                <w:sz w:val="24"/>
                <w:szCs w:val="24"/>
                <w:lang w:val="ru-RU"/>
              </w:rPr>
              <w:t>Ст. откл.</w:t>
            </w:r>
          </w:p>
        </w:tc>
        <w:tc>
          <w:tcPr>
            <w:tcW w:w="1100" w:type="dxa"/>
          </w:tcPr>
          <w:p>
            <w:pPr>
              <w:pStyle w:val="P13"/>
              <w:ind w:firstLine="5" w:left="-112" w:right="-92"/>
              <w:jc w:val="center"/>
              <w:rPr>
                <w:sz w:val="24"/>
                <w:szCs w:val="24"/>
                <w:lang w:val="ru-RU"/>
              </w:rPr>
            </w:pPr>
            <w:r>
              <w:rPr>
                <w:sz w:val="24"/>
                <w:szCs w:val="24"/>
                <w:lang w:val="ru-RU"/>
              </w:rPr>
              <w:t>Среднее</w:t>
            </w:r>
          </w:p>
        </w:tc>
        <w:tc>
          <w:tcPr>
            <w:tcW w:w="1015" w:type="dxa"/>
          </w:tcPr>
          <w:p>
            <w:pPr>
              <w:pStyle w:val="P13"/>
              <w:ind w:hanging="2" w:left="-112" w:right="-92"/>
              <w:jc w:val="center"/>
              <w:rPr>
                <w:sz w:val="24"/>
                <w:szCs w:val="24"/>
                <w:lang w:val="ru-RU"/>
              </w:rPr>
            </w:pPr>
            <w:r>
              <w:rPr>
                <w:sz w:val="24"/>
                <w:szCs w:val="24"/>
                <w:lang w:val="ru-RU"/>
              </w:rPr>
              <w:t>Ст. откл.</w:t>
            </w:r>
          </w:p>
        </w:tc>
        <w:tc>
          <w:tcPr>
            <w:tcW w:w="1197" w:type="dxa"/>
          </w:tcPr>
          <w:p>
            <w:pPr>
              <w:pStyle w:val="P13"/>
              <w:ind w:firstLine="36" w:left="-112" w:right="-92"/>
              <w:jc w:val="center"/>
              <w:rPr>
                <w:sz w:val="24"/>
                <w:szCs w:val="24"/>
                <w:lang w:val="ru-RU"/>
              </w:rPr>
            </w:pPr>
            <w:r>
              <w:rPr>
                <w:sz w:val="24"/>
                <w:szCs w:val="24"/>
                <w:lang w:val="ru-RU"/>
              </w:rPr>
              <w:t>Среднее</w:t>
            </w:r>
          </w:p>
        </w:tc>
      </w:tr>
      <w:tr>
        <w:trPr>
          <w:trHeight w:hRule="atLeast" w:val="277"/>
        </w:trPr>
        <w:tc>
          <w:tcPr>
            <w:tcW w:w="2189" w:type="dxa"/>
          </w:tcPr>
          <w:p>
            <w:pPr>
              <w:pStyle w:val="P13"/>
              <w:ind w:right="-1"/>
              <w:jc w:val="both"/>
              <w:rPr>
                <w:sz w:val="24"/>
                <w:szCs w:val="24"/>
                <w:lang w:val="ru-RU"/>
              </w:rPr>
            </w:pPr>
            <w:r>
              <w:rPr>
                <w:sz w:val="24"/>
                <w:szCs w:val="24"/>
                <w:lang w:val="ru-RU"/>
              </w:rPr>
              <w:t xml:space="preserve">Тип фирмы </w:t>
            </w:r>
          </w:p>
        </w:tc>
        <w:tc>
          <w:tcPr>
            <w:tcW w:w="1093" w:type="dxa"/>
          </w:tcPr>
          <w:p>
            <w:pPr>
              <w:pStyle w:val="P13"/>
              <w:ind w:right="-1"/>
              <w:jc w:val="center"/>
              <w:rPr>
                <w:sz w:val="24"/>
                <w:szCs w:val="24"/>
                <w:lang w:val="ru-RU"/>
              </w:rPr>
            </w:pPr>
            <w:r>
              <w:rPr>
                <w:sz w:val="24"/>
                <w:szCs w:val="24"/>
                <w:lang w:val="ru-RU"/>
              </w:rPr>
              <w:t>0,08</w:t>
            </w:r>
          </w:p>
        </w:tc>
        <w:tc>
          <w:tcPr>
            <w:tcW w:w="1184" w:type="dxa"/>
          </w:tcPr>
          <w:p>
            <w:pPr>
              <w:pStyle w:val="P13"/>
              <w:ind w:right="-1"/>
              <w:jc w:val="center"/>
              <w:rPr>
                <w:sz w:val="24"/>
                <w:szCs w:val="24"/>
                <w:lang w:val="ru-RU"/>
              </w:rPr>
            </w:pPr>
            <w:r>
              <w:rPr>
                <w:sz w:val="24"/>
                <w:szCs w:val="24"/>
                <w:lang w:val="ru-RU"/>
              </w:rPr>
              <w:t>0,27</w:t>
            </w:r>
          </w:p>
        </w:tc>
        <w:tc>
          <w:tcPr>
            <w:tcW w:w="1095" w:type="dxa"/>
          </w:tcPr>
          <w:p>
            <w:pPr>
              <w:pStyle w:val="P13"/>
              <w:ind w:right="-1"/>
              <w:jc w:val="center"/>
              <w:rPr>
                <w:sz w:val="24"/>
                <w:szCs w:val="24"/>
                <w:lang w:val="ru-RU"/>
              </w:rPr>
            </w:pPr>
            <w:r>
              <w:rPr>
                <w:sz w:val="24"/>
                <w:szCs w:val="24"/>
                <w:lang w:val="ru-RU"/>
              </w:rPr>
              <w:t>0,13</w:t>
            </w:r>
          </w:p>
        </w:tc>
        <w:tc>
          <w:tcPr>
            <w:tcW w:w="1028" w:type="dxa"/>
          </w:tcPr>
          <w:p>
            <w:pPr>
              <w:pStyle w:val="P13"/>
              <w:ind w:right="-1"/>
              <w:jc w:val="center"/>
              <w:rPr>
                <w:sz w:val="24"/>
                <w:szCs w:val="24"/>
                <w:lang w:val="ru-RU"/>
              </w:rPr>
            </w:pPr>
            <w:r>
              <w:rPr>
                <w:sz w:val="24"/>
                <w:szCs w:val="24"/>
                <w:lang w:val="ru-RU"/>
              </w:rPr>
              <w:t>0,34</w:t>
            </w:r>
          </w:p>
        </w:tc>
        <w:tc>
          <w:tcPr>
            <w:tcW w:w="1100" w:type="dxa"/>
          </w:tcPr>
          <w:p>
            <w:pPr>
              <w:pStyle w:val="P13"/>
              <w:ind w:right="-1"/>
              <w:jc w:val="center"/>
              <w:rPr>
                <w:sz w:val="24"/>
                <w:szCs w:val="24"/>
                <w:lang w:val="ru-RU"/>
              </w:rPr>
            </w:pPr>
            <w:r>
              <w:rPr>
                <w:sz w:val="24"/>
                <w:szCs w:val="24"/>
                <w:lang w:val="ru-RU"/>
              </w:rPr>
              <w:t>0,07</w:t>
            </w:r>
          </w:p>
        </w:tc>
        <w:tc>
          <w:tcPr>
            <w:tcW w:w="1015" w:type="dxa"/>
          </w:tcPr>
          <w:p>
            <w:pPr>
              <w:pStyle w:val="P13"/>
              <w:ind w:right="-1"/>
              <w:jc w:val="center"/>
              <w:rPr>
                <w:sz w:val="24"/>
                <w:szCs w:val="24"/>
                <w:lang w:val="ru-RU"/>
              </w:rPr>
            </w:pPr>
            <w:r>
              <w:rPr>
                <w:sz w:val="24"/>
                <w:szCs w:val="24"/>
                <w:lang w:val="ru-RU"/>
              </w:rPr>
              <w:t>0,25</w:t>
            </w:r>
          </w:p>
        </w:tc>
        <w:tc>
          <w:tcPr>
            <w:tcW w:w="1197" w:type="dxa"/>
          </w:tcPr>
          <w:p>
            <w:pPr>
              <w:pStyle w:val="P13"/>
              <w:ind w:right="-1"/>
              <w:jc w:val="center"/>
              <w:rPr>
                <w:sz w:val="24"/>
                <w:szCs w:val="24"/>
                <w:lang w:val="ru-RU"/>
              </w:rPr>
            </w:pPr>
            <w:r>
              <w:rPr>
                <w:sz w:val="24"/>
                <w:szCs w:val="24"/>
                <w:lang w:val="ru-RU"/>
              </w:rPr>
              <w:t>-5,31**</w:t>
            </w:r>
          </w:p>
        </w:tc>
      </w:tr>
      <w:tr>
        <w:trPr>
          <w:trHeight w:hRule="atLeast" w:val="543"/>
        </w:trPr>
        <w:tc>
          <w:tcPr>
            <w:tcW w:w="2189" w:type="dxa"/>
          </w:tcPr>
          <w:p>
            <w:pPr>
              <w:pStyle w:val="P13"/>
              <w:ind w:right="-1"/>
              <w:jc w:val="both"/>
              <w:rPr>
                <w:sz w:val="24"/>
                <w:szCs w:val="24"/>
                <w:lang w:val="ru-RU"/>
              </w:rPr>
            </w:pPr>
            <w:r>
              <w:rPr>
                <w:sz w:val="24"/>
                <w:szCs w:val="24"/>
                <w:lang w:val="ru-RU"/>
              </w:rPr>
              <w:t xml:space="preserve">Местонахождение фирмы </w:t>
            </w:r>
          </w:p>
        </w:tc>
        <w:tc>
          <w:tcPr>
            <w:tcW w:w="1093" w:type="dxa"/>
          </w:tcPr>
          <w:p>
            <w:pPr>
              <w:pStyle w:val="P13"/>
              <w:ind w:right="-1"/>
              <w:jc w:val="center"/>
              <w:rPr>
                <w:sz w:val="24"/>
                <w:szCs w:val="24"/>
                <w:lang w:val="ru-RU"/>
              </w:rPr>
            </w:pPr>
            <w:r>
              <w:rPr>
                <w:sz w:val="24"/>
                <w:szCs w:val="24"/>
                <w:lang w:val="ru-RU"/>
              </w:rPr>
              <w:t>0,38</w:t>
            </w:r>
          </w:p>
        </w:tc>
        <w:tc>
          <w:tcPr>
            <w:tcW w:w="1184" w:type="dxa"/>
          </w:tcPr>
          <w:p>
            <w:pPr>
              <w:pStyle w:val="P13"/>
              <w:ind w:right="-1"/>
              <w:jc w:val="center"/>
              <w:rPr>
                <w:sz w:val="24"/>
                <w:szCs w:val="24"/>
                <w:lang w:val="ru-RU"/>
              </w:rPr>
            </w:pPr>
            <w:r>
              <w:rPr>
                <w:sz w:val="24"/>
                <w:szCs w:val="24"/>
                <w:lang w:val="ru-RU"/>
              </w:rPr>
              <w:t>0,45</w:t>
            </w:r>
          </w:p>
        </w:tc>
        <w:tc>
          <w:tcPr>
            <w:tcW w:w="1095" w:type="dxa"/>
          </w:tcPr>
          <w:p>
            <w:pPr>
              <w:pStyle w:val="P13"/>
              <w:ind w:right="-1"/>
              <w:jc w:val="center"/>
              <w:rPr>
                <w:sz w:val="24"/>
                <w:szCs w:val="24"/>
                <w:lang w:val="ru-RU"/>
              </w:rPr>
            </w:pPr>
            <w:r>
              <w:rPr>
                <w:sz w:val="24"/>
                <w:szCs w:val="24"/>
                <w:lang w:val="ru-RU"/>
              </w:rPr>
              <w:t>0,35</w:t>
            </w:r>
          </w:p>
        </w:tc>
        <w:tc>
          <w:tcPr>
            <w:tcW w:w="1028" w:type="dxa"/>
          </w:tcPr>
          <w:p>
            <w:pPr>
              <w:pStyle w:val="P13"/>
              <w:ind w:right="-1"/>
              <w:jc w:val="center"/>
              <w:rPr>
                <w:sz w:val="24"/>
                <w:szCs w:val="24"/>
                <w:lang w:val="ru-RU"/>
              </w:rPr>
            </w:pPr>
            <w:r>
              <w:rPr>
                <w:sz w:val="24"/>
                <w:szCs w:val="24"/>
                <w:lang w:val="ru-RU"/>
              </w:rPr>
              <w:t>0,44</w:t>
            </w:r>
          </w:p>
        </w:tc>
        <w:tc>
          <w:tcPr>
            <w:tcW w:w="1100" w:type="dxa"/>
          </w:tcPr>
          <w:p>
            <w:pPr>
              <w:pStyle w:val="P13"/>
              <w:ind w:right="-1"/>
              <w:jc w:val="center"/>
              <w:rPr>
                <w:sz w:val="24"/>
                <w:szCs w:val="24"/>
                <w:lang w:val="ru-RU"/>
              </w:rPr>
            </w:pPr>
            <w:r>
              <w:rPr>
                <w:sz w:val="24"/>
                <w:szCs w:val="24"/>
                <w:lang w:val="ru-RU"/>
              </w:rPr>
              <w:t>0,39</w:t>
            </w:r>
          </w:p>
        </w:tc>
        <w:tc>
          <w:tcPr>
            <w:tcW w:w="1015" w:type="dxa"/>
          </w:tcPr>
          <w:p>
            <w:pPr>
              <w:pStyle w:val="P13"/>
              <w:ind w:right="-1"/>
              <w:jc w:val="center"/>
              <w:rPr>
                <w:sz w:val="24"/>
                <w:szCs w:val="24"/>
                <w:lang w:val="ru-RU"/>
              </w:rPr>
            </w:pPr>
            <w:r>
              <w:rPr>
                <w:sz w:val="24"/>
                <w:szCs w:val="24"/>
                <w:lang w:val="ru-RU"/>
              </w:rPr>
              <w:t>0,45</w:t>
            </w:r>
          </w:p>
        </w:tc>
        <w:tc>
          <w:tcPr>
            <w:tcW w:w="1197" w:type="dxa"/>
          </w:tcPr>
          <w:p>
            <w:pPr>
              <w:pStyle w:val="P13"/>
              <w:ind w:right="-1"/>
              <w:jc w:val="center"/>
              <w:rPr>
                <w:sz w:val="24"/>
                <w:szCs w:val="24"/>
                <w:lang w:val="ru-RU"/>
              </w:rPr>
            </w:pPr>
            <w:r>
              <w:rPr>
                <w:sz w:val="24"/>
                <w:szCs w:val="24"/>
                <w:lang w:val="ru-RU"/>
              </w:rPr>
              <w:t>1,59</w:t>
            </w:r>
          </w:p>
        </w:tc>
      </w:tr>
      <w:tr>
        <w:trPr>
          <w:trHeight w:hRule="atLeast" w:val="277"/>
        </w:trPr>
        <w:tc>
          <w:tcPr>
            <w:tcW w:w="2189" w:type="dxa"/>
          </w:tcPr>
          <w:p>
            <w:pPr>
              <w:pStyle w:val="P13"/>
              <w:ind w:right="-1"/>
              <w:jc w:val="both"/>
              <w:rPr>
                <w:sz w:val="24"/>
                <w:szCs w:val="24"/>
                <w:lang w:val="ru-RU"/>
              </w:rPr>
            </w:pPr>
            <w:r>
              <w:rPr>
                <w:sz w:val="24"/>
                <w:szCs w:val="24"/>
                <w:lang w:val="ru-RU"/>
              </w:rPr>
              <w:t>Год</w:t>
            </w:r>
          </w:p>
        </w:tc>
        <w:tc>
          <w:tcPr>
            <w:tcW w:w="1093" w:type="dxa"/>
          </w:tcPr>
          <w:p>
            <w:pPr>
              <w:pStyle w:val="P13"/>
              <w:ind w:right="-1"/>
              <w:jc w:val="center"/>
              <w:rPr>
                <w:sz w:val="24"/>
                <w:szCs w:val="24"/>
                <w:lang w:val="ru-RU"/>
              </w:rPr>
            </w:pPr>
            <w:r>
              <w:rPr>
                <w:sz w:val="24"/>
                <w:szCs w:val="24"/>
                <w:lang w:val="ru-RU"/>
              </w:rPr>
              <w:t>13,41</w:t>
            </w:r>
          </w:p>
        </w:tc>
        <w:tc>
          <w:tcPr>
            <w:tcW w:w="1184" w:type="dxa"/>
          </w:tcPr>
          <w:p>
            <w:pPr>
              <w:pStyle w:val="P13"/>
              <w:ind w:right="-1"/>
              <w:jc w:val="center"/>
              <w:rPr>
                <w:sz w:val="24"/>
                <w:szCs w:val="24"/>
                <w:lang w:val="ru-RU"/>
              </w:rPr>
            </w:pPr>
            <w:r>
              <w:rPr>
                <w:sz w:val="24"/>
                <w:szCs w:val="24"/>
                <w:lang w:val="ru-RU"/>
              </w:rPr>
              <w:t>11,85</w:t>
            </w:r>
          </w:p>
        </w:tc>
        <w:tc>
          <w:tcPr>
            <w:tcW w:w="1095" w:type="dxa"/>
          </w:tcPr>
          <w:p>
            <w:pPr>
              <w:pStyle w:val="P13"/>
              <w:ind w:right="-1"/>
              <w:jc w:val="center"/>
              <w:rPr>
                <w:sz w:val="24"/>
                <w:szCs w:val="24"/>
                <w:lang w:val="ru-RU"/>
              </w:rPr>
            </w:pPr>
            <w:r>
              <w:rPr>
                <w:sz w:val="24"/>
                <w:szCs w:val="24"/>
                <w:lang w:val="ru-RU"/>
              </w:rPr>
              <w:t>14,70</w:t>
            </w:r>
          </w:p>
        </w:tc>
        <w:tc>
          <w:tcPr>
            <w:tcW w:w="1028" w:type="dxa"/>
          </w:tcPr>
          <w:p>
            <w:pPr>
              <w:pStyle w:val="P13"/>
              <w:ind w:right="-1"/>
              <w:jc w:val="center"/>
              <w:rPr>
                <w:sz w:val="24"/>
                <w:szCs w:val="24"/>
                <w:lang w:val="ru-RU"/>
              </w:rPr>
            </w:pPr>
            <w:r>
              <w:rPr>
                <w:sz w:val="24"/>
                <w:szCs w:val="24"/>
                <w:lang w:val="ru-RU"/>
              </w:rPr>
              <w:t>14,99</w:t>
            </w:r>
          </w:p>
        </w:tc>
        <w:tc>
          <w:tcPr>
            <w:tcW w:w="1100" w:type="dxa"/>
          </w:tcPr>
          <w:p>
            <w:pPr>
              <w:pStyle w:val="P13"/>
              <w:ind w:right="-1"/>
              <w:jc w:val="center"/>
              <w:rPr>
                <w:sz w:val="24"/>
                <w:szCs w:val="24"/>
                <w:lang w:val="ru-RU"/>
              </w:rPr>
            </w:pPr>
            <w:r>
              <w:rPr>
                <w:sz w:val="24"/>
                <w:szCs w:val="24"/>
                <w:lang w:val="ru-RU"/>
              </w:rPr>
              <w:t>13,09</w:t>
            </w:r>
          </w:p>
        </w:tc>
        <w:tc>
          <w:tcPr>
            <w:tcW w:w="1015" w:type="dxa"/>
          </w:tcPr>
          <w:p>
            <w:pPr>
              <w:pStyle w:val="P13"/>
              <w:ind w:right="-1"/>
              <w:jc w:val="center"/>
              <w:rPr>
                <w:sz w:val="24"/>
                <w:szCs w:val="24"/>
                <w:lang w:val="ru-RU"/>
              </w:rPr>
            </w:pPr>
            <w:r>
              <w:rPr>
                <w:sz w:val="24"/>
                <w:szCs w:val="24"/>
                <w:lang w:val="ru-RU"/>
              </w:rPr>
              <w:t>10,90</w:t>
            </w:r>
          </w:p>
        </w:tc>
        <w:tc>
          <w:tcPr>
            <w:tcW w:w="1197" w:type="dxa"/>
          </w:tcPr>
          <w:p>
            <w:pPr>
              <w:pStyle w:val="P13"/>
              <w:ind w:right="-1"/>
              <w:jc w:val="center"/>
              <w:rPr>
                <w:sz w:val="24"/>
                <w:szCs w:val="24"/>
                <w:lang w:val="ru-RU"/>
              </w:rPr>
            </w:pPr>
            <w:r>
              <w:rPr>
                <w:sz w:val="24"/>
                <w:szCs w:val="24"/>
                <w:lang w:val="ru-RU"/>
              </w:rPr>
              <w:t>-2,82**</w:t>
            </w:r>
          </w:p>
        </w:tc>
      </w:tr>
      <w:tr>
        <w:trPr>
          <w:trHeight w:hRule="atLeast" w:val="277"/>
        </w:trPr>
        <w:tc>
          <w:tcPr>
            <w:tcW w:w="2189" w:type="dxa"/>
          </w:tcPr>
          <w:p>
            <w:pPr>
              <w:pStyle w:val="P13"/>
              <w:ind w:right="-1"/>
              <w:jc w:val="both"/>
              <w:rPr>
                <w:sz w:val="24"/>
                <w:szCs w:val="24"/>
                <w:lang w:val="ru-RU"/>
              </w:rPr>
            </w:pPr>
            <w:r>
              <w:rPr>
                <w:sz w:val="24"/>
                <w:szCs w:val="24"/>
                <w:lang w:val="ru-RU"/>
              </w:rPr>
              <w:t>Инновации</w:t>
            </w:r>
          </w:p>
        </w:tc>
        <w:tc>
          <w:tcPr>
            <w:tcW w:w="1093" w:type="dxa"/>
          </w:tcPr>
          <w:p>
            <w:pPr>
              <w:pStyle w:val="P13"/>
              <w:ind w:right="-1"/>
              <w:jc w:val="center"/>
              <w:rPr>
                <w:sz w:val="24"/>
                <w:szCs w:val="24"/>
                <w:lang w:val="ru-RU"/>
              </w:rPr>
            </w:pPr>
            <w:r>
              <w:rPr>
                <w:sz w:val="24"/>
                <w:szCs w:val="24"/>
                <w:lang w:val="ru-RU"/>
              </w:rPr>
              <w:t>3,22</w:t>
            </w:r>
          </w:p>
        </w:tc>
        <w:tc>
          <w:tcPr>
            <w:tcW w:w="1184" w:type="dxa"/>
          </w:tcPr>
          <w:p>
            <w:pPr>
              <w:pStyle w:val="P13"/>
              <w:ind w:right="-1"/>
              <w:jc w:val="center"/>
              <w:rPr>
                <w:sz w:val="24"/>
                <w:szCs w:val="24"/>
                <w:lang w:val="ru-RU"/>
              </w:rPr>
            </w:pPr>
            <w:r>
              <w:rPr>
                <w:sz w:val="24"/>
                <w:szCs w:val="24"/>
                <w:lang w:val="ru-RU"/>
              </w:rPr>
              <w:t>2,81</w:t>
            </w:r>
          </w:p>
        </w:tc>
        <w:tc>
          <w:tcPr>
            <w:tcW w:w="1095" w:type="dxa"/>
          </w:tcPr>
          <w:p>
            <w:pPr>
              <w:pStyle w:val="P13"/>
              <w:ind w:right="-1"/>
              <w:jc w:val="center"/>
              <w:rPr>
                <w:sz w:val="24"/>
                <w:szCs w:val="24"/>
                <w:lang w:val="ru-RU"/>
              </w:rPr>
            </w:pPr>
            <w:r>
              <w:rPr>
                <w:sz w:val="24"/>
                <w:szCs w:val="24"/>
                <w:lang w:val="ru-RU"/>
              </w:rPr>
              <w:t>3,14</w:t>
            </w:r>
          </w:p>
        </w:tc>
        <w:tc>
          <w:tcPr>
            <w:tcW w:w="1028" w:type="dxa"/>
          </w:tcPr>
          <w:p>
            <w:pPr>
              <w:pStyle w:val="P13"/>
              <w:ind w:right="-1"/>
              <w:jc w:val="center"/>
              <w:rPr>
                <w:sz w:val="24"/>
                <w:szCs w:val="24"/>
                <w:lang w:val="ru-RU"/>
              </w:rPr>
            </w:pPr>
            <w:r>
              <w:rPr>
                <w:sz w:val="24"/>
                <w:szCs w:val="24"/>
                <w:lang w:val="ru-RU"/>
              </w:rPr>
              <w:t>2,99</w:t>
            </w:r>
          </w:p>
        </w:tc>
        <w:tc>
          <w:tcPr>
            <w:tcW w:w="1100" w:type="dxa"/>
          </w:tcPr>
          <w:p>
            <w:pPr>
              <w:pStyle w:val="P13"/>
              <w:ind w:right="-1"/>
              <w:jc w:val="center"/>
              <w:rPr>
                <w:sz w:val="24"/>
                <w:szCs w:val="24"/>
                <w:lang w:val="ru-RU"/>
              </w:rPr>
            </w:pPr>
            <w:r>
              <w:rPr>
                <w:sz w:val="24"/>
                <w:szCs w:val="24"/>
                <w:lang w:val="ru-RU"/>
              </w:rPr>
              <w:t>3,24</w:t>
            </w:r>
          </w:p>
        </w:tc>
        <w:tc>
          <w:tcPr>
            <w:tcW w:w="1015" w:type="dxa"/>
          </w:tcPr>
          <w:p>
            <w:pPr>
              <w:pStyle w:val="P13"/>
              <w:ind w:right="-1"/>
              <w:jc w:val="center"/>
              <w:rPr>
                <w:sz w:val="24"/>
                <w:szCs w:val="24"/>
                <w:lang w:val="ru-RU"/>
              </w:rPr>
            </w:pPr>
            <w:r>
              <w:rPr>
                <w:sz w:val="24"/>
                <w:szCs w:val="24"/>
                <w:lang w:val="ru-RU"/>
              </w:rPr>
              <w:t>2,76</w:t>
            </w:r>
          </w:p>
        </w:tc>
        <w:tc>
          <w:tcPr>
            <w:tcW w:w="1197" w:type="dxa"/>
          </w:tcPr>
          <w:p>
            <w:pPr>
              <w:pStyle w:val="P13"/>
              <w:ind w:right="-1"/>
              <w:jc w:val="center"/>
              <w:rPr>
                <w:sz w:val="24"/>
                <w:szCs w:val="24"/>
                <w:lang w:val="ru-RU"/>
              </w:rPr>
            </w:pPr>
            <w:r>
              <w:rPr>
                <w:sz w:val="24"/>
                <w:szCs w:val="24"/>
                <w:lang w:val="ru-RU"/>
              </w:rPr>
              <w:t>0,67</w:t>
            </w:r>
          </w:p>
        </w:tc>
      </w:tr>
      <w:tr>
        <w:trPr>
          <w:trHeight w:hRule="atLeast" w:val="277"/>
        </w:trPr>
        <w:tc>
          <w:tcPr>
            <w:tcW w:w="2189" w:type="dxa"/>
          </w:tcPr>
          <w:p>
            <w:pPr>
              <w:pStyle w:val="P13"/>
              <w:ind w:right="-1"/>
              <w:jc w:val="both"/>
              <w:rPr>
                <w:sz w:val="24"/>
                <w:szCs w:val="24"/>
                <w:lang w:val="ru-RU"/>
              </w:rPr>
            </w:pPr>
            <w:r>
              <w:rPr>
                <w:sz w:val="24"/>
                <w:szCs w:val="24"/>
                <w:lang w:val="ru-RU"/>
              </w:rPr>
              <w:t>Размер</w:t>
            </w:r>
          </w:p>
        </w:tc>
        <w:tc>
          <w:tcPr>
            <w:tcW w:w="1093" w:type="dxa"/>
          </w:tcPr>
          <w:p>
            <w:pPr>
              <w:pStyle w:val="P13"/>
              <w:ind w:right="-1"/>
              <w:jc w:val="center"/>
              <w:rPr>
                <w:sz w:val="24"/>
                <w:szCs w:val="24"/>
                <w:lang w:val="ru-RU"/>
              </w:rPr>
            </w:pPr>
            <w:r>
              <w:rPr>
                <w:sz w:val="24"/>
                <w:szCs w:val="24"/>
                <w:lang w:val="ru-RU"/>
              </w:rPr>
              <w:t>39,19</w:t>
            </w:r>
          </w:p>
        </w:tc>
        <w:tc>
          <w:tcPr>
            <w:tcW w:w="1184" w:type="dxa"/>
          </w:tcPr>
          <w:p>
            <w:pPr>
              <w:pStyle w:val="P13"/>
              <w:ind w:right="-1"/>
              <w:jc w:val="center"/>
              <w:rPr>
                <w:sz w:val="24"/>
                <w:szCs w:val="24"/>
                <w:lang w:val="ru-RU"/>
              </w:rPr>
            </w:pPr>
            <w:r>
              <w:rPr>
                <w:sz w:val="24"/>
                <w:szCs w:val="24"/>
                <w:lang w:val="ru-RU"/>
              </w:rPr>
              <w:t>211,78</w:t>
            </w:r>
          </w:p>
        </w:tc>
        <w:tc>
          <w:tcPr>
            <w:tcW w:w="1095" w:type="dxa"/>
          </w:tcPr>
          <w:p>
            <w:pPr>
              <w:pStyle w:val="P13"/>
              <w:ind w:right="-1"/>
              <w:jc w:val="center"/>
              <w:rPr>
                <w:sz w:val="24"/>
                <w:szCs w:val="24"/>
                <w:lang w:val="ru-RU"/>
              </w:rPr>
            </w:pPr>
            <w:r>
              <w:rPr>
                <w:sz w:val="24"/>
                <w:szCs w:val="24"/>
                <w:lang w:val="ru-RU"/>
              </w:rPr>
              <w:t>91,37</w:t>
            </w:r>
          </w:p>
        </w:tc>
        <w:tc>
          <w:tcPr>
            <w:tcW w:w="1028" w:type="dxa"/>
          </w:tcPr>
          <w:p>
            <w:pPr>
              <w:pStyle w:val="P13"/>
              <w:ind w:right="-1"/>
              <w:jc w:val="center"/>
              <w:rPr>
                <w:sz w:val="24"/>
                <w:szCs w:val="24"/>
                <w:lang w:val="ru-RU"/>
              </w:rPr>
            </w:pPr>
            <w:r>
              <w:rPr>
                <w:sz w:val="24"/>
                <w:szCs w:val="24"/>
                <w:lang w:val="ru-RU"/>
              </w:rPr>
              <w:t>448,36</w:t>
            </w:r>
          </w:p>
        </w:tc>
        <w:tc>
          <w:tcPr>
            <w:tcW w:w="1100" w:type="dxa"/>
          </w:tcPr>
          <w:p>
            <w:pPr>
              <w:pStyle w:val="P13"/>
              <w:ind w:right="-1"/>
              <w:jc w:val="center"/>
              <w:rPr>
                <w:sz w:val="24"/>
                <w:szCs w:val="24"/>
                <w:lang w:val="ru-RU"/>
              </w:rPr>
            </w:pPr>
            <w:r>
              <w:rPr>
                <w:sz w:val="24"/>
                <w:szCs w:val="24"/>
                <w:lang w:val="ru-RU"/>
              </w:rPr>
              <w:t>26,13</w:t>
            </w:r>
          </w:p>
        </w:tc>
        <w:tc>
          <w:tcPr>
            <w:tcW w:w="1015" w:type="dxa"/>
          </w:tcPr>
          <w:p>
            <w:pPr>
              <w:pStyle w:val="P13"/>
              <w:ind w:right="-1"/>
              <w:jc w:val="center"/>
              <w:rPr>
                <w:sz w:val="24"/>
                <w:szCs w:val="24"/>
                <w:lang w:val="ru-RU"/>
              </w:rPr>
            </w:pPr>
            <w:r>
              <w:rPr>
                <w:sz w:val="24"/>
                <w:szCs w:val="24"/>
                <w:lang w:val="ru-RU"/>
              </w:rPr>
              <w:t>70,41</w:t>
            </w:r>
          </w:p>
        </w:tc>
        <w:tc>
          <w:tcPr>
            <w:tcW w:w="1197" w:type="dxa"/>
          </w:tcPr>
          <w:p>
            <w:pPr>
              <w:pStyle w:val="P13"/>
              <w:ind w:right="-1"/>
              <w:jc w:val="center"/>
              <w:rPr>
                <w:sz w:val="24"/>
                <w:szCs w:val="24"/>
                <w:lang w:val="ru-RU"/>
              </w:rPr>
            </w:pPr>
            <w:r>
              <w:rPr>
                <w:sz w:val="24"/>
                <w:szCs w:val="24"/>
                <w:lang w:val="ru-RU"/>
              </w:rPr>
              <w:t>-6,42***</w:t>
            </w:r>
          </w:p>
        </w:tc>
      </w:tr>
      <w:tr>
        <w:trPr>
          <w:trHeight w:hRule="atLeast" w:val="556"/>
        </w:trPr>
        <w:tc>
          <w:tcPr>
            <w:tcW w:w="2189" w:type="dxa"/>
          </w:tcPr>
          <w:p>
            <w:pPr>
              <w:pStyle w:val="P25"/>
              <w:rPr>
                <w:rFonts w:ascii="Times New Roman" w:hAnsi="Times New Roman" w:cs="Times New Roman"/>
                <w:sz w:val="24"/>
                <w:szCs w:val="24"/>
              </w:rPr>
            </w:pPr>
            <w:r>
              <w:rPr>
                <w:rStyle w:val="C39"/>
                <w:rFonts w:ascii="Times New Roman" w:hAnsi="Times New Roman" w:cs="Times New Roman"/>
                <w:sz w:val="24"/>
                <w:szCs w:val="24"/>
              </w:rPr>
              <w:t>Накладные расходы</w:t>
            </w:r>
          </w:p>
        </w:tc>
        <w:tc>
          <w:tcPr>
            <w:tcW w:w="1093" w:type="dxa"/>
          </w:tcPr>
          <w:p>
            <w:pPr>
              <w:pStyle w:val="P13"/>
              <w:ind w:right="-1"/>
              <w:jc w:val="center"/>
              <w:rPr>
                <w:sz w:val="24"/>
                <w:szCs w:val="24"/>
                <w:lang w:val="ru-RU"/>
              </w:rPr>
            </w:pPr>
            <w:r>
              <w:rPr>
                <w:sz w:val="24"/>
                <w:szCs w:val="24"/>
                <w:lang w:val="ru-RU"/>
              </w:rPr>
              <w:t>8,54</w:t>
            </w:r>
          </w:p>
        </w:tc>
        <w:tc>
          <w:tcPr>
            <w:tcW w:w="1184" w:type="dxa"/>
          </w:tcPr>
          <w:p>
            <w:pPr>
              <w:pStyle w:val="P13"/>
              <w:ind w:right="-1"/>
              <w:jc w:val="center"/>
              <w:rPr>
                <w:sz w:val="24"/>
                <w:szCs w:val="24"/>
                <w:lang w:val="ru-RU"/>
              </w:rPr>
            </w:pPr>
            <w:r>
              <w:rPr>
                <w:sz w:val="24"/>
                <w:szCs w:val="24"/>
                <w:lang w:val="ru-RU"/>
              </w:rPr>
              <w:t>6,56</w:t>
            </w:r>
          </w:p>
        </w:tc>
        <w:tc>
          <w:tcPr>
            <w:tcW w:w="1095" w:type="dxa"/>
          </w:tcPr>
          <w:p>
            <w:pPr>
              <w:pStyle w:val="P13"/>
              <w:ind w:right="-1"/>
              <w:jc w:val="center"/>
              <w:rPr>
                <w:sz w:val="24"/>
                <w:szCs w:val="24"/>
                <w:lang w:val="ru-RU"/>
              </w:rPr>
            </w:pPr>
            <w:r>
              <w:rPr>
                <w:sz w:val="24"/>
                <w:szCs w:val="24"/>
                <w:lang w:val="ru-RU"/>
              </w:rPr>
              <w:t>6,78</w:t>
            </w:r>
          </w:p>
        </w:tc>
        <w:tc>
          <w:tcPr>
            <w:tcW w:w="1028" w:type="dxa"/>
          </w:tcPr>
          <w:p>
            <w:pPr>
              <w:pStyle w:val="P13"/>
              <w:ind w:right="-1"/>
              <w:jc w:val="center"/>
              <w:rPr>
                <w:sz w:val="24"/>
                <w:szCs w:val="24"/>
                <w:lang w:val="ru-RU"/>
              </w:rPr>
            </w:pPr>
            <w:r>
              <w:rPr>
                <w:sz w:val="24"/>
                <w:szCs w:val="24"/>
                <w:lang w:val="ru-RU"/>
              </w:rPr>
              <w:t>7,27</w:t>
            </w:r>
          </w:p>
        </w:tc>
        <w:tc>
          <w:tcPr>
            <w:tcW w:w="1100" w:type="dxa"/>
          </w:tcPr>
          <w:p>
            <w:pPr>
              <w:pStyle w:val="P13"/>
              <w:ind w:right="-1"/>
              <w:jc w:val="center"/>
              <w:rPr>
                <w:sz w:val="24"/>
                <w:szCs w:val="24"/>
                <w:lang w:val="ru-RU"/>
              </w:rPr>
            </w:pPr>
            <w:r>
              <w:rPr>
                <w:sz w:val="24"/>
                <w:szCs w:val="24"/>
                <w:lang w:val="ru-RU"/>
              </w:rPr>
              <w:t>9,98</w:t>
            </w:r>
          </w:p>
        </w:tc>
        <w:tc>
          <w:tcPr>
            <w:tcW w:w="1015" w:type="dxa"/>
          </w:tcPr>
          <w:p>
            <w:pPr>
              <w:pStyle w:val="P13"/>
              <w:ind w:right="-1"/>
              <w:jc w:val="center"/>
              <w:rPr>
                <w:sz w:val="24"/>
                <w:szCs w:val="24"/>
                <w:lang w:val="ru-RU"/>
              </w:rPr>
            </w:pPr>
            <w:r>
              <w:rPr>
                <w:sz w:val="24"/>
                <w:szCs w:val="24"/>
                <w:lang w:val="ru-RU"/>
              </w:rPr>
              <w:t>6,30</w:t>
            </w:r>
          </w:p>
        </w:tc>
        <w:tc>
          <w:tcPr>
            <w:tcW w:w="1197" w:type="dxa"/>
          </w:tcPr>
          <w:p>
            <w:pPr>
              <w:pStyle w:val="P13"/>
              <w:ind w:right="-1"/>
              <w:jc w:val="center"/>
              <w:rPr>
                <w:sz w:val="24"/>
                <w:szCs w:val="24"/>
                <w:lang w:val="ru-RU"/>
              </w:rPr>
            </w:pPr>
            <w:r>
              <w:rPr>
                <w:sz w:val="24"/>
                <w:szCs w:val="24"/>
                <w:lang w:val="ru-RU"/>
              </w:rPr>
              <w:t>7,00***</w:t>
            </w:r>
          </w:p>
        </w:tc>
      </w:tr>
      <w:tr>
        <w:trPr>
          <w:trHeight w:hRule="atLeast" w:val="556"/>
        </w:trPr>
        <w:tc>
          <w:tcPr>
            <w:tcW w:w="2189" w:type="dxa"/>
          </w:tcPr>
          <w:p>
            <w:pPr>
              <w:pStyle w:val="P25"/>
              <w:rPr>
                <w:rFonts w:ascii="Times New Roman" w:hAnsi="Times New Roman" w:cs="Times New Roman"/>
                <w:sz w:val="24"/>
                <w:szCs w:val="24"/>
              </w:rPr>
            </w:pPr>
            <w:r>
              <w:rPr>
                <w:rStyle w:val="C39"/>
                <w:rFonts w:ascii="Times New Roman" w:hAnsi="Times New Roman" w:cs="Times New Roman"/>
                <w:sz w:val="24"/>
                <w:szCs w:val="24"/>
              </w:rPr>
              <w:t>Капитальные затраты</w:t>
            </w:r>
          </w:p>
        </w:tc>
        <w:tc>
          <w:tcPr>
            <w:tcW w:w="1093" w:type="dxa"/>
          </w:tcPr>
          <w:p>
            <w:pPr>
              <w:pStyle w:val="P13"/>
              <w:ind w:right="-1"/>
              <w:jc w:val="center"/>
              <w:rPr>
                <w:sz w:val="24"/>
                <w:szCs w:val="24"/>
                <w:lang w:val="ru-RU"/>
              </w:rPr>
            </w:pPr>
            <w:r>
              <w:rPr>
                <w:sz w:val="24"/>
                <w:szCs w:val="24"/>
                <w:lang w:val="ru-RU"/>
              </w:rPr>
              <w:t>3,59</w:t>
            </w:r>
          </w:p>
        </w:tc>
        <w:tc>
          <w:tcPr>
            <w:tcW w:w="1184" w:type="dxa"/>
          </w:tcPr>
          <w:p>
            <w:pPr>
              <w:pStyle w:val="P13"/>
              <w:ind w:right="-1"/>
              <w:jc w:val="center"/>
              <w:rPr>
                <w:sz w:val="24"/>
                <w:szCs w:val="24"/>
                <w:lang w:val="ru-RU"/>
              </w:rPr>
            </w:pPr>
            <w:r>
              <w:rPr>
                <w:sz w:val="24"/>
                <w:szCs w:val="24"/>
                <w:lang w:val="ru-RU"/>
              </w:rPr>
              <w:t>5,85</w:t>
            </w:r>
          </w:p>
        </w:tc>
        <w:tc>
          <w:tcPr>
            <w:tcW w:w="1095" w:type="dxa"/>
          </w:tcPr>
          <w:p>
            <w:pPr>
              <w:pStyle w:val="P13"/>
              <w:ind w:right="-1"/>
              <w:jc w:val="center"/>
              <w:rPr>
                <w:sz w:val="24"/>
                <w:szCs w:val="24"/>
                <w:lang w:val="ru-RU"/>
              </w:rPr>
            </w:pPr>
            <w:r>
              <w:rPr>
                <w:sz w:val="24"/>
                <w:szCs w:val="24"/>
                <w:lang w:val="ru-RU"/>
              </w:rPr>
              <w:t>3,82</w:t>
            </w:r>
          </w:p>
        </w:tc>
        <w:tc>
          <w:tcPr>
            <w:tcW w:w="1028" w:type="dxa"/>
          </w:tcPr>
          <w:p>
            <w:pPr>
              <w:pStyle w:val="P13"/>
              <w:ind w:right="-1"/>
              <w:jc w:val="center"/>
              <w:rPr>
                <w:sz w:val="24"/>
                <w:szCs w:val="24"/>
                <w:lang w:val="ru-RU"/>
              </w:rPr>
            </w:pPr>
            <w:r>
              <w:rPr>
                <w:sz w:val="24"/>
                <w:szCs w:val="24"/>
                <w:lang w:val="ru-RU"/>
              </w:rPr>
              <w:t>6,16</w:t>
            </w:r>
          </w:p>
        </w:tc>
        <w:tc>
          <w:tcPr>
            <w:tcW w:w="1100" w:type="dxa"/>
          </w:tcPr>
          <w:p>
            <w:pPr>
              <w:pStyle w:val="P13"/>
              <w:ind w:right="-1"/>
              <w:jc w:val="center"/>
              <w:rPr>
                <w:sz w:val="24"/>
                <w:szCs w:val="24"/>
                <w:lang w:val="ru-RU"/>
              </w:rPr>
            </w:pPr>
            <w:r>
              <w:rPr>
                <w:sz w:val="24"/>
                <w:szCs w:val="24"/>
                <w:lang w:val="ru-RU"/>
              </w:rPr>
              <w:t>3,53</w:t>
            </w:r>
          </w:p>
        </w:tc>
        <w:tc>
          <w:tcPr>
            <w:tcW w:w="1015" w:type="dxa"/>
          </w:tcPr>
          <w:p>
            <w:pPr>
              <w:pStyle w:val="P13"/>
              <w:ind w:right="-1"/>
              <w:jc w:val="center"/>
              <w:rPr>
                <w:sz w:val="24"/>
                <w:szCs w:val="24"/>
                <w:lang w:val="ru-RU"/>
              </w:rPr>
            </w:pPr>
            <w:r>
              <w:rPr>
                <w:sz w:val="24"/>
                <w:szCs w:val="24"/>
                <w:lang w:val="ru-RU"/>
              </w:rPr>
              <w:t>5,76</w:t>
            </w:r>
          </w:p>
        </w:tc>
        <w:tc>
          <w:tcPr>
            <w:tcW w:w="1197" w:type="dxa"/>
          </w:tcPr>
          <w:p>
            <w:pPr>
              <w:pStyle w:val="P13"/>
              <w:ind w:right="-1"/>
              <w:jc w:val="center"/>
              <w:rPr>
                <w:sz w:val="24"/>
                <w:szCs w:val="24"/>
                <w:lang w:val="ru-RU"/>
              </w:rPr>
            </w:pPr>
            <w:r>
              <w:rPr>
                <w:sz w:val="24"/>
                <w:szCs w:val="24"/>
                <w:lang w:val="ru-RU"/>
              </w:rPr>
              <w:t>-1,01</w:t>
            </w:r>
          </w:p>
        </w:tc>
      </w:tr>
      <w:tr>
        <w:trPr>
          <w:trHeight w:hRule="atLeast" w:val="833"/>
        </w:trPr>
        <w:tc>
          <w:tcPr>
            <w:tcW w:w="2189" w:type="dxa"/>
          </w:tcPr>
          <w:p>
            <w:pPr>
              <w:pStyle w:val="P13"/>
              <w:ind w:right="-1"/>
              <w:jc w:val="both"/>
              <w:rPr>
                <w:sz w:val="24"/>
                <w:szCs w:val="24"/>
                <w:lang w:val="ru-RU"/>
              </w:rPr>
            </w:pPr>
            <w:r>
              <w:rPr>
                <w:rStyle w:val="C39"/>
                <w:sz w:val="24"/>
                <w:szCs w:val="24"/>
              </w:rPr>
              <w:t>Показатели деятельности фирмы</w:t>
            </w:r>
          </w:p>
        </w:tc>
        <w:tc>
          <w:tcPr>
            <w:tcW w:w="1093" w:type="dxa"/>
          </w:tcPr>
          <w:p>
            <w:pPr>
              <w:pStyle w:val="P13"/>
              <w:ind w:right="-1"/>
              <w:jc w:val="center"/>
              <w:rPr>
                <w:sz w:val="24"/>
                <w:szCs w:val="24"/>
                <w:lang w:val="ru-RU"/>
              </w:rPr>
            </w:pPr>
            <w:r>
              <w:rPr>
                <w:sz w:val="24"/>
                <w:szCs w:val="24"/>
                <w:lang w:val="ru-RU"/>
              </w:rPr>
              <w:t>14,83</w:t>
            </w:r>
          </w:p>
        </w:tc>
        <w:tc>
          <w:tcPr>
            <w:tcW w:w="1184" w:type="dxa"/>
          </w:tcPr>
          <w:p>
            <w:pPr>
              <w:pStyle w:val="P13"/>
              <w:ind w:right="-1"/>
              <w:jc w:val="center"/>
              <w:rPr>
                <w:sz w:val="24"/>
                <w:szCs w:val="24"/>
                <w:lang w:val="ru-RU"/>
              </w:rPr>
            </w:pPr>
            <w:r>
              <w:rPr>
                <w:sz w:val="24"/>
                <w:szCs w:val="24"/>
                <w:lang w:val="ru-RU"/>
              </w:rPr>
              <w:t>2,48</w:t>
            </w:r>
          </w:p>
        </w:tc>
        <w:tc>
          <w:tcPr>
            <w:tcW w:w="1095" w:type="dxa"/>
          </w:tcPr>
          <w:p>
            <w:pPr>
              <w:pStyle w:val="P13"/>
              <w:ind w:right="-1"/>
              <w:jc w:val="center"/>
              <w:rPr>
                <w:sz w:val="24"/>
                <w:szCs w:val="24"/>
                <w:lang w:val="ru-RU"/>
              </w:rPr>
            </w:pPr>
            <w:r>
              <w:rPr>
                <w:sz w:val="24"/>
                <w:szCs w:val="24"/>
                <w:lang w:val="ru-RU"/>
              </w:rPr>
              <w:t>15,32</w:t>
            </w:r>
          </w:p>
        </w:tc>
        <w:tc>
          <w:tcPr>
            <w:tcW w:w="1028" w:type="dxa"/>
          </w:tcPr>
          <w:p>
            <w:pPr>
              <w:pStyle w:val="P13"/>
              <w:ind w:right="-1"/>
              <w:jc w:val="center"/>
              <w:rPr>
                <w:sz w:val="24"/>
                <w:szCs w:val="24"/>
                <w:lang w:val="ru-RU"/>
              </w:rPr>
            </w:pPr>
            <w:r>
              <w:rPr>
                <w:sz w:val="24"/>
                <w:szCs w:val="24"/>
                <w:lang w:val="ru-RU"/>
              </w:rPr>
              <w:t>2,89</w:t>
            </w:r>
          </w:p>
        </w:tc>
        <w:tc>
          <w:tcPr>
            <w:tcW w:w="1100" w:type="dxa"/>
          </w:tcPr>
          <w:p>
            <w:pPr>
              <w:pStyle w:val="P13"/>
              <w:ind w:right="-1"/>
              <w:jc w:val="center"/>
              <w:rPr>
                <w:sz w:val="24"/>
                <w:szCs w:val="24"/>
                <w:lang w:val="ru-RU"/>
              </w:rPr>
            </w:pPr>
            <w:r>
              <w:rPr>
                <w:sz w:val="24"/>
                <w:szCs w:val="24"/>
                <w:lang w:val="ru-RU"/>
              </w:rPr>
              <w:t>14,74</w:t>
            </w:r>
          </w:p>
        </w:tc>
        <w:tc>
          <w:tcPr>
            <w:tcW w:w="1015" w:type="dxa"/>
          </w:tcPr>
          <w:p>
            <w:pPr>
              <w:pStyle w:val="P13"/>
              <w:ind w:right="-1"/>
              <w:jc w:val="center"/>
              <w:rPr>
                <w:sz w:val="24"/>
                <w:szCs w:val="24"/>
                <w:lang w:val="ru-RU"/>
              </w:rPr>
            </w:pPr>
            <w:r>
              <w:rPr>
                <w:sz w:val="24"/>
                <w:szCs w:val="24"/>
                <w:lang w:val="ru-RU"/>
              </w:rPr>
              <w:t>2,39</w:t>
            </w:r>
          </w:p>
        </w:tc>
        <w:tc>
          <w:tcPr>
            <w:tcW w:w="1197" w:type="dxa"/>
          </w:tcPr>
          <w:p>
            <w:pPr>
              <w:pStyle w:val="P13"/>
              <w:ind w:right="-1"/>
              <w:jc w:val="center"/>
              <w:rPr>
                <w:sz w:val="24"/>
                <w:szCs w:val="24"/>
                <w:lang w:val="ru-RU"/>
              </w:rPr>
            </w:pPr>
            <w:r>
              <w:rPr>
                <w:sz w:val="24"/>
                <w:szCs w:val="24"/>
                <w:lang w:val="ru-RU"/>
              </w:rPr>
              <w:t>-3,97***</w:t>
            </w:r>
          </w:p>
        </w:tc>
      </w:tr>
      <w:tr>
        <w:trPr>
          <w:trHeight w:hRule="atLeast" w:val="265"/>
        </w:trPr>
        <w:tc>
          <w:tcPr>
            <w:tcW w:w="2189" w:type="dxa"/>
          </w:tcPr>
          <w:p>
            <w:pPr>
              <w:pStyle w:val="P25"/>
              <w:rPr>
                <w:rFonts w:ascii="Times New Roman" w:hAnsi="Times New Roman" w:cs="Times New Roman"/>
                <w:sz w:val="24"/>
                <w:szCs w:val="24"/>
              </w:rPr>
            </w:pPr>
            <w:r>
              <w:rPr>
                <w:rStyle w:val="C39"/>
                <w:rFonts w:ascii="Times New Roman" w:hAnsi="Times New Roman" w:cs="Times New Roman"/>
                <w:sz w:val="24"/>
                <w:szCs w:val="24"/>
              </w:rPr>
              <w:t xml:space="preserve">Образование </w:t>
            </w:r>
          </w:p>
        </w:tc>
        <w:tc>
          <w:tcPr>
            <w:tcW w:w="1093" w:type="dxa"/>
          </w:tcPr>
          <w:p>
            <w:pPr>
              <w:pStyle w:val="P13"/>
              <w:ind w:right="-1"/>
              <w:jc w:val="center"/>
              <w:rPr>
                <w:sz w:val="24"/>
                <w:szCs w:val="24"/>
                <w:lang w:val="ru-RU"/>
              </w:rPr>
            </w:pPr>
            <w:r>
              <w:rPr>
                <w:sz w:val="24"/>
                <w:szCs w:val="24"/>
                <w:lang w:val="ru-RU"/>
              </w:rPr>
              <w:t>0,40</w:t>
            </w:r>
          </w:p>
        </w:tc>
        <w:tc>
          <w:tcPr>
            <w:tcW w:w="1184" w:type="dxa"/>
          </w:tcPr>
          <w:p>
            <w:pPr>
              <w:pStyle w:val="P13"/>
              <w:ind w:right="-1"/>
              <w:jc w:val="center"/>
              <w:rPr>
                <w:sz w:val="24"/>
                <w:szCs w:val="24"/>
                <w:lang w:val="ru-RU"/>
              </w:rPr>
            </w:pPr>
            <w:r>
              <w:rPr>
                <w:sz w:val="24"/>
                <w:szCs w:val="24"/>
                <w:lang w:val="ru-RU"/>
              </w:rPr>
              <w:t>0,49</w:t>
            </w:r>
          </w:p>
        </w:tc>
        <w:tc>
          <w:tcPr>
            <w:tcW w:w="1095" w:type="dxa"/>
          </w:tcPr>
          <w:p>
            <w:pPr>
              <w:pStyle w:val="P13"/>
              <w:ind w:right="-1"/>
              <w:jc w:val="center"/>
              <w:rPr>
                <w:sz w:val="24"/>
                <w:szCs w:val="24"/>
                <w:lang w:val="ru-RU"/>
              </w:rPr>
            </w:pPr>
            <w:r>
              <w:rPr>
                <w:sz w:val="24"/>
                <w:szCs w:val="24"/>
                <w:lang w:val="ru-RU"/>
              </w:rPr>
              <w:t>0,41</w:t>
            </w:r>
          </w:p>
        </w:tc>
        <w:tc>
          <w:tcPr>
            <w:tcW w:w="1028" w:type="dxa"/>
          </w:tcPr>
          <w:p>
            <w:pPr>
              <w:pStyle w:val="P13"/>
              <w:ind w:right="-1"/>
              <w:jc w:val="center"/>
              <w:rPr>
                <w:sz w:val="24"/>
                <w:szCs w:val="24"/>
                <w:lang w:val="ru-RU"/>
              </w:rPr>
            </w:pPr>
            <w:r>
              <w:rPr>
                <w:sz w:val="24"/>
                <w:szCs w:val="24"/>
                <w:lang w:val="ru-RU"/>
              </w:rPr>
              <w:t>0,49</w:t>
            </w:r>
          </w:p>
        </w:tc>
        <w:tc>
          <w:tcPr>
            <w:tcW w:w="1100" w:type="dxa"/>
          </w:tcPr>
          <w:p>
            <w:pPr>
              <w:pStyle w:val="P13"/>
              <w:ind w:right="-1"/>
              <w:jc w:val="center"/>
              <w:rPr>
                <w:sz w:val="24"/>
                <w:szCs w:val="24"/>
                <w:lang w:val="ru-RU"/>
              </w:rPr>
            </w:pPr>
            <w:r>
              <w:rPr>
                <w:sz w:val="24"/>
                <w:szCs w:val="24"/>
                <w:lang w:val="ru-RU"/>
              </w:rPr>
              <w:t>0,40</w:t>
            </w:r>
          </w:p>
        </w:tc>
        <w:tc>
          <w:tcPr>
            <w:tcW w:w="1015" w:type="dxa"/>
          </w:tcPr>
          <w:p>
            <w:pPr>
              <w:pStyle w:val="P13"/>
              <w:ind w:right="-1"/>
              <w:jc w:val="center"/>
              <w:rPr>
                <w:sz w:val="24"/>
                <w:szCs w:val="24"/>
                <w:lang w:val="ru-RU"/>
              </w:rPr>
            </w:pPr>
            <w:r>
              <w:rPr>
                <w:sz w:val="24"/>
                <w:szCs w:val="24"/>
                <w:lang w:val="ru-RU"/>
              </w:rPr>
              <w:t>0,49</w:t>
            </w:r>
          </w:p>
        </w:tc>
        <w:tc>
          <w:tcPr>
            <w:tcW w:w="1197" w:type="dxa"/>
          </w:tcPr>
          <w:p>
            <w:pPr>
              <w:pStyle w:val="P13"/>
              <w:ind w:right="-1"/>
              <w:jc w:val="center"/>
              <w:rPr>
                <w:sz w:val="24"/>
                <w:szCs w:val="24"/>
                <w:lang w:val="ru-RU"/>
              </w:rPr>
            </w:pPr>
            <w:r>
              <w:rPr>
                <w:sz w:val="24"/>
                <w:szCs w:val="24"/>
                <w:lang w:val="ru-RU"/>
              </w:rPr>
              <w:t>-0,66</w:t>
            </w:r>
          </w:p>
        </w:tc>
      </w:tr>
      <w:tr>
        <w:trPr>
          <w:trHeight w:hRule="atLeast" w:val="277"/>
        </w:trPr>
        <w:tc>
          <w:tcPr>
            <w:tcW w:w="2189" w:type="dxa"/>
          </w:tcPr>
          <w:p>
            <w:pPr>
              <w:pStyle w:val="P25"/>
              <w:rPr>
                <w:rFonts w:ascii="Times New Roman" w:hAnsi="Times New Roman" w:cs="Times New Roman"/>
                <w:sz w:val="24"/>
                <w:szCs w:val="24"/>
              </w:rPr>
            </w:pPr>
            <w:r>
              <w:rPr>
                <w:rStyle w:val="C39"/>
                <w:rFonts w:ascii="Times New Roman" w:hAnsi="Times New Roman" w:cs="Times New Roman"/>
                <w:sz w:val="24"/>
                <w:szCs w:val="24"/>
              </w:rPr>
              <w:t>Опыт</w:t>
            </w:r>
          </w:p>
        </w:tc>
        <w:tc>
          <w:tcPr>
            <w:tcW w:w="1093" w:type="dxa"/>
          </w:tcPr>
          <w:p>
            <w:pPr>
              <w:pStyle w:val="P13"/>
              <w:ind w:right="-1"/>
              <w:jc w:val="center"/>
              <w:rPr>
                <w:sz w:val="24"/>
                <w:szCs w:val="24"/>
                <w:lang w:val="ru-RU"/>
              </w:rPr>
            </w:pPr>
            <w:r>
              <w:rPr>
                <w:sz w:val="24"/>
                <w:szCs w:val="24"/>
                <w:lang w:val="ru-RU"/>
              </w:rPr>
              <w:t>11,90</w:t>
            </w:r>
          </w:p>
        </w:tc>
        <w:tc>
          <w:tcPr>
            <w:tcW w:w="1184" w:type="dxa"/>
          </w:tcPr>
          <w:p>
            <w:pPr>
              <w:pStyle w:val="P13"/>
              <w:ind w:right="-1"/>
              <w:jc w:val="center"/>
              <w:rPr>
                <w:sz w:val="24"/>
                <w:szCs w:val="24"/>
                <w:lang w:val="ru-RU"/>
              </w:rPr>
            </w:pPr>
            <w:r>
              <w:rPr>
                <w:sz w:val="24"/>
                <w:szCs w:val="24"/>
                <w:lang w:val="ru-RU"/>
              </w:rPr>
              <w:t>9,32</w:t>
            </w:r>
          </w:p>
        </w:tc>
        <w:tc>
          <w:tcPr>
            <w:tcW w:w="1095" w:type="dxa"/>
          </w:tcPr>
          <w:p>
            <w:pPr>
              <w:pStyle w:val="P13"/>
              <w:ind w:right="-1"/>
              <w:jc w:val="center"/>
              <w:rPr>
                <w:sz w:val="24"/>
                <w:szCs w:val="24"/>
                <w:lang w:val="ru-RU"/>
              </w:rPr>
            </w:pPr>
            <w:r>
              <w:rPr>
                <w:sz w:val="24"/>
                <w:szCs w:val="24"/>
                <w:lang w:val="ru-RU"/>
              </w:rPr>
              <w:t>11,50</w:t>
            </w:r>
          </w:p>
        </w:tc>
        <w:tc>
          <w:tcPr>
            <w:tcW w:w="1028" w:type="dxa"/>
          </w:tcPr>
          <w:p>
            <w:pPr>
              <w:pStyle w:val="P13"/>
              <w:ind w:right="-1"/>
              <w:jc w:val="center"/>
              <w:rPr>
                <w:sz w:val="24"/>
                <w:szCs w:val="24"/>
                <w:lang w:val="ru-RU"/>
              </w:rPr>
            </w:pPr>
            <w:r>
              <w:rPr>
                <w:sz w:val="24"/>
                <w:szCs w:val="24"/>
                <w:lang w:val="ru-RU"/>
              </w:rPr>
              <w:t>11,00</w:t>
            </w:r>
          </w:p>
        </w:tc>
        <w:tc>
          <w:tcPr>
            <w:tcW w:w="1100" w:type="dxa"/>
          </w:tcPr>
          <w:p>
            <w:pPr>
              <w:pStyle w:val="P13"/>
              <w:ind w:right="-1"/>
              <w:jc w:val="center"/>
              <w:rPr>
                <w:sz w:val="24"/>
                <w:szCs w:val="24"/>
                <w:lang w:val="ru-RU"/>
              </w:rPr>
            </w:pPr>
            <w:r>
              <w:rPr>
                <w:sz w:val="24"/>
                <w:szCs w:val="24"/>
                <w:lang w:val="ru-RU"/>
              </w:rPr>
              <w:t>11,99</w:t>
            </w:r>
          </w:p>
        </w:tc>
        <w:tc>
          <w:tcPr>
            <w:tcW w:w="1015" w:type="dxa"/>
          </w:tcPr>
          <w:p>
            <w:pPr>
              <w:pStyle w:val="P13"/>
              <w:ind w:right="-1"/>
              <w:jc w:val="center"/>
              <w:rPr>
                <w:sz w:val="24"/>
                <w:szCs w:val="24"/>
                <w:lang w:val="ru-RU"/>
              </w:rPr>
            </w:pPr>
            <w:r>
              <w:rPr>
                <w:sz w:val="24"/>
                <w:szCs w:val="24"/>
                <w:lang w:val="ru-RU"/>
              </w:rPr>
              <w:t>8,85</w:t>
            </w:r>
          </w:p>
        </w:tc>
        <w:tc>
          <w:tcPr>
            <w:tcW w:w="1197" w:type="dxa"/>
          </w:tcPr>
          <w:p>
            <w:pPr>
              <w:pStyle w:val="P13"/>
              <w:ind w:right="-1"/>
              <w:jc w:val="center"/>
              <w:rPr>
                <w:sz w:val="24"/>
                <w:szCs w:val="24"/>
                <w:lang w:val="ru-RU"/>
              </w:rPr>
            </w:pPr>
            <w:r>
              <w:rPr>
                <w:sz w:val="24"/>
                <w:szCs w:val="24"/>
                <w:lang w:val="ru-RU"/>
              </w:rPr>
              <w:t>1,08</w:t>
            </w:r>
          </w:p>
        </w:tc>
      </w:tr>
      <w:tr>
        <w:trPr>
          <w:trHeight w:hRule="atLeast" w:val="277"/>
        </w:trPr>
        <w:tc>
          <w:tcPr>
            <w:tcW w:w="2189" w:type="dxa"/>
          </w:tcPr>
          <w:p>
            <w:pPr>
              <w:pStyle w:val="P13"/>
              <w:ind w:right="-126"/>
              <w:jc w:val="both"/>
              <w:rPr>
                <w:sz w:val="24"/>
                <w:szCs w:val="24"/>
                <w:lang w:val="ru-RU"/>
              </w:rPr>
            </w:pPr>
            <w:r>
              <w:rPr>
                <w:rStyle w:val="C39"/>
                <w:sz w:val="24"/>
                <w:szCs w:val="24"/>
              </w:rPr>
              <w:t>Экспорт</w:t>
            </w:r>
            <w:r>
              <w:rPr>
                <w:rStyle w:val="C39"/>
                <w:sz w:val="24"/>
                <w:szCs w:val="24"/>
                <w:lang w:val="ru-RU"/>
              </w:rPr>
              <w:t xml:space="preserve"> </w:t>
            </w:r>
            <w:r>
              <w:rPr>
                <w:rStyle w:val="C39"/>
                <w:sz w:val="24"/>
                <w:szCs w:val="24"/>
              </w:rPr>
              <w:t>компаний</w:t>
            </w:r>
          </w:p>
        </w:tc>
        <w:tc>
          <w:tcPr>
            <w:tcW w:w="1093" w:type="dxa"/>
          </w:tcPr>
          <w:p>
            <w:pPr>
              <w:pStyle w:val="P13"/>
              <w:ind w:right="-1"/>
              <w:jc w:val="center"/>
              <w:rPr>
                <w:sz w:val="24"/>
                <w:szCs w:val="24"/>
                <w:lang w:val="ru-RU"/>
              </w:rPr>
            </w:pPr>
            <w:r>
              <w:rPr>
                <w:sz w:val="24"/>
                <w:szCs w:val="24"/>
                <w:lang w:val="ru-RU"/>
              </w:rPr>
              <w:t>15,50</w:t>
            </w:r>
          </w:p>
        </w:tc>
        <w:tc>
          <w:tcPr>
            <w:tcW w:w="1184" w:type="dxa"/>
          </w:tcPr>
          <w:p>
            <w:pPr>
              <w:pStyle w:val="P13"/>
              <w:ind w:right="-1"/>
              <w:jc w:val="center"/>
              <w:rPr>
                <w:sz w:val="24"/>
                <w:szCs w:val="24"/>
                <w:lang w:val="ru-RU"/>
              </w:rPr>
            </w:pPr>
            <w:r>
              <w:rPr>
                <w:sz w:val="24"/>
                <w:szCs w:val="24"/>
                <w:lang w:val="ru-RU"/>
              </w:rPr>
              <w:t>29,71</w:t>
            </w:r>
          </w:p>
        </w:tc>
        <w:tc>
          <w:tcPr>
            <w:tcW w:w="1095" w:type="dxa"/>
          </w:tcPr>
          <w:p>
            <w:pPr>
              <w:pStyle w:val="P13"/>
              <w:ind w:right="-1"/>
              <w:jc w:val="center"/>
              <w:rPr>
                <w:sz w:val="24"/>
                <w:szCs w:val="24"/>
                <w:lang w:val="ru-RU"/>
              </w:rPr>
            </w:pPr>
            <w:r>
              <w:rPr>
                <w:sz w:val="24"/>
                <w:szCs w:val="24"/>
                <w:lang w:val="ru-RU"/>
              </w:rPr>
              <w:t>18,56</w:t>
            </w:r>
          </w:p>
        </w:tc>
        <w:tc>
          <w:tcPr>
            <w:tcW w:w="1028" w:type="dxa"/>
          </w:tcPr>
          <w:p>
            <w:pPr>
              <w:pStyle w:val="P13"/>
              <w:ind w:right="-1"/>
              <w:jc w:val="center"/>
              <w:rPr>
                <w:sz w:val="24"/>
                <w:szCs w:val="24"/>
                <w:lang w:val="ru-RU"/>
              </w:rPr>
            </w:pPr>
            <w:r>
              <w:rPr>
                <w:sz w:val="24"/>
                <w:szCs w:val="24"/>
                <w:lang w:val="ru-RU"/>
              </w:rPr>
              <w:t>30,70</w:t>
            </w:r>
          </w:p>
        </w:tc>
        <w:tc>
          <w:tcPr>
            <w:tcW w:w="1100" w:type="dxa"/>
          </w:tcPr>
          <w:p>
            <w:pPr>
              <w:pStyle w:val="P13"/>
              <w:ind w:right="-1"/>
              <w:jc w:val="center"/>
              <w:rPr>
                <w:sz w:val="24"/>
                <w:szCs w:val="24"/>
                <w:lang w:val="ru-RU"/>
              </w:rPr>
            </w:pPr>
            <w:r>
              <w:rPr>
                <w:sz w:val="24"/>
                <w:szCs w:val="24"/>
                <w:lang w:val="ru-RU"/>
              </w:rPr>
              <w:t>15,00</w:t>
            </w:r>
          </w:p>
        </w:tc>
        <w:tc>
          <w:tcPr>
            <w:tcW w:w="1015" w:type="dxa"/>
          </w:tcPr>
          <w:p>
            <w:pPr>
              <w:pStyle w:val="P13"/>
              <w:ind w:right="-1"/>
              <w:jc w:val="center"/>
              <w:rPr>
                <w:sz w:val="24"/>
                <w:szCs w:val="24"/>
                <w:lang w:val="ru-RU"/>
              </w:rPr>
            </w:pPr>
            <w:r>
              <w:rPr>
                <w:sz w:val="24"/>
                <w:szCs w:val="24"/>
                <w:lang w:val="ru-RU"/>
              </w:rPr>
              <w:t>29,53</w:t>
            </w:r>
          </w:p>
        </w:tc>
        <w:tc>
          <w:tcPr>
            <w:tcW w:w="1197" w:type="dxa"/>
          </w:tcPr>
          <w:p>
            <w:pPr>
              <w:pStyle w:val="P13"/>
              <w:ind w:right="-1"/>
              <w:jc w:val="center"/>
              <w:rPr>
                <w:sz w:val="24"/>
                <w:szCs w:val="24"/>
                <w:lang w:val="ru-RU"/>
              </w:rPr>
            </w:pPr>
            <w:r>
              <w:rPr>
                <w:sz w:val="24"/>
                <w:szCs w:val="24"/>
                <w:lang w:val="ru-RU"/>
              </w:rPr>
              <w:t>-1,98**</w:t>
            </w:r>
          </w:p>
        </w:tc>
      </w:tr>
    </w:tbl>
    <w:p>
      <w:pPr>
        <w:pStyle w:val="P13"/>
        <w:ind w:right="-1"/>
        <w:jc w:val="both"/>
        <w:rPr>
          <w:sz w:val="24"/>
          <w:szCs w:val="24"/>
          <w:lang w:val="ru-RU"/>
        </w:rPr>
      </w:pPr>
      <w:r>
        <w:rPr>
          <w:sz w:val="24"/>
          <w:szCs w:val="24"/>
          <w:lang w:val="ru-RU"/>
        </w:rPr>
        <w:t>Примечание: Индексы *, ** и *** означают уровень значимости на уровне 0,1; 0,05 и 0,01 соответственно</w:t>
      </w:r>
    </w:p>
    <w:p>
      <w:pPr>
        <w:pStyle w:val="P13"/>
        <w:spacing w:lineRule="auto" w:line="360" w:beforeAutospacing="0" w:afterAutospacing="0"/>
        <w:ind w:firstLine="709" w:right="-1"/>
        <w:jc w:val="both"/>
        <w:rPr>
          <w:sz w:val="28"/>
          <w:szCs w:val="28"/>
          <w:lang w:val="ru-RU"/>
        </w:rPr>
      </w:pPr>
    </w:p>
    <w:p>
      <w:pPr>
        <w:pStyle w:val="P13"/>
        <w:spacing w:lineRule="auto" w:line="360" w:beforeAutospacing="0" w:afterAutospacing="0"/>
        <w:ind w:firstLine="709"/>
        <w:jc w:val="both"/>
        <w:rPr>
          <w:sz w:val="28"/>
          <w:szCs w:val="28"/>
          <w:lang w:val="ru-RU"/>
        </w:rPr>
      </w:pPr>
      <w:r>
        <w:rPr>
          <w:sz w:val="28"/>
          <w:szCs w:val="28"/>
          <w:lang w:val="ru-RU"/>
        </w:rPr>
        <w:t xml:space="preserve">Текущие расходы и производительность фирм в этих двух группах также существенно различаются. Уровень инновационной активности был незначительный для фирм в обеих группах, так как фирмы в экспериментальной группе получили инновационный балл 3,14 (из 8,00), а в контрольной группе – 3,24. Капитальные затраты фирм обеих групп также схожи. Как следствие существенных отличий по </w:t>
      </w:r>
      <w:r>
        <w:rPr>
          <w:sz w:val="28"/>
          <w:szCs w:val="28"/>
        </w:rPr>
        <w:t>t</w:t>
      </w:r>
      <w:r>
        <w:rPr>
          <w:sz w:val="28"/>
          <w:szCs w:val="28"/>
          <w:lang w:val="ru-RU"/>
        </w:rPr>
        <w:t>-статистикам для данных переменных не выявлено.</w:t>
      </w:r>
    </w:p>
    <w:p>
      <w:pPr>
        <w:pStyle w:val="P13"/>
        <w:spacing w:lineRule="auto" w:line="360" w:beforeAutospacing="0" w:afterAutospacing="0"/>
        <w:ind w:firstLine="709" w:right="-1"/>
        <w:jc w:val="both"/>
        <w:rPr>
          <w:sz w:val="28"/>
          <w:szCs w:val="28"/>
          <w:lang w:val="ru-RU"/>
        </w:rPr>
      </w:pPr>
      <w:r>
        <w:rPr>
          <w:sz w:val="28"/>
          <w:szCs w:val="28"/>
          <w:lang w:val="ru-RU"/>
        </w:rPr>
        <w:t>Принимая во внимание характеристики руководства фирм, существенной разницы по критерию высшее образование не наблюдалось. Около 40 % фирм имеют менеджеров высшего звена с высшим образованием в зависимости от того, относится ли фирма к исследуемой или контрольной группе. В среднем топ-менеджеры фирм (по двум группам) имели около 12 лет опыта работы в одной отрасли. Фирмы в контрольной группе имеют около 19 % экспорта в структуре совокупного объема продаж. У тех, кто находится в исследуемой группе, данный показатель находится на уровне около 15 %. Эти различия между двумя группами статистически значимы на уровне 5%.</w:t>
      </w:r>
    </w:p>
    <w:p>
      <w:pPr>
        <w:pStyle w:val="P13"/>
        <w:spacing w:lineRule="auto" w:line="360" w:beforeAutospacing="0" w:afterAutospacing="0"/>
        <w:ind w:firstLine="709" w:right="-1"/>
        <w:jc w:val="both"/>
        <w:rPr>
          <w:sz w:val="28"/>
          <w:szCs w:val="28"/>
          <w:lang w:val="ru-RU"/>
        </w:rPr>
      </w:pPr>
      <w:r>
        <w:rPr>
          <w:sz w:val="28"/>
          <w:szCs w:val="28"/>
          <w:lang w:val="ru-RU"/>
        </w:rPr>
        <w:t>Как указывалось ранее, это исследование представляет собой основанную на эмпирических данных модель, которая позволяет оценить, как доступ к финансовым услугам может привести к стимулированию фирм участвовать в ВЭД в роли экспортера. Проведенное Всемирным банком исследование позволило собрать данные по фирмам, которые пользуются официальными финансовыми услугами банков (овердрафт, кредит или ссуда, и финансирование текущих расходов) и тех, кто не пользуется такими услугами. По результатам опроса мы разделяем фирмы на две группы. В первую включены фирмы, которые пользуется услугами официальных финансовых служб (экспериментальная группа). Во вторую контрольную группу были включены фирмы, которые не пользуются такими услугами. Важно отметить, что группа фирм, опрошенных командой Всемирного банка, ранее была отобрана случайным образом в разных округах и регионах Республики Кот-д’Ивуар.</w:t>
      </w:r>
    </w:p>
    <w:p>
      <w:pPr>
        <w:pStyle w:val="P13"/>
        <w:spacing w:lineRule="auto" w:line="360" w:beforeAutospacing="0" w:afterAutospacing="0"/>
        <w:ind w:firstLine="709" w:right="-1"/>
        <w:jc w:val="both"/>
        <w:rPr>
          <w:sz w:val="28"/>
          <w:szCs w:val="28"/>
          <w:lang w:val="ru-RU"/>
        </w:rPr>
      </w:pPr>
      <w:r>
        <w:rPr>
          <w:sz w:val="28"/>
          <w:szCs w:val="28"/>
          <w:lang w:val="ru-RU"/>
        </w:rPr>
        <w:t>Такое деление на основе метода сопоставления подходит для исключения влияния фактора использования услуг официальных финансовых учреждений. При этом использование данного метода требует выполнения следующих ограничений:</w:t>
      </w:r>
    </w:p>
    <w:p>
      <w:pPr>
        <w:pStyle w:val="P13"/>
        <w:numPr>
          <w:ilvl w:val="0"/>
          <w:numId w:val="5"/>
        </w:numPr>
        <w:tabs>
          <w:tab w:val="left" w:pos="993" w:leader="none"/>
        </w:tabs>
        <w:spacing w:lineRule="auto" w:line="360" w:beforeAutospacing="0" w:afterAutospacing="0"/>
        <w:ind w:firstLine="709" w:left="0" w:right="-1"/>
        <w:jc w:val="both"/>
        <w:rPr>
          <w:sz w:val="28"/>
          <w:szCs w:val="28"/>
          <w:lang w:val="ru-RU"/>
        </w:rPr>
      </w:pPr>
      <w:r>
        <w:rPr>
          <w:sz w:val="28"/>
          <w:szCs w:val="28"/>
          <w:lang w:val="ru-RU"/>
        </w:rPr>
        <w:t xml:space="preserve">данные как для </w:t>
      </w:r>
      <w:bookmarkStart w:id="29" w:name="_Hlk137148724"/>
      <w:r>
        <w:rPr>
          <w:sz w:val="28"/>
          <w:szCs w:val="28"/>
          <w:lang w:val="ru-RU"/>
        </w:rPr>
        <w:t>экспериментальной</w:t>
      </w:r>
      <w:bookmarkEnd w:id="29"/>
      <w:r>
        <w:rPr>
          <w:sz w:val="28"/>
          <w:szCs w:val="28"/>
          <w:lang w:val="ru-RU"/>
        </w:rPr>
        <w:t xml:space="preserve">, так и для контрольной групп должны быть собраны с использованием аналогичных инструментов; </w:t>
      </w:r>
    </w:p>
    <w:p>
      <w:pPr>
        <w:pStyle w:val="P13"/>
        <w:numPr>
          <w:ilvl w:val="0"/>
          <w:numId w:val="5"/>
        </w:numPr>
        <w:tabs>
          <w:tab w:val="left" w:pos="993" w:leader="none"/>
        </w:tabs>
        <w:spacing w:lineRule="auto" w:line="360" w:beforeAutospacing="0" w:afterAutospacing="0"/>
        <w:ind w:firstLine="709" w:left="0" w:right="-1"/>
        <w:jc w:val="both"/>
        <w:rPr>
          <w:sz w:val="28"/>
          <w:szCs w:val="28"/>
          <w:lang w:val="ru-RU"/>
        </w:rPr>
      </w:pPr>
      <w:r>
        <w:rPr>
          <w:sz w:val="28"/>
          <w:szCs w:val="28"/>
          <w:lang w:val="ru-RU"/>
        </w:rPr>
        <w:t xml:space="preserve">обе группы должны иметь сходные характеристики, чтобы можно было ожидать одинаковых результатов от двух групп без экзогенного вмешательства; </w:t>
      </w:r>
    </w:p>
    <w:p>
      <w:pPr>
        <w:pStyle w:val="P13"/>
        <w:numPr>
          <w:ilvl w:val="0"/>
          <w:numId w:val="5"/>
        </w:numPr>
        <w:tabs>
          <w:tab w:val="left" w:pos="993" w:leader="none"/>
        </w:tabs>
        <w:spacing w:lineRule="auto" w:line="360" w:beforeAutospacing="0" w:afterAutospacing="0"/>
        <w:ind w:firstLine="709" w:left="0" w:right="-1"/>
        <w:jc w:val="both"/>
        <w:rPr>
          <w:sz w:val="28"/>
          <w:szCs w:val="28"/>
          <w:lang w:val="ru-RU"/>
        </w:rPr>
      </w:pPr>
      <w:r>
        <w:rPr>
          <w:sz w:val="28"/>
          <w:szCs w:val="28"/>
          <w:lang w:val="ru-RU"/>
        </w:rPr>
        <w:t xml:space="preserve">функция оценки склонности должна включать аналогичные независимые переменные для обеих групп </w:t>
      </w:r>
      <w:r>
        <w:rPr>
          <w:sz w:val="28"/>
          <w:szCs w:val="28"/>
          <w:highlight w:val="yellow"/>
          <w:lang w:val="ru-RU"/>
        </w:rPr>
        <w:t>[1].</w:t>
      </w:r>
    </w:p>
    <w:p>
      <w:pPr>
        <w:pStyle w:val="P13"/>
        <w:spacing w:lineRule="auto" w:line="360" w:beforeAutospacing="0" w:afterAutospacing="0"/>
        <w:ind w:firstLine="709" w:right="-1"/>
        <w:jc w:val="both"/>
        <w:rPr>
          <w:sz w:val="28"/>
          <w:szCs w:val="28"/>
          <w:lang w:val="ru-RU"/>
        </w:rPr>
      </w:pPr>
      <w:bookmarkStart w:id="30" w:name="_Hlk137748632"/>
      <w:r>
        <w:rPr>
          <w:sz w:val="28"/>
          <w:szCs w:val="28"/>
          <w:lang w:val="ru-RU"/>
        </w:rPr>
        <w:t xml:space="preserve"> Данные предварительные условия выполняются, что подтверждается выполненными дополнительными проверками для обоснования нашего утверждения. Таким образом, приписывание влияния использования формальных финансовых услуг фирм можно рассматривать как изменение интересующего результата. Это предполагает, что интересующий результат измеряется как разница в результатах </w:t>
      </w:r>
      <w:r>
        <w:rPr>
          <w:noProof w:val="1"/>
          <w:sz w:val="28"/>
          <w:szCs w:val="28"/>
          <w:lang w:val="ru-RU" w:eastAsia="ru-RU"/>
        </w:rPr>
        <mc:AlternateContent>
          <mc:Choice Requires="wps">
            <w:drawing>
              <wp:anchor xmlns:wp="http://schemas.openxmlformats.org/drawingml/2006/wordprocessingDrawing" distT="0" distB="0" distL="114300" distR="114300" simplePos="0" relativeHeight="12" behindDoc="1" locked="0" layoutInCell="1" allowOverlap="1">
                <wp:simplePos x="0" y="0"/>
                <wp:positionH relativeFrom="page">
                  <wp:posOffset>3653155</wp:posOffset>
                </wp:positionH>
                <wp:positionV relativeFrom="paragraph">
                  <wp:posOffset>178435</wp:posOffset>
                </wp:positionV>
                <wp:extent cx="99060" cy="222250"/>
                <wp:effectExtent l="0" t="0" r="635" b="0"/>
                <wp:wrapNone/>
                <wp:docPr id="597" name="Надпись 597"/>
                <wp:cNvGraphicFramePr/>
                <a:graphic xmlns:a="http://schemas.openxmlformats.org/drawingml/2006/main">
                  <a:graphicData uri="http://schemas.microsoft.com/office/word/2010/wordprocessingShape">
                    <wps:wsp>
                      <wps:cNvSpPr txBox="1">
                        <a:spLocks noChangeArrowheads="1"/>
                      </wps:cNvSpPr>
                      <wps:spPr bwMode="auto">
                        <a:xfrm>
                          <a:off x="0" y="0"/>
                          <a:ext cx="99060" cy="222250"/>
                        </a:xfrm>
                        <a:prstGeom prst="rect"/>
                        <a:noFill/>
                        <a:ln>
                          <a:noFill/>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pStyle w:val="P13"/>
                              <w:spacing w:lineRule="exact" w:line="247" w:beforeAutospacing="0" w:afterAutospacing="0"/>
                              <w:rPr>
                                <w:rFonts w:ascii="Lucida Sans Unicode" w:hAnsi="Lucida Sans Unicode"/>
                              </w:rPr>
                            </w:pPr>
                            <w:r>
                              <w:rPr>
                                <w:rFonts w:ascii="Lucida Sans Unicode" w:hAnsi="Lucida Sans Unicode"/>
                                <w:color w:val="2B2A29"/>
                                <w:w w:val="98"/>
                              </w:rPr>
                              <w:t>"="</w:t>
                            </w:r>
                          </w:p>
                        </w:txbxContent>
                      </wps:txbx>
                      <wps:bodyPr rot="0" vert="horz" wrap="square" lIns="0" tIns="0" rIns="0" bIns="0" anchor="t" anchorCtr="0" upright="1">
                        <a:noAutofit/>
                      </wps:bodyPr>
                    </wps:wsp>
                  </a:graphicData>
                </a:graphic>
              </wp:anchor>
            </w:drawing>
          </mc:Choice>
          <mc:Fallback>
            <w:pict>
              <v:shape xmlns:o="urn:schemas-microsoft-com:office:office" type="#_x0000_t202" id="Надпись 597" o:spid="_x0000_s1251" style="position:absolute;width:7.8pt;height:17.5pt;z-index:-32766;mso-wrap-distance-left:9pt;mso-wrap-distance-top:0pt;mso-wrap-distance-right:9pt;mso-wrap-distance-bottom:0pt;margin-left:287.65pt;margin-top:14.05pt;mso-position-horizontal:absolute;mso-position-horizontal-relative:page;mso-position-vertical:absolute;mso-position-vertical-relative:text" o:allowincell="t" filled="f" stroked="f">
                <v:textbox inset="0mm,0mm,0mm,0mm">
                  <w:txbxContent>
                    <w:p>
                      <w:pPr>
                        <w:pStyle w:val="P13"/>
                        <w:spacing w:lineRule="exact" w:line="247" w:beforeAutospacing="0" w:afterAutospacing="0"/>
                        <w:rPr>
                          <w:rFonts w:ascii="Lucida Sans Unicode" w:hAnsi="Lucida Sans Unicode"/>
                        </w:rPr>
                      </w:pPr>
                      <w:r>
                        <w:rPr>
                          <w:rFonts w:ascii="Lucida Sans Unicode" w:hAnsi="Lucida Sans Unicode"/>
                          <w:color w:val="2B2A29"/>
                          <w:w w:val="98"/>
                        </w:rPr>
                        <w:t>"="</w:t>
                      </w:r>
                    </w:p>
                  </w:txbxContent>
                </v:textbox>
              </v:shape>
            </w:pict>
          </mc:Fallback>
        </mc:AlternateContent>
      </w:r>
      <w:r>
        <w:rPr>
          <w:sz w:val="28"/>
          <w:szCs w:val="28"/>
          <w:lang w:val="ru-RU"/>
        </w:rPr>
        <w:t>фирмы-бенефициары с точки зрения участия на внешнем рынке (</w:t>
      </w:r>
      <w:r>
        <w:rPr>
          <w:i w:val="1"/>
          <w:sz w:val="28"/>
          <w:szCs w:val="28"/>
        </w:rPr>
        <w:t>T</w:t>
      </w:r>
      <w:r>
        <w:rPr>
          <w:i w:val="1"/>
          <w:sz w:val="28"/>
          <w:szCs w:val="28"/>
          <w:vertAlign w:val="subscript"/>
        </w:rPr>
        <w:t>i</w:t>
      </w:r>
      <w:r>
        <w:rPr>
          <w:i w:val="1"/>
          <w:sz w:val="28"/>
          <w:szCs w:val="28"/>
          <w:lang w:val="ru-RU"/>
        </w:rPr>
        <w:t>=1</w:t>
      </w:r>
      <w:r>
        <w:rPr>
          <w:sz w:val="28"/>
          <w:szCs w:val="28"/>
          <w:lang w:val="ru-RU"/>
        </w:rPr>
        <w:t>) и той же фирмы, если предположить, что они не являются бенефициарами (</w:t>
      </w:r>
      <w:r>
        <w:rPr>
          <w:i w:val="1"/>
          <w:sz w:val="28"/>
          <w:szCs w:val="28"/>
        </w:rPr>
        <w:t>T</w:t>
      </w:r>
      <w:r>
        <w:rPr>
          <w:i w:val="1"/>
          <w:sz w:val="28"/>
          <w:szCs w:val="28"/>
          <w:vertAlign w:val="subscript"/>
        </w:rPr>
        <w:t>i</w:t>
      </w:r>
      <w:r>
        <w:rPr>
          <w:i w:val="1"/>
          <w:sz w:val="28"/>
          <w:szCs w:val="28"/>
          <w:lang w:val="ru-RU"/>
        </w:rPr>
        <w:t xml:space="preserve"> = 0</w:t>
      </w:r>
      <w:r>
        <w:rPr>
          <w:sz w:val="28"/>
          <w:szCs w:val="28"/>
          <w:lang w:val="ru-RU"/>
        </w:rPr>
        <w:t>), т.е. не занимаются экспортной деятельностью (</w:t>
      </w:r>
      <w:r>
        <w:rPr>
          <w:i w:val="1"/>
          <w:sz w:val="28"/>
          <w:szCs w:val="28"/>
        </w:rPr>
        <w:t>T</w:t>
      </w:r>
      <w:r>
        <w:rPr>
          <w:sz w:val="28"/>
          <w:szCs w:val="28"/>
          <w:lang w:val="ru-RU"/>
        </w:rPr>
        <w:t>).</w:t>
      </w:r>
    </w:p>
    <w:p>
      <w:pPr>
        <w:pStyle w:val="P13"/>
        <w:spacing w:lineRule="auto" w:line="360" w:beforeAutospacing="0" w:afterAutospacing="0"/>
        <w:ind w:firstLine="709" w:right="-1"/>
        <w:jc w:val="both"/>
        <w:rPr>
          <w:sz w:val="28"/>
          <w:szCs w:val="28"/>
          <w:lang w:val="ru-RU"/>
        </w:rPr>
      </w:pPr>
      <w:r>
        <w:rPr>
          <w:sz w:val="28"/>
          <w:szCs w:val="28"/>
          <w:lang w:val="ru-RU"/>
        </w:rPr>
        <w:t xml:space="preserve">Математически изменение интересующего результата, можно представить следующим образом: </w:t>
      </w:r>
    </w:p>
    <w:p>
      <w:pPr>
        <w:pStyle w:val="P13"/>
        <w:spacing w:lineRule="auto" w:line="360" w:beforeAutospacing="0" w:afterAutospacing="0"/>
        <w:ind w:firstLine="709" w:right="-1"/>
        <w:jc w:val="both"/>
        <w:rPr>
          <w:sz w:val="28"/>
          <w:szCs w:val="28"/>
          <w:lang w:val="ru-RU"/>
        </w:rPr>
      </w:pPr>
    </w:p>
    <w:p>
      <w:pPr>
        <w:tabs>
          <w:tab w:val="left" w:pos="5757" w:leader="none"/>
        </w:tabs>
        <w:spacing w:lineRule="auto" w:line="360" w:after="0" w:beforeAutospacing="0" w:afterAutospacing="0"/>
        <w:ind w:firstLine="3544" w:right="-1"/>
        <w:rPr>
          <w:rFonts w:ascii="Times New Roman" w:hAnsi="Times New Roman" w:cs="Times New Roman"/>
          <w:iCs w:val="1"/>
          <w:sz w:val="28"/>
          <w:szCs w:val="28"/>
        </w:rPr>
      </w:pPr>
      <w:r>
        <w:rPr>
          <w:rFonts w:ascii="Times New Roman" w:hAnsi="Times New Roman" w:cs="Times New Roman"/>
          <w:i w:val="1"/>
          <w:sz w:val="28"/>
          <w:szCs w:val="28"/>
        </w:rPr>
        <w:t>Δ</w:t>
      </w:r>
      <w:r>
        <w:rPr>
          <w:rFonts w:ascii="Times New Roman" w:hAnsi="Times New Roman" w:cs="Times New Roman"/>
          <w:i w:val="1"/>
          <w:sz w:val="28"/>
          <w:szCs w:val="28"/>
          <w:lang w:val="en-US"/>
        </w:rPr>
        <w:t>Y</w:t>
      </w:r>
      <w:r>
        <w:rPr>
          <w:rFonts w:ascii="Times New Roman" w:hAnsi="Times New Roman" w:cs="Times New Roman"/>
          <w:i w:val="1"/>
          <w:sz w:val="28"/>
          <w:szCs w:val="28"/>
        </w:rPr>
        <w:t xml:space="preserve"> = </w:t>
      </w:r>
      <m:oMathPara xmlns:m="http://schemas.openxmlformats.org/officeDocument/2006/math">
        <m:oMath>
          <m:sSubSup>
            <m:sSubSupPr>
              <m:ctrlPr>
                <w:rPr>
                  <w:rFonts w:ascii="Cambria Math" w:hAnsi="Cambria Math" w:cs="Times New Roman" w:eastAsia="Times New Roman"/>
                  <w:i w:val="1"/>
                  <w:sz w:val="28"/>
                  <w:szCs w:val="28"/>
                </w:rPr>
              </m:ctrlPr>
            </m:sSubSupPr>
            <m:e>
              <m:argPr>
                <m:argSz m:val="0"/>
              </m:argPr>
              <m:r>
                <m:rPr>
                  <m:scr m:val="roman"/>
                  <m:sty m:val="i"/>
                </m:rPr>
                <m:t>Y</m:t>
              </m:r>
            </m:e>
            <m:sub>
              <m:argPr>
                <m:argSz m:val="0"/>
              </m:argPr>
              <m:r>
                <m:rPr>
                  <m:scr m:val="roman"/>
                  <m:sty m:val="i"/>
                </m:rPr>
                <m:t>i</m:t>
              </m:r>
            </m:sub>
            <m:sup>
              <m:argPr>
                <m:argSz m:val="0"/>
              </m:argPr>
              <m:sSub>
                <m:sSubPr>
                  <m:ctrlPr>
                    <w:rPr>
                      <w:rFonts w:ascii="Cambria Math" w:hAnsi="Cambria Math" w:cs="Times New Roman" w:eastAsia="Times New Roman"/>
                      <w:i w:val="1"/>
                      <w:sz w:val="28"/>
                      <w:szCs w:val="28"/>
                    </w:rPr>
                  </m:ctrlPr>
                </m:sSubPr>
                <m:e>
                  <m:argPr>
                    <m:argSz m:val="0"/>
                  </m:argPr>
                  <m:r>
                    <m:rPr>
                      <m:scr m:val="roman"/>
                      <m:sty m:val="i"/>
                    </m:rPr>
                    <m:t>T</m:t>
                  </m:r>
                </m:e>
                <m:sub>
                  <m:argPr>
                    <m:argSz m:val="0"/>
                  </m:argPr>
                  <m:r>
                    <m:rPr>
                      <m:scr m:val="roman"/>
                      <m:sty m:val="i"/>
                    </m:rPr>
                    <m:t>1</m:t>
                  </m:r>
                </m:sub>
              </m:sSub>
            </m:sup>
          </m:sSubSup>
        </m:oMath>
      </m:oMathPara>
      <w:r>
        <w:rPr>
          <w:rFonts w:ascii="Times New Roman" w:hAnsi="Times New Roman" w:cs="Times New Roman" w:eastAsiaTheme="minorEastAsia"/>
          <w:i w:val="1"/>
          <w:sz w:val="28"/>
          <w:szCs w:val="28"/>
        </w:rPr>
        <w:t xml:space="preserve">– </w:t>
      </w:r>
      <m:oMathPara xmlns:m="http://schemas.openxmlformats.org/officeDocument/2006/math">
        <m:oMath>
          <m:sSubSup>
            <m:sSubSupPr>
              <m:ctrlPr>
                <w:rPr>
                  <w:rFonts w:ascii="Cambria Math" w:hAnsi="Cambria Math" w:cs="Times New Roman" w:eastAsia="Times New Roman"/>
                  <w:i w:val="1"/>
                  <w:sz w:val="28"/>
                  <w:szCs w:val="28"/>
                </w:rPr>
              </m:ctrlPr>
            </m:sSubSupPr>
            <m:e>
              <m:argPr>
                <m:argSz m:val="0"/>
              </m:argPr>
              <m:r>
                <m:rPr>
                  <m:scr m:val="roman"/>
                  <m:sty m:val="i"/>
                </m:rPr>
                <m:t>Y</m:t>
              </m:r>
            </m:e>
            <m:sub>
              <m:argPr>
                <m:argSz m:val="0"/>
              </m:argPr>
              <m:r>
                <m:rPr>
                  <m:scr m:val="roman"/>
                  <m:sty m:val="i"/>
                </m:rPr>
                <m:t>i</m:t>
              </m:r>
            </m:sub>
            <m:sup>
              <m:argPr>
                <m:argSz m:val="0"/>
              </m:argPr>
              <m:sSub>
                <m:sSubPr>
                  <m:ctrlPr>
                    <w:rPr>
                      <w:rFonts w:ascii="Cambria Math" w:hAnsi="Cambria Math" w:cs="Times New Roman" w:eastAsia="Times New Roman"/>
                      <w:i w:val="1"/>
                      <w:sz w:val="28"/>
                      <w:szCs w:val="28"/>
                    </w:rPr>
                  </m:ctrlPr>
                </m:sSubPr>
                <m:e>
                  <m:argPr>
                    <m:argSz m:val="0"/>
                  </m:argPr>
                  <m:r>
                    <m:rPr>
                      <m:scr m:val="roman"/>
                      <m:sty m:val="i"/>
                    </m:rPr>
                    <m:t>T</m:t>
                  </m:r>
                </m:e>
                <m:sub>
                  <m:argPr>
                    <m:argSz m:val="0"/>
                  </m:argPr>
                  <m:r>
                    <m:rPr>
                      <m:scr m:val="roman"/>
                      <m:sty m:val="i"/>
                    </m:rPr>
                    <m:t>0</m:t>
                  </m:r>
                </m:sub>
              </m:sSub>
            </m:sup>
          </m:sSubSup>
        </m:oMath>
      </m:oMathPara>
      <w:r>
        <w:rPr>
          <w:rFonts w:ascii="Times New Roman" w:hAnsi="Times New Roman" w:cs="Times New Roman" w:eastAsiaTheme="minorEastAsia"/>
          <w:i w:val="1"/>
          <w:sz w:val="28"/>
          <w:szCs w:val="28"/>
        </w:rPr>
        <w:t>.</w:t>
      </w:r>
      <w:r>
        <w:rPr>
          <w:rFonts w:ascii="Times New Roman" w:hAnsi="Times New Roman" w:cs="Times New Roman"/>
          <w:i w:val="1"/>
          <w:sz w:val="28"/>
          <w:szCs w:val="28"/>
        </w:rPr>
        <w:tab/>
      </w:r>
      <w:r>
        <w:rPr>
          <w:rFonts w:ascii="Times New Roman" w:hAnsi="Times New Roman" w:cs="Times New Roman"/>
          <w:iCs w:val="1"/>
          <w:sz w:val="28"/>
          <w:szCs w:val="28"/>
        </w:rPr>
        <w:tab/>
        <w:tab/>
        <w:tab/>
        <w:tab/>
        <w:t xml:space="preserve">        (</w:t>
      </w:r>
      <w:r>
        <w:rPr>
          <w:rFonts w:ascii="Times New Roman" w:hAnsi="Times New Roman" w:cs="Times New Roman"/>
          <w:iCs w:val="1"/>
          <w:sz w:val="28"/>
          <w:szCs w:val="28"/>
          <w:highlight w:val="yellow"/>
        </w:rPr>
        <w:t>3.3</w:t>
      </w:r>
      <w:r>
        <w:rPr>
          <w:rFonts w:ascii="Times New Roman" w:hAnsi="Times New Roman" w:cs="Times New Roman"/>
          <w:iCs w:val="1"/>
          <w:sz w:val="28"/>
          <w:szCs w:val="28"/>
        </w:rPr>
        <w:t>)</w:t>
      </w:r>
    </w:p>
    <w:p>
      <w:pPr>
        <w:pStyle w:val="P13"/>
        <w:spacing w:lineRule="auto" w:line="360" w:beforeAutospacing="0" w:afterAutospacing="0"/>
        <w:ind w:firstLine="709" w:right="-1"/>
        <w:jc w:val="both"/>
        <w:rPr>
          <w:sz w:val="28"/>
          <w:szCs w:val="28"/>
          <w:lang w:val="ru-RU"/>
        </w:rPr>
      </w:pPr>
    </w:p>
    <w:p>
      <w:pPr>
        <w:pStyle w:val="P13"/>
        <w:spacing w:lineRule="auto" w:line="360" w:beforeAutospacing="0" w:afterAutospacing="0"/>
        <w:ind w:firstLine="709" w:right="-1"/>
        <w:jc w:val="both"/>
        <w:rPr>
          <w:sz w:val="28"/>
          <w:szCs w:val="28"/>
          <w:lang w:val="ru-RU"/>
        </w:rPr>
      </w:pPr>
      <w:r>
        <w:rPr>
          <w:sz w:val="28"/>
          <w:szCs w:val="28"/>
          <w:lang w:val="ru-RU"/>
        </w:rPr>
        <w:t>В нашей модели сопоставление фирм в соответствии с их показателями склонности применялось с использованием трех различных алгоритмов сопоставления, а именно: сопоставление ближайших соседей (</w:t>
      </w:r>
      <w:r>
        <w:rPr>
          <w:sz w:val="28"/>
          <w:szCs w:val="28"/>
        </w:rPr>
        <w:t>NNM</w:t>
      </w:r>
      <w:r>
        <w:rPr>
          <w:sz w:val="28"/>
          <w:szCs w:val="28"/>
          <w:lang w:val="ru-RU"/>
        </w:rPr>
        <w:t>), сопоставление радиуса (</w:t>
      </w:r>
      <w:r>
        <w:rPr>
          <w:sz w:val="28"/>
          <w:szCs w:val="28"/>
        </w:rPr>
        <w:t>RM</w:t>
      </w:r>
      <w:r>
        <w:rPr>
          <w:sz w:val="28"/>
          <w:szCs w:val="28"/>
          <w:lang w:val="ru-RU"/>
        </w:rPr>
        <w:t>) и сопоставление ядра (</w:t>
      </w:r>
      <w:r>
        <w:rPr>
          <w:sz w:val="28"/>
          <w:szCs w:val="28"/>
        </w:rPr>
        <w:t>KM</w:t>
      </w:r>
      <w:r>
        <w:rPr>
          <w:sz w:val="28"/>
          <w:szCs w:val="28"/>
          <w:lang w:val="ru-RU"/>
        </w:rPr>
        <w:t xml:space="preserve">). Алгоритм </w:t>
      </w:r>
      <w:r>
        <w:rPr>
          <w:sz w:val="28"/>
          <w:szCs w:val="28"/>
        </w:rPr>
        <w:t>NNM</w:t>
      </w:r>
      <w:r>
        <w:rPr>
          <w:sz w:val="28"/>
          <w:szCs w:val="28"/>
          <w:lang w:val="ru-RU"/>
        </w:rPr>
        <w:t xml:space="preserve"> основан на том, что фокусируется на сравнении результатов фирм-бенефициаров с ближайшими и наиболее похожими фирмами-небенефициарами с точки зрения показателей склонности. Этот подход пытается свести к минимуму разницу между оценкой склонности двух фирм (фирм-бенефициаров </w:t>
      </w:r>
      <w:r>
        <w:rPr>
          <w:i w:val="1"/>
          <w:sz w:val="28"/>
          <w:szCs w:val="28"/>
        </w:rPr>
        <w:t>P</w:t>
      </w:r>
      <w:r>
        <w:rPr>
          <w:i w:val="1"/>
          <w:sz w:val="28"/>
          <w:szCs w:val="28"/>
          <w:vertAlign w:val="subscript"/>
        </w:rPr>
        <w:t>i</w:t>
      </w:r>
      <w:r>
        <w:rPr>
          <w:sz w:val="28"/>
          <w:szCs w:val="28"/>
          <w:lang w:val="ru-RU"/>
        </w:rPr>
        <w:t xml:space="preserve"> и фирм, не являющихся бенефициарами </w:t>
      </w:r>
      <w:r>
        <w:rPr>
          <w:i w:val="1"/>
          <w:sz w:val="28"/>
          <w:szCs w:val="28"/>
        </w:rPr>
        <w:t>P</w:t>
      </w:r>
      <w:r>
        <w:rPr>
          <w:i w:val="1"/>
          <w:sz w:val="28"/>
          <w:szCs w:val="28"/>
          <w:vertAlign w:val="subscript"/>
        </w:rPr>
        <w:t>j</w:t>
      </w:r>
      <w:r>
        <w:rPr>
          <w:iCs w:val="1"/>
          <w:sz w:val="28"/>
          <w:szCs w:val="28"/>
          <w:lang w:val="ru-RU"/>
        </w:rPr>
        <w:t>)</w:t>
      </w:r>
      <w:r>
        <w:rPr>
          <w:sz w:val="28"/>
          <w:szCs w:val="28"/>
          <w:lang w:val="ru-RU"/>
        </w:rPr>
        <w:t xml:space="preserve">. Математическое выражение этого алгоритма имеет следующий вид: </w:t>
      </w:r>
    </w:p>
    <w:p>
      <w:pPr>
        <w:pStyle w:val="P13"/>
        <w:spacing w:lineRule="auto" w:line="360" w:beforeAutospacing="0" w:afterAutospacing="0"/>
        <w:ind w:firstLine="3544" w:right="-1"/>
        <w:jc w:val="both"/>
        <w:rPr>
          <w:sz w:val="28"/>
          <w:szCs w:val="28"/>
          <w:lang w:val="ru-RU"/>
        </w:rPr>
      </w:pPr>
      <m:oMathPara xmlns:m="http://schemas.openxmlformats.org/officeDocument/2006/math">
        <m:oMath>
          <m:r>
            <m:rPr>
              <m:scr m:val="roman"/>
              <m:sty m:val="i"/>
            </m:rPr>
            <m:t>min</m:t>
          </m:r>
          <m:d>
            <m:dPr>
              <m:ctrlPr>
                <w:rPr>
                  <w:rFonts w:ascii="Cambria Math" w:hAnsi="Cambria Math"/>
                  <w:i w:val="1"/>
                  <w:sz w:val="28"/>
                  <w:szCs w:val="28"/>
                  <w:lang w:val="ru-RU"/>
                </w:rPr>
              </m:ctrlPr>
              <m:begChr m:val="‖"/>
              <m:endChr m:val="‖"/>
              <m:shp m:val="centered"/>
            </m:dPr>
            <m:e>
              <m:argPr>
                <m:argSz m:val="0"/>
              </m:argPr>
              <m:sSub>
                <m:sSubPr>
                  <m:ctrlPr>
                    <w:rPr>
                      <w:rFonts w:ascii="Cambria Math" w:hAnsi="Cambria Math"/>
                      <w:i w:val="1"/>
                      <w:sz w:val="28"/>
                      <w:szCs w:val="28"/>
                      <w:lang w:val="ru-RU"/>
                    </w:rPr>
                  </m:ctrlPr>
                </m:sSubPr>
                <m:e>
                  <m:argPr>
                    <m:argSz m:val="0"/>
                  </m:argPr>
                  <m:r>
                    <m:rPr>
                      <m:scr m:val="roman"/>
                      <m:sty m:val="i"/>
                    </m:rPr>
                    <m:t>P</m:t>
                  </m:r>
                </m:e>
                <m:sub>
                  <m:argPr>
                    <m:argSz m:val="0"/>
                  </m:argPr>
                  <m:r>
                    <m:rPr>
                      <m:scr m:val="roman"/>
                      <m:sty m:val="i"/>
                    </m:rPr>
                    <m:t>i</m:t>
                  </m:r>
                </m:sub>
              </m:sSub>
              <m:r>
                <m:rPr>
                  <m:scr m:val="roman"/>
                  <m:sty m:val="i"/>
                </m:rPr>
                <m:t>-</m:t>
              </m:r>
              <m:sSub>
                <m:sSubPr>
                  <m:ctrlPr>
                    <w:rPr>
                      <w:rFonts w:ascii="Cambria Math" w:hAnsi="Cambria Math"/>
                      <w:i w:val="1"/>
                      <w:sz w:val="28"/>
                      <w:szCs w:val="28"/>
                      <w:lang w:val="ru-RU"/>
                    </w:rPr>
                  </m:ctrlPr>
                </m:sSubPr>
                <m:e>
                  <m:argPr>
                    <m:argSz m:val="0"/>
                  </m:argPr>
                  <m:r>
                    <m:rPr>
                      <m:scr m:val="roman"/>
                      <m:sty m:val="i"/>
                    </m:rPr>
                    <m:t>P</m:t>
                  </m:r>
                </m:e>
                <m:sub>
                  <m:argPr>
                    <m:argSz m:val="0"/>
                  </m:argPr>
                  <m:r>
                    <m:rPr>
                      <m:scr m:val="roman"/>
                      <m:sty m:val="i"/>
                    </m:rPr>
                    <m:t>j</m:t>
                  </m:r>
                </m:sub>
              </m:sSub>
            </m:e>
          </m:d>
        </m:oMath>
      </m:oMathPara>
      <w:r>
        <w:rPr>
          <w:sz w:val="28"/>
          <w:szCs w:val="28"/>
          <w:lang w:val="ru-RU"/>
        </w:rPr>
        <w:t>.</w:t>
        <w:tab/>
        <w:tab/>
        <w:tab/>
        <w:tab/>
        <w:tab/>
        <w:t xml:space="preserve">   (</w:t>
      </w:r>
      <w:r>
        <w:rPr>
          <w:sz w:val="28"/>
          <w:szCs w:val="28"/>
          <w:highlight w:val="yellow"/>
          <w:lang w:val="ru-RU"/>
        </w:rPr>
        <w:t>3.4</w:t>
      </w:r>
      <w:r>
        <w:rPr>
          <w:sz w:val="28"/>
          <w:szCs w:val="28"/>
          <w:lang w:val="ru-RU"/>
        </w:rPr>
        <w:t>)</w:t>
      </w:r>
    </w:p>
    <w:p>
      <w:pPr>
        <w:pStyle w:val="P13"/>
        <w:spacing w:lineRule="auto" w:line="360" w:beforeAutospacing="0" w:afterAutospacing="0"/>
        <w:ind w:firstLine="709" w:right="-1"/>
        <w:jc w:val="both"/>
        <w:rPr>
          <w:sz w:val="28"/>
          <w:szCs w:val="28"/>
          <w:lang w:val="ru-RU"/>
        </w:rPr>
      </w:pPr>
    </w:p>
    <w:p>
      <w:pPr>
        <w:pStyle w:val="P13"/>
        <w:spacing w:lineRule="auto" w:line="360" w:beforeAutospacing="0" w:afterAutospacing="0"/>
        <w:ind w:firstLine="709" w:right="-1"/>
        <w:jc w:val="both"/>
        <w:rPr>
          <w:sz w:val="28"/>
          <w:szCs w:val="28"/>
          <w:lang w:val="ru-RU"/>
        </w:rPr>
      </w:pPr>
      <w:r>
        <w:rPr>
          <w:sz w:val="28"/>
          <w:szCs w:val="28"/>
          <w:lang w:val="ru-RU"/>
        </w:rPr>
        <w:t xml:space="preserve">Суть алгоритма </w:t>
      </w:r>
      <w:r>
        <w:rPr>
          <w:sz w:val="28"/>
          <w:szCs w:val="28"/>
        </w:rPr>
        <w:t>RM</w:t>
      </w:r>
      <w:r>
        <w:rPr>
          <w:sz w:val="28"/>
          <w:szCs w:val="28"/>
          <w:lang w:val="ru-RU"/>
        </w:rPr>
        <w:t xml:space="preserve"> заключается в том, что расстояние между фирмами-бенефициарами и фирмами-небенефициарами должно находиться в пределах заданного радиуса (</w:t>
      </w:r>
      <w:r>
        <w:rPr>
          <w:i w:val="1"/>
          <w:iCs w:val="1"/>
          <w:sz w:val="28"/>
          <w:szCs w:val="28"/>
        </w:rPr>
        <w:t>r</w:t>
      </w:r>
      <w:r>
        <w:rPr>
          <w:sz w:val="28"/>
          <w:szCs w:val="28"/>
          <w:lang w:val="ru-RU"/>
        </w:rPr>
        <w:t>). Следовательно, оценки склонности этих двух наборов наблюдений аналогичны и находятся в пределах заданного радиуса:</w:t>
      </w:r>
    </w:p>
    <w:p>
      <w:pPr>
        <w:pStyle w:val="P13"/>
        <w:spacing w:lineRule="auto" w:line="360" w:beforeAutospacing="0" w:afterAutospacing="0"/>
        <w:ind w:firstLine="709" w:right="-1"/>
        <w:jc w:val="both"/>
        <w:rPr>
          <w:sz w:val="28"/>
          <w:szCs w:val="28"/>
          <w:lang w:val="ru-RU"/>
        </w:rPr>
      </w:pPr>
    </w:p>
    <w:p>
      <w:pPr>
        <w:pStyle w:val="P13"/>
        <w:spacing w:lineRule="auto" w:line="360" w:beforeAutospacing="0" w:afterAutospacing="0"/>
        <w:ind w:firstLine="3686" w:right="-1"/>
        <w:jc w:val="both"/>
        <w:rPr>
          <w:sz w:val="28"/>
          <w:szCs w:val="28"/>
          <w:lang w:val="ru-RU"/>
        </w:rPr>
      </w:pPr>
      <m:oMathPara xmlns:m="http://schemas.openxmlformats.org/officeDocument/2006/math">
        <m:oMath>
          <m:d>
            <m:dPr>
              <m:ctrlPr>
                <w:rPr>
                  <w:rFonts w:ascii="Cambria Math" w:hAnsi="Cambria Math"/>
                  <w:i w:val="1"/>
                  <w:sz w:val="28"/>
                  <w:szCs w:val="28"/>
                  <w:lang w:val="ru-RU"/>
                </w:rPr>
              </m:ctrlPr>
              <m:begChr m:val="‖"/>
              <m:endChr m:val="‖"/>
              <m:shp m:val="centered"/>
            </m:dPr>
            <m:e>
              <m:argPr>
                <m:argSz m:val="0"/>
              </m:argPr>
              <m:sSub>
                <m:sSubPr>
                  <m:ctrlPr>
                    <w:rPr>
                      <w:rFonts w:ascii="Cambria Math" w:hAnsi="Cambria Math"/>
                      <w:i w:val="1"/>
                      <w:sz w:val="28"/>
                      <w:szCs w:val="28"/>
                      <w:lang w:val="ru-RU"/>
                    </w:rPr>
                  </m:ctrlPr>
                </m:sSubPr>
                <m:e>
                  <m:argPr>
                    <m:argSz m:val="0"/>
                  </m:argPr>
                  <m:r>
                    <m:rPr>
                      <m:scr m:val="roman"/>
                      <m:sty m:val="i"/>
                    </m:rPr>
                    <m:t>P</m:t>
                  </m:r>
                </m:e>
                <m:sub>
                  <m:argPr>
                    <m:argSz m:val="0"/>
                  </m:argPr>
                  <m:r>
                    <m:rPr>
                      <m:scr m:val="roman"/>
                      <m:sty m:val="i"/>
                    </m:rPr>
                    <m:t>i</m:t>
                  </m:r>
                </m:sub>
              </m:sSub>
              <m:r>
                <m:rPr>
                  <m:scr m:val="roman"/>
                  <m:sty m:val="i"/>
                </m:rPr>
                <m:t>-</m:t>
              </m:r>
              <m:sSub>
                <m:sSubPr>
                  <m:ctrlPr>
                    <w:rPr>
                      <w:rFonts w:ascii="Cambria Math" w:hAnsi="Cambria Math"/>
                      <w:i w:val="1"/>
                      <w:sz w:val="28"/>
                      <w:szCs w:val="28"/>
                      <w:lang w:val="ru-RU"/>
                    </w:rPr>
                  </m:ctrlPr>
                </m:sSubPr>
                <m:e>
                  <m:argPr>
                    <m:argSz m:val="0"/>
                  </m:argPr>
                  <m:r>
                    <m:rPr>
                      <m:scr m:val="roman"/>
                      <m:sty m:val="i"/>
                    </m:rPr>
                    <m:t>P</m:t>
                  </m:r>
                </m:e>
                <m:sub>
                  <m:argPr>
                    <m:argSz m:val="0"/>
                  </m:argPr>
                  <m:r>
                    <m:rPr>
                      <m:scr m:val="roman"/>
                      <m:sty m:val="i"/>
                    </m:rPr>
                    <m:t>j</m:t>
                  </m:r>
                </m:sub>
              </m:sSub>
            </m:e>
          </m:d>
          <m:r>
            <m:rPr>
              <m:scr m:val="roman"/>
              <m:sty m:val="i"/>
            </m:rPr>
            <m:t>&lt;r</m:t>
          </m:r>
        </m:oMath>
      </m:oMathPara>
      <w:r>
        <w:rPr>
          <w:sz w:val="28"/>
          <w:szCs w:val="28"/>
          <w:lang w:val="ru-RU"/>
        </w:rPr>
        <w:t>.</w:t>
        <w:tab/>
        <w:tab/>
        <w:tab/>
        <w:tab/>
        <w:tab/>
        <w:t xml:space="preserve">    (</w:t>
      </w:r>
      <w:r>
        <w:rPr>
          <w:sz w:val="28"/>
          <w:szCs w:val="28"/>
          <w:highlight w:val="yellow"/>
          <w:lang w:val="ru-RU"/>
        </w:rPr>
        <w:t>3.5</w:t>
      </w:r>
      <w:r>
        <w:rPr>
          <w:sz w:val="28"/>
          <w:szCs w:val="28"/>
          <w:lang w:val="ru-RU"/>
        </w:rPr>
        <w:t>)</w:t>
      </w:r>
    </w:p>
    <w:p>
      <w:pPr>
        <w:pStyle w:val="P13"/>
        <w:spacing w:lineRule="auto" w:line="360" w:beforeAutospacing="0" w:afterAutospacing="0"/>
        <w:ind w:firstLine="709" w:right="-1"/>
        <w:jc w:val="both"/>
        <w:rPr>
          <w:sz w:val="28"/>
          <w:szCs w:val="28"/>
          <w:lang w:val="ru-RU"/>
        </w:rPr>
      </w:pPr>
    </w:p>
    <w:p>
      <w:pPr>
        <w:pStyle w:val="P13"/>
        <w:spacing w:lineRule="auto" w:line="360" w:beforeAutospacing="0" w:afterAutospacing="0"/>
        <w:ind w:firstLine="709" w:right="-1"/>
        <w:jc w:val="both"/>
        <w:rPr>
          <w:sz w:val="28"/>
          <w:szCs w:val="28"/>
          <w:lang w:val="ru-RU"/>
        </w:rPr>
      </w:pPr>
      <w:r>
        <w:rPr>
          <w:sz w:val="28"/>
          <w:szCs w:val="28"/>
          <w:lang w:val="ru-RU"/>
        </w:rPr>
        <w:t xml:space="preserve">Алгоритм </w:t>
      </w:r>
      <w:r>
        <w:rPr>
          <w:sz w:val="28"/>
          <w:szCs w:val="28"/>
        </w:rPr>
        <w:t>KM</w:t>
      </w:r>
      <w:r>
        <w:rPr>
          <w:sz w:val="28"/>
          <w:szCs w:val="28"/>
          <w:lang w:val="ru-RU"/>
        </w:rPr>
        <w:t xml:space="preserve"> сводится к тому, что каждая фирма-бенефициар </w:t>
      </w:r>
      <w:r>
        <w:rPr>
          <w:i w:val="1"/>
          <w:sz w:val="28"/>
          <w:szCs w:val="28"/>
        </w:rPr>
        <w:t>i</w:t>
      </w:r>
      <w:r>
        <w:rPr>
          <w:sz w:val="28"/>
          <w:szCs w:val="28"/>
          <w:lang w:val="ru-RU"/>
        </w:rPr>
        <w:t xml:space="preserve"> сопоставляется (используя баллы склонности) с другими контрольными наблюдениями, веса которых обратно пропорциональны расстоянию между двумя группами (т. е. фирмами-бенефициарами и небенефициарами):</w:t>
      </w:r>
    </w:p>
    <w:p>
      <w:pPr>
        <w:pStyle w:val="P13"/>
        <w:spacing w:lineRule="auto" w:line="360" w:beforeAutospacing="0" w:afterAutospacing="0"/>
        <w:ind w:firstLine="709" w:right="-1"/>
        <w:jc w:val="both"/>
        <w:rPr>
          <w:sz w:val="28"/>
          <w:szCs w:val="28"/>
          <w:lang w:val="ru-RU"/>
        </w:rPr>
      </w:pPr>
    </w:p>
    <w:p>
      <w:pPr>
        <w:spacing w:lineRule="auto" w:line="360" w:after="0" w:beforeAutospacing="0" w:afterAutospacing="0"/>
        <w:ind w:firstLine="2694" w:left="846" w:right="-1"/>
        <w:rPr>
          <w:rFonts w:ascii="Times New Roman" w:hAnsi="Times New Roman" w:cs="Times New Roman"/>
          <w:sz w:val="28"/>
          <w:szCs w:val="28"/>
        </w:rPr>
      </w:pPr>
      <m:oMathPara xmlns:m="http://schemas.openxmlformats.org/officeDocument/2006/math">
        <m:oMath>
          <m:r>
            <m:rPr>
              <m:scr m:val="roman"/>
              <m:sty m:val="i"/>
            </m:rPr>
            <m:t>w</m:t>
          </m:r>
          <m:d>
            <m:dPr>
              <m:ctrlPr>
                <w:rPr>
                  <w:rFonts w:ascii="Cambria Math" w:hAnsi="Cambria Math" w:cs="Times New Roman"/>
                  <w:i w:val="1"/>
                  <w:sz w:val="28"/>
                  <w:szCs w:val="28"/>
                </w:rPr>
              </m:ctrlPr>
              <m:shp m:val="centered"/>
            </m:dPr>
            <m:e>
              <m:argPr>
                <m:argSz m:val="0"/>
              </m:argPr>
              <m:r>
                <m:rPr>
                  <m:scr m:val="roman"/>
                  <m:sty m:val="i"/>
                </m:rPr>
                <m:t>i,j</m:t>
              </m:r>
            </m:e>
          </m:d>
          <m:r>
            <m:rPr>
              <m:scr m:val="roman"/>
              <m:sty m:val="i"/>
            </m:rPr>
            <m:t>=</m:t>
          </m:r>
          <m:f>
            <m:fPr>
              <m:ctrlPr>
                <w:rPr>
                  <w:rFonts w:ascii="Cambria Math" w:hAnsi="Cambria Math" w:cs="Times New Roman"/>
                  <w:i w:val="1"/>
                  <w:sz w:val="28"/>
                  <w:szCs w:val="28"/>
                </w:rPr>
              </m:ctrlPr>
              <m:type m:val="bar"/>
            </m:fPr>
            <m:num>
              <m:argPr>
                <m:argSz m:val="0"/>
              </m:argPr>
              <m:r>
                <m:rPr>
                  <m:scr m:val="roman"/>
                  <m:sty m:val="i"/>
                </m:rPr>
                <m:t>k(</m:t>
              </m:r>
              <m:f>
                <m:fPr>
                  <m:ctrlPr>
                    <w:rPr>
                      <w:rFonts w:ascii="Cambria Math" w:hAnsi="Cambria Math" w:cs="Times New Roman"/>
                      <w:i w:val="1"/>
                      <w:sz w:val="28"/>
                      <w:szCs w:val="28"/>
                    </w:rPr>
                  </m:ctrlPr>
                  <m:type m:val="bar"/>
                </m:fPr>
                <m:num>
                  <m:argPr>
                    <m:argSz m:val="0"/>
                  </m:argPr>
                  <m:sSub>
                    <m:sSubPr>
                      <m:ctrlPr>
                        <w:rPr>
                          <w:rFonts w:ascii="Cambria Math" w:hAnsi="Cambria Math" w:cs="Times New Roman"/>
                          <w:i w:val="1"/>
                          <w:sz w:val="28"/>
                          <w:szCs w:val="28"/>
                        </w:rPr>
                      </m:ctrlPr>
                    </m:sSubPr>
                    <m:e>
                      <m:argPr>
                        <m:argSz m:val="0"/>
                      </m:argPr>
                      <m:r>
                        <m:rPr>
                          <m:scr m:val="roman"/>
                          <m:sty m:val="i"/>
                        </m:rPr>
                        <m:t>p</m:t>
                      </m:r>
                    </m:e>
                    <m:sub>
                      <m:argPr>
                        <m:argSz m:val="0"/>
                      </m:argPr>
                      <m:r>
                        <m:rPr>
                          <m:scr m:val="roman"/>
                          <m:sty m:val="i"/>
                        </m:rPr>
                        <m:t>i</m:t>
                      </m:r>
                    </m:sub>
                  </m:sSub>
                  <m:r>
                    <m:rPr>
                      <m:scr m:val="roman"/>
                      <m:sty m:val="i"/>
                    </m:rPr>
                    <m:t>-</m:t>
                  </m:r>
                  <m:sSub>
                    <m:sSubPr>
                      <m:ctrlPr>
                        <w:rPr>
                          <w:rFonts w:ascii="Cambria Math" w:hAnsi="Cambria Math" w:cs="Times New Roman"/>
                          <w:i w:val="1"/>
                          <w:sz w:val="28"/>
                          <w:szCs w:val="28"/>
                        </w:rPr>
                      </m:ctrlPr>
                    </m:sSubPr>
                    <m:e>
                      <m:argPr>
                        <m:argSz m:val="0"/>
                      </m:argPr>
                      <m:r>
                        <m:rPr>
                          <m:scr m:val="roman"/>
                          <m:sty m:val="i"/>
                        </m:rPr>
                        <m:t>p</m:t>
                      </m:r>
                    </m:e>
                    <m:sub>
                      <m:argPr>
                        <m:argSz m:val="0"/>
                      </m:argPr>
                      <m:r>
                        <m:rPr>
                          <m:scr m:val="roman"/>
                          <m:sty m:val="i"/>
                        </m:rPr>
                        <m:t>j</m:t>
                      </m:r>
                    </m:sub>
                  </m:sSub>
                </m:num>
                <m:den>
                  <m:argPr>
                    <m:argSz m:val="0"/>
                  </m:argPr>
                  <m:r>
                    <m:rPr>
                      <m:scr m:val="roman"/>
                      <m:sty m:val="i"/>
                    </m:rPr>
                    <m:t>h</m:t>
                  </m:r>
                </m:den>
              </m:f>
              <m:r>
                <m:rPr>
                  <m:scr m:val="roman"/>
                  <m:sty m:val="i"/>
                </m:rPr>
                <m:t>)</m:t>
              </m:r>
            </m:num>
            <m:den>
              <m:argPr>
                <m:argSz m:val="0"/>
              </m:argPr>
              <m:nary>
                <m:naryPr>
                  <m:ctrlPr>
                    <w:rPr>
                      <w:rFonts w:ascii="Cambria Math" w:hAnsi="Cambria Math" w:cs="Times New Roman"/>
                      <w:i w:val="1"/>
                      <w:sz w:val="28"/>
                      <w:szCs w:val="28"/>
                    </w:rPr>
                  </m:ctrlPr>
                  <m:chr m:val="∑"/>
                  <m:limLoc m:val="undOvr"/>
                </m:naryPr>
                <m:sub>
                  <m:argPr>
                    <m:argSz m:val="0"/>
                  </m:argPr>
                  <m:r>
                    <m:rPr>
                      <m:scr m:val="roman"/>
                      <m:sty m:val="i"/>
                    </m:rPr>
                    <m:t>j=1</m:t>
                  </m:r>
                </m:sub>
                <m:sup>
                  <m:argPr>
                    <m:argSz m:val="0"/>
                  </m:argPr>
                  <m:r>
                    <m:rPr>
                      <m:scr m:val="roman"/>
                      <m:sty m:val="i"/>
                    </m:rPr>
                    <m:t>n</m:t>
                  </m:r>
                </m:sup>
                <m:e>
                  <m:argPr>
                    <m:argSz m:val="0"/>
                  </m:argPr>
                  <m:r>
                    <m:rPr>
                      <m:scr m:val="roman"/>
                      <m:sty m:val="i"/>
                    </m:rPr>
                    <m:t>k(</m:t>
                  </m:r>
                  <m:f>
                    <m:fPr>
                      <m:ctrlPr>
                        <w:rPr>
                          <w:rFonts w:ascii="Cambria Math" w:hAnsi="Cambria Math" w:cs="Times New Roman"/>
                          <w:i w:val="1"/>
                          <w:sz w:val="28"/>
                          <w:szCs w:val="28"/>
                        </w:rPr>
                      </m:ctrlPr>
                      <m:type m:val="bar"/>
                    </m:fPr>
                    <m:num>
                      <m:argPr>
                        <m:argSz m:val="0"/>
                      </m:argPr>
                      <m:sSub>
                        <m:sSubPr>
                          <m:ctrlPr>
                            <w:rPr>
                              <w:rFonts w:ascii="Cambria Math" w:hAnsi="Cambria Math" w:cs="Times New Roman"/>
                              <w:i w:val="1"/>
                              <w:sz w:val="28"/>
                              <w:szCs w:val="28"/>
                            </w:rPr>
                          </m:ctrlPr>
                        </m:sSubPr>
                        <m:e>
                          <m:argPr>
                            <m:argSz m:val="0"/>
                          </m:argPr>
                          <m:r>
                            <m:rPr>
                              <m:scr m:val="roman"/>
                              <m:sty m:val="i"/>
                            </m:rPr>
                            <m:t>p</m:t>
                          </m:r>
                        </m:e>
                        <m:sub>
                          <m:argPr>
                            <m:argSz m:val="0"/>
                          </m:argPr>
                          <m:r>
                            <m:rPr>
                              <m:scr m:val="roman"/>
                              <m:sty m:val="i"/>
                            </m:rPr>
                            <m:t>i</m:t>
                          </m:r>
                        </m:sub>
                      </m:sSub>
                      <m:r>
                        <m:rPr>
                          <m:scr m:val="roman"/>
                          <m:sty m:val="i"/>
                        </m:rPr>
                        <m:t>-</m:t>
                      </m:r>
                      <m:sSub>
                        <m:sSubPr>
                          <m:ctrlPr>
                            <w:rPr>
                              <w:rFonts w:ascii="Cambria Math" w:hAnsi="Cambria Math" w:cs="Times New Roman"/>
                              <w:i w:val="1"/>
                              <w:sz w:val="28"/>
                              <w:szCs w:val="28"/>
                            </w:rPr>
                          </m:ctrlPr>
                        </m:sSubPr>
                        <m:e>
                          <m:argPr>
                            <m:argSz m:val="0"/>
                          </m:argPr>
                          <m:r>
                            <m:rPr>
                              <m:scr m:val="roman"/>
                              <m:sty m:val="i"/>
                            </m:rPr>
                            <m:t>p</m:t>
                          </m:r>
                        </m:e>
                        <m:sub>
                          <m:argPr>
                            <m:argSz m:val="0"/>
                          </m:argPr>
                          <m:r>
                            <m:rPr>
                              <m:scr m:val="roman"/>
                              <m:sty m:val="i"/>
                            </m:rPr>
                            <m:t>j</m:t>
                          </m:r>
                        </m:sub>
                      </m:sSub>
                    </m:num>
                    <m:den>
                      <m:argPr>
                        <m:argSz m:val="0"/>
                      </m:argPr>
                      <m:r>
                        <m:rPr>
                          <m:scr m:val="roman"/>
                          <m:sty m:val="i"/>
                        </m:rPr>
                        <m:t>h</m:t>
                      </m:r>
                    </m:den>
                  </m:f>
                  <m:r>
                    <m:rPr>
                      <m:scr m:val="roman"/>
                      <m:sty m:val="i"/>
                    </m:rPr>
                    <m:t>)</m:t>
                  </m:r>
                </m:e>
              </m:nary>
            </m:den>
          </m:f>
        </m:oMath>
      </m:oMathPara>
      <w:r>
        <w:rPr>
          <w:rFonts w:ascii="Times New Roman" w:hAnsi="Times New Roman" w:cs="Times New Roman" w:eastAsiaTheme="minorEastAsia"/>
          <w:sz w:val="28"/>
          <w:szCs w:val="28"/>
        </w:rPr>
        <w:t>,</w:t>
        <w:tab/>
        <w:tab/>
        <w:tab/>
        <w:t xml:space="preserve">              (</w:t>
      </w:r>
      <w:r>
        <w:rPr>
          <w:rFonts w:ascii="Times New Roman" w:hAnsi="Times New Roman" w:cs="Times New Roman" w:eastAsiaTheme="minorEastAsia"/>
          <w:sz w:val="28"/>
          <w:szCs w:val="28"/>
          <w:highlight w:val="yellow"/>
        </w:rPr>
        <w:t>3.6</w:t>
      </w:r>
      <w:r>
        <w:rPr>
          <w:rFonts w:ascii="Times New Roman" w:hAnsi="Times New Roman" w:cs="Times New Roman" w:eastAsiaTheme="minorEastAsia"/>
          <w:sz w:val="28"/>
          <w:szCs w:val="28"/>
        </w:rPr>
        <w:t>)</w:t>
      </w:r>
    </w:p>
    <w:p>
      <w:pPr>
        <w:tabs>
          <w:tab w:val="left" w:pos="2284" w:leader="none"/>
        </w:tabs>
        <w:spacing w:lineRule="auto" w:line="360" w:after="0" w:beforeAutospacing="0" w:afterAutospacing="0"/>
        <w:ind w:firstLine="709" w:right="-1"/>
        <w:jc w:val="both"/>
        <w:rPr>
          <w:rFonts w:ascii="Times New Roman" w:hAnsi="Times New Roman" w:cs="Times New Roman"/>
          <w:sz w:val="28"/>
          <w:szCs w:val="28"/>
        </w:rPr>
      </w:pPr>
    </w:p>
    <w:p>
      <w:pPr>
        <w:tabs>
          <w:tab w:val="left" w:pos="2284" w:leader="none"/>
        </w:tabs>
        <w:spacing w:lineRule="auto" w:line="360" w:after="0" w:beforeAutospacing="0" w:afterAutospacing="0"/>
        <w:ind w:firstLine="709" w:right="-1"/>
        <w:jc w:val="both"/>
        <w:rPr>
          <w:rFonts w:ascii="Times New Roman" w:hAnsi="Times New Roman" w:cs="Times New Roman"/>
          <w:sz w:val="28"/>
          <w:szCs w:val="28"/>
        </w:rPr>
      </w:pPr>
      <w:r>
        <w:rPr>
          <w:rFonts w:ascii="Times New Roman" w:hAnsi="Times New Roman" w:cs="Times New Roman"/>
          <w:sz w:val="28"/>
          <w:szCs w:val="28"/>
        </w:rPr>
        <w:t xml:space="preserve">где </w:t>
      </w:r>
      <w:r>
        <w:rPr>
          <w:rFonts w:ascii="Times New Roman" w:hAnsi="Times New Roman" w:cs="Times New Roman"/>
          <w:i w:val="1"/>
          <w:sz w:val="28"/>
          <w:szCs w:val="28"/>
        </w:rPr>
        <w:t>h</w:t>
      </w:r>
      <w:r>
        <w:rPr>
          <w:rFonts w:ascii="Times New Roman" w:hAnsi="Times New Roman" w:cs="Times New Roman"/>
          <w:sz w:val="28"/>
          <w:szCs w:val="28"/>
        </w:rPr>
        <w:t xml:space="preserve"> – пропускная способность. </w:t>
      </w:r>
    </w:p>
    <w:p>
      <w:pPr>
        <w:pStyle w:val="P13"/>
        <w:spacing w:lineRule="auto" w:line="360" w:beforeAutospacing="0" w:afterAutospacing="0"/>
        <w:ind w:firstLine="709"/>
        <w:jc w:val="both"/>
        <w:rPr>
          <w:sz w:val="28"/>
          <w:szCs w:val="28"/>
          <w:lang w:val="ru-RU"/>
        </w:rPr>
      </w:pPr>
      <w:r>
        <w:rPr>
          <w:sz w:val="28"/>
          <w:szCs w:val="28"/>
          <w:lang w:val="ru-RU"/>
        </w:rPr>
        <w:t xml:space="preserve">Логит-оценка использовалась для получения оценок склонности к процессу сопоставления результаты представлены в таблице </w:t>
      </w:r>
      <w:r>
        <w:rPr>
          <w:sz w:val="28"/>
          <w:szCs w:val="28"/>
          <w:highlight w:val="yellow"/>
          <w:lang w:val="ru-RU"/>
        </w:rPr>
        <w:t>3.8</w:t>
      </w:r>
      <w:r>
        <w:rPr>
          <w:sz w:val="28"/>
          <w:szCs w:val="28"/>
          <w:lang w:val="ru-RU"/>
        </w:rPr>
        <w:t xml:space="preserve">. </w:t>
      </w:r>
    </w:p>
    <w:p>
      <w:pPr>
        <w:pStyle w:val="P13"/>
        <w:spacing w:lineRule="auto" w:line="360" w:beforeAutospacing="0" w:afterAutospacing="0"/>
        <w:ind w:firstLine="709"/>
        <w:jc w:val="both"/>
        <w:rPr>
          <w:sz w:val="28"/>
          <w:szCs w:val="28"/>
          <w:lang w:val="ru-RU"/>
        </w:rPr>
      </w:pPr>
    </w:p>
    <w:p>
      <w:pPr>
        <w:pStyle w:val="P13"/>
        <w:spacing w:lineRule="auto" w:line="360" w:beforeAutospacing="0" w:afterAutospacing="0"/>
        <w:jc w:val="both"/>
        <w:rPr>
          <w:sz w:val="28"/>
          <w:szCs w:val="28"/>
          <w:lang w:val="ru-RU"/>
        </w:rPr>
      </w:pPr>
      <w:r>
        <w:rPr>
          <w:sz w:val="28"/>
          <w:szCs w:val="28"/>
          <w:lang w:val="ru-RU"/>
        </w:rPr>
        <w:t xml:space="preserve">Таблица </w:t>
      </w:r>
      <w:r>
        <w:rPr>
          <w:sz w:val="28"/>
          <w:szCs w:val="28"/>
          <w:highlight w:val="yellow"/>
          <w:lang w:val="ru-RU"/>
        </w:rPr>
        <w:t>3.8</w:t>
      </w:r>
      <w:r>
        <w:rPr>
          <w:sz w:val="28"/>
          <w:szCs w:val="28"/>
          <w:lang w:val="ru-RU"/>
        </w:rPr>
        <w:t xml:space="preserve"> – Логит-регрессия для оценки показателя склонности (составлено автором)</w:t>
      </w:r>
    </w:p>
    <w:tbl>
      <w:tblPr>
        <w:tblStyle w:val="T3"/>
        <w:tblW w:w="9930" w:type="dxa"/>
        <w:tblLook w:val="04A0"/>
      </w:tblPr>
      <w:tblGrid>
        <w:gridCol w:w="4726"/>
        <w:gridCol w:w="2523"/>
        <w:gridCol w:w="2681"/>
      </w:tblGrid>
      <w:tr>
        <w:trPr>
          <w:trHeight w:hRule="atLeast" w:val="272"/>
        </w:trPr>
        <w:tc>
          <w:tcPr>
            <w:tcW w:w="4726" w:type="dxa"/>
          </w:tcPr>
          <w:p>
            <w:pPr>
              <w:pStyle w:val="P13"/>
              <w:ind w:right="-1"/>
              <w:jc w:val="both"/>
              <w:rPr>
                <w:sz w:val="24"/>
                <w:szCs w:val="24"/>
                <w:lang w:val="ru-RU"/>
              </w:rPr>
            </w:pPr>
            <w:r>
              <w:rPr>
                <w:sz w:val="24"/>
                <w:szCs w:val="24"/>
                <w:lang w:val="ru-RU"/>
              </w:rPr>
              <w:t>Наименование переменной</w:t>
            </w:r>
          </w:p>
        </w:tc>
        <w:tc>
          <w:tcPr>
            <w:tcW w:w="2523" w:type="dxa"/>
          </w:tcPr>
          <w:p>
            <w:pPr>
              <w:pStyle w:val="P13"/>
              <w:ind w:right="-1"/>
              <w:jc w:val="center"/>
              <w:rPr>
                <w:sz w:val="24"/>
                <w:szCs w:val="24"/>
                <w:lang w:val="ru-RU"/>
              </w:rPr>
            </w:pPr>
            <w:r>
              <w:rPr>
                <w:sz w:val="24"/>
                <w:szCs w:val="24"/>
                <w:lang w:val="ru-RU"/>
              </w:rPr>
              <w:t>Β коэффициент</w:t>
            </w:r>
          </w:p>
        </w:tc>
        <w:tc>
          <w:tcPr>
            <w:tcW w:w="2681" w:type="dxa"/>
          </w:tcPr>
          <w:p>
            <w:pPr>
              <w:pStyle w:val="P13"/>
              <w:ind w:right="-1"/>
              <w:jc w:val="center"/>
              <w:rPr>
                <w:sz w:val="24"/>
                <w:szCs w:val="24"/>
                <w:lang w:val="ru-RU"/>
              </w:rPr>
            </w:pPr>
            <w:r>
              <w:rPr>
                <w:sz w:val="24"/>
                <w:szCs w:val="24"/>
                <w:lang w:val="ru-RU"/>
              </w:rPr>
              <w:t>Ст. ошибка</w:t>
            </w:r>
          </w:p>
        </w:tc>
      </w:tr>
      <w:tr>
        <w:trPr>
          <w:trHeight w:hRule="atLeast" w:val="272"/>
        </w:trPr>
        <w:tc>
          <w:tcPr>
            <w:tcW w:w="4726" w:type="dxa"/>
          </w:tcPr>
          <w:p>
            <w:pPr>
              <w:pStyle w:val="P13"/>
              <w:ind w:right="-1"/>
              <w:jc w:val="both"/>
              <w:rPr>
                <w:sz w:val="24"/>
                <w:szCs w:val="24"/>
                <w:lang w:val="ru-RU"/>
              </w:rPr>
            </w:pPr>
            <w:r>
              <w:rPr>
                <w:sz w:val="24"/>
                <w:szCs w:val="24"/>
                <w:lang w:val="ru-RU"/>
              </w:rPr>
              <w:t xml:space="preserve">Тип фирмы </w:t>
            </w:r>
          </w:p>
        </w:tc>
        <w:tc>
          <w:tcPr>
            <w:tcW w:w="2523" w:type="dxa"/>
          </w:tcPr>
          <w:p>
            <w:pPr>
              <w:pStyle w:val="P13"/>
              <w:ind w:right="-1"/>
              <w:jc w:val="center"/>
              <w:rPr>
                <w:sz w:val="24"/>
                <w:szCs w:val="24"/>
                <w:lang w:val="ru-RU"/>
              </w:rPr>
            </w:pPr>
            <w:r>
              <w:rPr>
                <w:sz w:val="24"/>
                <w:szCs w:val="24"/>
                <w:lang w:val="ru-RU"/>
              </w:rPr>
              <w:t>0,398</w:t>
            </w:r>
          </w:p>
        </w:tc>
        <w:tc>
          <w:tcPr>
            <w:tcW w:w="2681" w:type="dxa"/>
          </w:tcPr>
          <w:p>
            <w:pPr>
              <w:pStyle w:val="P13"/>
              <w:ind w:right="-1"/>
              <w:jc w:val="center"/>
              <w:rPr>
                <w:sz w:val="24"/>
                <w:szCs w:val="24"/>
                <w:lang w:val="ru-RU"/>
              </w:rPr>
            </w:pPr>
            <w:r>
              <w:rPr>
                <w:sz w:val="24"/>
                <w:szCs w:val="24"/>
                <w:lang w:val="ru-RU"/>
              </w:rPr>
              <w:t>0,115***</w:t>
            </w:r>
          </w:p>
        </w:tc>
      </w:tr>
      <w:tr>
        <w:trPr>
          <w:trHeight w:hRule="atLeast" w:val="272"/>
        </w:trPr>
        <w:tc>
          <w:tcPr>
            <w:tcW w:w="4726" w:type="dxa"/>
          </w:tcPr>
          <w:p>
            <w:pPr>
              <w:pStyle w:val="P13"/>
              <w:ind w:right="-1"/>
              <w:jc w:val="both"/>
              <w:rPr>
                <w:sz w:val="24"/>
                <w:szCs w:val="24"/>
                <w:lang w:val="ru-RU"/>
              </w:rPr>
            </w:pPr>
            <w:r>
              <w:rPr>
                <w:sz w:val="24"/>
                <w:szCs w:val="24"/>
                <w:lang w:val="ru-RU"/>
              </w:rPr>
              <w:t>Год</w:t>
            </w:r>
          </w:p>
        </w:tc>
        <w:tc>
          <w:tcPr>
            <w:tcW w:w="2523" w:type="dxa"/>
          </w:tcPr>
          <w:p>
            <w:pPr>
              <w:pStyle w:val="P13"/>
              <w:ind w:right="-1"/>
              <w:jc w:val="center"/>
              <w:rPr>
                <w:sz w:val="24"/>
                <w:szCs w:val="24"/>
                <w:lang w:val="ru-RU"/>
              </w:rPr>
            </w:pPr>
            <w:r>
              <w:rPr>
                <w:sz w:val="24"/>
                <w:szCs w:val="24"/>
                <w:lang w:val="ru-RU"/>
              </w:rPr>
              <w:t>0,007</w:t>
            </w:r>
          </w:p>
        </w:tc>
        <w:tc>
          <w:tcPr>
            <w:tcW w:w="2681" w:type="dxa"/>
          </w:tcPr>
          <w:p>
            <w:pPr>
              <w:pStyle w:val="P13"/>
              <w:ind w:right="-1"/>
              <w:jc w:val="center"/>
              <w:rPr>
                <w:sz w:val="24"/>
                <w:szCs w:val="24"/>
                <w:lang w:val="ru-RU"/>
              </w:rPr>
            </w:pPr>
            <w:r>
              <w:rPr>
                <w:sz w:val="24"/>
                <w:szCs w:val="24"/>
                <w:lang w:val="ru-RU"/>
              </w:rPr>
              <w:t>0,073*</w:t>
            </w:r>
          </w:p>
        </w:tc>
      </w:tr>
      <w:tr>
        <w:trPr>
          <w:trHeight w:hRule="atLeast" w:val="272"/>
        </w:trPr>
        <w:tc>
          <w:tcPr>
            <w:tcW w:w="4726" w:type="dxa"/>
          </w:tcPr>
          <w:p>
            <w:pPr>
              <w:pStyle w:val="P13"/>
              <w:ind w:right="-1"/>
              <w:jc w:val="both"/>
              <w:rPr>
                <w:sz w:val="24"/>
                <w:szCs w:val="24"/>
                <w:lang w:val="ru-RU"/>
              </w:rPr>
            </w:pPr>
            <w:r>
              <w:rPr>
                <w:sz w:val="24"/>
                <w:szCs w:val="24"/>
                <w:lang w:val="ru-RU"/>
              </w:rPr>
              <w:t>Инновации</w:t>
            </w:r>
          </w:p>
        </w:tc>
        <w:tc>
          <w:tcPr>
            <w:tcW w:w="2523" w:type="dxa"/>
          </w:tcPr>
          <w:p>
            <w:pPr>
              <w:pStyle w:val="P13"/>
              <w:ind w:right="-1"/>
              <w:jc w:val="center"/>
              <w:rPr>
                <w:sz w:val="24"/>
                <w:szCs w:val="24"/>
                <w:lang w:val="ru-RU"/>
              </w:rPr>
            </w:pPr>
            <w:r>
              <w:rPr>
                <w:sz w:val="24"/>
                <w:szCs w:val="24"/>
                <w:lang w:val="ru-RU"/>
              </w:rPr>
              <w:t>0,023</w:t>
            </w:r>
          </w:p>
        </w:tc>
        <w:tc>
          <w:tcPr>
            <w:tcW w:w="2681" w:type="dxa"/>
          </w:tcPr>
          <w:p>
            <w:pPr>
              <w:pStyle w:val="P13"/>
              <w:ind w:right="-1"/>
              <w:jc w:val="center"/>
              <w:rPr>
                <w:sz w:val="24"/>
                <w:szCs w:val="24"/>
                <w:lang w:val="ru-RU"/>
              </w:rPr>
            </w:pPr>
            <w:r>
              <w:rPr>
                <w:sz w:val="24"/>
                <w:szCs w:val="24"/>
                <w:lang w:val="ru-RU"/>
              </w:rPr>
              <w:t>0,003**</w:t>
            </w:r>
          </w:p>
        </w:tc>
      </w:tr>
      <w:tr>
        <w:trPr>
          <w:trHeight w:hRule="atLeast" w:val="272"/>
        </w:trPr>
        <w:tc>
          <w:tcPr>
            <w:tcW w:w="4726" w:type="dxa"/>
          </w:tcPr>
          <w:p>
            <w:pPr>
              <w:pStyle w:val="P13"/>
              <w:ind w:right="-1"/>
              <w:jc w:val="both"/>
              <w:rPr>
                <w:sz w:val="24"/>
                <w:szCs w:val="24"/>
                <w:lang w:val="ru-RU"/>
              </w:rPr>
            </w:pPr>
            <w:r>
              <w:rPr>
                <w:sz w:val="24"/>
                <w:szCs w:val="24"/>
                <w:lang w:val="ru-RU"/>
              </w:rPr>
              <w:t>Размер</w:t>
            </w:r>
          </w:p>
        </w:tc>
        <w:tc>
          <w:tcPr>
            <w:tcW w:w="2523" w:type="dxa"/>
          </w:tcPr>
          <w:p>
            <w:pPr>
              <w:pStyle w:val="P13"/>
              <w:ind w:right="-1"/>
              <w:jc w:val="center"/>
              <w:rPr>
                <w:sz w:val="24"/>
                <w:szCs w:val="24"/>
                <w:lang w:val="ru-RU"/>
              </w:rPr>
            </w:pPr>
            <w:r>
              <w:rPr>
                <w:sz w:val="24"/>
                <w:szCs w:val="24"/>
                <w:lang w:val="ru-RU"/>
              </w:rPr>
              <w:t>0,001</w:t>
            </w:r>
          </w:p>
        </w:tc>
        <w:tc>
          <w:tcPr>
            <w:tcW w:w="2681" w:type="dxa"/>
          </w:tcPr>
          <w:p>
            <w:pPr>
              <w:pStyle w:val="P13"/>
              <w:ind w:right="-1"/>
              <w:jc w:val="center"/>
              <w:rPr>
                <w:sz w:val="24"/>
                <w:szCs w:val="24"/>
                <w:lang w:val="ru-RU"/>
              </w:rPr>
            </w:pPr>
            <w:r>
              <w:rPr>
                <w:sz w:val="24"/>
                <w:szCs w:val="24"/>
                <w:lang w:val="ru-RU"/>
              </w:rPr>
              <w:t>0,000***</w:t>
            </w:r>
          </w:p>
        </w:tc>
      </w:tr>
      <w:tr>
        <w:trPr>
          <w:trHeight w:hRule="atLeast" w:val="272"/>
        </w:trPr>
        <w:tc>
          <w:tcPr>
            <w:tcW w:w="4726" w:type="dxa"/>
          </w:tcPr>
          <w:p>
            <w:pPr>
              <w:pStyle w:val="P13"/>
              <w:ind w:right="-1"/>
              <w:jc w:val="both"/>
              <w:rPr>
                <w:sz w:val="24"/>
                <w:szCs w:val="24"/>
                <w:lang w:val="ru-RU"/>
              </w:rPr>
            </w:pPr>
            <w:r>
              <w:rPr>
                <w:rStyle w:val="C39"/>
                <w:sz w:val="24"/>
                <w:szCs w:val="24"/>
                <w:lang w:val="ru-RU"/>
              </w:rPr>
              <w:t>Накладные расходы</w:t>
            </w:r>
          </w:p>
        </w:tc>
        <w:tc>
          <w:tcPr>
            <w:tcW w:w="2523" w:type="dxa"/>
          </w:tcPr>
          <w:p>
            <w:pPr>
              <w:pStyle w:val="P13"/>
              <w:ind w:right="-1"/>
              <w:jc w:val="center"/>
              <w:rPr>
                <w:sz w:val="24"/>
                <w:szCs w:val="24"/>
                <w:lang w:val="ru-RU"/>
              </w:rPr>
            </w:pPr>
            <w:r>
              <w:rPr>
                <w:sz w:val="24"/>
                <w:szCs w:val="24"/>
                <w:lang w:val="ru-RU"/>
              </w:rPr>
              <w:t>-0,017</w:t>
            </w:r>
          </w:p>
        </w:tc>
        <w:tc>
          <w:tcPr>
            <w:tcW w:w="2681" w:type="dxa"/>
          </w:tcPr>
          <w:p>
            <w:pPr>
              <w:pStyle w:val="P13"/>
              <w:ind w:right="-1"/>
              <w:jc w:val="center"/>
              <w:rPr>
                <w:sz w:val="24"/>
                <w:szCs w:val="24"/>
                <w:lang w:val="ru-RU"/>
              </w:rPr>
            </w:pPr>
            <w:r>
              <w:rPr>
                <w:sz w:val="24"/>
                <w:szCs w:val="24"/>
                <w:lang w:val="ru-RU"/>
              </w:rPr>
              <w:t>0,006***</w:t>
            </w:r>
          </w:p>
        </w:tc>
      </w:tr>
      <w:tr>
        <w:trPr>
          <w:trHeight w:hRule="atLeast" w:val="272"/>
        </w:trPr>
        <w:tc>
          <w:tcPr>
            <w:tcW w:w="4726" w:type="dxa"/>
          </w:tcPr>
          <w:p>
            <w:pPr>
              <w:pStyle w:val="P13"/>
              <w:ind w:right="-1"/>
              <w:jc w:val="both"/>
              <w:rPr>
                <w:sz w:val="24"/>
                <w:szCs w:val="24"/>
                <w:lang w:val="ru-RU"/>
              </w:rPr>
            </w:pPr>
            <w:r>
              <w:rPr>
                <w:rStyle w:val="C39"/>
                <w:sz w:val="24"/>
                <w:szCs w:val="24"/>
                <w:lang w:val="ru-RU"/>
              </w:rPr>
              <w:t>Капитальные затраты</w:t>
            </w:r>
          </w:p>
        </w:tc>
        <w:tc>
          <w:tcPr>
            <w:tcW w:w="2523" w:type="dxa"/>
          </w:tcPr>
          <w:p>
            <w:pPr>
              <w:pStyle w:val="P13"/>
              <w:ind w:right="-1"/>
              <w:jc w:val="center"/>
              <w:rPr>
                <w:sz w:val="24"/>
                <w:szCs w:val="24"/>
                <w:lang w:val="ru-RU"/>
              </w:rPr>
            </w:pPr>
            <w:r>
              <w:rPr>
                <w:sz w:val="24"/>
                <w:szCs w:val="24"/>
                <w:lang w:val="ru-RU"/>
              </w:rPr>
              <w:t>0,011</w:t>
            </w:r>
          </w:p>
        </w:tc>
        <w:tc>
          <w:tcPr>
            <w:tcW w:w="2681" w:type="dxa"/>
          </w:tcPr>
          <w:p>
            <w:pPr>
              <w:pStyle w:val="P13"/>
              <w:ind w:right="-1"/>
              <w:jc w:val="center"/>
              <w:rPr>
                <w:sz w:val="24"/>
                <w:szCs w:val="24"/>
                <w:lang w:val="ru-RU"/>
              </w:rPr>
            </w:pPr>
            <w:r>
              <w:rPr>
                <w:sz w:val="24"/>
                <w:szCs w:val="24"/>
                <w:lang w:val="ru-RU"/>
              </w:rPr>
              <w:t>0,006*</w:t>
            </w:r>
          </w:p>
        </w:tc>
      </w:tr>
      <w:tr>
        <w:trPr>
          <w:trHeight w:hRule="atLeast" w:val="272"/>
        </w:trPr>
        <w:tc>
          <w:tcPr>
            <w:tcW w:w="4726" w:type="dxa"/>
          </w:tcPr>
          <w:p>
            <w:pPr>
              <w:pStyle w:val="P13"/>
              <w:ind w:right="-1"/>
              <w:jc w:val="both"/>
              <w:rPr>
                <w:sz w:val="24"/>
                <w:szCs w:val="24"/>
                <w:lang w:val="ru-RU"/>
              </w:rPr>
            </w:pPr>
            <w:r>
              <w:rPr>
                <w:rStyle w:val="C39"/>
                <w:sz w:val="24"/>
                <w:szCs w:val="24"/>
                <w:lang w:val="ru-RU"/>
              </w:rPr>
              <w:t>Показател</w:t>
            </w:r>
            <w:r>
              <w:rPr>
                <w:rStyle w:val="C39"/>
                <w:sz w:val="24"/>
                <w:szCs w:val="24"/>
              </w:rPr>
              <w:t>и деятельности фирмы</w:t>
            </w:r>
          </w:p>
        </w:tc>
        <w:tc>
          <w:tcPr>
            <w:tcW w:w="2523" w:type="dxa"/>
          </w:tcPr>
          <w:p>
            <w:pPr>
              <w:pStyle w:val="P13"/>
              <w:ind w:right="-1"/>
              <w:jc w:val="center"/>
              <w:rPr>
                <w:sz w:val="24"/>
                <w:szCs w:val="24"/>
                <w:lang w:val="ru-RU"/>
              </w:rPr>
            </w:pPr>
            <w:r>
              <w:rPr>
                <w:sz w:val="24"/>
                <w:szCs w:val="24"/>
                <w:lang w:val="ru-RU"/>
              </w:rPr>
              <w:t>0,023</w:t>
            </w:r>
          </w:p>
        </w:tc>
        <w:tc>
          <w:tcPr>
            <w:tcW w:w="2681" w:type="dxa"/>
          </w:tcPr>
          <w:p>
            <w:pPr>
              <w:pStyle w:val="P13"/>
              <w:ind w:right="-1"/>
              <w:jc w:val="center"/>
              <w:rPr>
                <w:sz w:val="24"/>
                <w:szCs w:val="24"/>
                <w:lang w:val="ru-RU"/>
              </w:rPr>
            </w:pPr>
            <w:r>
              <w:rPr>
                <w:sz w:val="24"/>
                <w:szCs w:val="24"/>
                <w:lang w:val="ru-RU"/>
              </w:rPr>
              <w:t>0,014*</w:t>
            </w:r>
          </w:p>
        </w:tc>
      </w:tr>
      <w:tr>
        <w:trPr>
          <w:trHeight w:hRule="atLeast" w:val="272"/>
        </w:trPr>
        <w:tc>
          <w:tcPr>
            <w:tcW w:w="4726" w:type="dxa"/>
          </w:tcPr>
          <w:p>
            <w:pPr>
              <w:pStyle w:val="P13"/>
              <w:ind w:right="-1"/>
              <w:jc w:val="both"/>
              <w:rPr>
                <w:sz w:val="24"/>
                <w:szCs w:val="24"/>
                <w:lang w:val="ru-RU"/>
              </w:rPr>
            </w:pPr>
            <w:r>
              <w:rPr>
                <w:rStyle w:val="C39"/>
                <w:sz w:val="24"/>
                <w:szCs w:val="24"/>
              </w:rPr>
              <w:t xml:space="preserve">Образование </w:t>
            </w:r>
          </w:p>
        </w:tc>
        <w:tc>
          <w:tcPr>
            <w:tcW w:w="2523" w:type="dxa"/>
          </w:tcPr>
          <w:p>
            <w:pPr>
              <w:pStyle w:val="P13"/>
              <w:ind w:right="-1"/>
              <w:jc w:val="center"/>
              <w:rPr>
                <w:sz w:val="24"/>
                <w:szCs w:val="24"/>
                <w:lang w:val="ru-RU"/>
              </w:rPr>
            </w:pPr>
            <w:r>
              <w:rPr>
                <w:sz w:val="24"/>
                <w:szCs w:val="24"/>
                <w:lang w:val="ru-RU"/>
              </w:rPr>
              <w:t>0,100</w:t>
            </w:r>
          </w:p>
        </w:tc>
        <w:tc>
          <w:tcPr>
            <w:tcW w:w="2681" w:type="dxa"/>
          </w:tcPr>
          <w:p>
            <w:pPr>
              <w:pStyle w:val="P13"/>
              <w:ind w:right="-1"/>
              <w:jc w:val="center"/>
              <w:rPr>
                <w:sz w:val="24"/>
                <w:szCs w:val="24"/>
                <w:lang w:val="ru-RU"/>
              </w:rPr>
            </w:pPr>
            <w:r>
              <w:rPr>
                <w:sz w:val="24"/>
                <w:szCs w:val="24"/>
                <w:lang w:val="ru-RU"/>
              </w:rPr>
              <w:t>0,068</w:t>
            </w:r>
          </w:p>
        </w:tc>
      </w:tr>
      <w:tr>
        <w:trPr>
          <w:trHeight w:hRule="atLeast" w:val="285"/>
        </w:trPr>
        <w:tc>
          <w:tcPr>
            <w:tcW w:w="4726" w:type="dxa"/>
          </w:tcPr>
          <w:p>
            <w:pPr>
              <w:pStyle w:val="P13"/>
              <w:ind w:right="-1"/>
              <w:jc w:val="both"/>
              <w:rPr>
                <w:sz w:val="24"/>
                <w:szCs w:val="24"/>
                <w:lang w:val="ru-RU"/>
              </w:rPr>
            </w:pPr>
            <w:r>
              <w:rPr>
                <w:rStyle w:val="C39"/>
                <w:sz w:val="24"/>
                <w:szCs w:val="24"/>
              </w:rPr>
              <w:t>Опыт</w:t>
            </w:r>
          </w:p>
        </w:tc>
        <w:tc>
          <w:tcPr>
            <w:tcW w:w="2523" w:type="dxa"/>
          </w:tcPr>
          <w:p>
            <w:pPr>
              <w:pStyle w:val="P13"/>
              <w:ind w:right="-1"/>
              <w:jc w:val="center"/>
              <w:rPr>
                <w:sz w:val="24"/>
                <w:szCs w:val="24"/>
                <w:lang w:val="ru-RU"/>
              </w:rPr>
            </w:pPr>
            <w:r>
              <w:rPr>
                <w:sz w:val="24"/>
                <w:szCs w:val="24"/>
                <w:lang w:val="ru-RU"/>
              </w:rPr>
              <w:t>-0,003</w:t>
            </w:r>
          </w:p>
        </w:tc>
        <w:tc>
          <w:tcPr>
            <w:tcW w:w="2681" w:type="dxa"/>
          </w:tcPr>
          <w:p>
            <w:pPr>
              <w:pStyle w:val="P13"/>
              <w:ind w:right="-1"/>
              <w:jc w:val="center"/>
              <w:rPr>
                <w:sz w:val="24"/>
                <w:szCs w:val="24"/>
                <w:lang w:val="ru-RU"/>
              </w:rPr>
            </w:pPr>
            <w:r>
              <w:rPr>
                <w:sz w:val="24"/>
                <w:szCs w:val="24"/>
                <w:lang w:val="ru-RU"/>
              </w:rPr>
              <w:t>0,004</w:t>
            </w:r>
          </w:p>
        </w:tc>
      </w:tr>
      <w:tr>
        <w:trPr>
          <w:trHeight w:hRule="atLeast" w:val="272"/>
        </w:trPr>
        <w:tc>
          <w:tcPr>
            <w:tcW w:w="4726" w:type="dxa"/>
          </w:tcPr>
          <w:p>
            <w:pPr>
              <w:pStyle w:val="P13"/>
              <w:ind w:right="-1"/>
              <w:jc w:val="both"/>
              <w:rPr>
                <w:sz w:val="24"/>
                <w:szCs w:val="24"/>
                <w:lang w:val="ru-RU"/>
              </w:rPr>
            </w:pPr>
            <w:r>
              <w:rPr>
                <w:sz w:val="24"/>
                <w:szCs w:val="24"/>
                <w:lang w:val="ru-RU"/>
              </w:rPr>
              <w:t xml:space="preserve">Константа </w:t>
            </w:r>
          </w:p>
        </w:tc>
        <w:tc>
          <w:tcPr>
            <w:tcW w:w="2523" w:type="dxa"/>
          </w:tcPr>
          <w:p>
            <w:pPr>
              <w:pStyle w:val="P13"/>
              <w:ind w:right="-1"/>
              <w:jc w:val="center"/>
              <w:rPr>
                <w:sz w:val="24"/>
                <w:szCs w:val="24"/>
                <w:lang w:val="ru-RU"/>
              </w:rPr>
            </w:pPr>
            <w:r>
              <w:rPr>
                <w:sz w:val="24"/>
                <w:szCs w:val="24"/>
                <w:lang w:val="ru-RU"/>
              </w:rPr>
              <w:t>-1,528</w:t>
            </w:r>
          </w:p>
        </w:tc>
        <w:tc>
          <w:tcPr>
            <w:tcW w:w="2681" w:type="dxa"/>
          </w:tcPr>
          <w:p>
            <w:pPr>
              <w:pStyle w:val="P13"/>
              <w:ind w:right="-1"/>
              <w:jc w:val="center"/>
              <w:rPr>
                <w:sz w:val="24"/>
                <w:szCs w:val="24"/>
                <w:lang w:val="ru-RU"/>
              </w:rPr>
            </w:pPr>
            <w:r>
              <w:rPr>
                <w:sz w:val="24"/>
                <w:szCs w:val="24"/>
                <w:lang w:val="ru-RU"/>
              </w:rPr>
              <w:t>0,215***</w:t>
            </w:r>
          </w:p>
        </w:tc>
      </w:tr>
      <w:tr>
        <w:trPr>
          <w:trHeight w:hRule="atLeast" w:val="272"/>
        </w:trPr>
        <w:tc>
          <w:tcPr>
            <w:tcW w:w="4726" w:type="dxa"/>
          </w:tcPr>
          <w:p>
            <w:pPr>
              <w:pStyle w:val="P13"/>
              <w:ind w:right="-1"/>
              <w:jc w:val="both"/>
              <w:rPr>
                <w:sz w:val="24"/>
                <w:szCs w:val="24"/>
                <w:lang w:val="ru-RU"/>
              </w:rPr>
            </w:pPr>
            <w:r>
              <w:rPr>
                <w:sz w:val="24"/>
                <w:szCs w:val="24"/>
                <w:lang w:val="ru-RU"/>
              </w:rPr>
              <w:t>Размер выборки</w:t>
            </w:r>
          </w:p>
        </w:tc>
        <w:tc>
          <w:tcPr>
            <w:tcW w:w="2523" w:type="dxa"/>
          </w:tcPr>
          <w:p>
            <w:pPr>
              <w:pStyle w:val="P13"/>
              <w:ind w:right="-1"/>
              <w:jc w:val="center"/>
              <w:rPr>
                <w:sz w:val="24"/>
                <w:szCs w:val="24"/>
                <w:lang w:val="ru-RU"/>
              </w:rPr>
            </w:pPr>
          </w:p>
        </w:tc>
        <w:tc>
          <w:tcPr>
            <w:tcW w:w="2681" w:type="dxa"/>
          </w:tcPr>
          <w:p>
            <w:pPr>
              <w:pStyle w:val="P13"/>
              <w:ind w:right="-1"/>
              <w:jc w:val="center"/>
              <w:rPr>
                <w:sz w:val="24"/>
                <w:szCs w:val="24"/>
                <w:lang w:val="ru-RU"/>
              </w:rPr>
            </w:pPr>
            <w:r>
              <w:rPr>
                <w:sz w:val="24"/>
                <w:szCs w:val="24"/>
                <w:lang w:val="ru-RU"/>
              </w:rPr>
              <w:t>2140</w:t>
            </w:r>
          </w:p>
        </w:tc>
      </w:tr>
      <w:tr>
        <w:trPr>
          <w:trHeight w:hRule="atLeast" w:val="272"/>
        </w:trPr>
        <w:tc>
          <w:tcPr>
            <w:tcW w:w="4726" w:type="dxa"/>
          </w:tcPr>
          <w:p>
            <w:pPr>
              <w:pStyle w:val="P13"/>
              <w:ind w:right="-1"/>
              <w:jc w:val="both"/>
              <w:rPr>
                <w:sz w:val="24"/>
                <w:szCs w:val="24"/>
                <w:lang w:val="ru-RU"/>
              </w:rPr>
            </w:pPr>
            <w:r>
              <w:rPr>
                <w:sz w:val="24"/>
                <w:szCs w:val="24"/>
                <w:lang w:val="ru-RU"/>
              </w:rPr>
              <w:t>Контрольная выборка</w:t>
            </w:r>
          </w:p>
        </w:tc>
        <w:tc>
          <w:tcPr>
            <w:tcW w:w="2523" w:type="dxa"/>
          </w:tcPr>
          <w:p>
            <w:pPr>
              <w:pStyle w:val="P13"/>
              <w:ind w:right="-1"/>
              <w:jc w:val="center"/>
              <w:rPr>
                <w:sz w:val="24"/>
                <w:szCs w:val="24"/>
                <w:lang w:val="ru-RU"/>
              </w:rPr>
            </w:pPr>
          </w:p>
        </w:tc>
        <w:tc>
          <w:tcPr>
            <w:tcW w:w="2681" w:type="dxa"/>
          </w:tcPr>
          <w:p>
            <w:pPr>
              <w:pStyle w:val="P13"/>
              <w:ind w:right="-1"/>
              <w:jc w:val="center"/>
              <w:rPr>
                <w:sz w:val="24"/>
                <w:szCs w:val="24"/>
                <w:lang w:val="ru-RU"/>
              </w:rPr>
            </w:pPr>
            <w:r>
              <w:rPr>
                <w:sz w:val="24"/>
                <w:szCs w:val="24"/>
                <w:lang w:val="ru-RU"/>
              </w:rPr>
              <w:t>536</w:t>
            </w:r>
          </w:p>
        </w:tc>
      </w:tr>
      <w:tr>
        <w:trPr>
          <w:trHeight w:hRule="atLeast" w:val="272"/>
        </w:trPr>
        <w:tc>
          <w:tcPr>
            <w:tcW w:w="4726" w:type="dxa"/>
          </w:tcPr>
          <w:p>
            <w:pPr>
              <w:pStyle w:val="P13"/>
              <w:ind w:right="-1"/>
              <w:jc w:val="both"/>
              <w:rPr>
                <w:sz w:val="24"/>
                <w:szCs w:val="24"/>
                <w:lang w:val="ru-RU"/>
              </w:rPr>
            </w:pPr>
            <w:r>
              <w:rPr>
                <w:sz w:val="24"/>
                <w:szCs w:val="24"/>
              </w:rPr>
              <w:t>F</w:t>
            </w:r>
            <w:r>
              <w:rPr>
                <w:sz w:val="24"/>
                <w:szCs w:val="24"/>
                <w:lang w:val="ru-RU"/>
              </w:rPr>
              <w:t>-кр. (значимость)</w:t>
            </w:r>
          </w:p>
        </w:tc>
        <w:tc>
          <w:tcPr>
            <w:tcW w:w="2523" w:type="dxa"/>
          </w:tcPr>
          <w:p>
            <w:pPr>
              <w:pStyle w:val="P13"/>
              <w:ind w:right="-1"/>
              <w:jc w:val="center"/>
              <w:rPr>
                <w:sz w:val="24"/>
                <w:szCs w:val="24"/>
                <w:lang w:val="ru-RU"/>
              </w:rPr>
            </w:pPr>
          </w:p>
        </w:tc>
        <w:tc>
          <w:tcPr>
            <w:tcW w:w="2681" w:type="dxa"/>
          </w:tcPr>
          <w:p>
            <w:pPr>
              <w:pStyle w:val="P13"/>
              <w:ind w:right="-1"/>
              <w:jc w:val="center"/>
              <w:rPr>
                <w:sz w:val="24"/>
                <w:szCs w:val="24"/>
                <w:lang w:val="ru-RU"/>
              </w:rPr>
            </w:pPr>
            <w:r>
              <w:rPr>
                <w:sz w:val="24"/>
                <w:szCs w:val="24"/>
                <w:lang w:val="ru-RU"/>
              </w:rPr>
              <w:t>0,000</w:t>
            </w:r>
          </w:p>
        </w:tc>
      </w:tr>
      <w:tr>
        <w:trPr>
          <w:trHeight w:hRule="atLeast" w:val="272"/>
        </w:trPr>
        <w:tc>
          <w:tcPr>
            <w:tcW w:w="4726" w:type="dxa"/>
          </w:tcPr>
          <w:p>
            <w:pPr>
              <w:pStyle w:val="P13"/>
              <w:ind w:right="-1"/>
              <w:jc w:val="both"/>
              <w:rPr>
                <w:sz w:val="24"/>
                <w:szCs w:val="24"/>
                <w:lang w:val="ru-RU"/>
              </w:rPr>
            </w:pPr>
            <w:r>
              <w:rPr>
                <w:sz w:val="24"/>
                <w:szCs w:val="24"/>
              </w:rPr>
              <w:t>R</w:t>
            </w:r>
            <w:r>
              <w:rPr>
                <w:sz w:val="24"/>
                <w:szCs w:val="24"/>
                <w:vertAlign w:val="superscript"/>
              </w:rPr>
              <w:t>2</w:t>
            </w:r>
            <w:r>
              <w:rPr>
                <w:sz w:val="24"/>
                <w:szCs w:val="24"/>
              </w:rPr>
              <w:t xml:space="preserve"> </w:t>
            </w:r>
            <w:r>
              <w:rPr>
                <w:sz w:val="24"/>
                <w:szCs w:val="24"/>
                <w:lang w:val="ru-RU"/>
              </w:rPr>
              <w:t>псевдо</w:t>
            </w:r>
          </w:p>
        </w:tc>
        <w:tc>
          <w:tcPr>
            <w:tcW w:w="2523" w:type="dxa"/>
          </w:tcPr>
          <w:p>
            <w:pPr>
              <w:pStyle w:val="P13"/>
              <w:ind w:right="-1"/>
              <w:jc w:val="center"/>
              <w:rPr>
                <w:sz w:val="24"/>
                <w:szCs w:val="24"/>
                <w:lang w:val="ru-RU"/>
              </w:rPr>
            </w:pPr>
          </w:p>
        </w:tc>
        <w:tc>
          <w:tcPr>
            <w:tcW w:w="2681" w:type="dxa"/>
          </w:tcPr>
          <w:p>
            <w:pPr>
              <w:pStyle w:val="P13"/>
              <w:ind w:right="-1"/>
              <w:jc w:val="center"/>
              <w:rPr>
                <w:sz w:val="24"/>
                <w:szCs w:val="24"/>
                <w:lang w:val="ru-RU"/>
              </w:rPr>
            </w:pPr>
            <w:r>
              <w:rPr>
                <w:sz w:val="24"/>
                <w:szCs w:val="24"/>
                <w:lang w:val="ru-RU"/>
              </w:rPr>
              <w:t>0,048</w:t>
            </w:r>
          </w:p>
        </w:tc>
      </w:tr>
      <w:tr>
        <w:trPr>
          <w:trHeight w:hRule="atLeast" w:val="272"/>
        </w:trPr>
        <w:tc>
          <w:tcPr>
            <w:tcW w:w="4726" w:type="dxa"/>
          </w:tcPr>
          <w:p>
            <w:pPr>
              <w:pStyle w:val="P13"/>
              <w:ind w:right="-1"/>
              <w:jc w:val="both"/>
              <w:rPr>
                <w:sz w:val="24"/>
                <w:szCs w:val="24"/>
                <w:lang w:val="ru-RU"/>
              </w:rPr>
            </w:pPr>
            <w:r>
              <w:rPr>
                <w:sz w:val="24"/>
                <w:szCs w:val="24"/>
                <w:lang w:val="ru-RU"/>
              </w:rPr>
              <w:t>Свойство баланса</w:t>
            </w:r>
          </w:p>
        </w:tc>
        <w:tc>
          <w:tcPr>
            <w:tcW w:w="2523" w:type="dxa"/>
          </w:tcPr>
          <w:p>
            <w:pPr>
              <w:pStyle w:val="P13"/>
              <w:ind w:right="-1"/>
              <w:jc w:val="center"/>
              <w:rPr>
                <w:sz w:val="24"/>
                <w:szCs w:val="24"/>
                <w:lang w:val="ru-RU"/>
              </w:rPr>
            </w:pPr>
          </w:p>
        </w:tc>
        <w:tc>
          <w:tcPr>
            <w:tcW w:w="2681" w:type="dxa"/>
          </w:tcPr>
          <w:p>
            <w:pPr>
              <w:pStyle w:val="P13"/>
              <w:ind w:right="-1"/>
              <w:jc w:val="center"/>
              <w:rPr>
                <w:sz w:val="24"/>
                <w:szCs w:val="24"/>
                <w:lang w:val="ru-RU"/>
              </w:rPr>
            </w:pPr>
            <w:r>
              <w:rPr>
                <w:sz w:val="24"/>
                <w:szCs w:val="24"/>
                <w:lang w:val="ru-RU"/>
              </w:rPr>
              <w:t>Выполнено</w:t>
            </w:r>
          </w:p>
        </w:tc>
      </w:tr>
      <w:tr>
        <w:trPr>
          <w:trHeight w:hRule="atLeast" w:val="272"/>
        </w:trPr>
        <w:tc>
          <w:tcPr>
            <w:tcW w:w="4726" w:type="dxa"/>
          </w:tcPr>
          <w:p>
            <w:pPr>
              <w:pStyle w:val="P13"/>
              <w:ind w:right="-1"/>
              <w:jc w:val="both"/>
              <w:rPr>
                <w:sz w:val="24"/>
                <w:szCs w:val="24"/>
                <w:lang w:val="ru-RU"/>
              </w:rPr>
            </w:pPr>
            <w:r>
              <w:rPr>
                <w:sz w:val="24"/>
                <w:szCs w:val="24"/>
                <w:lang w:val="ru-RU"/>
              </w:rPr>
              <w:t>Число блоков</w:t>
            </w:r>
          </w:p>
        </w:tc>
        <w:tc>
          <w:tcPr>
            <w:tcW w:w="2523" w:type="dxa"/>
          </w:tcPr>
          <w:p>
            <w:pPr>
              <w:pStyle w:val="P13"/>
              <w:ind w:right="-1"/>
              <w:jc w:val="center"/>
              <w:rPr>
                <w:sz w:val="24"/>
                <w:szCs w:val="24"/>
                <w:lang w:val="ru-RU"/>
              </w:rPr>
            </w:pPr>
          </w:p>
        </w:tc>
        <w:tc>
          <w:tcPr>
            <w:tcW w:w="2681" w:type="dxa"/>
          </w:tcPr>
          <w:p>
            <w:pPr>
              <w:pStyle w:val="P13"/>
              <w:ind w:right="-1"/>
              <w:jc w:val="center"/>
              <w:rPr>
                <w:sz w:val="24"/>
                <w:szCs w:val="24"/>
                <w:lang w:val="ru-RU"/>
              </w:rPr>
            </w:pPr>
            <w:r>
              <w:rPr>
                <w:sz w:val="24"/>
                <w:szCs w:val="24"/>
                <w:lang w:val="ru-RU"/>
              </w:rPr>
              <w:t>9</w:t>
            </w:r>
          </w:p>
        </w:tc>
      </w:tr>
    </w:tbl>
    <w:p>
      <w:pPr>
        <w:pStyle w:val="P13"/>
        <w:ind w:right="-1"/>
        <w:jc w:val="both"/>
        <w:rPr>
          <w:sz w:val="24"/>
          <w:szCs w:val="24"/>
          <w:lang w:val="ru-RU"/>
        </w:rPr>
      </w:pPr>
      <w:r>
        <w:rPr>
          <w:sz w:val="24"/>
          <w:szCs w:val="24"/>
          <w:lang w:val="ru-RU"/>
        </w:rPr>
        <w:t>Примечание: ***р &lt; 0,01, **р &lt; 0,05, *р &lt; 0,10. Веса выборки не используются на начальных этапах расчета показателей склонности</w:t>
      </w:r>
    </w:p>
    <w:p>
      <w:pPr>
        <w:pStyle w:val="P13"/>
        <w:spacing w:lineRule="auto" w:line="360" w:beforeAutospacing="0" w:afterAutospacing="0"/>
        <w:ind w:firstLine="709" w:right="-1"/>
        <w:jc w:val="both"/>
        <w:rPr>
          <w:sz w:val="28"/>
          <w:szCs w:val="28"/>
          <w:lang w:val="ru-RU"/>
        </w:rPr>
      </w:pPr>
    </w:p>
    <w:p>
      <w:pPr>
        <w:pStyle w:val="P13"/>
        <w:spacing w:lineRule="auto" w:line="360" w:beforeAutospacing="0" w:afterAutospacing="0"/>
        <w:ind w:firstLine="709"/>
        <w:jc w:val="both"/>
        <w:rPr>
          <w:sz w:val="28"/>
          <w:szCs w:val="28"/>
          <w:lang w:val="ru-RU"/>
        </w:rPr>
      </w:pPr>
      <w:r>
        <w:rPr>
          <w:sz w:val="28"/>
          <w:szCs w:val="28"/>
          <w:lang w:val="ru-RU"/>
        </w:rPr>
        <w:t>Также были проведены балансировочные тесты, чтобы проверить эффективность процесса согласования и убедиться, что существенные различия между наблюдаемыми характеристиками фирм для двух групп уменьшаются после процесса сопоставления. Как видно, важными факторами, улучшающими доступ фирм к некоторым услугам финансовых учреждений, являются характеристики фирмы, а не характеристики менеджеров. Например, уровень образования и опыт менеджера не оказали существенного влияния на доступ фирм к кредитной линии, овердрафту и даже ссудному капиталу, который может финансировать до 50 % оборотного капитала. Напротив, такие характеристики фирмы, как юридическая структура (независимо от того, является ли она публичной), местонахождение, год создания, инновационный потенциал, размер (с точки зрения количества сотрудников), структура активов и результаты деятельности, положительно влияют на доступ к финансовым услугам. Как и ожидалось, более высокие текущие расходы являются фактором, сдерживающим доступ к услугам финансовых учреждений.</w:t>
      </w:r>
    </w:p>
    <w:p>
      <w:pPr>
        <w:pStyle w:val="P13"/>
        <w:spacing w:lineRule="auto" w:line="360" w:beforeAutospacing="0" w:afterAutospacing="0"/>
        <w:ind w:firstLine="709" w:right="-1"/>
        <w:jc w:val="both"/>
        <w:rPr>
          <w:sz w:val="28"/>
          <w:szCs w:val="28"/>
          <w:lang w:val="ru-RU"/>
        </w:rPr>
      </w:pPr>
      <w:bookmarkEnd w:id="30"/>
      <w:r>
        <w:rPr>
          <w:sz w:val="28"/>
          <w:szCs w:val="28"/>
          <w:lang w:val="ru-RU"/>
        </w:rPr>
        <w:t>В целом полученные результаты соответствуют основным выводам в литературе. Например, Б. Озтюрк и М. Мркаич [</w:t>
      </w:r>
      <w:r>
        <w:rPr>
          <w:sz w:val="28"/>
          <w:szCs w:val="28"/>
          <w:highlight w:val="yellow"/>
          <w:lang w:val="ru-RU"/>
        </w:rPr>
        <w:t>148]</w:t>
      </w:r>
      <w:r>
        <w:rPr>
          <w:sz w:val="28"/>
          <w:szCs w:val="28"/>
          <w:lang w:val="ru-RU"/>
        </w:rPr>
        <w:t xml:space="preserve"> обнаружили, что размер и возраст фирмы являются важным фактором, определяющим доступность кредитных ресурсов. А. Кира и З. Хи показали, что местонахождение фирмы является одним из определяющих факторов для облегчения доступа к финансированию от танзанийских финансовых учреждений [</w:t>
      </w:r>
      <w:r>
        <w:rPr>
          <w:sz w:val="28"/>
          <w:szCs w:val="28"/>
          <w:highlight w:val="yellow"/>
          <w:lang w:val="ru-RU"/>
        </w:rPr>
        <w:t>119</w:t>
      </w:r>
      <w:r>
        <w:rPr>
          <w:sz w:val="28"/>
          <w:szCs w:val="28"/>
          <w:lang w:val="ru-RU"/>
        </w:rPr>
        <w:t xml:space="preserve">].  Данные выводы можно считать очевидными, так как эти факторы учитываются банками при расчете уровня риска заемщика, тем не менее в Республике Кот-д’Ивуар существует множество иных факторов, которые могут повлиять на решение финансовых учреждений.</w:t>
      </w:r>
    </w:p>
    <w:p>
      <w:pPr>
        <w:pStyle w:val="P13"/>
        <w:spacing w:lineRule="auto" w:line="360" w:beforeAutospacing="0" w:afterAutospacing="0"/>
        <w:ind w:firstLine="709" w:right="-1"/>
        <w:jc w:val="both"/>
        <w:rPr>
          <w:sz w:val="28"/>
          <w:szCs w:val="28"/>
          <w:lang w:val="ru-RU"/>
        </w:rPr>
      </w:pPr>
      <w:r>
        <w:rPr>
          <w:sz w:val="28"/>
          <w:szCs w:val="28"/>
          <w:lang w:val="ru-RU"/>
        </w:rPr>
        <w:t xml:space="preserve">Результаты проверки качества балансировки представлены в таблице </w:t>
      </w:r>
      <w:r>
        <w:rPr>
          <w:sz w:val="28"/>
          <w:szCs w:val="28"/>
          <w:highlight w:val="yellow"/>
          <w:lang w:val="ru-RU"/>
        </w:rPr>
        <w:t>3.9</w:t>
      </w:r>
      <w:r>
        <w:rPr>
          <w:sz w:val="28"/>
          <w:szCs w:val="28"/>
          <w:lang w:val="ru-RU"/>
        </w:rPr>
        <w:t xml:space="preserve">. </w:t>
      </w:r>
    </w:p>
    <w:p>
      <w:pPr>
        <w:pStyle w:val="P13"/>
        <w:spacing w:lineRule="auto" w:line="360" w:beforeAutospacing="0" w:afterAutospacing="0"/>
        <w:jc w:val="both"/>
        <w:rPr>
          <w:sz w:val="28"/>
          <w:szCs w:val="28"/>
          <w:lang w:val="ru-RU"/>
        </w:rPr>
      </w:pPr>
      <w:r>
        <w:rPr>
          <w:sz w:val="28"/>
          <w:szCs w:val="28"/>
          <w:lang w:val="ru-RU"/>
        </w:rPr>
        <w:t xml:space="preserve">Таблица </w:t>
      </w:r>
      <w:r>
        <w:rPr>
          <w:sz w:val="28"/>
          <w:szCs w:val="28"/>
          <w:highlight w:val="yellow"/>
          <w:lang w:val="ru-RU"/>
        </w:rPr>
        <w:t>3.9</w:t>
      </w:r>
      <w:r>
        <w:rPr>
          <w:sz w:val="28"/>
          <w:szCs w:val="28"/>
          <w:lang w:val="ru-RU"/>
        </w:rPr>
        <w:t xml:space="preserve"> – Соответствующее качество (составлено автором)</w:t>
      </w:r>
    </w:p>
    <w:tbl>
      <w:tblPr>
        <w:tblStyle w:val="T3"/>
        <w:tblW w:w="0" w:type="auto"/>
        <w:tblLook w:val="04A0"/>
      </w:tblPr>
      <w:tblGrid>
        <w:gridCol w:w="1871"/>
        <w:gridCol w:w="1134"/>
        <w:gridCol w:w="1248"/>
        <w:gridCol w:w="801"/>
        <w:gridCol w:w="928"/>
        <w:gridCol w:w="1101"/>
        <w:gridCol w:w="1309"/>
        <w:gridCol w:w="1459"/>
      </w:tblGrid>
      <w:tr>
        <w:trPr>
          <w:trHeight w:hRule="atLeast" w:val="544"/>
        </w:trPr>
        <w:tc>
          <w:tcPr>
            <w:tcW w:w="1871" w:type="dxa"/>
          </w:tcPr>
          <w:p>
            <w:pPr>
              <w:pStyle w:val="P13"/>
              <w:jc w:val="both"/>
              <w:rPr>
                <w:sz w:val="24"/>
                <w:szCs w:val="24"/>
                <w:lang w:val="ru-RU"/>
              </w:rPr>
            </w:pPr>
            <w:r>
              <w:rPr>
                <w:sz w:val="24"/>
                <w:szCs w:val="24"/>
                <w:lang w:val="ru-RU"/>
              </w:rPr>
              <w:t>Алгоритмы сопоставления</w:t>
            </w:r>
          </w:p>
        </w:tc>
        <w:tc>
          <w:tcPr>
            <w:tcW w:w="1134" w:type="dxa"/>
          </w:tcPr>
          <w:p>
            <w:pPr>
              <w:pStyle w:val="P13"/>
              <w:jc w:val="both"/>
              <w:rPr>
                <w:sz w:val="24"/>
                <w:szCs w:val="24"/>
                <w:lang w:val="ru-RU"/>
              </w:rPr>
            </w:pPr>
            <w:r>
              <w:rPr>
                <w:sz w:val="24"/>
                <w:szCs w:val="24"/>
                <w:lang w:val="ru-RU"/>
              </w:rPr>
              <w:t xml:space="preserve">Итог </w:t>
            </w:r>
            <w:r>
              <w:rPr>
                <w:rFonts w:ascii="VdxkxfFlkfmlLjfckvNnxmgpGalliar" w:hAnsi="VdxkxfFlkfmlLjfckvNnxmgpGalliar" w:cs="VdxkxfFlkfmlLjfckvNnxmgpGalliar"/>
                <w:i w:val="1"/>
                <w:iCs w:val="1"/>
                <w:sz w:val="16"/>
                <w:szCs w:val="16"/>
              </w:rPr>
              <w:t>Outcome</w:t>
            </w:r>
          </w:p>
        </w:tc>
        <w:tc>
          <w:tcPr>
            <w:tcW w:w="1248" w:type="dxa"/>
          </w:tcPr>
          <w:p>
            <w:pPr>
              <w:pStyle w:val="P13"/>
              <w:jc w:val="both"/>
              <w:rPr>
                <w:sz w:val="24"/>
                <w:szCs w:val="24"/>
                <w:lang w:val="ru-RU"/>
              </w:rPr>
            </w:pPr>
            <w:r>
              <w:rPr>
                <w:sz w:val="24"/>
                <w:szCs w:val="24"/>
                <w:lang w:val="ru-RU"/>
              </w:rPr>
              <w:t>Образец</w:t>
            </w:r>
          </w:p>
        </w:tc>
        <w:tc>
          <w:tcPr>
            <w:tcW w:w="801" w:type="dxa"/>
          </w:tcPr>
          <w:p>
            <w:pPr>
              <w:pStyle w:val="P13"/>
              <w:jc w:val="both"/>
              <w:rPr>
                <w:sz w:val="24"/>
                <w:szCs w:val="24"/>
              </w:rPr>
            </w:pPr>
            <w:r>
              <w:rPr>
                <w:sz w:val="24"/>
                <w:szCs w:val="24"/>
              </w:rPr>
              <w:t>R</w:t>
            </w:r>
            <w:r>
              <w:rPr>
                <w:sz w:val="24"/>
                <w:szCs w:val="24"/>
                <w:vertAlign w:val="superscript"/>
              </w:rPr>
              <w:t>2</w:t>
            </w:r>
          </w:p>
        </w:tc>
        <w:tc>
          <w:tcPr>
            <w:tcW w:w="928" w:type="dxa"/>
          </w:tcPr>
          <w:p>
            <w:pPr>
              <w:pStyle w:val="P13"/>
              <w:jc w:val="both"/>
              <w:rPr>
                <w:sz w:val="24"/>
                <w:szCs w:val="24"/>
              </w:rPr>
            </w:pPr>
            <w:r>
              <w:rPr>
                <w:sz w:val="24"/>
                <w:szCs w:val="24"/>
              </w:rPr>
              <w:t>Chi</w:t>
            </w:r>
            <w:r>
              <w:rPr>
                <w:sz w:val="24"/>
                <w:szCs w:val="24"/>
                <w:vertAlign w:val="superscript"/>
              </w:rPr>
              <w:t>2</w:t>
            </w:r>
          </w:p>
        </w:tc>
        <w:tc>
          <w:tcPr>
            <w:tcW w:w="1101" w:type="dxa"/>
          </w:tcPr>
          <w:p>
            <w:pPr>
              <w:pStyle w:val="P13"/>
              <w:jc w:val="both"/>
              <w:rPr>
                <w:sz w:val="24"/>
                <w:szCs w:val="24"/>
              </w:rPr>
            </w:pPr>
            <w:r>
              <w:rPr>
                <w:sz w:val="24"/>
                <w:szCs w:val="24"/>
              </w:rPr>
              <w:t>p &gt; Chi</w:t>
            </w:r>
            <w:r>
              <w:rPr>
                <w:sz w:val="24"/>
                <w:szCs w:val="24"/>
                <w:vertAlign w:val="superscript"/>
              </w:rPr>
              <w:t>2</w:t>
            </w:r>
          </w:p>
        </w:tc>
        <w:tc>
          <w:tcPr>
            <w:tcW w:w="1309" w:type="dxa"/>
          </w:tcPr>
          <w:p>
            <w:pPr>
              <w:pStyle w:val="P13"/>
              <w:jc w:val="both"/>
              <w:rPr>
                <w:sz w:val="24"/>
                <w:szCs w:val="24"/>
                <w:lang w:val="ru-RU"/>
              </w:rPr>
            </w:pPr>
            <w:r>
              <w:rPr>
                <w:sz w:val="24"/>
                <w:szCs w:val="24"/>
                <w:lang w:val="ru-RU"/>
              </w:rPr>
              <w:t>Среднее смещение</w:t>
            </w:r>
          </w:p>
        </w:tc>
        <w:tc>
          <w:tcPr>
            <w:tcW w:w="1459" w:type="dxa"/>
          </w:tcPr>
          <w:p>
            <w:pPr>
              <w:pStyle w:val="P13"/>
              <w:jc w:val="both"/>
              <w:rPr>
                <w:sz w:val="24"/>
                <w:szCs w:val="24"/>
                <w:lang w:val="ru-RU"/>
              </w:rPr>
            </w:pPr>
            <w:r>
              <w:rPr>
                <w:sz w:val="24"/>
                <w:szCs w:val="24"/>
                <w:lang w:val="ru-RU"/>
              </w:rPr>
              <w:t>Медианное смещение</w:t>
            </w:r>
          </w:p>
        </w:tc>
      </w:tr>
      <w:tr>
        <w:trPr>
          <w:trHeight w:hRule="atLeast" w:val="558"/>
        </w:trPr>
        <w:tc>
          <w:tcPr>
            <w:tcW w:w="1871" w:type="dxa"/>
            <w:vMerge w:val="restart"/>
          </w:tcPr>
          <w:p>
            <w:pPr>
              <w:pStyle w:val="P13"/>
              <w:jc w:val="both"/>
              <w:rPr>
                <w:sz w:val="24"/>
                <w:szCs w:val="24"/>
                <w:lang w:val="ru-RU"/>
              </w:rPr>
            </w:pPr>
            <w:r>
              <w:rPr>
                <w:sz w:val="24"/>
                <w:szCs w:val="24"/>
                <w:lang w:val="ru-RU"/>
              </w:rPr>
              <w:t>Сопоставление с ближайшим соседом (</w:t>
            </w:r>
            <w:r>
              <w:rPr>
                <w:sz w:val="24"/>
                <w:szCs w:val="24"/>
              </w:rPr>
              <w:t>NNM</w:t>
            </w:r>
            <w:r>
              <w:rPr>
                <w:sz w:val="24"/>
                <w:szCs w:val="24"/>
                <w:lang w:val="ru-RU"/>
              </w:rPr>
              <w:t>)</w:t>
            </w:r>
          </w:p>
        </w:tc>
        <w:tc>
          <w:tcPr>
            <w:tcW w:w="1134" w:type="dxa"/>
          </w:tcPr>
          <w:p>
            <w:pPr>
              <w:pStyle w:val="P13"/>
              <w:jc w:val="both"/>
              <w:rPr>
                <w:sz w:val="24"/>
                <w:szCs w:val="24"/>
                <w:lang w:val="ru-RU"/>
              </w:rPr>
            </w:pPr>
            <w:r>
              <w:rPr>
                <w:sz w:val="24"/>
                <w:szCs w:val="24"/>
                <w:lang w:val="ru-RU"/>
              </w:rPr>
              <w:t>Всего</w:t>
            </w:r>
          </w:p>
        </w:tc>
        <w:tc>
          <w:tcPr>
            <w:tcW w:w="1248" w:type="dxa"/>
          </w:tcPr>
          <w:p>
            <w:pPr>
              <w:pStyle w:val="P13"/>
              <w:jc w:val="both"/>
              <w:rPr>
                <w:sz w:val="24"/>
                <w:szCs w:val="24"/>
                <w:lang w:val="ru-RU"/>
              </w:rPr>
            </w:pPr>
            <w:r>
              <w:rPr>
                <w:sz w:val="24"/>
                <w:szCs w:val="24"/>
                <w:lang w:val="ru-RU"/>
              </w:rPr>
              <w:t>Несоотве-тствие</w:t>
            </w:r>
          </w:p>
        </w:tc>
        <w:tc>
          <w:tcPr>
            <w:tcW w:w="801" w:type="dxa"/>
          </w:tcPr>
          <w:p>
            <w:pPr>
              <w:pStyle w:val="P13"/>
              <w:jc w:val="center"/>
              <w:rPr>
                <w:sz w:val="24"/>
                <w:szCs w:val="24"/>
                <w:lang w:val="ru-RU"/>
              </w:rPr>
            </w:pPr>
            <w:r>
              <w:rPr>
                <w:sz w:val="24"/>
                <w:szCs w:val="24"/>
                <w:lang w:val="ru-RU"/>
              </w:rPr>
              <w:t>0,060</w:t>
            </w:r>
          </w:p>
        </w:tc>
        <w:tc>
          <w:tcPr>
            <w:tcW w:w="928" w:type="dxa"/>
          </w:tcPr>
          <w:p>
            <w:pPr>
              <w:pStyle w:val="P13"/>
              <w:jc w:val="center"/>
              <w:rPr>
                <w:sz w:val="24"/>
                <w:szCs w:val="24"/>
                <w:lang w:val="ru-RU"/>
              </w:rPr>
            </w:pPr>
            <w:r>
              <w:rPr>
                <w:sz w:val="24"/>
                <w:szCs w:val="24"/>
                <w:lang w:val="ru-RU"/>
              </w:rPr>
              <w:t>90,760</w:t>
            </w:r>
          </w:p>
        </w:tc>
        <w:tc>
          <w:tcPr>
            <w:tcW w:w="1101" w:type="dxa"/>
          </w:tcPr>
          <w:p>
            <w:pPr>
              <w:pStyle w:val="P13"/>
              <w:jc w:val="center"/>
              <w:rPr>
                <w:sz w:val="24"/>
                <w:szCs w:val="24"/>
                <w:lang w:val="ru-RU"/>
              </w:rPr>
            </w:pPr>
            <w:r>
              <w:rPr>
                <w:sz w:val="24"/>
                <w:szCs w:val="24"/>
                <w:lang w:val="ru-RU"/>
              </w:rPr>
              <w:t>0,000</w:t>
            </w:r>
          </w:p>
        </w:tc>
        <w:tc>
          <w:tcPr>
            <w:tcW w:w="1309" w:type="dxa"/>
          </w:tcPr>
          <w:p>
            <w:pPr>
              <w:pStyle w:val="P13"/>
              <w:jc w:val="center"/>
              <w:rPr>
                <w:sz w:val="24"/>
                <w:szCs w:val="24"/>
                <w:lang w:val="ru-RU"/>
              </w:rPr>
            </w:pPr>
            <w:r>
              <w:rPr>
                <w:sz w:val="24"/>
                <w:szCs w:val="24"/>
                <w:lang w:val="ru-RU"/>
              </w:rPr>
              <w:t>20,20</w:t>
            </w:r>
          </w:p>
        </w:tc>
        <w:tc>
          <w:tcPr>
            <w:tcW w:w="1459" w:type="dxa"/>
          </w:tcPr>
          <w:p>
            <w:pPr>
              <w:pStyle w:val="P13"/>
              <w:jc w:val="center"/>
              <w:rPr>
                <w:sz w:val="24"/>
                <w:szCs w:val="24"/>
                <w:lang w:val="ru-RU"/>
              </w:rPr>
            </w:pPr>
            <w:r>
              <w:rPr>
                <w:sz w:val="24"/>
                <w:szCs w:val="24"/>
                <w:lang w:val="ru-RU"/>
              </w:rPr>
              <w:t>25,400</w:t>
            </w:r>
          </w:p>
        </w:tc>
      </w:tr>
      <w:tr>
        <w:trPr>
          <w:trHeight w:hRule="atLeast" w:val="558"/>
        </w:trPr>
        <w:tc>
          <w:tcPr>
            <w:tcW w:w="1871" w:type="dxa"/>
            <w:vMerge w:val="continue"/>
          </w:tcPr>
          <w:p>
            <w:pPr>
              <w:pStyle w:val="P13"/>
              <w:jc w:val="both"/>
              <w:rPr>
                <w:sz w:val="24"/>
                <w:szCs w:val="24"/>
                <w:lang w:val="ru-RU"/>
              </w:rPr>
            </w:pPr>
          </w:p>
        </w:tc>
        <w:tc>
          <w:tcPr>
            <w:tcW w:w="1134" w:type="dxa"/>
          </w:tcPr>
          <w:p>
            <w:pPr>
              <w:pStyle w:val="P13"/>
              <w:jc w:val="both"/>
              <w:rPr>
                <w:sz w:val="24"/>
                <w:szCs w:val="24"/>
                <w:lang w:val="ru-RU"/>
              </w:rPr>
            </w:pPr>
            <w:r>
              <w:rPr>
                <w:sz w:val="24"/>
                <w:szCs w:val="24"/>
                <w:lang w:val="ru-RU"/>
              </w:rPr>
              <w:t>Экспорт</w:t>
            </w:r>
          </w:p>
        </w:tc>
        <w:tc>
          <w:tcPr>
            <w:tcW w:w="1248" w:type="dxa"/>
          </w:tcPr>
          <w:p>
            <w:pPr>
              <w:pStyle w:val="P13"/>
              <w:jc w:val="both"/>
              <w:rPr>
                <w:sz w:val="24"/>
                <w:szCs w:val="24"/>
                <w:lang w:val="ru-RU"/>
              </w:rPr>
            </w:pPr>
            <w:r>
              <w:rPr>
                <w:sz w:val="24"/>
                <w:szCs w:val="24"/>
                <w:lang w:val="ru-RU"/>
              </w:rPr>
              <w:t>Соответ-</w:t>
            </w:r>
            <w:r>
              <w:rPr>
                <w:sz w:val="24"/>
                <w:szCs w:val="24"/>
                <w:lang w:val="ru-RU"/>
              </w:rPr>
              <w:br w:type="textWrapping"/>
            </w:r>
            <w:r>
              <w:rPr>
                <w:sz w:val="24"/>
                <w:szCs w:val="24"/>
                <w:lang w:val="ru-RU"/>
              </w:rPr>
              <w:t>ствие</w:t>
            </w:r>
          </w:p>
        </w:tc>
        <w:tc>
          <w:tcPr>
            <w:tcW w:w="801" w:type="dxa"/>
          </w:tcPr>
          <w:p>
            <w:pPr>
              <w:pStyle w:val="P13"/>
              <w:jc w:val="center"/>
              <w:rPr>
                <w:sz w:val="24"/>
                <w:szCs w:val="24"/>
                <w:lang w:val="ru-RU"/>
              </w:rPr>
            </w:pPr>
            <w:r>
              <w:rPr>
                <w:sz w:val="24"/>
                <w:szCs w:val="24"/>
                <w:lang w:val="ru-RU"/>
              </w:rPr>
              <w:t>0,009</w:t>
            </w:r>
          </w:p>
        </w:tc>
        <w:tc>
          <w:tcPr>
            <w:tcW w:w="928" w:type="dxa"/>
          </w:tcPr>
          <w:p>
            <w:pPr>
              <w:pStyle w:val="P13"/>
              <w:jc w:val="center"/>
              <w:rPr>
                <w:sz w:val="24"/>
                <w:szCs w:val="24"/>
                <w:lang w:val="ru-RU"/>
              </w:rPr>
            </w:pPr>
            <w:r>
              <w:rPr>
                <w:sz w:val="24"/>
                <w:szCs w:val="24"/>
                <w:lang w:val="ru-RU"/>
              </w:rPr>
              <w:t>5,910</w:t>
            </w:r>
          </w:p>
        </w:tc>
        <w:tc>
          <w:tcPr>
            <w:tcW w:w="1101" w:type="dxa"/>
          </w:tcPr>
          <w:p>
            <w:pPr>
              <w:pStyle w:val="P13"/>
              <w:jc w:val="center"/>
              <w:rPr>
                <w:sz w:val="24"/>
                <w:szCs w:val="24"/>
                <w:lang w:val="ru-RU"/>
              </w:rPr>
            </w:pPr>
            <w:r>
              <w:rPr>
                <w:sz w:val="24"/>
                <w:szCs w:val="24"/>
                <w:lang w:val="ru-RU"/>
              </w:rPr>
              <w:t>0,823</w:t>
            </w:r>
          </w:p>
        </w:tc>
        <w:tc>
          <w:tcPr>
            <w:tcW w:w="1309" w:type="dxa"/>
          </w:tcPr>
          <w:p>
            <w:pPr>
              <w:pStyle w:val="P13"/>
              <w:jc w:val="center"/>
              <w:rPr>
                <w:sz w:val="24"/>
                <w:szCs w:val="24"/>
                <w:lang w:val="ru-RU"/>
              </w:rPr>
            </w:pPr>
            <w:r>
              <w:rPr>
                <w:sz w:val="24"/>
                <w:szCs w:val="24"/>
                <w:lang w:val="ru-RU"/>
              </w:rPr>
              <w:t>5,900</w:t>
            </w:r>
          </w:p>
        </w:tc>
        <w:tc>
          <w:tcPr>
            <w:tcW w:w="1459" w:type="dxa"/>
          </w:tcPr>
          <w:p>
            <w:pPr>
              <w:pStyle w:val="P13"/>
              <w:jc w:val="center"/>
              <w:rPr>
                <w:sz w:val="24"/>
                <w:szCs w:val="24"/>
                <w:lang w:val="ru-RU"/>
              </w:rPr>
            </w:pPr>
            <w:r>
              <w:rPr>
                <w:sz w:val="24"/>
                <w:szCs w:val="24"/>
                <w:lang w:val="ru-RU"/>
              </w:rPr>
              <w:t>3,800</w:t>
            </w:r>
          </w:p>
        </w:tc>
      </w:tr>
      <w:tr>
        <w:trPr>
          <w:trHeight w:hRule="atLeast" w:val="544"/>
        </w:trPr>
        <w:tc>
          <w:tcPr>
            <w:tcW w:w="1871" w:type="dxa"/>
            <w:vMerge w:val="restart"/>
          </w:tcPr>
          <w:p>
            <w:pPr>
              <w:pStyle w:val="P13"/>
              <w:jc w:val="both"/>
              <w:rPr>
                <w:sz w:val="24"/>
                <w:szCs w:val="24"/>
                <w:lang w:val="ru-RU"/>
              </w:rPr>
            </w:pPr>
            <w:r>
              <w:rPr>
                <w:sz w:val="24"/>
                <w:szCs w:val="24"/>
                <w:lang w:val="ru-RU"/>
              </w:rPr>
              <w:t>Соответствие ядру (</w:t>
            </w:r>
            <w:r>
              <w:rPr>
                <w:sz w:val="24"/>
                <w:szCs w:val="24"/>
              </w:rPr>
              <w:t>KM</w:t>
            </w:r>
            <w:r>
              <w:rPr>
                <w:sz w:val="24"/>
                <w:szCs w:val="24"/>
                <w:lang w:val="ru-RU"/>
              </w:rPr>
              <w:t>)</w:t>
            </w:r>
          </w:p>
        </w:tc>
        <w:tc>
          <w:tcPr>
            <w:tcW w:w="1134" w:type="dxa"/>
          </w:tcPr>
          <w:p>
            <w:pPr>
              <w:pStyle w:val="P13"/>
              <w:jc w:val="both"/>
              <w:rPr>
                <w:sz w:val="24"/>
                <w:szCs w:val="24"/>
                <w:lang w:val="ru-RU"/>
              </w:rPr>
            </w:pPr>
            <w:r>
              <w:rPr>
                <w:sz w:val="24"/>
                <w:szCs w:val="24"/>
                <w:lang w:val="ru-RU"/>
              </w:rPr>
              <w:t>Всего</w:t>
            </w:r>
          </w:p>
        </w:tc>
        <w:tc>
          <w:tcPr>
            <w:tcW w:w="1248" w:type="dxa"/>
          </w:tcPr>
          <w:p>
            <w:pPr>
              <w:pStyle w:val="P13"/>
              <w:jc w:val="both"/>
              <w:rPr>
                <w:sz w:val="24"/>
                <w:szCs w:val="24"/>
                <w:lang w:val="ru-RU"/>
              </w:rPr>
            </w:pPr>
            <w:r>
              <w:rPr>
                <w:sz w:val="24"/>
                <w:szCs w:val="24"/>
                <w:lang w:val="ru-RU"/>
              </w:rPr>
              <w:t>Несоотве-тствие</w:t>
            </w:r>
          </w:p>
        </w:tc>
        <w:tc>
          <w:tcPr>
            <w:tcW w:w="801" w:type="dxa"/>
          </w:tcPr>
          <w:p>
            <w:pPr>
              <w:pStyle w:val="P13"/>
              <w:jc w:val="center"/>
              <w:rPr>
                <w:sz w:val="24"/>
                <w:szCs w:val="24"/>
                <w:lang w:val="ru-RU"/>
              </w:rPr>
            </w:pPr>
            <w:r>
              <w:rPr>
                <w:sz w:val="24"/>
                <w:szCs w:val="24"/>
                <w:lang w:val="ru-RU"/>
              </w:rPr>
              <w:t>0,057</w:t>
            </w:r>
          </w:p>
        </w:tc>
        <w:tc>
          <w:tcPr>
            <w:tcW w:w="928" w:type="dxa"/>
          </w:tcPr>
          <w:p>
            <w:pPr>
              <w:pStyle w:val="P13"/>
              <w:jc w:val="center"/>
              <w:rPr>
                <w:sz w:val="24"/>
                <w:szCs w:val="24"/>
                <w:lang w:val="ru-RU"/>
              </w:rPr>
            </w:pPr>
            <w:r>
              <w:rPr>
                <w:sz w:val="24"/>
                <w:szCs w:val="24"/>
                <w:lang w:val="ru-RU"/>
              </w:rPr>
              <w:t>63,520</w:t>
            </w:r>
          </w:p>
        </w:tc>
        <w:tc>
          <w:tcPr>
            <w:tcW w:w="1101" w:type="dxa"/>
          </w:tcPr>
          <w:p>
            <w:pPr>
              <w:pStyle w:val="P13"/>
              <w:jc w:val="center"/>
              <w:rPr>
                <w:sz w:val="24"/>
                <w:szCs w:val="24"/>
                <w:lang w:val="ru-RU"/>
              </w:rPr>
            </w:pPr>
            <w:r>
              <w:rPr>
                <w:sz w:val="24"/>
                <w:szCs w:val="24"/>
                <w:lang w:val="ru-RU"/>
              </w:rPr>
              <w:t>0,000</w:t>
            </w:r>
          </w:p>
        </w:tc>
        <w:tc>
          <w:tcPr>
            <w:tcW w:w="1309" w:type="dxa"/>
          </w:tcPr>
          <w:p>
            <w:pPr>
              <w:pStyle w:val="P13"/>
              <w:jc w:val="center"/>
              <w:rPr>
                <w:sz w:val="24"/>
                <w:szCs w:val="24"/>
                <w:lang w:val="ru-RU"/>
              </w:rPr>
            </w:pPr>
            <w:r>
              <w:rPr>
                <w:sz w:val="24"/>
                <w:szCs w:val="24"/>
                <w:lang w:val="ru-RU"/>
              </w:rPr>
              <w:t>21,300</w:t>
            </w:r>
          </w:p>
        </w:tc>
        <w:tc>
          <w:tcPr>
            <w:tcW w:w="1459" w:type="dxa"/>
          </w:tcPr>
          <w:p>
            <w:pPr>
              <w:pStyle w:val="P13"/>
              <w:jc w:val="center"/>
              <w:rPr>
                <w:sz w:val="24"/>
                <w:szCs w:val="24"/>
                <w:lang w:val="ru-RU"/>
              </w:rPr>
            </w:pPr>
            <w:r>
              <w:rPr>
                <w:sz w:val="24"/>
                <w:szCs w:val="24"/>
                <w:lang w:val="ru-RU"/>
              </w:rPr>
              <w:t>25,900</w:t>
            </w:r>
          </w:p>
        </w:tc>
      </w:tr>
      <w:tr>
        <w:trPr>
          <w:trHeight w:hRule="atLeast" w:val="572"/>
        </w:trPr>
        <w:tc>
          <w:tcPr>
            <w:tcW w:w="1871" w:type="dxa"/>
            <w:vMerge w:val="continue"/>
          </w:tcPr>
          <w:p>
            <w:pPr>
              <w:pStyle w:val="P13"/>
              <w:jc w:val="both"/>
              <w:rPr>
                <w:sz w:val="24"/>
                <w:szCs w:val="24"/>
                <w:lang w:val="ru-RU"/>
              </w:rPr>
            </w:pPr>
          </w:p>
        </w:tc>
        <w:tc>
          <w:tcPr>
            <w:tcW w:w="1134" w:type="dxa"/>
          </w:tcPr>
          <w:p>
            <w:pPr>
              <w:pStyle w:val="P13"/>
              <w:jc w:val="both"/>
              <w:rPr>
                <w:sz w:val="24"/>
                <w:szCs w:val="24"/>
                <w:lang w:val="ru-RU"/>
              </w:rPr>
            </w:pPr>
            <w:r>
              <w:rPr>
                <w:sz w:val="24"/>
                <w:szCs w:val="24"/>
                <w:lang w:val="ru-RU"/>
              </w:rPr>
              <w:t>Экспорт</w:t>
            </w:r>
          </w:p>
        </w:tc>
        <w:tc>
          <w:tcPr>
            <w:tcW w:w="1248" w:type="dxa"/>
          </w:tcPr>
          <w:p>
            <w:pPr>
              <w:pStyle w:val="P13"/>
              <w:jc w:val="both"/>
              <w:rPr>
                <w:sz w:val="24"/>
                <w:szCs w:val="24"/>
                <w:lang w:val="ru-RU"/>
              </w:rPr>
            </w:pPr>
            <w:r>
              <w:rPr>
                <w:sz w:val="24"/>
                <w:szCs w:val="24"/>
                <w:lang w:val="ru-RU"/>
              </w:rPr>
              <w:t>Соответ-</w:t>
            </w:r>
            <w:r>
              <w:rPr>
                <w:sz w:val="24"/>
                <w:szCs w:val="24"/>
                <w:lang w:val="ru-RU"/>
              </w:rPr>
              <w:br w:type="textWrapping"/>
            </w:r>
            <w:r>
              <w:rPr>
                <w:sz w:val="24"/>
                <w:szCs w:val="24"/>
                <w:lang w:val="ru-RU"/>
              </w:rPr>
              <w:t>ствие</w:t>
            </w:r>
          </w:p>
        </w:tc>
        <w:tc>
          <w:tcPr>
            <w:tcW w:w="801" w:type="dxa"/>
          </w:tcPr>
          <w:p>
            <w:pPr>
              <w:pStyle w:val="P13"/>
              <w:jc w:val="center"/>
              <w:rPr>
                <w:sz w:val="24"/>
                <w:szCs w:val="24"/>
                <w:lang w:val="ru-RU"/>
              </w:rPr>
            </w:pPr>
            <w:r>
              <w:rPr>
                <w:sz w:val="24"/>
                <w:szCs w:val="24"/>
                <w:lang w:val="ru-RU"/>
              </w:rPr>
              <w:t>0,020</w:t>
            </w:r>
          </w:p>
        </w:tc>
        <w:tc>
          <w:tcPr>
            <w:tcW w:w="928" w:type="dxa"/>
          </w:tcPr>
          <w:p>
            <w:pPr>
              <w:pStyle w:val="P13"/>
              <w:jc w:val="center"/>
              <w:rPr>
                <w:sz w:val="24"/>
                <w:szCs w:val="24"/>
                <w:lang w:val="ru-RU"/>
              </w:rPr>
            </w:pPr>
            <w:r>
              <w:rPr>
                <w:sz w:val="24"/>
                <w:szCs w:val="24"/>
                <w:lang w:val="ru-RU"/>
              </w:rPr>
              <w:t>9,560</w:t>
            </w:r>
          </w:p>
        </w:tc>
        <w:tc>
          <w:tcPr>
            <w:tcW w:w="1101" w:type="dxa"/>
          </w:tcPr>
          <w:p>
            <w:pPr>
              <w:pStyle w:val="P13"/>
              <w:jc w:val="center"/>
              <w:rPr>
                <w:sz w:val="24"/>
                <w:szCs w:val="24"/>
                <w:lang w:val="ru-RU"/>
              </w:rPr>
            </w:pPr>
            <w:r>
              <w:rPr>
                <w:sz w:val="24"/>
                <w:szCs w:val="24"/>
                <w:lang w:val="ru-RU"/>
              </w:rPr>
              <w:t>0,480</w:t>
            </w:r>
          </w:p>
        </w:tc>
        <w:tc>
          <w:tcPr>
            <w:tcW w:w="1309" w:type="dxa"/>
          </w:tcPr>
          <w:p>
            <w:pPr>
              <w:pStyle w:val="P13"/>
              <w:jc w:val="center"/>
              <w:rPr>
                <w:sz w:val="24"/>
                <w:szCs w:val="24"/>
                <w:lang w:val="ru-RU"/>
              </w:rPr>
            </w:pPr>
            <w:r>
              <w:rPr>
                <w:sz w:val="24"/>
                <w:szCs w:val="24"/>
                <w:lang w:val="ru-RU"/>
              </w:rPr>
              <w:t>9,300</w:t>
            </w:r>
          </w:p>
        </w:tc>
        <w:tc>
          <w:tcPr>
            <w:tcW w:w="1459" w:type="dxa"/>
          </w:tcPr>
          <w:p>
            <w:pPr>
              <w:pStyle w:val="P13"/>
              <w:jc w:val="center"/>
              <w:rPr>
                <w:sz w:val="24"/>
                <w:szCs w:val="24"/>
                <w:lang w:val="ru-RU"/>
              </w:rPr>
            </w:pPr>
            <w:r>
              <w:rPr>
                <w:sz w:val="24"/>
                <w:szCs w:val="24"/>
                <w:lang w:val="ru-RU"/>
              </w:rPr>
              <w:t>9,100</w:t>
            </w:r>
          </w:p>
        </w:tc>
      </w:tr>
      <w:tr>
        <w:trPr>
          <w:trHeight w:hRule="atLeast" w:val="544"/>
        </w:trPr>
        <w:tc>
          <w:tcPr>
            <w:tcW w:w="1871" w:type="dxa"/>
            <w:vMerge w:val="restart"/>
          </w:tcPr>
          <w:p>
            <w:pPr>
              <w:pStyle w:val="P13"/>
              <w:jc w:val="both"/>
              <w:rPr>
                <w:sz w:val="24"/>
                <w:szCs w:val="24"/>
                <w:lang w:val="ru-RU"/>
              </w:rPr>
            </w:pPr>
            <w:r>
              <w:rPr>
                <w:sz w:val="24"/>
                <w:szCs w:val="24"/>
                <w:lang w:val="ru-RU"/>
              </w:rPr>
              <w:t>Согласование радиуса (</w:t>
            </w:r>
            <w:r>
              <w:rPr>
                <w:sz w:val="24"/>
                <w:szCs w:val="24"/>
              </w:rPr>
              <w:t>RM</w:t>
            </w:r>
            <w:r>
              <w:rPr>
                <w:sz w:val="24"/>
                <w:szCs w:val="24"/>
                <w:lang w:val="ru-RU"/>
              </w:rPr>
              <w:t>)</w:t>
            </w:r>
          </w:p>
        </w:tc>
        <w:tc>
          <w:tcPr>
            <w:tcW w:w="1134" w:type="dxa"/>
          </w:tcPr>
          <w:p>
            <w:pPr>
              <w:pStyle w:val="P13"/>
              <w:jc w:val="both"/>
              <w:rPr>
                <w:sz w:val="24"/>
                <w:szCs w:val="24"/>
                <w:lang w:val="ru-RU"/>
              </w:rPr>
            </w:pPr>
            <w:r>
              <w:rPr>
                <w:sz w:val="24"/>
                <w:szCs w:val="24"/>
                <w:lang w:val="ru-RU"/>
              </w:rPr>
              <w:t>Всего</w:t>
            </w:r>
          </w:p>
        </w:tc>
        <w:tc>
          <w:tcPr>
            <w:tcW w:w="1248" w:type="dxa"/>
          </w:tcPr>
          <w:p>
            <w:pPr>
              <w:pStyle w:val="P13"/>
              <w:jc w:val="both"/>
              <w:rPr>
                <w:sz w:val="24"/>
                <w:szCs w:val="24"/>
                <w:lang w:val="ru-RU"/>
              </w:rPr>
            </w:pPr>
            <w:r>
              <w:rPr>
                <w:sz w:val="24"/>
                <w:szCs w:val="24"/>
                <w:lang w:val="ru-RU"/>
              </w:rPr>
              <w:t>Несоотве-тствие</w:t>
            </w:r>
          </w:p>
        </w:tc>
        <w:tc>
          <w:tcPr>
            <w:tcW w:w="801" w:type="dxa"/>
          </w:tcPr>
          <w:p>
            <w:pPr>
              <w:pStyle w:val="P13"/>
              <w:jc w:val="center"/>
              <w:rPr>
                <w:sz w:val="24"/>
                <w:szCs w:val="24"/>
                <w:lang w:val="ru-RU"/>
              </w:rPr>
            </w:pPr>
            <w:r>
              <w:rPr>
                <w:sz w:val="24"/>
                <w:szCs w:val="24"/>
                <w:lang w:val="ru-RU"/>
              </w:rPr>
              <w:t>0,057</w:t>
            </w:r>
          </w:p>
        </w:tc>
        <w:tc>
          <w:tcPr>
            <w:tcW w:w="928" w:type="dxa"/>
          </w:tcPr>
          <w:p>
            <w:pPr>
              <w:pStyle w:val="P13"/>
              <w:jc w:val="center"/>
              <w:rPr>
                <w:sz w:val="24"/>
                <w:szCs w:val="24"/>
                <w:lang w:val="ru-RU"/>
              </w:rPr>
            </w:pPr>
            <w:r>
              <w:rPr>
                <w:sz w:val="24"/>
                <w:szCs w:val="24"/>
                <w:lang w:val="ru-RU"/>
              </w:rPr>
              <w:t>63,520</w:t>
            </w:r>
          </w:p>
        </w:tc>
        <w:tc>
          <w:tcPr>
            <w:tcW w:w="1101" w:type="dxa"/>
          </w:tcPr>
          <w:p>
            <w:pPr>
              <w:pStyle w:val="P13"/>
              <w:jc w:val="center"/>
              <w:rPr>
                <w:sz w:val="24"/>
                <w:szCs w:val="24"/>
                <w:lang w:val="ru-RU"/>
              </w:rPr>
            </w:pPr>
            <w:r>
              <w:rPr>
                <w:sz w:val="24"/>
                <w:szCs w:val="24"/>
                <w:lang w:val="ru-RU"/>
              </w:rPr>
              <w:t>0,000</w:t>
            </w:r>
          </w:p>
        </w:tc>
        <w:tc>
          <w:tcPr>
            <w:tcW w:w="1309" w:type="dxa"/>
          </w:tcPr>
          <w:p>
            <w:pPr>
              <w:pStyle w:val="P13"/>
              <w:jc w:val="center"/>
              <w:rPr>
                <w:sz w:val="24"/>
                <w:szCs w:val="24"/>
                <w:lang w:val="ru-RU"/>
              </w:rPr>
            </w:pPr>
            <w:r>
              <w:rPr>
                <w:sz w:val="24"/>
                <w:szCs w:val="24"/>
                <w:lang w:val="ru-RU"/>
              </w:rPr>
              <w:t>21,300</w:t>
            </w:r>
          </w:p>
        </w:tc>
        <w:tc>
          <w:tcPr>
            <w:tcW w:w="1459" w:type="dxa"/>
          </w:tcPr>
          <w:p>
            <w:pPr>
              <w:pStyle w:val="P13"/>
              <w:jc w:val="center"/>
              <w:rPr>
                <w:sz w:val="24"/>
                <w:szCs w:val="24"/>
                <w:lang w:val="ru-RU"/>
              </w:rPr>
            </w:pPr>
            <w:r>
              <w:rPr>
                <w:sz w:val="24"/>
                <w:szCs w:val="24"/>
                <w:lang w:val="ru-RU"/>
              </w:rPr>
              <w:t>25,900</w:t>
            </w:r>
          </w:p>
        </w:tc>
      </w:tr>
      <w:tr>
        <w:trPr>
          <w:trHeight w:hRule="atLeast" w:val="558"/>
        </w:trPr>
        <w:tc>
          <w:tcPr>
            <w:tcW w:w="1871" w:type="dxa"/>
            <w:vMerge w:val="continue"/>
          </w:tcPr>
          <w:p>
            <w:pPr>
              <w:pStyle w:val="P13"/>
              <w:jc w:val="both"/>
              <w:rPr>
                <w:sz w:val="24"/>
                <w:szCs w:val="24"/>
                <w:lang w:val="ru-RU"/>
              </w:rPr>
            </w:pPr>
          </w:p>
        </w:tc>
        <w:tc>
          <w:tcPr>
            <w:tcW w:w="1134" w:type="dxa"/>
          </w:tcPr>
          <w:p>
            <w:pPr>
              <w:pStyle w:val="P13"/>
              <w:jc w:val="both"/>
              <w:rPr>
                <w:sz w:val="24"/>
                <w:szCs w:val="24"/>
                <w:lang w:val="ru-RU"/>
              </w:rPr>
            </w:pPr>
            <w:r>
              <w:rPr>
                <w:sz w:val="24"/>
                <w:szCs w:val="24"/>
                <w:lang w:val="ru-RU"/>
              </w:rPr>
              <w:t>Экспорт</w:t>
            </w:r>
          </w:p>
        </w:tc>
        <w:tc>
          <w:tcPr>
            <w:tcW w:w="1248" w:type="dxa"/>
          </w:tcPr>
          <w:p>
            <w:pPr>
              <w:pStyle w:val="P13"/>
              <w:jc w:val="both"/>
              <w:rPr>
                <w:sz w:val="24"/>
                <w:szCs w:val="24"/>
                <w:lang w:val="ru-RU"/>
              </w:rPr>
            </w:pPr>
            <w:r>
              <w:rPr>
                <w:sz w:val="24"/>
                <w:szCs w:val="24"/>
                <w:lang w:val="ru-RU"/>
              </w:rPr>
              <w:t>Соответ-ствие</w:t>
            </w:r>
          </w:p>
        </w:tc>
        <w:tc>
          <w:tcPr>
            <w:tcW w:w="801" w:type="dxa"/>
          </w:tcPr>
          <w:p>
            <w:pPr>
              <w:pStyle w:val="P13"/>
              <w:jc w:val="center"/>
              <w:rPr>
                <w:sz w:val="24"/>
                <w:szCs w:val="24"/>
                <w:lang w:val="ru-RU"/>
              </w:rPr>
            </w:pPr>
            <w:r>
              <w:rPr>
                <w:sz w:val="24"/>
                <w:szCs w:val="24"/>
                <w:lang w:val="ru-RU"/>
              </w:rPr>
              <w:t>0,029</w:t>
            </w:r>
          </w:p>
        </w:tc>
        <w:tc>
          <w:tcPr>
            <w:tcW w:w="928" w:type="dxa"/>
          </w:tcPr>
          <w:p>
            <w:pPr>
              <w:pStyle w:val="P13"/>
              <w:jc w:val="center"/>
              <w:rPr>
                <w:sz w:val="24"/>
                <w:szCs w:val="24"/>
                <w:lang w:val="ru-RU"/>
              </w:rPr>
            </w:pPr>
            <w:r>
              <w:rPr>
                <w:sz w:val="24"/>
                <w:szCs w:val="24"/>
                <w:lang w:val="ru-RU"/>
              </w:rPr>
              <w:t>14,360</w:t>
            </w:r>
          </w:p>
        </w:tc>
        <w:tc>
          <w:tcPr>
            <w:tcW w:w="1101" w:type="dxa"/>
          </w:tcPr>
          <w:p>
            <w:pPr>
              <w:pStyle w:val="P13"/>
              <w:jc w:val="center"/>
              <w:rPr>
                <w:sz w:val="24"/>
                <w:szCs w:val="24"/>
                <w:lang w:val="ru-RU"/>
              </w:rPr>
            </w:pPr>
            <w:r>
              <w:rPr>
                <w:sz w:val="24"/>
                <w:szCs w:val="24"/>
                <w:lang w:val="ru-RU"/>
              </w:rPr>
              <w:t>0,157</w:t>
            </w:r>
          </w:p>
        </w:tc>
        <w:tc>
          <w:tcPr>
            <w:tcW w:w="1309" w:type="dxa"/>
          </w:tcPr>
          <w:p>
            <w:pPr>
              <w:pStyle w:val="P13"/>
              <w:jc w:val="center"/>
              <w:rPr>
                <w:sz w:val="24"/>
                <w:szCs w:val="24"/>
                <w:lang w:val="ru-RU"/>
              </w:rPr>
            </w:pPr>
            <w:r>
              <w:rPr>
                <w:sz w:val="24"/>
                <w:szCs w:val="24"/>
                <w:lang w:val="ru-RU"/>
              </w:rPr>
              <w:t>13,700</w:t>
            </w:r>
          </w:p>
        </w:tc>
        <w:tc>
          <w:tcPr>
            <w:tcW w:w="1459" w:type="dxa"/>
          </w:tcPr>
          <w:p>
            <w:pPr>
              <w:pStyle w:val="P13"/>
              <w:jc w:val="center"/>
              <w:rPr>
                <w:sz w:val="24"/>
                <w:szCs w:val="24"/>
                <w:lang w:val="ru-RU"/>
              </w:rPr>
            </w:pPr>
            <w:r>
              <w:rPr>
                <w:sz w:val="24"/>
                <w:szCs w:val="24"/>
                <w:lang w:val="ru-RU"/>
              </w:rPr>
              <w:t>15,400</w:t>
            </w:r>
          </w:p>
        </w:tc>
      </w:tr>
    </w:tbl>
    <w:p>
      <w:pPr>
        <w:pStyle w:val="P13"/>
        <w:spacing w:lineRule="auto" w:line="360" w:beforeAutospacing="0" w:afterAutospacing="0"/>
        <w:ind w:firstLine="709"/>
        <w:jc w:val="both"/>
        <w:rPr>
          <w:sz w:val="28"/>
          <w:szCs w:val="28"/>
          <w:lang w:val="ru-RU"/>
        </w:rPr>
      </w:pPr>
    </w:p>
    <w:p>
      <w:pPr>
        <w:pStyle w:val="P13"/>
        <w:spacing w:lineRule="auto" w:line="360" w:beforeAutospacing="0" w:afterAutospacing="0"/>
        <w:ind w:firstLine="709"/>
        <w:jc w:val="both"/>
        <w:rPr>
          <w:sz w:val="28"/>
          <w:szCs w:val="28"/>
          <w:lang w:val="ru-RU"/>
        </w:rPr>
      </w:pPr>
      <w:r>
        <w:rPr>
          <w:sz w:val="28"/>
          <w:szCs w:val="28"/>
          <w:lang w:val="ru-RU"/>
        </w:rPr>
        <w:t xml:space="preserve">Существует частичное совпадение показателей склонности двух групп. В общую зону входит большинство фирм-участниц, что важно для того, чтобы подобранная выборка участников была похожа на исходную выборку. В таблице представлено сравнение различий между двумя группами с точки зрения общего ковариационного распределения (среднее и медиана абсолютного смещения) и соответствия модели (псевдо </w:t>
      </w:r>
      <w:r>
        <w:rPr>
          <w:sz w:val="28"/>
          <w:szCs w:val="28"/>
        </w:rPr>
        <w:t>R</w:t>
      </w:r>
      <w:r>
        <w:rPr>
          <w:sz w:val="28"/>
          <w:szCs w:val="28"/>
          <w:vertAlign w:val="superscript"/>
          <w:lang w:val="ru-RU"/>
        </w:rPr>
        <w:t>2</w:t>
      </w:r>
      <w:r>
        <w:rPr>
          <w:sz w:val="28"/>
          <w:szCs w:val="28"/>
          <w:lang w:val="ru-RU"/>
        </w:rPr>
        <w:t xml:space="preserve"> и </w:t>
      </w:r>
      <w:r>
        <w:rPr>
          <w:sz w:val="28"/>
          <w:szCs w:val="28"/>
        </w:rPr>
        <w:t>LR</w:t>
      </w:r>
      <w:r>
        <w:rPr>
          <w:sz w:val="28"/>
          <w:szCs w:val="28"/>
          <w:lang w:val="ru-RU"/>
        </w:rPr>
        <w:t>-тест) до и после сопоставления.</w:t>
      </w:r>
    </w:p>
    <w:p>
      <w:pPr>
        <w:pStyle w:val="P13"/>
        <w:spacing w:lineRule="auto" w:line="360" w:beforeAutospacing="0" w:afterAutospacing="0"/>
        <w:ind w:firstLine="709" w:right="-1"/>
        <w:jc w:val="both"/>
        <w:rPr>
          <w:sz w:val="28"/>
          <w:szCs w:val="28"/>
          <w:lang w:val="ru-RU"/>
        </w:rPr>
      </w:pPr>
      <w:r>
        <w:rPr>
          <w:sz w:val="28"/>
          <w:szCs w:val="28"/>
          <w:lang w:val="ru-RU"/>
        </w:rPr>
        <w:t xml:space="preserve">Результаты для </w:t>
      </w:r>
      <w:r>
        <w:rPr>
          <w:sz w:val="28"/>
          <w:szCs w:val="28"/>
        </w:rPr>
        <w:t>NNM</w:t>
      </w:r>
      <w:r>
        <w:rPr>
          <w:sz w:val="28"/>
          <w:szCs w:val="28"/>
          <w:lang w:val="ru-RU"/>
        </w:rPr>
        <w:t xml:space="preserve">, </w:t>
      </w:r>
      <w:r>
        <w:rPr>
          <w:sz w:val="28"/>
          <w:szCs w:val="28"/>
        </w:rPr>
        <w:t>KM</w:t>
      </w:r>
      <w:r>
        <w:rPr>
          <w:sz w:val="28"/>
          <w:szCs w:val="28"/>
          <w:lang w:val="ru-RU"/>
        </w:rPr>
        <w:t xml:space="preserve"> и </w:t>
      </w:r>
      <w:r>
        <w:rPr>
          <w:sz w:val="28"/>
          <w:szCs w:val="28"/>
        </w:rPr>
        <w:t>RM</w:t>
      </w:r>
      <w:r>
        <w:rPr>
          <w:sz w:val="28"/>
          <w:szCs w:val="28"/>
          <w:lang w:val="ru-RU"/>
        </w:rPr>
        <w:t xml:space="preserve"> позволяют сделать вывод о том, что до сопоставления различия в характеристиках фирм (по двум группам) значительно уменьшаются после сопоставления. Например, средние абсолютные смещения значительно уменьшаются для алгоритма трех сопоставлений, а </w:t>
      </w:r>
      <w:r>
        <w:rPr>
          <w:sz w:val="28"/>
          <w:szCs w:val="28"/>
        </w:rPr>
        <w:t>p</w:t>
      </w:r>
      <w:r>
        <w:rPr>
          <w:sz w:val="28"/>
          <w:szCs w:val="28"/>
          <w:lang w:val="ru-RU"/>
        </w:rPr>
        <w:t xml:space="preserve">-значения </w:t>
      </w:r>
      <w:r>
        <w:rPr>
          <w:sz w:val="28"/>
          <w:szCs w:val="28"/>
        </w:rPr>
        <w:t>LR</w:t>
      </w:r>
      <w:r>
        <w:rPr>
          <w:sz w:val="28"/>
          <w:szCs w:val="28"/>
          <w:lang w:val="ru-RU"/>
        </w:rPr>
        <w:t>-теста становятся статистически незначимыми для пост-сопоставления. Таким образом, для сравнения можно получить эквивалентное совпадение.</w:t>
      </w:r>
    </w:p>
    <w:p>
      <w:pPr>
        <w:pStyle w:val="P13"/>
        <w:spacing w:lineRule="auto" w:line="360" w:beforeAutospacing="0" w:afterAutospacing="0"/>
        <w:ind w:firstLine="709"/>
        <w:jc w:val="both"/>
        <w:rPr>
          <w:sz w:val="28"/>
          <w:szCs w:val="28"/>
          <w:lang w:val="ru-RU"/>
        </w:rPr>
      </w:pPr>
      <w:r>
        <w:rPr>
          <w:sz w:val="28"/>
          <w:szCs w:val="28"/>
          <w:lang w:val="ru-RU"/>
        </w:rPr>
        <w:t>Для проверки чувствительности был использован метод наименьших квадратов (</w:t>
      </w:r>
      <w:r>
        <w:rPr>
          <w:sz w:val="28"/>
          <w:szCs w:val="28"/>
        </w:rPr>
        <w:t>OLS</w:t>
      </w:r>
      <w:r>
        <w:rPr>
          <w:sz w:val="28"/>
          <w:szCs w:val="28"/>
          <w:lang w:val="ru-RU"/>
        </w:rPr>
        <w:t>) с тремя алгоритмами сопоставления (</w:t>
      </w:r>
      <w:r>
        <w:rPr>
          <w:sz w:val="28"/>
          <w:szCs w:val="28"/>
        </w:rPr>
        <w:t>NNM</w:t>
      </w:r>
      <w:r>
        <w:rPr>
          <w:sz w:val="28"/>
          <w:szCs w:val="28"/>
          <w:lang w:val="ru-RU"/>
        </w:rPr>
        <w:t xml:space="preserve">, </w:t>
      </w:r>
      <w:r>
        <w:rPr>
          <w:sz w:val="28"/>
          <w:szCs w:val="28"/>
        </w:rPr>
        <w:t>KM</w:t>
      </w:r>
      <w:r>
        <w:rPr>
          <w:sz w:val="28"/>
          <w:szCs w:val="28"/>
          <w:lang w:val="ru-RU"/>
        </w:rPr>
        <w:t xml:space="preserve"> и </w:t>
      </w:r>
      <w:r>
        <w:rPr>
          <w:sz w:val="28"/>
          <w:szCs w:val="28"/>
        </w:rPr>
        <w:t>RM</w:t>
      </w:r>
      <w:r>
        <w:rPr>
          <w:sz w:val="28"/>
          <w:szCs w:val="28"/>
          <w:lang w:val="ru-RU"/>
        </w:rPr>
        <w:t xml:space="preserve">). Результат </w:t>
      </w:r>
      <w:r>
        <w:rPr>
          <w:sz w:val="28"/>
          <w:szCs w:val="28"/>
        </w:rPr>
        <w:t>OLS</w:t>
      </w:r>
      <w:r>
        <w:rPr>
          <w:sz w:val="28"/>
          <w:szCs w:val="28"/>
          <w:lang w:val="ru-RU"/>
        </w:rPr>
        <w:t xml:space="preserve"> показывает значительное увеличение объемов экспортных продаж фирм, которые воспользовались услугами официальных финансовых учреждений. Результат показывает, что фирмы, которые получают выгоду от кредитной линии и/или имеют возможность финансировать текущие расходы, могут экспортировать примерно на 8,3 % больше, чем их коллеги, которые не имеют доступа к кредитным ресурсам.</w:t>
      </w:r>
    </w:p>
    <w:p>
      <w:pPr>
        <w:pStyle w:val="P13"/>
        <w:spacing w:lineRule="auto" w:line="360" w:beforeAutospacing="0" w:afterAutospacing="0"/>
        <w:ind w:firstLine="709"/>
        <w:jc w:val="both"/>
        <w:rPr>
          <w:sz w:val="28"/>
          <w:szCs w:val="28"/>
          <w:lang w:val="ru-RU"/>
        </w:rPr>
      </w:pPr>
      <w:r>
        <w:rPr>
          <w:sz w:val="28"/>
          <w:szCs w:val="28"/>
          <w:lang w:val="ru-RU"/>
        </w:rPr>
        <w:t>Аналогичный результат был получен для различных алгоритмов сопоставления показателей склонности (</w:t>
      </w:r>
      <w:r>
        <w:rPr>
          <w:sz w:val="28"/>
          <w:szCs w:val="28"/>
        </w:rPr>
        <w:t>PSM</w:t>
      </w:r>
      <w:r>
        <w:rPr>
          <w:sz w:val="28"/>
          <w:szCs w:val="28"/>
          <w:lang w:val="ru-RU"/>
        </w:rPr>
        <w:t xml:space="preserve">). Например, результат алгоритма сопоставления </w:t>
      </w:r>
      <w:r>
        <w:rPr>
          <w:sz w:val="28"/>
          <w:szCs w:val="28"/>
        </w:rPr>
        <w:t>NNM</w:t>
      </w:r>
      <w:r>
        <w:rPr>
          <w:sz w:val="28"/>
          <w:szCs w:val="28"/>
          <w:lang w:val="ru-RU"/>
        </w:rPr>
        <w:t xml:space="preserve"> показывает увеличение экспорта примерно на 9,1 %, а для алгоритма сопоставления </w:t>
      </w:r>
      <w:r>
        <w:rPr>
          <w:sz w:val="28"/>
          <w:szCs w:val="28"/>
        </w:rPr>
        <w:t>KM</w:t>
      </w:r>
      <w:r>
        <w:rPr>
          <w:sz w:val="28"/>
          <w:szCs w:val="28"/>
          <w:lang w:val="ru-RU"/>
        </w:rPr>
        <w:t xml:space="preserve"> и </w:t>
      </w:r>
      <w:r>
        <w:rPr>
          <w:sz w:val="28"/>
          <w:szCs w:val="28"/>
        </w:rPr>
        <w:t>RM</w:t>
      </w:r>
      <w:r>
        <w:rPr>
          <w:sz w:val="28"/>
          <w:szCs w:val="28"/>
          <w:lang w:val="ru-RU"/>
        </w:rPr>
        <w:t xml:space="preserve"> мы видим рост от 8,9 % до </w:t>
      </w:r>
      <w:r>
        <w:rPr>
          <w:sz w:val="28"/>
          <w:szCs w:val="28"/>
          <w:lang w:val="ru-RU"/>
        </w:rPr>
        <w:br w:type="textWrapping"/>
      </w:r>
      <w:r>
        <w:rPr>
          <w:sz w:val="28"/>
          <w:szCs w:val="28"/>
          <w:lang w:val="ru-RU"/>
        </w:rPr>
        <w:t xml:space="preserve">9,2 % для фирм-бенефициаров по сравнению с фирмами, не являющимися бенефициарами. Эти увеличения значимы на уровне значимости 5 % или </w:t>
      </w:r>
      <w:r>
        <w:rPr>
          <w:sz w:val="28"/>
          <w:szCs w:val="28"/>
          <w:lang w:val="ru-RU"/>
        </w:rPr>
        <w:br w:type="textWrapping"/>
      </w:r>
      <w:r>
        <w:rPr>
          <w:sz w:val="28"/>
          <w:szCs w:val="28"/>
          <w:lang w:val="ru-RU"/>
        </w:rPr>
        <w:t xml:space="preserve">10 %, оценки </w:t>
      </w:r>
      <w:r>
        <w:rPr>
          <w:sz w:val="28"/>
          <w:szCs w:val="28"/>
        </w:rPr>
        <w:t>OLS</w:t>
      </w:r>
      <w:r>
        <w:rPr>
          <w:sz w:val="28"/>
          <w:szCs w:val="28"/>
          <w:lang w:val="ru-RU"/>
        </w:rPr>
        <w:t xml:space="preserve"> также значимы. Эти результаты важны, учитывая тот факт, что со стороны международных организаций постоянно звучат призывы к повышению конкурентоспособности и экспортного потенциала африканских компаний.</w:t>
      </w:r>
    </w:p>
    <w:p>
      <w:pPr>
        <w:pStyle w:val="P13"/>
        <w:spacing w:lineRule="auto" w:line="360" w:beforeAutospacing="0" w:afterAutospacing="0"/>
        <w:ind w:firstLine="709" w:right="-1"/>
        <w:jc w:val="both"/>
        <w:rPr>
          <w:sz w:val="28"/>
          <w:szCs w:val="28"/>
          <w:lang w:val="ru-RU"/>
        </w:rPr>
      </w:pPr>
      <w:r>
        <w:rPr>
          <w:sz w:val="28"/>
          <w:szCs w:val="28"/>
          <w:lang w:val="ru-RU"/>
        </w:rPr>
        <w:t xml:space="preserve">Наши результаты согласуются с первоначальным ожиданием того, что финансовая доступность (или доступ к легальным финансовым услугам банков) приведет к расширению участия фирм в экспортных операциях. Кроме того, полученные результаты согласуются с теоретическими предсказаниями о том, что доступ к финансовым услугам является необходимым требованием для выхода фирм на внешние рынки. </w:t>
      </w:r>
    </w:p>
    <w:p>
      <w:pPr>
        <w:pStyle w:val="P13"/>
        <w:spacing w:lineRule="auto" w:line="360" w:beforeAutospacing="0" w:afterAutospacing="0"/>
        <w:ind w:firstLine="709"/>
        <w:jc w:val="both"/>
        <w:rPr>
          <w:sz w:val="28"/>
          <w:szCs w:val="28"/>
          <w:lang w:val="ru-RU"/>
        </w:rPr>
      </w:pPr>
      <w:r>
        <w:rPr>
          <w:sz w:val="28"/>
          <w:szCs w:val="28"/>
          <w:lang w:val="ru-RU"/>
        </w:rPr>
        <w:t xml:space="preserve">Чтобы дополнительно обосновать наши результаты и связать их с текущей бизнес-средой и экономическим пространственным распределением которые существует в Республике Кот-д’Ивуар, мы разделили наши выбранные фирмы на те, которые расположены в главном деловом центре г. Абиджан и те, которые расположены в округах и пересчитали полученные результаты. Цель этой проверки состоит в том, чтобы понять, будет ли территориальный фактор иметь значение для доступа к финансовым услугам и их влиянию на экспортную деятельность фирм. Данный фактор, на наш взгляд, может быть одним из самых важных, так как в г. Абиджан сосредоточены не только крупнейшие банковские учреждения, но и наиболее развита инфраструктура, информационно-коммуникационные технологии и имеются представительства иностранных компаний. Данные характеристики имеет основополагающее значение для определения степени важности как доступа к финансовым услугам, так и преимуществ делового центра, которые возникают для фирм, располагающихся в нем. Результаты этого распределения представлены в таблице </w:t>
      </w:r>
      <w:r>
        <w:rPr>
          <w:sz w:val="28"/>
          <w:szCs w:val="28"/>
          <w:highlight w:val="yellow"/>
          <w:lang w:val="ru-RU"/>
        </w:rPr>
        <w:t>3.10</w:t>
      </w:r>
      <w:r>
        <w:rPr>
          <w:sz w:val="28"/>
          <w:szCs w:val="28"/>
          <w:lang w:val="ru-RU"/>
        </w:rPr>
        <w:t xml:space="preserve"> как для метода оценки </w:t>
      </w:r>
      <w:r>
        <w:rPr>
          <w:sz w:val="28"/>
          <w:szCs w:val="28"/>
        </w:rPr>
        <w:t>OLS</w:t>
      </w:r>
      <w:r>
        <w:rPr>
          <w:sz w:val="28"/>
          <w:szCs w:val="28"/>
          <w:lang w:val="ru-RU"/>
        </w:rPr>
        <w:t xml:space="preserve">, так и для других алгоритмов </w:t>
      </w:r>
      <w:r>
        <w:rPr>
          <w:sz w:val="28"/>
          <w:szCs w:val="28"/>
        </w:rPr>
        <w:t>PSM</w:t>
      </w:r>
      <w:r>
        <w:rPr>
          <w:sz w:val="28"/>
          <w:szCs w:val="28"/>
          <w:lang w:val="ru-RU"/>
        </w:rPr>
        <w:t>.</w:t>
      </w:r>
    </w:p>
    <w:p>
      <w:pPr>
        <w:pStyle w:val="P13"/>
        <w:spacing w:lineRule="auto" w:line="360" w:beforeAutospacing="0" w:afterAutospacing="0"/>
        <w:ind w:firstLine="709"/>
        <w:jc w:val="both"/>
        <w:rPr>
          <w:sz w:val="28"/>
          <w:szCs w:val="28"/>
          <w:lang w:val="ru-RU"/>
        </w:rPr>
      </w:pPr>
      <w:r>
        <w:rPr>
          <w:sz w:val="28"/>
          <w:szCs w:val="28"/>
          <w:lang w:val="ru-RU"/>
        </w:rPr>
        <w:t>Полученная модель подтверждает влияние территориального фактора, но оно не так однозначно. Для фирм, расположенных в г. Абиджан, полученные коэффициенты оказались значимы только для метода наименьших квадратов (</w:t>
      </w:r>
      <w:r>
        <w:rPr>
          <w:sz w:val="28"/>
          <w:szCs w:val="28"/>
        </w:rPr>
        <w:t>OLS</w:t>
      </w:r>
      <w:r>
        <w:rPr>
          <w:sz w:val="28"/>
          <w:szCs w:val="28"/>
          <w:lang w:val="ru-RU"/>
        </w:rPr>
        <w:t xml:space="preserve">), т.е. можно сделать вывод о том, что для компаний, находящихся в деловом центре, доступ к финансовым услугам не является значимым фактором для осуществления экспортной деятельности. Это связано с тем, что для этих фирм наличие развитой финансовой инфраструктуры является базовым условием для предпринимательской активности,  так как доступ к ней имеют все компании, расположенные в г. Абиджан, поэтому ее наличие является необходимым условием ведения эффективного бизнеса. И напротив, отсутствие такой развитой финансовой инфраструктуры в других районах делает фактор доступа к финансовым услугам важным конкурентным преимуществом, особенно для сельскохозяйственных предприятий, что подтверждает статистическая значимость фактора по всем методикам (таблица </w:t>
      </w:r>
      <w:r>
        <w:rPr>
          <w:sz w:val="28"/>
          <w:szCs w:val="28"/>
          <w:highlight w:val="yellow"/>
          <w:lang w:val="ru-RU"/>
        </w:rPr>
        <w:t>3.10</w:t>
      </w:r>
      <w:r>
        <w:rPr>
          <w:sz w:val="28"/>
          <w:szCs w:val="28"/>
          <w:lang w:val="ru-RU"/>
        </w:rPr>
        <w:t>).</w:t>
      </w:r>
    </w:p>
    <w:p>
      <w:pPr>
        <w:pStyle w:val="P13"/>
        <w:spacing w:lineRule="auto" w:line="360" w:beforeAutospacing="0" w:afterAutospacing="0"/>
        <w:ind w:firstLine="709" w:right="-1"/>
        <w:jc w:val="both"/>
        <w:rPr>
          <w:sz w:val="28"/>
          <w:szCs w:val="28"/>
          <w:lang w:val="ru-RU"/>
        </w:rPr>
      </w:pPr>
    </w:p>
    <w:p>
      <w:pPr>
        <w:pStyle w:val="P13"/>
        <w:spacing w:lineRule="auto" w:line="360" w:beforeAutospacing="0" w:afterAutospacing="0"/>
        <w:ind w:right="-1"/>
        <w:jc w:val="both"/>
        <w:rPr>
          <w:sz w:val="28"/>
          <w:szCs w:val="28"/>
          <w:lang w:val="ru-RU"/>
        </w:rPr>
      </w:pPr>
      <w:r>
        <w:rPr>
          <w:sz w:val="28"/>
          <w:szCs w:val="28"/>
          <w:lang w:val="ru-RU"/>
        </w:rPr>
        <w:t xml:space="preserve">Таблица </w:t>
      </w:r>
      <w:r>
        <w:rPr>
          <w:sz w:val="28"/>
          <w:szCs w:val="28"/>
          <w:highlight w:val="yellow"/>
          <w:lang w:val="ru-RU"/>
        </w:rPr>
        <w:t>3.10</w:t>
      </w:r>
      <w:r>
        <w:rPr>
          <w:sz w:val="28"/>
          <w:szCs w:val="28"/>
          <w:lang w:val="ru-RU"/>
        </w:rPr>
        <w:t xml:space="preserve"> – Предполагаемый средний эффект установок (составлено автором)</w:t>
      </w:r>
    </w:p>
    <w:tbl>
      <w:tblPr>
        <w:tblStyle w:val="T3"/>
        <w:tblW w:w="9811" w:type="dxa"/>
        <w:tblLook w:val="04A0"/>
      </w:tblPr>
      <w:tblGrid>
        <w:gridCol w:w="3965"/>
        <w:gridCol w:w="1438"/>
        <w:gridCol w:w="1469"/>
        <w:gridCol w:w="1470"/>
        <w:gridCol w:w="1469"/>
      </w:tblGrid>
      <w:tr>
        <w:trPr>
          <w:trHeight w:hRule="atLeast" w:val="272"/>
        </w:trPr>
        <w:tc>
          <w:tcPr>
            <w:tcW w:w="3965" w:type="dxa"/>
          </w:tcPr>
          <w:p>
            <w:pPr>
              <w:pStyle w:val="P13"/>
              <w:ind w:right="-1"/>
              <w:jc w:val="both"/>
              <w:rPr>
                <w:sz w:val="24"/>
                <w:szCs w:val="24"/>
                <w:lang w:val="ru-RU"/>
              </w:rPr>
            </w:pPr>
            <w:r>
              <w:rPr>
                <w:sz w:val="24"/>
                <w:szCs w:val="24"/>
                <w:lang w:val="ru-RU"/>
              </w:rPr>
              <w:t>Показатель</w:t>
            </w:r>
          </w:p>
        </w:tc>
        <w:tc>
          <w:tcPr>
            <w:tcW w:w="1438" w:type="dxa"/>
          </w:tcPr>
          <w:p>
            <w:pPr>
              <w:pStyle w:val="P13"/>
              <w:ind w:right="-1"/>
              <w:jc w:val="center"/>
              <w:rPr>
                <w:sz w:val="24"/>
                <w:szCs w:val="24"/>
              </w:rPr>
            </w:pPr>
            <w:r>
              <w:rPr>
                <w:sz w:val="24"/>
                <w:szCs w:val="24"/>
              </w:rPr>
              <w:t>OLS</w:t>
            </w:r>
          </w:p>
        </w:tc>
        <w:tc>
          <w:tcPr>
            <w:tcW w:w="1469" w:type="dxa"/>
          </w:tcPr>
          <w:p>
            <w:pPr>
              <w:pStyle w:val="P13"/>
              <w:ind w:right="-1"/>
              <w:jc w:val="center"/>
              <w:rPr>
                <w:sz w:val="24"/>
                <w:szCs w:val="24"/>
              </w:rPr>
            </w:pPr>
            <w:r>
              <w:rPr>
                <w:sz w:val="24"/>
                <w:szCs w:val="24"/>
              </w:rPr>
              <w:t>NNM</w:t>
            </w:r>
          </w:p>
        </w:tc>
        <w:tc>
          <w:tcPr>
            <w:tcW w:w="1470" w:type="dxa"/>
          </w:tcPr>
          <w:p>
            <w:pPr>
              <w:pStyle w:val="P13"/>
              <w:ind w:right="-1"/>
              <w:jc w:val="center"/>
              <w:rPr>
                <w:sz w:val="24"/>
                <w:szCs w:val="24"/>
              </w:rPr>
            </w:pPr>
            <w:r>
              <w:rPr>
                <w:sz w:val="24"/>
                <w:szCs w:val="24"/>
              </w:rPr>
              <w:t>KM</w:t>
            </w:r>
          </w:p>
        </w:tc>
        <w:tc>
          <w:tcPr>
            <w:tcW w:w="1469" w:type="dxa"/>
          </w:tcPr>
          <w:p>
            <w:pPr>
              <w:pStyle w:val="P13"/>
              <w:ind w:right="-1"/>
              <w:jc w:val="center"/>
              <w:rPr>
                <w:sz w:val="24"/>
                <w:szCs w:val="24"/>
              </w:rPr>
            </w:pPr>
            <w:r>
              <w:rPr>
                <w:sz w:val="24"/>
                <w:szCs w:val="24"/>
              </w:rPr>
              <w:t>RM</w:t>
            </w:r>
          </w:p>
        </w:tc>
      </w:tr>
      <w:tr>
        <w:trPr>
          <w:trHeight w:hRule="atLeast" w:val="543"/>
        </w:trPr>
        <w:tc>
          <w:tcPr>
            <w:tcW w:w="3965" w:type="dxa"/>
          </w:tcPr>
          <w:p>
            <w:pPr>
              <w:pStyle w:val="P13"/>
              <w:ind w:right="-1"/>
              <w:rPr>
                <w:sz w:val="24"/>
                <w:szCs w:val="24"/>
                <w:lang w:val="ru-RU"/>
              </w:rPr>
            </w:pPr>
            <w:r>
              <w:rPr>
                <w:sz w:val="24"/>
                <w:szCs w:val="24"/>
                <w:lang w:val="ru-RU"/>
              </w:rPr>
              <w:t>Показатели экспорта</w:t>
            </w:r>
          </w:p>
        </w:tc>
        <w:tc>
          <w:tcPr>
            <w:tcW w:w="1438" w:type="dxa"/>
          </w:tcPr>
          <w:p>
            <w:pPr>
              <w:pStyle w:val="P13"/>
              <w:ind w:right="-1"/>
              <w:jc w:val="center"/>
              <w:rPr>
                <w:sz w:val="24"/>
                <w:szCs w:val="24"/>
                <w:lang w:val="ru-RU"/>
              </w:rPr>
            </w:pPr>
            <w:r>
              <w:rPr>
                <w:sz w:val="24"/>
                <w:szCs w:val="24"/>
                <w:lang w:val="ru-RU"/>
              </w:rPr>
              <w:t>0,830**</w:t>
            </w:r>
          </w:p>
          <w:p>
            <w:pPr>
              <w:pStyle w:val="P13"/>
              <w:ind w:right="-1"/>
              <w:jc w:val="center"/>
              <w:rPr>
                <w:sz w:val="24"/>
                <w:szCs w:val="24"/>
                <w:lang w:val="ru-RU"/>
              </w:rPr>
            </w:pPr>
            <w:r>
              <w:rPr>
                <w:sz w:val="24"/>
                <w:szCs w:val="24"/>
                <w:lang w:val="ru-RU"/>
              </w:rPr>
              <w:t>(0,008)</w:t>
            </w:r>
          </w:p>
        </w:tc>
        <w:tc>
          <w:tcPr>
            <w:tcW w:w="1469" w:type="dxa"/>
          </w:tcPr>
          <w:p>
            <w:pPr>
              <w:pStyle w:val="P13"/>
              <w:ind w:right="-1"/>
              <w:jc w:val="center"/>
              <w:rPr>
                <w:sz w:val="24"/>
                <w:szCs w:val="24"/>
                <w:lang w:val="ru-RU"/>
              </w:rPr>
            </w:pPr>
            <w:r>
              <w:rPr>
                <w:sz w:val="24"/>
                <w:szCs w:val="24"/>
                <w:lang w:val="ru-RU"/>
              </w:rPr>
              <w:t>0,909*</w:t>
            </w:r>
          </w:p>
          <w:p>
            <w:pPr>
              <w:pStyle w:val="P13"/>
              <w:ind w:right="-1"/>
              <w:jc w:val="center"/>
              <w:rPr>
                <w:sz w:val="24"/>
                <w:szCs w:val="24"/>
                <w:lang w:val="ru-RU"/>
              </w:rPr>
            </w:pPr>
            <w:r>
              <w:rPr>
                <w:sz w:val="24"/>
                <w:szCs w:val="24"/>
                <w:lang w:val="ru-RU"/>
              </w:rPr>
              <w:t xml:space="preserve"> (0,074)</w:t>
            </w:r>
          </w:p>
        </w:tc>
        <w:tc>
          <w:tcPr>
            <w:tcW w:w="1470" w:type="dxa"/>
          </w:tcPr>
          <w:p>
            <w:pPr>
              <w:pStyle w:val="P13"/>
              <w:ind w:right="-1"/>
              <w:jc w:val="center"/>
              <w:rPr>
                <w:sz w:val="24"/>
                <w:szCs w:val="24"/>
                <w:lang w:val="ru-RU"/>
              </w:rPr>
            </w:pPr>
            <w:r>
              <w:rPr>
                <w:sz w:val="24"/>
                <w:szCs w:val="24"/>
                <w:lang w:val="ru-RU"/>
              </w:rPr>
              <w:t>0,889**</w:t>
            </w:r>
          </w:p>
          <w:p>
            <w:pPr>
              <w:pStyle w:val="P13"/>
              <w:ind w:right="-1"/>
              <w:jc w:val="center"/>
              <w:rPr>
                <w:sz w:val="24"/>
                <w:szCs w:val="24"/>
                <w:lang w:val="ru-RU"/>
              </w:rPr>
            </w:pPr>
            <w:r>
              <w:rPr>
                <w:sz w:val="24"/>
                <w:szCs w:val="24"/>
                <w:lang w:val="ru-RU"/>
              </w:rPr>
              <w:t>(0,049)</w:t>
            </w:r>
          </w:p>
        </w:tc>
        <w:tc>
          <w:tcPr>
            <w:tcW w:w="1469" w:type="dxa"/>
          </w:tcPr>
          <w:p>
            <w:pPr>
              <w:pStyle w:val="P13"/>
              <w:ind w:right="-1"/>
              <w:jc w:val="center"/>
              <w:rPr>
                <w:sz w:val="24"/>
                <w:szCs w:val="24"/>
                <w:lang w:val="ru-RU"/>
              </w:rPr>
            </w:pPr>
            <w:r>
              <w:rPr>
                <w:sz w:val="24"/>
                <w:szCs w:val="24"/>
                <w:lang w:val="ru-RU"/>
              </w:rPr>
              <w:t>0,922**</w:t>
            </w:r>
          </w:p>
          <w:p>
            <w:pPr>
              <w:pStyle w:val="P13"/>
              <w:ind w:right="-1"/>
              <w:jc w:val="center"/>
              <w:rPr>
                <w:sz w:val="24"/>
                <w:szCs w:val="24"/>
                <w:lang w:val="ru-RU"/>
              </w:rPr>
            </w:pPr>
            <w:r>
              <w:rPr>
                <w:sz w:val="24"/>
                <w:szCs w:val="24"/>
                <w:lang w:val="ru-RU"/>
              </w:rPr>
              <w:t>(0,038)</w:t>
            </w:r>
          </w:p>
        </w:tc>
      </w:tr>
      <w:tr>
        <w:trPr>
          <w:trHeight w:hRule="atLeast" w:val="557"/>
        </w:trPr>
        <w:tc>
          <w:tcPr>
            <w:tcW w:w="3965" w:type="dxa"/>
          </w:tcPr>
          <w:p>
            <w:pPr>
              <w:pStyle w:val="P13"/>
              <w:ind w:right="-1"/>
              <w:rPr>
                <w:sz w:val="24"/>
                <w:szCs w:val="24"/>
                <w:lang w:val="ru-RU"/>
              </w:rPr>
            </w:pPr>
            <w:r>
              <w:rPr>
                <w:sz w:val="24"/>
                <w:szCs w:val="24"/>
                <w:lang w:val="ru-RU"/>
              </w:rPr>
              <w:t>Фирмы, расположенные в некоммерческом городе/районе</w:t>
            </w:r>
          </w:p>
        </w:tc>
        <w:tc>
          <w:tcPr>
            <w:tcW w:w="1438" w:type="dxa"/>
          </w:tcPr>
          <w:p>
            <w:pPr>
              <w:pStyle w:val="P13"/>
              <w:ind w:right="-1"/>
              <w:jc w:val="center"/>
              <w:rPr>
                <w:sz w:val="24"/>
                <w:szCs w:val="24"/>
                <w:lang w:val="ru-RU"/>
              </w:rPr>
            </w:pPr>
            <w:r>
              <w:rPr>
                <w:sz w:val="24"/>
                <w:szCs w:val="24"/>
                <w:lang w:val="ru-RU"/>
              </w:rPr>
              <w:t>0,646**</w:t>
            </w:r>
          </w:p>
          <w:p>
            <w:pPr>
              <w:pStyle w:val="P13"/>
              <w:ind w:right="-1"/>
              <w:jc w:val="center"/>
              <w:rPr>
                <w:sz w:val="24"/>
                <w:szCs w:val="24"/>
                <w:lang w:val="ru-RU"/>
              </w:rPr>
            </w:pPr>
            <w:r>
              <w:rPr>
                <w:sz w:val="24"/>
                <w:szCs w:val="24"/>
                <w:lang w:val="ru-RU"/>
              </w:rPr>
              <w:t>(0,046)</w:t>
            </w:r>
          </w:p>
        </w:tc>
        <w:tc>
          <w:tcPr>
            <w:tcW w:w="1469" w:type="dxa"/>
          </w:tcPr>
          <w:p>
            <w:pPr>
              <w:pStyle w:val="P13"/>
              <w:ind w:right="-1"/>
              <w:jc w:val="center"/>
              <w:rPr>
                <w:sz w:val="24"/>
                <w:szCs w:val="24"/>
                <w:lang w:val="ru-RU"/>
              </w:rPr>
            </w:pPr>
            <w:r>
              <w:rPr>
                <w:sz w:val="24"/>
                <w:szCs w:val="24"/>
                <w:lang w:val="ru-RU"/>
              </w:rPr>
              <w:t>0,473</w:t>
            </w:r>
          </w:p>
          <w:p>
            <w:pPr>
              <w:pStyle w:val="P13"/>
              <w:ind w:right="-1"/>
              <w:jc w:val="center"/>
              <w:rPr>
                <w:sz w:val="24"/>
                <w:szCs w:val="24"/>
                <w:lang w:val="ru-RU"/>
              </w:rPr>
            </w:pPr>
            <w:r>
              <w:rPr>
                <w:sz w:val="24"/>
                <w:szCs w:val="24"/>
                <w:lang w:val="ru-RU"/>
              </w:rPr>
              <w:t>(0,341)</w:t>
            </w:r>
          </w:p>
        </w:tc>
        <w:tc>
          <w:tcPr>
            <w:tcW w:w="1470" w:type="dxa"/>
          </w:tcPr>
          <w:p>
            <w:pPr>
              <w:pStyle w:val="P13"/>
              <w:ind w:right="-1"/>
              <w:jc w:val="center"/>
              <w:rPr>
                <w:sz w:val="24"/>
                <w:szCs w:val="24"/>
                <w:lang w:val="ru-RU"/>
              </w:rPr>
            </w:pPr>
            <w:r>
              <w:rPr>
                <w:sz w:val="24"/>
                <w:szCs w:val="24"/>
                <w:lang w:val="ru-RU"/>
              </w:rPr>
              <w:t>0,451</w:t>
            </w:r>
          </w:p>
          <w:p>
            <w:pPr>
              <w:pStyle w:val="P13"/>
              <w:ind w:right="-1"/>
              <w:jc w:val="center"/>
              <w:rPr>
                <w:sz w:val="24"/>
                <w:szCs w:val="24"/>
                <w:lang w:val="ru-RU"/>
              </w:rPr>
            </w:pPr>
            <w:r>
              <w:rPr>
                <w:sz w:val="24"/>
                <w:szCs w:val="24"/>
                <w:lang w:val="ru-RU"/>
              </w:rPr>
              <w:t>(0,349)</w:t>
            </w:r>
          </w:p>
        </w:tc>
        <w:tc>
          <w:tcPr>
            <w:tcW w:w="1469" w:type="dxa"/>
          </w:tcPr>
          <w:p>
            <w:pPr>
              <w:pStyle w:val="P13"/>
              <w:ind w:right="-1"/>
              <w:jc w:val="center"/>
              <w:rPr>
                <w:sz w:val="24"/>
                <w:szCs w:val="24"/>
                <w:lang w:val="ru-RU"/>
              </w:rPr>
            </w:pPr>
            <w:r>
              <w:rPr>
                <w:sz w:val="24"/>
                <w:szCs w:val="24"/>
                <w:lang w:val="ru-RU"/>
              </w:rPr>
              <w:t>0,495</w:t>
            </w:r>
          </w:p>
          <w:p>
            <w:pPr>
              <w:pStyle w:val="P13"/>
              <w:ind w:right="-1"/>
              <w:jc w:val="center"/>
              <w:rPr>
                <w:sz w:val="24"/>
                <w:szCs w:val="24"/>
                <w:lang w:val="ru-RU"/>
              </w:rPr>
            </w:pPr>
            <w:r>
              <w:rPr>
                <w:sz w:val="24"/>
                <w:szCs w:val="24"/>
                <w:lang w:val="ru-RU"/>
              </w:rPr>
              <w:t>(0,321)</w:t>
            </w:r>
          </w:p>
        </w:tc>
      </w:tr>
      <w:tr>
        <w:trPr>
          <w:trHeight w:hRule="atLeast" w:val="543"/>
        </w:trPr>
        <w:tc>
          <w:tcPr>
            <w:tcW w:w="3965" w:type="dxa"/>
          </w:tcPr>
          <w:p>
            <w:pPr>
              <w:pStyle w:val="P13"/>
              <w:ind w:right="-1"/>
              <w:rPr>
                <w:sz w:val="24"/>
                <w:szCs w:val="24"/>
                <w:lang w:val="ru-RU"/>
              </w:rPr>
            </w:pPr>
            <w:r>
              <w:rPr>
                <w:sz w:val="24"/>
                <w:szCs w:val="24"/>
                <w:lang w:val="ru-RU"/>
              </w:rPr>
              <w:t>Фирмы, расположенные в некоммерческом городе/районе</w:t>
            </w:r>
          </w:p>
        </w:tc>
        <w:tc>
          <w:tcPr>
            <w:tcW w:w="1438" w:type="dxa"/>
          </w:tcPr>
          <w:p>
            <w:pPr>
              <w:pStyle w:val="P13"/>
              <w:ind w:right="-1"/>
              <w:jc w:val="center"/>
              <w:rPr>
                <w:sz w:val="24"/>
                <w:szCs w:val="24"/>
                <w:lang w:val="ru-RU"/>
              </w:rPr>
            </w:pPr>
            <w:r>
              <w:rPr>
                <w:sz w:val="24"/>
                <w:szCs w:val="24"/>
                <w:lang w:val="ru-RU"/>
              </w:rPr>
              <w:t>1,032*</w:t>
            </w:r>
          </w:p>
          <w:p>
            <w:pPr>
              <w:pStyle w:val="P13"/>
              <w:ind w:right="-1"/>
              <w:jc w:val="center"/>
              <w:rPr>
                <w:sz w:val="24"/>
                <w:szCs w:val="24"/>
                <w:lang w:val="ru-RU"/>
              </w:rPr>
            </w:pPr>
            <w:r>
              <w:rPr>
                <w:sz w:val="24"/>
                <w:szCs w:val="24"/>
                <w:lang w:val="ru-RU"/>
              </w:rPr>
              <w:t>(0,069)</w:t>
            </w:r>
          </w:p>
        </w:tc>
        <w:tc>
          <w:tcPr>
            <w:tcW w:w="1469" w:type="dxa"/>
          </w:tcPr>
          <w:p>
            <w:pPr>
              <w:pStyle w:val="P13"/>
              <w:ind w:right="-1"/>
              <w:jc w:val="center"/>
              <w:rPr>
                <w:sz w:val="24"/>
                <w:szCs w:val="24"/>
                <w:lang w:val="ru-RU"/>
              </w:rPr>
            </w:pPr>
            <w:r>
              <w:rPr>
                <w:sz w:val="24"/>
                <w:szCs w:val="24"/>
                <w:lang w:val="ru-RU"/>
              </w:rPr>
              <w:t>1,679*</w:t>
            </w:r>
          </w:p>
          <w:p>
            <w:pPr>
              <w:pStyle w:val="P13"/>
              <w:ind w:right="-1"/>
              <w:jc w:val="center"/>
              <w:rPr>
                <w:sz w:val="24"/>
                <w:szCs w:val="24"/>
                <w:lang w:val="ru-RU"/>
              </w:rPr>
            </w:pPr>
            <w:r>
              <w:rPr>
                <w:sz w:val="24"/>
                <w:szCs w:val="24"/>
                <w:lang w:val="ru-RU"/>
              </w:rPr>
              <w:t>(0,070)</w:t>
            </w:r>
          </w:p>
        </w:tc>
        <w:tc>
          <w:tcPr>
            <w:tcW w:w="1470" w:type="dxa"/>
          </w:tcPr>
          <w:p>
            <w:pPr>
              <w:pStyle w:val="P13"/>
              <w:ind w:right="-1"/>
              <w:jc w:val="center"/>
              <w:rPr>
                <w:sz w:val="24"/>
                <w:szCs w:val="24"/>
                <w:lang w:val="ru-RU"/>
              </w:rPr>
            </w:pPr>
            <w:r>
              <w:rPr>
                <w:sz w:val="24"/>
                <w:szCs w:val="24"/>
                <w:lang w:val="ru-RU"/>
              </w:rPr>
              <w:t>1,384*</w:t>
            </w:r>
          </w:p>
          <w:p>
            <w:pPr>
              <w:pStyle w:val="P13"/>
              <w:ind w:right="-1"/>
              <w:jc w:val="center"/>
              <w:rPr>
                <w:sz w:val="24"/>
                <w:szCs w:val="24"/>
                <w:lang w:val="ru-RU"/>
              </w:rPr>
            </w:pPr>
            <w:r>
              <w:rPr>
                <w:sz w:val="24"/>
                <w:szCs w:val="24"/>
                <w:lang w:val="ru-RU"/>
              </w:rPr>
              <w:t>(0,081)</w:t>
            </w:r>
          </w:p>
        </w:tc>
        <w:tc>
          <w:tcPr>
            <w:tcW w:w="1469" w:type="dxa"/>
          </w:tcPr>
          <w:p>
            <w:pPr>
              <w:pStyle w:val="P13"/>
              <w:ind w:right="-1"/>
              <w:jc w:val="center"/>
              <w:rPr>
                <w:sz w:val="24"/>
                <w:szCs w:val="24"/>
                <w:lang w:val="ru-RU"/>
              </w:rPr>
            </w:pPr>
            <w:r>
              <w:rPr>
                <w:sz w:val="24"/>
                <w:szCs w:val="24"/>
                <w:lang w:val="ru-RU"/>
              </w:rPr>
              <w:t>1,358*</w:t>
            </w:r>
          </w:p>
          <w:p>
            <w:pPr>
              <w:pStyle w:val="P13"/>
              <w:ind w:right="-1"/>
              <w:jc w:val="center"/>
              <w:rPr>
                <w:sz w:val="24"/>
                <w:szCs w:val="24"/>
                <w:lang w:val="ru-RU"/>
              </w:rPr>
            </w:pPr>
            <w:r>
              <w:rPr>
                <w:sz w:val="24"/>
                <w:szCs w:val="24"/>
                <w:lang w:val="ru-RU"/>
              </w:rPr>
              <w:t>(0,086)</w:t>
            </w:r>
          </w:p>
        </w:tc>
      </w:tr>
    </w:tbl>
    <w:p>
      <w:pPr>
        <w:pStyle w:val="P13"/>
        <w:ind w:right="-1"/>
        <w:jc w:val="both"/>
        <w:rPr>
          <w:sz w:val="24"/>
          <w:szCs w:val="24"/>
          <w:lang w:val="ru-RU"/>
        </w:rPr>
      </w:pPr>
      <w:r>
        <w:rPr>
          <w:sz w:val="24"/>
          <w:szCs w:val="24"/>
          <w:lang w:val="ru-RU"/>
        </w:rPr>
        <w:t>Примечание: Значения вероятности заключены в круглые скобки ***р &lt; 0,01, **р &lt; 0,05, *р &lt; 0,10</w:t>
      </w:r>
    </w:p>
    <w:p>
      <w:pPr>
        <w:pStyle w:val="P13"/>
        <w:spacing w:lineRule="auto" w:line="360" w:beforeAutospacing="0" w:afterAutospacing="0"/>
        <w:ind w:firstLine="709" w:right="-1"/>
        <w:jc w:val="both"/>
        <w:rPr>
          <w:sz w:val="28"/>
          <w:szCs w:val="28"/>
          <w:lang w:val="ru-RU"/>
        </w:rPr>
      </w:pPr>
    </w:p>
    <w:p>
      <w:pPr>
        <w:pStyle w:val="P13"/>
        <w:spacing w:lineRule="auto" w:line="360" w:beforeAutospacing="0" w:afterAutospacing="0"/>
        <w:ind w:firstLine="709" w:right="-1"/>
        <w:jc w:val="both"/>
        <w:rPr>
          <w:sz w:val="28"/>
          <w:szCs w:val="28"/>
          <w:lang w:val="ru-RU"/>
        </w:rPr>
      </w:pPr>
      <w:r>
        <w:rPr>
          <w:sz w:val="28"/>
          <w:szCs w:val="28"/>
          <w:lang w:val="ru-RU"/>
        </w:rPr>
        <w:t xml:space="preserve">По результатам моделирования можно сделать следующие выводы. </w:t>
      </w:r>
    </w:p>
    <w:p>
      <w:pPr>
        <w:pStyle w:val="P13"/>
        <w:spacing w:lineRule="auto" w:line="360" w:beforeAutospacing="0" w:afterAutospacing="0"/>
        <w:ind w:firstLine="709" w:right="-1"/>
        <w:jc w:val="both"/>
        <w:rPr>
          <w:sz w:val="28"/>
          <w:szCs w:val="28"/>
          <w:lang w:val="ru-RU"/>
        </w:rPr>
      </w:pPr>
      <w:r>
        <w:rPr>
          <w:sz w:val="28"/>
          <w:szCs w:val="28"/>
          <w:lang w:val="ru-RU"/>
        </w:rPr>
        <w:t xml:space="preserve">Во-первых, для повышения конкурентоспособности фирм и выхода на внешний рынок (с точки зрения экспорта) необходимо эффективное взаимодействие финансовых институтов и промышленного сектора. Такие взаимодействия должны быть связаны с доступом к кредитным ресурсам, а в идеале к программам льготного кредитования. Сочетание этих показателей финансовой доступности оказывает существенное влияние на рост экспортных продаж фирм. </w:t>
      </w:r>
    </w:p>
    <w:p>
      <w:pPr>
        <w:pStyle w:val="P13"/>
        <w:spacing w:lineRule="auto" w:line="360" w:beforeAutospacing="0" w:afterAutospacing="0"/>
        <w:ind w:firstLine="709" w:right="-1"/>
        <w:jc w:val="both"/>
        <w:rPr>
          <w:sz w:val="28"/>
          <w:szCs w:val="28"/>
          <w:lang w:val="ru-RU"/>
        </w:rPr>
      </w:pPr>
      <w:r>
        <w:rPr>
          <w:sz w:val="28"/>
          <w:szCs w:val="28"/>
          <w:lang w:val="ru-RU"/>
        </w:rPr>
        <w:t xml:space="preserve">Во-вторых, политика должна быть направлена ​​на расширение доступа к финансовым услугам фирм, расположенных в г. Абиджан. Фирмы, расположенные там больше заинтересованы в расширении экспорта, а облегчение доступа к финансовым услугам даст максимальный эффект. Именно данное соображение, на наш взгляд, является главным объяснением результатов, представленных в таблице. </w:t>
      </w:r>
    </w:p>
    <w:p>
      <w:pPr>
        <w:pStyle w:val="P13"/>
        <w:spacing w:lineRule="auto" w:line="360" w:beforeAutospacing="0" w:afterAutospacing="0"/>
        <w:ind w:firstLine="709" w:right="-1"/>
        <w:jc w:val="both"/>
        <w:rPr>
          <w:sz w:val="28"/>
          <w:szCs w:val="28"/>
          <w:lang w:val="ru-RU"/>
        </w:rPr>
      </w:pPr>
      <w:r>
        <w:rPr>
          <w:sz w:val="28"/>
          <w:szCs w:val="28"/>
          <w:lang w:val="ru-RU"/>
        </w:rPr>
        <w:t>В-третьих, мы признаем, что улучшение доступа к финансовым услугам является в большей степени вопросом государственной политики и финансового регулирования, а также внутренняя политика конкретных финансовых учреждений и банков в отношении предоставления займов и кредитов. Поэтому для повышения доступности финансовых услуг и их качества необходимо интегрировать в единое целое государственную политику и внутреннюю политику финансовых учреждений, чтобы избежать дублирования и получить синергетический эффект для всех заинтересованных сторон. Следовательно, как банки, так и центральный орган финансового регулирования Республики Кот-Д’Ивуар должны участвовать в этом процессе, чтобы гарантировать, что фирмам предоставляются все возможности доступа к финансированию для повышения их экспортного потенциала.</w:t>
      </w:r>
    </w:p>
    <w:p>
      <w:pPr>
        <w:pStyle w:val="P13"/>
        <w:spacing w:lineRule="auto" w:line="360" w:beforeAutospacing="0" w:afterAutospacing="0"/>
        <w:ind w:firstLine="709" w:right="-1"/>
        <w:jc w:val="both"/>
        <w:rPr>
          <w:sz w:val="28"/>
          <w:szCs w:val="28"/>
          <w:lang w:val="ru-RU"/>
        </w:rPr>
      </w:pPr>
      <w:r>
        <w:rPr>
          <w:sz w:val="28"/>
          <w:szCs w:val="28"/>
          <w:lang w:val="ru-RU"/>
        </w:rPr>
        <w:t>Проведенные нами исследования</w:t>
      </w:r>
      <w:r>
        <w:rPr>
          <w:rStyle w:val="C42"/>
          <w:sz w:val="28"/>
          <w:szCs w:val="28"/>
          <w:lang w:val="ru-RU"/>
        </w:rPr>
        <w:footnoteReference w:id="110"/>
      </w:r>
      <w:r>
        <w:rPr>
          <w:sz w:val="28"/>
          <w:szCs w:val="28"/>
          <w:lang w:val="ru-RU"/>
        </w:rPr>
        <w:t xml:space="preserve"> показывают, что финансовая система Республики Кот-д’Ивуар демонстрирует важные слабости, ограничивающие долгосрочный инклюзивный рост и устойчивое развитие страны. Банковская структура страны исключает значительные слои населения из домохозяйств и предприятий, так как она обеспечивает лишь узкий набор формальных финансовых рынков, институтов и инструментов. В частности, недостаточно удовлетворяется потребность в долгосрочном финансировании и отраслевом инвестировании промышленности, сельского хозяйства и развития инфраструктуры.</w:t>
      </w:r>
    </w:p>
    <w:p>
      <w:pPr>
        <w:pStyle w:val="P13"/>
        <w:spacing w:lineRule="auto" w:line="360" w:beforeAutospacing="0" w:afterAutospacing="0"/>
        <w:ind w:firstLine="709" w:right="-1"/>
        <w:jc w:val="both"/>
        <w:rPr>
          <w:sz w:val="28"/>
          <w:szCs w:val="28"/>
          <w:lang w:val="ru-RU"/>
        </w:rPr>
      </w:pPr>
      <w:r>
        <w:rPr>
          <w:sz w:val="28"/>
          <w:szCs w:val="28"/>
          <w:lang w:val="ru-RU"/>
        </w:rPr>
        <w:t>Финансовые рынки Республики Кот-д’Ивуар, таким образом, не обеспечивают достаточных объемов финансирования и видов посредничества для частного сектора, включая удовлетворение спроса на краткосрочный оборотный капитал и долгосрочные инвестиции в реальный сектор экономики. Неофициальные финансовые каналы, существующие в стране, полезны в дополнение к формальным финансовым системам в выполнении обязательств по финансовому посредничеству. Однако неформальные финансовые системы недостаточно хорошо интегрированы в общую финансовую систему Республики Кот-д’Ивуар, т.е. их эффективность также ограничена на формирование траектории инклюзивного роста.</w:t>
      </w:r>
    </w:p>
    <w:p>
      <w:pPr>
        <w:pStyle w:val="P13"/>
        <w:spacing w:lineRule="auto" w:line="360" w:beforeAutospacing="0" w:afterAutospacing="0"/>
        <w:ind w:firstLine="709" w:right="-1"/>
        <w:jc w:val="both"/>
        <w:rPr>
          <w:sz w:val="28"/>
          <w:szCs w:val="28"/>
          <w:lang w:val="ru-RU"/>
        </w:rPr>
      </w:pPr>
      <w:r>
        <w:rPr>
          <w:sz w:val="28"/>
          <w:szCs w:val="28"/>
          <w:lang w:val="ru-RU"/>
        </w:rPr>
        <w:t>Тем не менее развитие финансовых институтов в Республике Кот-д’Ивуар может внести значительный вклад в долгосрочный инновационно-инклюзивный рост и устойчивое развитие. Финансовые реформы в Республике Кот-д’Ивуар до сих пор были полезны для расширения финансового посредничества и улучшения качества услуг, но им не удалось преобразовать финансовую систему так, чтобы она лучше служила инновационно-инклюзивному экономическому росту и развитию.</w:t>
      </w:r>
    </w:p>
    <w:p>
      <w:pPr>
        <w:pStyle w:val="P13"/>
        <w:spacing w:lineRule="auto" w:line="360" w:beforeAutospacing="0" w:afterAutospacing="0"/>
        <w:ind w:firstLine="709" w:right="-1"/>
        <w:jc w:val="both"/>
        <w:rPr>
          <w:sz w:val="28"/>
          <w:szCs w:val="28"/>
          <w:lang w:val="ru-RU"/>
        </w:rPr>
      </w:pPr>
      <w:r>
        <w:rPr>
          <w:sz w:val="28"/>
          <w:szCs w:val="28"/>
          <w:lang w:val="ru-RU"/>
        </w:rPr>
        <w:t>В качестве перспективных направлений финансовых реформ в Республике Кот-д’Ивуар следует выделить:</w:t>
      </w:r>
    </w:p>
    <w:p>
      <w:pPr>
        <w:pStyle w:val="P13"/>
        <w:spacing w:lineRule="auto" w:line="360" w:beforeAutospacing="0" w:afterAutospacing="0"/>
        <w:ind w:firstLine="709" w:right="-1"/>
        <w:jc w:val="both"/>
        <w:rPr>
          <w:sz w:val="28"/>
          <w:szCs w:val="28"/>
          <w:lang w:val="ru-RU"/>
        </w:rPr>
      </w:pPr>
      <w:r>
        <w:rPr>
          <w:sz w:val="28"/>
          <w:szCs w:val="28"/>
          <w:lang w:val="ru-RU"/>
        </w:rPr>
        <w:t>– расширение финансовой экосистемы за счет укрепления банков развития, небанковских финансовых посредников, рынков капитала и исламских финансовых институтов;</w:t>
      </w:r>
    </w:p>
    <w:p>
      <w:pPr>
        <w:pStyle w:val="P13"/>
        <w:spacing w:lineRule="auto" w:line="360" w:beforeAutospacing="0" w:afterAutospacing="0"/>
        <w:ind w:firstLine="709" w:right="-1"/>
        <w:jc w:val="both"/>
        <w:rPr>
          <w:sz w:val="28"/>
          <w:szCs w:val="28"/>
          <w:lang w:val="ru-RU"/>
        </w:rPr>
      </w:pPr>
      <w:r>
        <w:rPr>
          <w:sz w:val="28"/>
          <w:szCs w:val="28"/>
          <w:lang w:val="ru-RU"/>
        </w:rPr>
        <w:t>– развитие микрофинансирования и интеграция его в официальную финансовую систему, поддерживая свои финансовые и технические потребности с помощью эффективного финансового регулирования;</w:t>
      </w:r>
    </w:p>
    <w:p>
      <w:pPr>
        <w:pStyle w:val="P13"/>
        <w:spacing w:lineRule="auto" w:line="360" w:beforeAutospacing="0" w:afterAutospacing="0"/>
        <w:ind w:firstLine="709" w:right="-1"/>
        <w:jc w:val="both"/>
        <w:rPr>
          <w:sz w:val="28"/>
          <w:szCs w:val="28"/>
          <w:lang w:val="ru-RU"/>
        </w:rPr>
      </w:pPr>
      <w:r>
        <w:rPr>
          <w:sz w:val="28"/>
          <w:szCs w:val="28"/>
          <w:lang w:val="ru-RU"/>
        </w:rPr>
        <w:t>– укрепление банковского сектора за счет докапитализации местных банков и повышения конкуренции за счет предоставления преференций новым участникам и более тесной интеграции зарубежных банков с малым и средним бизнесом</w:t>
      </w:r>
      <w:r>
        <w:rPr>
          <w:rStyle w:val="C42"/>
          <w:sz w:val="28"/>
          <w:szCs w:val="28"/>
          <w:lang w:val="ru-RU"/>
        </w:rPr>
        <w:footnoteReference w:id="111"/>
      </w:r>
      <w:r>
        <w:rPr>
          <w:sz w:val="28"/>
          <w:szCs w:val="28"/>
          <w:lang w:val="ru-RU"/>
        </w:rPr>
        <w:t>.</w:t>
      </w:r>
    </w:p>
    <w:p>
      <w:pPr>
        <w:pStyle w:val="P13"/>
        <w:spacing w:lineRule="auto" w:line="360" w:beforeAutospacing="0" w:afterAutospacing="0"/>
        <w:ind w:firstLine="709" w:right="-1"/>
        <w:jc w:val="both"/>
        <w:rPr>
          <w:sz w:val="28"/>
          <w:szCs w:val="28"/>
          <w:lang w:val="ru-RU"/>
        </w:rPr>
      </w:pPr>
      <w:r>
        <w:rPr>
          <w:sz w:val="28"/>
          <w:szCs w:val="28"/>
          <w:lang w:val="ru-RU"/>
        </w:rPr>
        <w:t>Кроме выделенных нами направлений, в условиях цифровой трансформации одним из перспективных инструментов решения данной проблемы могут стать цифровые финансовые платформы, обеспечивающие более широкий доступ предприятий к финансовым ресурсам, включая платформенное кредитование, электронные платежные системы и инструменты торгового финансирования.</w:t>
      </w:r>
    </w:p>
    <w:p>
      <w:pPr>
        <w:pStyle w:val="P13"/>
        <w:spacing w:lineRule="auto" w:line="360" w:beforeAutospacing="0" w:afterAutospacing="0"/>
        <w:ind w:firstLine="709" w:right="-1"/>
        <w:jc w:val="both"/>
        <w:rPr>
          <w:sz w:val="28"/>
          <w:szCs w:val="28"/>
          <w:lang w:val="ru-RU"/>
        </w:rPr>
      </w:pPr>
      <w:r>
        <w:rPr>
          <w:sz w:val="28"/>
          <w:szCs w:val="28"/>
          <w:lang w:val="ru-RU"/>
        </w:rPr>
        <w:t xml:space="preserve">Исходя из вышесказанного, для решения выявленных нами проблем инновационно-инклюзивного развития страны предлагается использовать платформенный механизм структурной трансформации национальной экономики.  Концептуальная модель данного механизма предполагает формирование многоуровневой системы взаимодействия экономических акторов, в которой цифровая платформа выполняет функцию интеграционного ядра экономической экосистемы (рисунок </w:t>
      </w:r>
      <w:r>
        <w:rPr>
          <w:sz w:val="28"/>
          <w:szCs w:val="28"/>
          <w:highlight w:val="yellow"/>
          <w:lang w:val="ru-RU"/>
        </w:rPr>
        <w:t>??</w:t>
      </w:r>
      <w:r>
        <w:rPr>
          <w:sz w:val="28"/>
          <w:szCs w:val="28"/>
          <w:lang w:val="ru-RU"/>
        </w:rPr>
        <w:t>). Через платформу осуществляется координация информационных потоков, организация торговых и финансовых операций, управление логистическими цепочками, а также обеспечение доступа участников рынка к цифровым сервисам и государственным услугам.</w:t>
      </w:r>
    </w:p>
    <w:p>
      <w:pPr>
        <w:pStyle w:val="P13"/>
        <w:spacing w:lineRule="auto" w:line="360" w:beforeAutospacing="0" w:afterAutospacing="0"/>
        <w:ind w:firstLine="709" w:right="-1"/>
        <w:jc w:val="both"/>
        <w:rPr>
          <w:sz w:val="28"/>
          <w:szCs w:val="28"/>
          <w:lang w:val="ru-RU"/>
        </w:rPr>
      </w:pPr>
      <w:r>
        <w:rPr>
          <w:sz w:val="28"/>
          <w:szCs w:val="28"/>
          <w:lang w:val="ru-RU"/>
        </w:rPr>
        <w:t>В структуре платформенного механизма нами выделено несколько взаимосвязанных уровней.</w:t>
      </w:r>
    </w:p>
    <w:p>
      <w:pPr>
        <w:pStyle w:val="P13"/>
        <w:spacing w:lineRule="auto" w:line="360" w:beforeAutospacing="0" w:afterAutospacing="0"/>
        <w:ind w:firstLine="709" w:right="-1"/>
        <w:jc w:val="both"/>
        <w:rPr>
          <w:sz w:val="28"/>
          <w:szCs w:val="28"/>
          <w:lang w:val="ru-RU"/>
        </w:rPr>
      </w:pPr>
      <w:r>
        <w:rPr>
          <w:sz w:val="28"/>
          <w:szCs w:val="28"/>
          <w:lang w:val="ru-RU"/>
        </w:rPr>
        <w:t>Первый уровень представляет собой цифровую инфраструктуру, обеспечивающую технологическую основу функционирования платформы. К данному уровню относятся системы обработки и хранения данных, облачные сервисы, цифровые торговые и финансовые инструменты, а также коммуникационные технологии, обеспечивающие взаимодействие участников платформы. Развитие цифровой инфраструктуры создает условия для ускоренного обмена информацией, повышения прозрачности экономических операций и снижения транзакционных издержек.</w:t>
      </w:r>
    </w:p>
    <w:p>
      <w:pPr>
        <w:pStyle w:val="P13"/>
        <w:spacing w:lineRule="auto" w:line="360" w:beforeAutospacing="0" w:afterAutospacing="0"/>
        <w:ind w:firstLine="709" w:right="-1"/>
        <w:jc w:val="both"/>
        <w:rPr>
          <w:sz w:val="28"/>
          <w:szCs w:val="28"/>
          <w:lang w:val="ru-RU"/>
        </w:rPr>
      </w:pPr>
      <w:r>
        <w:rPr>
          <w:sz w:val="28"/>
          <w:szCs w:val="28"/>
          <w:lang w:val="ru-RU"/>
        </w:rPr>
        <w:t>Второй уровень включает экономические и производственные взаимодействия, формируемые между участниками платформенной экосистемы. На данном уровне осуществляется интеграция предприятий различных отраслей, логистических компаний, финансовых институтов и экспортно-ориентированных производителей. Цифровая платформа позволяет формировать новые кооперационные связи между участниками экономической системы, стимулировать развитие кластерных структур и расширять участие предприятий в региональных и глобальных цепочках создания стоимости.</w:t>
      </w:r>
    </w:p>
    <w:p>
      <w:pPr>
        <w:pStyle w:val="P13"/>
        <w:spacing w:lineRule="auto" w:line="360" w:beforeAutospacing="0" w:afterAutospacing="0"/>
        <w:ind w:firstLine="709" w:right="-1"/>
        <w:jc w:val="both"/>
        <w:rPr>
          <w:sz w:val="28"/>
          <w:szCs w:val="28"/>
          <w:lang w:val="ru-RU"/>
        </w:rPr>
      </w:pPr>
      <w:r>
        <w:rPr>
          <w:sz w:val="28"/>
          <w:szCs w:val="28"/>
          <w:lang w:val="ru-RU"/>
        </w:rPr>
        <w:t>Третий уровень платформенного механизма связан с институциональной средой функционирования цифровой экономики. Он включает систему нормативно-правового регулирования, механизмы защиты данных и обеспечения кибербезопасности, инструменты государственной поддержки инноваций и предпринимательства, а также институты развития, обеспечивающие финансирование и координацию экономических проектов. Формирование эффективной институциональной среды является необходимым условием устойчивого функционирования платформенной экономики и повышения уровня доверия между ее участниками.</w:t>
      </w:r>
    </w:p>
    <w:p>
      <w:pPr>
        <w:pStyle w:val="P13"/>
        <w:spacing w:lineRule="auto" w:line="360" w:beforeAutospacing="0" w:afterAutospacing="0"/>
        <w:ind w:firstLine="709" w:right="-1"/>
        <w:jc w:val="both"/>
        <w:rPr>
          <w:sz w:val="28"/>
          <w:szCs w:val="28"/>
          <w:lang w:val="ru-RU"/>
        </w:rPr>
      </w:pPr>
      <w:r>
        <w:rPr>
          <w:sz w:val="28"/>
          <w:szCs w:val="28"/>
          <w:lang w:val="ru-RU"/>
        </w:rPr>
        <w:t>Четвертый уровень модели отражает социально-экономические эффекты платформенной трансформации, проявляющиеся в расширении экономической включенности различных групп населения, росте предпринимательской активности, увеличении занятости и повышении производительности труда. За счет цифровизации экономических процессов и расширения доступа к рынкам платформенный механизм способствует вовлечению малых и средних предприятий в инновационные и экспортные процессы, что является важным фактором формирования инклюзивного экономического роста.</w:t>
      </w:r>
    </w:p>
    <w:p>
      <w:pPr>
        <w:pStyle w:val="P13"/>
        <w:spacing w:lineRule="auto" w:line="360" w:beforeAutospacing="0" w:afterAutospacing="0"/>
        <w:ind w:firstLine="709" w:right="-1"/>
        <w:jc w:val="both"/>
        <w:rPr>
          <w:sz w:val="28"/>
          <w:szCs w:val="28"/>
          <w:lang w:val="ru-RU"/>
        </w:rPr>
      </w:pPr>
      <w:r>
        <w:rPr>
          <w:sz w:val="28"/>
          <w:szCs w:val="28"/>
          <w:lang w:val="ru-RU"/>
        </w:rPr>
        <w:t>Существенным элементом концептуальной модели является формирование кластерной структуры платформенной экономики, обеспечивающей интеграцию ключевых отраслей национальной экономики. В рамках предложенного подхода цифровая платформа выступает в качестве координационного центра взаимодействия нескольких стратегических кластеров, включая агропромышленный сектор, логистику и транспорт, цифровые финансовые сервисы, торговлю и экспорт, а также образовательные и инновационные системы. Такое взаимодействие позволяет формировать устойчивые производственные цепочки, повышать уровень технологической кооперации и стимулировать развитие новых направлений экономической активности.</w:t>
      </w:r>
    </w:p>
    <w:p>
      <w:pPr>
        <w:pStyle w:val="P13"/>
        <w:spacing w:lineRule="auto" w:line="360" w:beforeAutospacing="0" w:afterAutospacing="0"/>
        <w:ind w:firstLine="709" w:right="-1"/>
        <w:jc w:val="both"/>
        <w:rPr>
          <w:sz w:val="28"/>
          <w:szCs w:val="28"/>
          <w:lang w:val="ru-RU"/>
        </w:rPr>
      </w:pPr>
      <w:r>
        <w:rPr>
          <w:sz w:val="28"/>
          <w:szCs w:val="28"/>
          <w:lang w:val="ru-RU"/>
        </w:rPr>
        <w:t>Особое значение в рамках концептуальной модели имеет интеграция платформенного механизма с глобальными и региональными экономическими сетями. Использование цифровой платформы создает возможности для более активного участия национальных предприятий в международных торговых и производственных цепочках, а также способствует расширению сотрудничества в рамках региональных интеграционных объединений, таких как ECOWAS, UEMOA и AfCFTA. Это позволяет повысить конкурентоспособность национальной экономики и обеспечить ее более глубокую интеграцию в мировую экономическую систему.</w:t>
      </w:r>
    </w:p>
    <w:p>
      <w:pPr>
        <w:pStyle w:val="P13"/>
        <w:spacing w:lineRule="auto" w:line="360" w:beforeAutospacing="0" w:afterAutospacing="0"/>
        <w:ind w:firstLine="709" w:right="-1"/>
        <w:jc w:val="both"/>
        <w:rPr>
          <w:sz w:val="28"/>
          <w:szCs w:val="28"/>
          <w:lang w:val="ru-RU"/>
        </w:rPr>
      </w:pPr>
    </w:p>
    <w:p>
      <w:pPr>
        <w:pStyle w:val="P13"/>
        <w:spacing w:lineRule="auto" w:line="360" w:beforeAutospacing="0" w:afterAutospacing="0"/>
        <w:ind w:firstLine="709" w:left="-709" w:right="-1"/>
        <w:jc w:val="both"/>
        <w:rPr>
          <w:sz w:val="28"/>
          <w:szCs w:val="28"/>
          <w:lang w:val="ru-RU"/>
        </w:rPr>
      </w:pPr>
      <w:r>
        <w:rPr>
          <w:noProof w:val="1"/>
          <w:sz w:val="28"/>
          <w:szCs w:val="28"/>
          <w:lang w:val="ru-RU" w:eastAsia="ru-RU"/>
        </w:rPr>
        <mc:AlternateContent>
          <mc:Choice Requires="wps">
            <w:drawing>
              <wp:anchor xmlns:wp="http://schemas.openxmlformats.org/drawingml/2006/wordprocessingDrawing" distT="0" distB="0" distL="114300" distR="114300" simplePos="0" relativeHeight="175" behindDoc="0" locked="0" layoutInCell="1" allowOverlap="1">
                <wp:simplePos x="0" y="0"/>
                <wp:positionH relativeFrom="column">
                  <wp:posOffset>4557395</wp:posOffset>
                </wp:positionH>
                <wp:positionV relativeFrom="paragraph">
                  <wp:posOffset>127635</wp:posOffset>
                </wp:positionV>
                <wp:extent cx="771525" cy="276225"/>
                <wp:effectExtent l="0" t="0" r="28575" b="28575"/>
                <wp:wrapNone/>
                <wp:docPr id="841381655" name="Прямая соединительная линия 841381655"/>
                <wp:cNvGraphicFramePr/>
                <a:graphic xmlns:a="http://schemas.openxmlformats.org/drawingml/2006/main">
                  <a:graphicData uri="http://schemas.microsoft.com/office/word/2010/wordprocessingShape">
                    <wps:wsp>
                      <wps:cNvCnPr/>
                      <wps:spPr>
                        <a:xfrm>
                          <a:off x="0" y="0"/>
                          <a:ext cx="771525" cy="276225"/>
                        </a:xfrm>
                        <a:prstGeom prst="line"/>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xmlns:o="urn:schemas-microsoft-com:office:office" id="Прямая соединительная линия 841381655" o:spid="_x0000_s1252" style="position:absolute;z-index:175;mso-wrap-distance-left:9pt;mso-wrap-distance-top:0pt;mso-wrap-distance-right:9pt;mso-wrap-distance-bottom:0pt;mso-position-horizontal:absolute;mso-position-horizontal-relative:text;mso-position-vertical:absolute;mso-position-vertical-relative:text" strokecolor="#4472C4" strokeweight="0.5pt" stroked="t" o:allowincell="t" from="358.85pt,10.05pt" to="419.6pt,31.8pt"/>
            </w:pict>
          </mc:Fallback>
        </mc:AlternateContent>
      </w:r>
      <w:r>
        <w:rPr>
          <w:noProof w:val="1"/>
          <w:sz w:val="28"/>
          <w:szCs w:val="28"/>
          <w:lang w:val="ru-RU" w:eastAsia="ru-RU"/>
        </w:rPr>
        <mc:AlternateContent>
          <mc:Choice Requires="wps">
            <w:drawing>
              <wp:anchor xmlns:wp="http://schemas.openxmlformats.org/drawingml/2006/wordprocessingDrawing" distT="0" distB="0" distL="114300" distR="114300" simplePos="0" relativeHeight="174" behindDoc="0" locked="0" layoutInCell="1" allowOverlap="1">
                <wp:simplePos x="0" y="0"/>
                <wp:positionH relativeFrom="column">
                  <wp:posOffset>918845</wp:posOffset>
                </wp:positionH>
                <wp:positionV relativeFrom="paragraph">
                  <wp:posOffset>127635</wp:posOffset>
                </wp:positionV>
                <wp:extent cx="657225" cy="276225"/>
                <wp:effectExtent l="0" t="0" r="28575" b="28575"/>
                <wp:wrapNone/>
                <wp:docPr id="841381654" name="Прямая соединительная линия 841381654"/>
                <wp:cNvGraphicFramePr/>
                <a:graphic xmlns:a="http://schemas.openxmlformats.org/drawingml/2006/main">
                  <a:graphicData uri="http://schemas.microsoft.com/office/word/2010/wordprocessingShape">
                    <wps:wsp>
                      <wps:cNvCnPr/>
                      <wps:spPr>
                        <a:xfrm flipH="1">
                          <a:off x="0" y="0"/>
                          <a:ext cx="657225" cy="276225"/>
                        </a:xfrm>
                        <a:prstGeom prst="line"/>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xmlns:o="urn:schemas-microsoft-com:office:office" id="Прямая соединительная линия 841381654" o:spid="_x0000_s1253" style="position:absolute;flip:x;z-index:174;mso-wrap-distance-left:9pt;mso-wrap-distance-top:0pt;mso-wrap-distance-right:9pt;mso-wrap-distance-bottom:0pt;mso-position-horizontal:absolute;mso-position-horizontal-relative:text;mso-position-vertical:absolute;mso-position-vertical-relative:text" strokecolor="#4472C4" strokeweight="0.5pt" stroked="t" o:allowincell="t" from="72.35pt,10.05pt" to="124.1pt,31.8pt"/>
            </w:pict>
          </mc:Fallback>
        </mc:AlternateContent>
      </w:r>
      <w:r>
        <w:rPr>
          <w:noProof w:val="1"/>
          <w:sz w:val="28"/>
          <w:szCs w:val="28"/>
          <w:lang w:val="ru-RU" w:eastAsia="ru-RU"/>
        </w:rPr>
        <mc:AlternateContent>
          <mc:Choice Requires="wps">
            <w:drawing>
              <wp:anchor xmlns:wp="http://schemas.openxmlformats.org/drawingml/2006/wordprocessingDrawing" distT="0" distB="0" distL="114300" distR="114300" simplePos="0" relativeHeight="152" behindDoc="0" locked="0" layoutInCell="1" allowOverlap="1">
                <wp:simplePos x="0" y="0"/>
                <wp:positionH relativeFrom="column">
                  <wp:posOffset>1576070</wp:posOffset>
                </wp:positionH>
                <wp:positionV relativeFrom="paragraph">
                  <wp:posOffset>9525</wp:posOffset>
                </wp:positionV>
                <wp:extent cx="2981325" cy="304800"/>
                <wp:effectExtent l="0" t="0" r="28575" b="19050"/>
                <wp:wrapNone/>
                <wp:docPr id="15" name="Прямоугольник 15"/>
                <wp:cNvGraphicFramePr/>
                <a:graphic xmlns:a="http://schemas.openxmlformats.org/drawingml/2006/main">
                  <a:graphicData uri="http://schemas.microsoft.com/office/word/2010/wordprocessingShape">
                    <wps:wsp>
                      <wps:cNvSpPr/>
                      <wps:spPr>
                        <a:xfrm>
                          <a:off x="0" y="0"/>
                          <a:ext cx="2981325" cy="304800"/>
                        </a:xfrm>
                        <a:prstGeom prst="rect"/>
                      </wps:spPr>
                      <wps:style>
                        <a:lnRef idx="2">
                          <a:schemeClr val="accent1"/>
                        </a:lnRef>
                        <a:fillRef idx="1">
                          <a:schemeClr val="lt1"/>
                        </a:fillRef>
                        <a:effectRef idx="0">
                          <a:schemeClr val="accent1"/>
                        </a:effectRef>
                        <a:fontRef idx="minor">
                          <a:schemeClr val="dk1"/>
                        </a:fontRef>
                      </wps:style>
                      <wps:txbx>
                        <w:txbxContent>
                          <w:p>
                            <w:pPr>
                              <w:jc w:val="center"/>
                              <w:rPr>
                                <w:rFonts w:ascii="Times New Roman" w:hAnsi="Times New Roman" w:cs="Times New Roman"/>
                                <w:sz w:val="24"/>
                                <w:szCs w:val="24"/>
                              </w:rPr>
                            </w:pPr>
                            <w:r>
                              <w:rPr>
                                <w:rFonts w:ascii="Times New Roman" w:hAnsi="Times New Roman" w:cs="Times New Roman"/>
                                <w:sz w:val="24"/>
                                <w:szCs w:val="24"/>
                              </w:rPr>
                              <w:t>СТРУКТУРНЫЕ ЛОВУШКИ РАЗВИТИЯ</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xmlns:o="urn:schemas-microsoft-com:office:office" id="Прямоугольник 15" o:spid="_x0000_s1254" style="position:absolute;width:234.75pt;height:24pt;z-index:152;mso-wrap-distance-left:9pt;mso-wrap-distance-top:0pt;mso-wrap-distance-right:9pt;mso-wrap-distance-bottom:0pt;margin-left:124.1pt;margin-top:0.75pt;mso-position-horizontal:absolute;mso-position-horizontal-relative:text;mso-position-vertical:absolute;mso-position-vertical-relative:text;v-text-anchor:middle" o:allowincell="t" strokecolor="#4472C4" strokeweight="1pt" stroked="t">
                <v:textbox inset="3mm,1mm,3mm,1mm">
                  <w:txbxContent>
                    <w:p>
                      <w:pPr>
                        <w:jc w:val="center"/>
                        <w:rPr>
                          <w:rFonts w:ascii="Times New Roman" w:hAnsi="Times New Roman" w:cs="Times New Roman"/>
                          <w:sz w:val="24"/>
                          <w:szCs w:val="24"/>
                        </w:rPr>
                      </w:pPr>
                      <w:r>
                        <w:rPr>
                          <w:rFonts w:ascii="Times New Roman" w:hAnsi="Times New Roman" w:cs="Times New Roman"/>
                          <w:sz w:val="24"/>
                          <w:szCs w:val="24"/>
                        </w:rPr>
                        <w:t>СТРУКТУРНЫЕ ЛОВУШКИ РАЗВИТИЯ</w:t>
                      </w:r>
                    </w:p>
                  </w:txbxContent>
                </v:textbox>
              </v:rect>
            </w:pict>
          </mc:Fallback>
        </mc:AlternateContent>
      </w:r>
    </w:p>
    <w:p>
      <w:pPr>
        <w:pStyle w:val="P13"/>
        <w:spacing w:lineRule="auto" w:line="360" w:beforeAutospacing="0" w:afterAutospacing="0"/>
        <w:ind w:firstLine="709" w:right="-1"/>
        <w:jc w:val="both"/>
        <w:rPr>
          <w:sz w:val="28"/>
          <w:szCs w:val="28"/>
          <w:lang w:val="ru-RU"/>
        </w:rPr>
      </w:pPr>
      <w:r>
        <w:rPr>
          <w:noProof w:val="1"/>
          <w:sz w:val="28"/>
          <w:szCs w:val="28"/>
          <w:lang w:val="ru-RU" w:eastAsia="ru-RU"/>
        </w:rPr>
        <mc:AlternateContent>
          <mc:Choice Requires="wps">
            <w:drawing>
              <wp:anchor xmlns:wp="http://schemas.openxmlformats.org/drawingml/2006/wordprocessingDrawing" distT="0" distB="0" distL="114300" distR="114300" simplePos="0" relativeHeight="14" behindDoc="1" locked="0" layoutInCell="1" allowOverlap="1">
                <wp:simplePos x="0" y="0"/>
                <wp:positionH relativeFrom="column">
                  <wp:posOffset>3100070</wp:posOffset>
                </wp:positionH>
                <wp:positionV relativeFrom="paragraph">
                  <wp:posOffset>11430</wp:posOffset>
                </wp:positionV>
                <wp:extent cx="0" cy="1247775"/>
                <wp:effectExtent l="0" t="0" r="19050" b="28575"/>
                <wp:wrapNone/>
                <wp:docPr id="841381656" name="Прямая соединительная линия 841381656"/>
                <wp:cNvGraphicFramePr/>
                <a:graphic xmlns:a="http://schemas.openxmlformats.org/drawingml/2006/main">
                  <a:graphicData uri="http://schemas.microsoft.com/office/word/2010/wordprocessingShape">
                    <wps:wsp>
                      <wps:cNvCnPr/>
                      <wps:spPr>
                        <a:xfrm flipH="1">
                          <a:off x="0" y="0"/>
                          <a:ext cx="0" cy="1247775"/>
                        </a:xfrm>
                        <a:prstGeom prst="line"/>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xmlns:o="urn:schemas-microsoft-com:office:office" id="Прямая соединительная линия 841381656" o:spid="_x0000_s1255" style="position:absolute;flip:x;z-index:-32764;mso-wrap-distance-left:9pt;mso-wrap-distance-top:0pt;mso-wrap-distance-right:9pt;mso-wrap-distance-bottom:0pt;mso-position-horizontal:absolute;mso-position-horizontal-relative:text;mso-position-vertical:absolute;mso-position-vertical-relative:text" strokecolor="#4472C4" strokeweight="0.5pt" stroked="t" o:allowincell="t" from="244.1pt,0.9pt" to="244.1pt,99.15pt"/>
            </w:pict>
          </mc:Fallback>
        </mc:AlternateContent>
      </w:r>
      <w:r>
        <w:rPr>
          <w:noProof w:val="1"/>
          <w:sz w:val="28"/>
          <w:szCs w:val="28"/>
          <w:lang w:val="ru-RU" w:eastAsia="ru-RU"/>
        </w:rPr>
        <mc:AlternateContent>
          <mc:Choice Requires="wps">
            <w:drawing>
              <wp:anchor xmlns:wp="http://schemas.openxmlformats.org/drawingml/2006/wordprocessingDrawing" distT="0" distB="0" distL="114300" distR="114300" simplePos="0" relativeHeight="172" behindDoc="0" locked="0" layoutInCell="1" allowOverlap="1">
                <wp:simplePos x="0" y="0"/>
                <wp:positionH relativeFrom="column">
                  <wp:posOffset>4147820</wp:posOffset>
                </wp:positionH>
                <wp:positionV relativeFrom="paragraph">
                  <wp:posOffset>97155</wp:posOffset>
                </wp:positionV>
                <wp:extent cx="2085975" cy="876300"/>
                <wp:effectExtent l="0" t="0" r="28575" b="19050"/>
                <wp:wrapNone/>
                <wp:docPr id="841381652" name="Скругленный прямоугольник 841381652"/>
                <wp:cNvGraphicFramePr/>
                <a:graphic xmlns:a="http://schemas.openxmlformats.org/drawingml/2006/main">
                  <a:graphicData uri="http://schemas.microsoft.com/office/word/2010/wordprocessingShape">
                    <wps:wsp>
                      <wps:cNvSpPr/>
                      <wps:spPr>
                        <a:xfrm>
                          <a:off x="0" y="0"/>
                          <a:ext cx="2085975" cy="876300"/>
                        </a:xfrm>
                        <a:prstGeom prst="roundRect"/>
                        <a:ln>
                          <a:prstDash val="lgDash"/>
                        </a:ln>
                      </wps:spPr>
                      <wps:style>
                        <a:lnRef idx="2">
                          <a:schemeClr val="accent1"/>
                        </a:lnRef>
                        <a:fillRef idx="1">
                          <a:schemeClr val="lt1"/>
                        </a:fillRef>
                        <a:effectRef idx="0">
                          <a:schemeClr val="accent1"/>
                        </a:effectRef>
                        <a:fontRef idx="minor">
                          <a:schemeClr val="dk1"/>
                        </a:fontRef>
                      </wps:style>
                      <wps:txbx>
                        <w:txbxContent>
                          <w:p>
                            <w:pPr>
                              <w:pStyle w:val="P13"/>
                              <w:spacing w:lineRule="auto" w:line="216" w:beforeAutospacing="0" w:afterAutospacing="0"/>
                              <w:ind w:left="-142" w:right="-142"/>
                              <w:jc w:val="both"/>
                              <w:rPr>
                                <w:sz w:val="18"/>
                                <w:szCs w:val="18"/>
                                <w:lang w:val="ru-RU"/>
                              </w:rPr>
                            </w:pPr>
                            <w:r>
                              <w:rPr>
                                <w:sz w:val="18"/>
                                <w:szCs w:val="18"/>
                                <w:lang w:val="ru-RU"/>
                              </w:rPr>
                              <w:t xml:space="preserve">Фрагментированность экономических связей         </w:t>
                            </w:r>
                          </w:p>
                          <w:p>
                            <w:pPr>
                              <w:pStyle w:val="P13"/>
                              <w:spacing w:lineRule="auto" w:line="216" w:beforeAutospacing="0" w:afterAutospacing="0"/>
                              <w:ind w:left="-142" w:right="-142"/>
                              <w:rPr>
                                <w:sz w:val="18"/>
                                <w:szCs w:val="18"/>
                                <w:lang w:val="ru-RU"/>
                              </w:rPr>
                            </w:pPr>
                            <w:r>
                              <w:rPr>
                                <w:sz w:val="18"/>
                                <w:szCs w:val="18"/>
                                <w:lang w:val="ru-RU"/>
                              </w:rPr>
                              <w:t xml:space="preserve">• слабая кооперация производителей              </w:t>
                            </w:r>
                          </w:p>
                          <w:p>
                            <w:pPr>
                              <w:pStyle w:val="P13"/>
                              <w:spacing w:lineRule="auto" w:line="216" w:beforeAutospacing="0" w:afterAutospacing="0"/>
                              <w:ind w:left="-142" w:right="-142"/>
                              <w:jc w:val="both"/>
                              <w:rPr>
                                <w:sz w:val="18"/>
                                <w:szCs w:val="18"/>
                                <w:lang w:val="ru-RU"/>
                              </w:rPr>
                            </w:pPr>
                            <w:r>
                              <w:rPr>
                                <w:sz w:val="18"/>
                                <w:szCs w:val="18"/>
                                <w:lang w:val="ru-RU"/>
                              </w:rPr>
                              <w:t>• логистические барьеры</w:t>
                            </w:r>
                          </w:p>
                          <w:p>
                            <w:pPr>
                              <w:pStyle w:val="P13"/>
                              <w:spacing w:lineRule="auto" w:line="216" w:beforeAutospacing="0" w:afterAutospacing="0"/>
                              <w:ind w:left="-142" w:right="-142"/>
                              <w:rPr>
                                <w:sz w:val="18"/>
                                <w:szCs w:val="18"/>
                                <w:lang w:val="ru-RU"/>
                              </w:rPr>
                            </w:pPr>
                            <w:r>
                              <w:rPr>
                                <w:sz w:val="18"/>
                                <w:szCs w:val="18"/>
                                <w:lang w:val="ru-RU"/>
                              </w:rPr>
                              <w:t>• ограниченная интеграция в глобальные цепочки</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xmlns:o="urn:schemas-microsoft-com:office:office" id="Скругленный прямоугольник 841381652" o:spid="_x0000_s1256" style="position:absolute;width:164.25pt;height:69pt;z-index:172;mso-wrap-distance-left:9pt;mso-wrap-distance-top:0pt;mso-wrap-distance-right:9pt;mso-wrap-distance-bottom:0pt;margin-left:326.6pt;margin-top:7.65pt;mso-position-horizontal:absolute;mso-position-horizontal-relative:text;mso-position-vertical:absolute;mso-position-vertical-relative:text;v-text-anchor:middle" o:allowincell="t" strokecolor="#4472C4" strokeweight="1pt" stroked="t">
                <v:textbox inset="3mm,1mm,3mm,1mm">
                  <w:txbxContent>
                    <w:p>
                      <w:pPr>
                        <w:pStyle w:val="P13"/>
                        <w:spacing w:lineRule="auto" w:line="216" w:beforeAutospacing="0" w:afterAutospacing="0"/>
                        <w:ind w:left="-142" w:right="-142"/>
                        <w:jc w:val="both"/>
                        <w:rPr>
                          <w:sz w:val="18"/>
                          <w:szCs w:val="18"/>
                          <w:lang w:val="ru-RU"/>
                        </w:rPr>
                      </w:pPr>
                      <w:r>
                        <w:rPr>
                          <w:sz w:val="18"/>
                          <w:szCs w:val="18"/>
                          <w:lang w:val="ru-RU"/>
                        </w:rPr>
                        <w:t xml:space="preserve">Фрагментированность экономических связей         </w:t>
                      </w:r>
                    </w:p>
                    <w:p>
                      <w:pPr>
                        <w:pStyle w:val="P13"/>
                        <w:spacing w:lineRule="auto" w:line="216" w:beforeAutospacing="0" w:afterAutospacing="0"/>
                        <w:ind w:left="-142" w:right="-142"/>
                        <w:rPr>
                          <w:sz w:val="18"/>
                          <w:szCs w:val="18"/>
                          <w:lang w:val="ru-RU"/>
                        </w:rPr>
                      </w:pPr>
                      <w:r>
                        <w:rPr>
                          <w:sz w:val="18"/>
                          <w:szCs w:val="18"/>
                          <w:lang w:val="ru-RU"/>
                        </w:rPr>
                        <w:t xml:space="preserve">• слабая кооперация производителей              </w:t>
                      </w:r>
                    </w:p>
                    <w:p>
                      <w:pPr>
                        <w:pStyle w:val="P13"/>
                        <w:spacing w:lineRule="auto" w:line="216" w:beforeAutospacing="0" w:afterAutospacing="0"/>
                        <w:ind w:left="-142" w:right="-142"/>
                        <w:jc w:val="both"/>
                        <w:rPr>
                          <w:sz w:val="18"/>
                          <w:szCs w:val="18"/>
                          <w:lang w:val="ru-RU"/>
                        </w:rPr>
                      </w:pPr>
                      <w:r>
                        <w:rPr>
                          <w:sz w:val="18"/>
                          <w:szCs w:val="18"/>
                          <w:lang w:val="ru-RU"/>
                        </w:rPr>
                        <w:t>• логистические барьеры</w:t>
                      </w:r>
                    </w:p>
                    <w:p>
                      <w:pPr>
                        <w:pStyle w:val="P13"/>
                        <w:spacing w:lineRule="auto" w:line="216" w:beforeAutospacing="0" w:afterAutospacing="0"/>
                        <w:ind w:left="-142" w:right="-142"/>
                        <w:rPr>
                          <w:sz w:val="18"/>
                          <w:szCs w:val="18"/>
                          <w:lang w:val="ru-RU"/>
                        </w:rPr>
                      </w:pPr>
                      <w:r>
                        <w:rPr>
                          <w:sz w:val="18"/>
                          <w:szCs w:val="18"/>
                          <w:lang w:val="ru-RU"/>
                        </w:rPr>
                        <w:t>• ограниченная интеграция в глобальные цепочки</w:t>
                      </w:r>
                    </w:p>
                  </w:txbxContent>
                </v:textbox>
                <v:stroke dashstyle="longdash"/>
              </v:roundrect>
            </w:pict>
          </mc:Fallback>
        </mc:AlternateContent>
      </w:r>
      <w:r>
        <w:rPr>
          <w:noProof w:val="1"/>
          <w:sz w:val="18"/>
          <w:szCs w:val="18"/>
          <w:lang w:val="ru-RU" w:eastAsia="ru-RU"/>
        </w:rPr>
        <mc:AlternateContent>
          <mc:Choice Requires="wps">
            <w:drawing>
              <wp:anchor xmlns:wp="http://schemas.openxmlformats.org/drawingml/2006/wordprocessingDrawing" distT="0" distB="0" distL="114300" distR="114300" simplePos="0" relativeHeight="171" behindDoc="0" locked="0" layoutInCell="1" allowOverlap="1">
                <wp:simplePos x="0" y="0"/>
                <wp:positionH relativeFrom="column">
                  <wp:posOffset>2023745</wp:posOffset>
                </wp:positionH>
                <wp:positionV relativeFrom="paragraph">
                  <wp:posOffset>97155</wp:posOffset>
                </wp:positionV>
                <wp:extent cx="2057400" cy="876300"/>
                <wp:effectExtent l="0" t="0" r="19050" b="19050"/>
                <wp:wrapNone/>
                <wp:docPr id="841381651" name="Скругленный прямоугольник 841381651"/>
                <wp:cNvGraphicFramePr/>
                <a:graphic xmlns:a="http://schemas.openxmlformats.org/drawingml/2006/main">
                  <a:graphicData uri="http://schemas.microsoft.com/office/word/2010/wordprocessingShape">
                    <wps:wsp>
                      <wps:cNvSpPr/>
                      <wps:spPr>
                        <a:xfrm>
                          <a:off x="0" y="0"/>
                          <a:ext cx="2057400" cy="876300"/>
                        </a:xfrm>
                        <a:prstGeom prst="roundRect"/>
                        <a:ln>
                          <a:prstDash val="lgDash"/>
                        </a:ln>
                      </wps:spPr>
                      <wps:style>
                        <a:lnRef idx="2">
                          <a:schemeClr val="accent1"/>
                        </a:lnRef>
                        <a:fillRef idx="1">
                          <a:schemeClr val="lt1"/>
                        </a:fillRef>
                        <a:effectRef idx="0">
                          <a:schemeClr val="accent1"/>
                        </a:effectRef>
                        <a:fontRef idx="minor">
                          <a:schemeClr val="dk1"/>
                        </a:fontRef>
                      </wps:style>
                      <wps:txbx>
                        <w:txbxContent>
                          <w:p>
                            <w:pPr>
                              <w:spacing w:lineRule="auto" w:line="216" w:after="0" w:beforeAutospacing="0" w:afterAutospacing="0"/>
                              <w:ind w:left="-142" w:right="-187"/>
                              <w:rPr>
                                <w:rFonts w:ascii="Times New Roman" w:hAnsi="Times New Roman" w:cs="Times New Roman"/>
                                <w:sz w:val="18"/>
                                <w:szCs w:val="18"/>
                              </w:rPr>
                            </w:pPr>
                            <w:r>
                              <w:rPr>
                                <w:rFonts w:ascii="Times New Roman" w:hAnsi="Times New Roman" w:cs="Times New Roman"/>
                                <w:sz w:val="18"/>
                                <w:szCs w:val="18"/>
                              </w:rPr>
                              <w:t xml:space="preserve">Ограниченная финансовая доступность            </w:t>
                            </w:r>
                          </w:p>
                          <w:p>
                            <w:pPr>
                              <w:spacing w:lineRule="auto" w:line="216" w:after="0" w:beforeAutospacing="0" w:afterAutospacing="0"/>
                              <w:ind w:left="-142" w:right="-187"/>
                              <w:rPr>
                                <w:rFonts w:ascii="Times New Roman" w:hAnsi="Times New Roman" w:cs="Times New Roman"/>
                                <w:sz w:val="18"/>
                                <w:szCs w:val="18"/>
                              </w:rPr>
                            </w:pPr>
                            <w:r>
                              <w:rPr>
                                <w:rFonts w:ascii="Times New Roman" w:hAnsi="Times New Roman" w:cs="Times New Roman"/>
                                <w:sz w:val="18"/>
                                <w:szCs w:val="18"/>
                              </w:rPr>
                              <w:t xml:space="preserve">• низкий доступ МСП к кредитованию              </w:t>
                            </w:r>
                          </w:p>
                          <w:p>
                            <w:pPr>
                              <w:spacing w:lineRule="auto" w:line="216" w:after="0" w:beforeAutospacing="0" w:afterAutospacing="0"/>
                              <w:ind w:left="-142" w:right="-187"/>
                              <w:rPr>
                                <w:rFonts w:ascii="Times New Roman" w:hAnsi="Times New Roman" w:cs="Times New Roman"/>
                                <w:sz w:val="18"/>
                                <w:szCs w:val="18"/>
                              </w:rPr>
                            </w:pPr>
                            <w:r>
                              <w:rPr>
                                <w:rFonts w:ascii="Times New Roman" w:hAnsi="Times New Roman" w:cs="Times New Roman"/>
                                <w:sz w:val="18"/>
                                <w:szCs w:val="18"/>
                              </w:rPr>
                              <w:t xml:space="preserve">• высокие трансакционные издержки              </w:t>
                            </w:r>
                          </w:p>
                          <w:p>
                            <w:pPr>
                              <w:spacing w:lineRule="auto" w:line="216" w:after="0" w:beforeAutospacing="0" w:afterAutospacing="0"/>
                              <w:ind w:left="-142" w:right="-187"/>
                              <w:rPr>
                                <w:rFonts w:ascii="Times New Roman" w:hAnsi="Times New Roman" w:cs="Times New Roman"/>
                                <w:sz w:val="18"/>
                                <w:szCs w:val="18"/>
                              </w:rPr>
                            </w:pPr>
                            <w:r>
                              <w:rPr>
                                <w:rFonts w:ascii="Times New Roman" w:hAnsi="Times New Roman" w:cs="Times New Roman"/>
                                <w:sz w:val="18"/>
                                <w:szCs w:val="18"/>
                              </w:rPr>
                              <w:t>• слабая инвестиционная активность</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xmlns:o="urn:schemas-microsoft-com:office:office" id="Скругленный прямоугольник 841381651" o:spid="_x0000_s1257" style="position:absolute;width:162pt;height:69pt;z-index:171;mso-wrap-distance-left:9pt;mso-wrap-distance-top:0pt;mso-wrap-distance-right:9pt;mso-wrap-distance-bottom:0pt;margin-left:159.35pt;margin-top:7.65pt;mso-position-horizontal:absolute;mso-position-horizontal-relative:text;mso-position-vertical:absolute;mso-position-vertical-relative:text;v-text-anchor:middle" o:allowincell="t" strokecolor="#4472C4" strokeweight="1pt" stroked="t">
                <v:textbox inset="3mm,1mm,3mm,1mm">
                  <w:txbxContent>
                    <w:p>
                      <w:pPr>
                        <w:spacing w:lineRule="auto" w:line="216" w:after="0" w:beforeAutospacing="0" w:afterAutospacing="0"/>
                        <w:ind w:left="-142" w:right="-187"/>
                        <w:rPr>
                          <w:rFonts w:ascii="Times New Roman" w:hAnsi="Times New Roman" w:cs="Times New Roman"/>
                          <w:sz w:val="18"/>
                          <w:szCs w:val="18"/>
                        </w:rPr>
                      </w:pPr>
                      <w:r>
                        <w:rPr>
                          <w:rFonts w:ascii="Times New Roman" w:hAnsi="Times New Roman" w:cs="Times New Roman"/>
                          <w:sz w:val="18"/>
                          <w:szCs w:val="18"/>
                        </w:rPr>
                        <w:t xml:space="preserve">Ограниченная финансовая доступность            </w:t>
                      </w:r>
                    </w:p>
                    <w:p>
                      <w:pPr>
                        <w:spacing w:lineRule="auto" w:line="216" w:after="0" w:beforeAutospacing="0" w:afterAutospacing="0"/>
                        <w:ind w:left="-142" w:right="-187"/>
                        <w:rPr>
                          <w:rFonts w:ascii="Times New Roman" w:hAnsi="Times New Roman" w:cs="Times New Roman"/>
                          <w:sz w:val="18"/>
                          <w:szCs w:val="18"/>
                        </w:rPr>
                      </w:pPr>
                      <w:r>
                        <w:rPr>
                          <w:rFonts w:ascii="Times New Roman" w:hAnsi="Times New Roman" w:cs="Times New Roman"/>
                          <w:sz w:val="18"/>
                          <w:szCs w:val="18"/>
                        </w:rPr>
                        <w:t xml:space="preserve">• низкий доступ МСП к кредитованию              </w:t>
                      </w:r>
                    </w:p>
                    <w:p>
                      <w:pPr>
                        <w:spacing w:lineRule="auto" w:line="216" w:after="0" w:beforeAutospacing="0" w:afterAutospacing="0"/>
                        <w:ind w:left="-142" w:right="-187"/>
                        <w:rPr>
                          <w:rFonts w:ascii="Times New Roman" w:hAnsi="Times New Roman" w:cs="Times New Roman"/>
                          <w:sz w:val="18"/>
                          <w:szCs w:val="18"/>
                        </w:rPr>
                      </w:pPr>
                      <w:r>
                        <w:rPr>
                          <w:rFonts w:ascii="Times New Roman" w:hAnsi="Times New Roman" w:cs="Times New Roman"/>
                          <w:sz w:val="18"/>
                          <w:szCs w:val="18"/>
                        </w:rPr>
                        <w:t xml:space="preserve">• высокие трансакционные издержки              </w:t>
                      </w:r>
                    </w:p>
                    <w:p>
                      <w:pPr>
                        <w:spacing w:lineRule="auto" w:line="216" w:after="0" w:beforeAutospacing="0" w:afterAutospacing="0"/>
                        <w:ind w:left="-142" w:right="-187"/>
                        <w:rPr>
                          <w:rFonts w:ascii="Times New Roman" w:hAnsi="Times New Roman" w:cs="Times New Roman"/>
                          <w:sz w:val="18"/>
                          <w:szCs w:val="18"/>
                        </w:rPr>
                      </w:pPr>
                      <w:r>
                        <w:rPr>
                          <w:rFonts w:ascii="Times New Roman" w:hAnsi="Times New Roman" w:cs="Times New Roman"/>
                          <w:sz w:val="18"/>
                          <w:szCs w:val="18"/>
                        </w:rPr>
                        <w:t>• слабая инвестиционная активность</w:t>
                      </w:r>
                    </w:p>
                  </w:txbxContent>
                </v:textbox>
                <v:stroke dashstyle="longdash"/>
              </v:roundrect>
            </w:pict>
          </mc:Fallback>
        </mc:AlternateContent>
      </w:r>
      <w:r>
        <w:rPr>
          <w:noProof w:val="1"/>
          <w:sz w:val="28"/>
          <w:szCs w:val="28"/>
          <w:lang w:val="ru-RU" w:eastAsia="ru-RU"/>
        </w:rPr>
        <mc:AlternateContent>
          <mc:Choice Requires="wps">
            <w:drawing>
              <wp:anchor xmlns:wp="http://schemas.openxmlformats.org/drawingml/2006/wordprocessingDrawing" distT="0" distB="0" distL="114300" distR="114300" simplePos="0" relativeHeight="170" behindDoc="0" locked="0" layoutInCell="1" allowOverlap="1">
                <wp:simplePos x="0" y="0"/>
                <wp:positionH relativeFrom="column">
                  <wp:posOffset>4445</wp:posOffset>
                </wp:positionH>
                <wp:positionV relativeFrom="paragraph">
                  <wp:posOffset>97155</wp:posOffset>
                </wp:positionV>
                <wp:extent cx="1933575" cy="876300"/>
                <wp:effectExtent l="0" t="0" r="28575" b="19050"/>
                <wp:wrapNone/>
                <wp:docPr id="841381650" name="Скругленный прямоугольник 841381650"/>
                <wp:cNvGraphicFramePr/>
                <a:graphic xmlns:a="http://schemas.openxmlformats.org/drawingml/2006/main">
                  <a:graphicData uri="http://schemas.microsoft.com/office/word/2010/wordprocessingShape">
                    <wps:wsp>
                      <wps:cNvSpPr/>
                      <wps:spPr>
                        <a:xfrm>
                          <a:off x="0" y="0"/>
                          <a:ext cx="1933575" cy="876300"/>
                        </a:xfrm>
                        <a:prstGeom prst="roundRect"/>
                        <a:ln>
                          <a:prstDash val="lgDash"/>
                        </a:ln>
                      </wps:spPr>
                      <wps:style>
                        <a:lnRef idx="2">
                          <a:schemeClr val="accent1"/>
                        </a:lnRef>
                        <a:fillRef idx="1">
                          <a:schemeClr val="lt1"/>
                        </a:fillRef>
                        <a:effectRef idx="0">
                          <a:schemeClr val="accent1"/>
                        </a:effectRef>
                        <a:fontRef idx="minor">
                          <a:schemeClr val="dk1"/>
                        </a:fontRef>
                      </wps:style>
                      <wps:txbx>
                        <w:txbxContent>
                          <w:p>
                            <w:pPr>
                              <w:spacing w:lineRule="auto" w:line="216" w:after="0" w:beforeAutospacing="0" w:afterAutospacing="0"/>
                              <w:ind w:left="-142" w:right="-240"/>
                              <w:rPr>
                                <w:rFonts w:ascii="Times New Roman" w:hAnsi="Times New Roman" w:cs="Times New Roman"/>
                                <w:sz w:val="18"/>
                                <w:szCs w:val="18"/>
                              </w:rPr>
                            </w:pPr>
                            <w:r>
                              <w:rPr>
                                <w:rFonts w:ascii="Times New Roman" w:hAnsi="Times New Roman" w:cs="Times New Roman"/>
                                <w:sz w:val="18"/>
                                <w:szCs w:val="18"/>
                              </w:rPr>
                              <w:t xml:space="preserve">Сырьевая зависимость («какао-ловушка»)                 </w:t>
                            </w:r>
                          </w:p>
                          <w:p>
                            <w:pPr>
                              <w:spacing w:lineRule="auto" w:line="216" w:after="0" w:beforeAutospacing="0" w:afterAutospacing="0"/>
                              <w:ind w:left="-142" w:right="-240"/>
                              <w:rPr>
                                <w:rFonts w:ascii="Times New Roman" w:hAnsi="Times New Roman" w:cs="Times New Roman"/>
                                <w:sz w:val="18"/>
                                <w:szCs w:val="18"/>
                              </w:rPr>
                            </w:pPr>
                            <w:r>
                              <w:rPr>
                                <w:rFonts w:ascii="Times New Roman" w:hAnsi="Times New Roman" w:cs="Times New Roman"/>
                                <w:sz w:val="18"/>
                                <w:szCs w:val="18"/>
                              </w:rPr>
                              <w:t xml:space="preserve"> • экспорт сырья вместо переработки                    </w:t>
                            </w:r>
                          </w:p>
                          <w:p>
                            <w:pPr>
                              <w:spacing w:lineRule="auto" w:line="216" w:after="0" w:beforeAutospacing="0" w:afterAutospacing="0"/>
                              <w:ind w:left="-142" w:right="-240"/>
                              <w:rPr>
                                <w:rFonts w:ascii="Times New Roman" w:hAnsi="Times New Roman" w:cs="Times New Roman"/>
                                <w:sz w:val="18"/>
                                <w:szCs w:val="18"/>
                              </w:rPr>
                            </w:pPr>
                            <w:r>
                              <w:rPr>
                                <w:rFonts w:ascii="Times New Roman" w:hAnsi="Times New Roman" w:cs="Times New Roman"/>
                                <w:sz w:val="18"/>
                                <w:szCs w:val="18"/>
                              </w:rPr>
                              <w:t>• низкая добавленная стоимость</w:t>
                            </w:r>
                          </w:p>
                          <w:p>
                            <w:pPr>
                              <w:spacing w:lineRule="auto" w:line="216" w:after="0" w:beforeAutospacing="0" w:afterAutospacing="0"/>
                              <w:ind w:left="-142" w:right="-240"/>
                              <w:rPr>
                                <w:rFonts w:ascii="Times New Roman" w:hAnsi="Times New Roman" w:cs="Times New Roman"/>
                                <w:sz w:val="18"/>
                                <w:szCs w:val="18"/>
                              </w:rPr>
                            </w:pPr>
                            <w:r>
                              <w:rPr>
                                <w:rFonts w:ascii="Times New Roman" w:hAnsi="Times New Roman" w:cs="Times New Roman"/>
                                <w:sz w:val="18"/>
                                <w:szCs w:val="18"/>
                              </w:rPr>
                              <w:t xml:space="preserve">• зависимость от мировых цен  </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xmlns:o="urn:schemas-microsoft-com:office:office" id="Скругленный прямоугольник 841381650" o:spid="_x0000_s1258" style="position:absolute;width:152.25pt;height:69pt;z-index:170;mso-wrap-distance-left:9pt;mso-wrap-distance-top:0pt;mso-wrap-distance-right:9pt;mso-wrap-distance-bottom:0pt;margin-left:0.35pt;margin-top:7.65pt;mso-position-horizontal:absolute;mso-position-horizontal-relative:text;mso-position-vertical:absolute;mso-position-vertical-relative:text;v-text-anchor:middle" o:allowincell="t" strokecolor="#4472C4" strokeweight="1pt" stroked="t">
                <v:textbox inset="3mm,1mm,3mm,1mm">
                  <w:txbxContent>
                    <w:p>
                      <w:pPr>
                        <w:spacing w:lineRule="auto" w:line="216" w:after="0" w:beforeAutospacing="0" w:afterAutospacing="0"/>
                        <w:ind w:left="-142" w:right="-240"/>
                        <w:rPr>
                          <w:rFonts w:ascii="Times New Roman" w:hAnsi="Times New Roman" w:cs="Times New Roman"/>
                          <w:sz w:val="18"/>
                          <w:szCs w:val="18"/>
                        </w:rPr>
                      </w:pPr>
                      <w:r>
                        <w:rPr>
                          <w:rFonts w:ascii="Times New Roman" w:hAnsi="Times New Roman" w:cs="Times New Roman"/>
                          <w:sz w:val="18"/>
                          <w:szCs w:val="18"/>
                        </w:rPr>
                        <w:t xml:space="preserve">Сырьевая зависимость («какао-ловушка»)                 </w:t>
                      </w:r>
                    </w:p>
                    <w:p>
                      <w:pPr>
                        <w:spacing w:lineRule="auto" w:line="216" w:after="0" w:beforeAutospacing="0" w:afterAutospacing="0"/>
                        <w:ind w:left="-142" w:right="-240"/>
                        <w:rPr>
                          <w:rFonts w:ascii="Times New Roman" w:hAnsi="Times New Roman" w:cs="Times New Roman"/>
                          <w:sz w:val="18"/>
                          <w:szCs w:val="18"/>
                        </w:rPr>
                      </w:pPr>
                      <w:r>
                        <w:rPr>
                          <w:rFonts w:ascii="Times New Roman" w:hAnsi="Times New Roman" w:cs="Times New Roman"/>
                          <w:sz w:val="18"/>
                          <w:szCs w:val="18"/>
                        </w:rPr>
                        <w:t xml:space="preserve"> • экспорт сырья вместо переработки                    </w:t>
                      </w:r>
                    </w:p>
                    <w:p>
                      <w:pPr>
                        <w:spacing w:lineRule="auto" w:line="216" w:after="0" w:beforeAutospacing="0" w:afterAutospacing="0"/>
                        <w:ind w:left="-142" w:right="-240"/>
                        <w:rPr>
                          <w:rFonts w:ascii="Times New Roman" w:hAnsi="Times New Roman" w:cs="Times New Roman"/>
                          <w:sz w:val="18"/>
                          <w:szCs w:val="18"/>
                        </w:rPr>
                      </w:pPr>
                      <w:r>
                        <w:rPr>
                          <w:rFonts w:ascii="Times New Roman" w:hAnsi="Times New Roman" w:cs="Times New Roman"/>
                          <w:sz w:val="18"/>
                          <w:szCs w:val="18"/>
                        </w:rPr>
                        <w:t>• низкая добавленная стоимость</w:t>
                      </w:r>
                    </w:p>
                    <w:p>
                      <w:pPr>
                        <w:spacing w:lineRule="auto" w:line="216" w:after="0" w:beforeAutospacing="0" w:afterAutospacing="0"/>
                        <w:ind w:left="-142" w:right="-240"/>
                        <w:rPr>
                          <w:rFonts w:ascii="Times New Roman" w:hAnsi="Times New Roman" w:cs="Times New Roman"/>
                          <w:sz w:val="18"/>
                          <w:szCs w:val="18"/>
                        </w:rPr>
                      </w:pPr>
                      <w:r>
                        <w:rPr>
                          <w:rFonts w:ascii="Times New Roman" w:hAnsi="Times New Roman" w:cs="Times New Roman"/>
                          <w:sz w:val="18"/>
                          <w:szCs w:val="18"/>
                        </w:rPr>
                        <w:t xml:space="preserve">• зависимость от мировых цен  </w:t>
                      </w:r>
                    </w:p>
                  </w:txbxContent>
                </v:textbox>
                <v:stroke dashstyle="longdash"/>
              </v:roundrect>
            </w:pict>
          </mc:Fallback>
        </mc:AlternateContent>
      </w:r>
    </w:p>
    <w:p>
      <w:pPr>
        <w:pStyle w:val="P13"/>
        <w:spacing w:lineRule="auto" w:line="360" w:beforeAutospacing="0" w:afterAutospacing="0"/>
        <w:ind w:firstLine="709" w:right="-1"/>
        <w:jc w:val="both"/>
        <w:rPr>
          <w:sz w:val="28"/>
          <w:szCs w:val="28"/>
          <w:lang w:val="ru-RU"/>
        </w:rPr>
      </w:pPr>
    </w:p>
    <w:p>
      <w:pPr>
        <w:pStyle w:val="P13"/>
        <w:spacing w:lineRule="auto" w:line="360" w:beforeAutospacing="0" w:afterAutospacing="0"/>
        <w:ind w:firstLine="709" w:right="-1"/>
        <w:jc w:val="both"/>
        <w:rPr>
          <w:sz w:val="28"/>
          <w:szCs w:val="28"/>
          <w:lang w:val="ru-RU"/>
        </w:rPr>
      </w:pPr>
    </w:p>
    <w:p>
      <w:pPr>
        <w:pStyle w:val="P13"/>
        <w:ind w:firstLine="709"/>
        <w:jc w:val="both"/>
        <w:rPr>
          <w:sz w:val="28"/>
          <w:szCs w:val="28"/>
          <w:lang w:val="ru-RU"/>
        </w:rPr>
      </w:pPr>
      <w:r>
        <w:rPr>
          <w:noProof w:val="1"/>
          <w:sz w:val="28"/>
          <w:szCs w:val="28"/>
          <w:lang w:val="ru-RU" w:eastAsia="ru-RU"/>
        </w:rPr>
        <mc:AlternateContent>
          <mc:Choice Requires="wps">
            <w:drawing>
              <wp:anchor xmlns:wp="http://schemas.openxmlformats.org/drawingml/2006/wordprocessingDrawing" distT="0" distB="0" distL="114300" distR="114300" simplePos="0" relativeHeight="177" behindDoc="0" locked="0" layoutInCell="1" allowOverlap="1">
                <wp:simplePos x="0" y="0"/>
                <wp:positionH relativeFrom="column">
                  <wp:posOffset>4604385</wp:posOffset>
                </wp:positionH>
                <wp:positionV relativeFrom="paragraph">
                  <wp:posOffset>53340</wp:posOffset>
                </wp:positionV>
                <wp:extent cx="771525" cy="190500"/>
                <wp:effectExtent l="0" t="0" r="28575" b="19050"/>
                <wp:wrapNone/>
                <wp:docPr id="841381658" name="Прямая соединительная линия 841381658"/>
                <wp:cNvGraphicFramePr/>
                <a:graphic xmlns:a="http://schemas.openxmlformats.org/drawingml/2006/main">
                  <a:graphicData uri="http://schemas.microsoft.com/office/word/2010/wordprocessingShape">
                    <wps:wsp>
                      <wps:cNvCnPr/>
                      <wps:spPr>
                        <a:xfrm flipH="1">
                          <a:off x="0" y="0"/>
                          <a:ext cx="771525" cy="190500"/>
                        </a:xfrm>
                        <a:prstGeom prst="line"/>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xmlns:o="urn:schemas-microsoft-com:office:office" id="Прямая соединительная линия 841381658" o:spid="_x0000_s1259" style="position:absolute;flip:x;z-index:177;mso-wrap-distance-left:9pt;mso-wrap-distance-top:0pt;mso-wrap-distance-right:9pt;mso-wrap-distance-bottom:0pt;mso-position-horizontal:absolute;mso-position-horizontal-relative:text;mso-position-vertical:absolute;mso-position-vertical-relative:text" strokecolor="#4472C4" strokeweight="0.5pt" stroked="t" o:allowincell="t" from="362.55pt,4.2pt" to="423.3pt,19.2pt"/>
            </w:pict>
          </mc:Fallback>
        </mc:AlternateContent>
      </w:r>
      <w:r>
        <w:rPr>
          <w:noProof w:val="1"/>
          <w:sz w:val="28"/>
          <w:szCs w:val="28"/>
          <w:lang w:val="ru-RU" w:eastAsia="ru-RU"/>
        </w:rPr>
        <mc:AlternateContent>
          <mc:Choice Requires="wps">
            <w:drawing>
              <wp:anchor xmlns:wp="http://schemas.openxmlformats.org/drawingml/2006/wordprocessingDrawing" distT="0" distB="0" distL="114300" distR="114300" simplePos="0" relativeHeight="176" behindDoc="0" locked="0" layoutInCell="1" allowOverlap="1">
                <wp:simplePos x="0" y="0"/>
                <wp:positionH relativeFrom="column">
                  <wp:posOffset>918845</wp:posOffset>
                </wp:positionH>
                <wp:positionV relativeFrom="paragraph">
                  <wp:posOffset>53340</wp:posOffset>
                </wp:positionV>
                <wp:extent cx="657225" cy="190500"/>
                <wp:effectExtent l="0" t="0" r="28575" b="19050"/>
                <wp:wrapNone/>
                <wp:docPr id="841381657" name="Прямая соединительная линия 841381657"/>
                <wp:cNvGraphicFramePr/>
                <a:graphic xmlns:a="http://schemas.openxmlformats.org/drawingml/2006/main">
                  <a:graphicData uri="http://schemas.microsoft.com/office/word/2010/wordprocessingShape">
                    <wps:wsp>
                      <wps:cNvCnPr/>
                      <wps:spPr>
                        <a:xfrm>
                          <a:off x="0" y="0"/>
                          <a:ext cx="657225" cy="190500"/>
                        </a:xfrm>
                        <a:prstGeom prst="line"/>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xmlns:o="urn:schemas-microsoft-com:office:office" id="Прямая соединительная линия 841381657" o:spid="_x0000_s1260" style="position:absolute;z-index:176;mso-wrap-distance-left:9pt;mso-wrap-distance-top:0pt;mso-wrap-distance-right:9pt;mso-wrap-distance-bottom:0pt;mso-position-horizontal:absolute;mso-position-horizontal-relative:text;mso-position-vertical:absolute;mso-position-vertical-relative:text" strokecolor="#4472C4" strokeweight="0.5pt" stroked="t" o:allowincell="t" from="72.35pt,4.2pt" to="124.1pt,19.2pt"/>
            </w:pict>
          </mc:Fallback>
        </mc:AlternateContent>
      </w:r>
    </w:p>
    <w:p>
      <w:pPr>
        <w:pStyle w:val="P13"/>
        <w:spacing w:lineRule="auto" w:line="360" w:beforeAutospacing="0" w:afterAutospacing="0"/>
        <w:ind w:firstLine="709" w:right="-1"/>
        <w:jc w:val="both"/>
        <w:rPr>
          <w:sz w:val="28"/>
          <w:szCs w:val="28"/>
          <w:lang w:val="ru-RU"/>
        </w:rPr>
      </w:pPr>
      <w:r>
        <w:rPr>
          <w:noProof w:val="1"/>
          <w:sz w:val="28"/>
          <w:szCs w:val="28"/>
          <w:lang w:val="ru-RU" w:eastAsia="ru-RU"/>
        </w:rPr>
        <mc:AlternateContent>
          <mc:Choice Requires="wps">
            <w:drawing>
              <wp:anchor xmlns:wp="http://schemas.openxmlformats.org/drawingml/2006/wordprocessingDrawing" distT="0" distB="0" distL="114300" distR="114300" simplePos="0" relativeHeight="173" behindDoc="0" locked="0" layoutInCell="1" allowOverlap="1">
                <wp:simplePos x="0" y="0"/>
                <wp:positionH relativeFrom="column">
                  <wp:posOffset>118745</wp:posOffset>
                </wp:positionH>
                <wp:positionV relativeFrom="paragraph">
                  <wp:posOffset>36195</wp:posOffset>
                </wp:positionV>
                <wp:extent cx="6096000" cy="304800"/>
                <wp:effectExtent l="0" t="0" r="19050" b="19050"/>
                <wp:wrapNone/>
                <wp:docPr id="841381653" name="Прямоугольник 841381653"/>
                <wp:cNvGraphicFramePr/>
                <a:graphic xmlns:a="http://schemas.openxmlformats.org/drawingml/2006/main">
                  <a:graphicData uri="http://schemas.microsoft.com/office/word/2010/wordprocessingShape">
                    <wps:wsp>
                      <wps:cNvSpPr/>
                      <wps:spPr>
                        <a:xfrm>
                          <a:off x="0" y="0"/>
                          <a:ext cx="6096000" cy="304800"/>
                        </a:xfrm>
                        <a:prstGeom prst="rect"/>
                      </wps:spPr>
                      <wps:style>
                        <a:lnRef idx="2">
                          <a:schemeClr val="accent1"/>
                        </a:lnRef>
                        <a:fillRef idx="1">
                          <a:schemeClr val="lt1"/>
                        </a:fillRef>
                        <a:effectRef idx="0">
                          <a:schemeClr val="accent1"/>
                        </a:effectRef>
                        <a:fontRef idx="minor">
                          <a:schemeClr val="dk1"/>
                        </a:fontRef>
                      </wps:style>
                      <wps:txbx>
                        <w:txbxContent>
                          <w:p>
                            <w:pPr>
                              <w:jc w:val="center"/>
                              <w:rPr>
                                <w:rFonts w:ascii="Times New Roman" w:hAnsi="Times New Roman" w:cs="Times New Roman"/>
                                <w:sz w:val="24"/>
                                <w:szCs w:val="24"/>
                              </w:rPr>
                            </w:pPr>
                            <w:r>
                              <w:rPr>
                                <w:rFonts w:ascii="Times New Roman" w:hAnsi="Times New Roman" w:cs="Times New Roman"/>
                                <w:sz w:val="24"/>
                                <w:szCs w:val="24"/>
                              </w:rPr>
                              <w:t>ПЛАТФОРМЕННЫЙ МЕХАНИЗМ ЭКОНОМИЧЕСКОЙ ТРАНСФОРМАЦИИ</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xmlns:o="urn:schemas-microsoft-com:office:office" id="Прямоугольник 841381653" o:spid="_x0000_s1261" style="position:absolute;width:480pt;height:24pt;z-index:173;mso-wrap-distance-left:9pt;mso-wrap-distance-top:0pt;mso-wrap-distance-right:9pt;mso-wrap-distance-bottom:0pt;margin-left:9.35pt;margin-top:2.85pt;mso-position-horizontal:absolute;mso-position-horizontal-relative:text;mso-position-vertical:absolute;mso-position-vertical-relative:text;v-text-anchor:middle" o:allowincell="t" strokecolor="#4472C4" strokeweight="1pt" stroked="t">
                <v:textbox inset="3mm,1mm,3mm,1mm">
                  <w:txbxContent>
                    <w:p>
                      <w:pPr>
                        <w:jc w:val="center"/>
                        <w:rPr>
                          <w:rFonts w:ascii="Times New Roman" w:hAnsi="Times New Roman" w:cs="Times New Roman"/>
                          <w:sz w:val="24"/>
                          <w:szCs w:val="24"/>
                        </w:rPr>
                      </w:pPr>
                      <w:r>
                        <w:rPr>
                          <w:rFonts w:ascii="Times New Roman" w:hAnsi="Times New Roman" w:cs="Times New Roman"/>
                          <w:sz w:val="24"/>
                          <w:szCs w:val="24"/>
                        </w:rPr>
                        <w:t>ПЛАТФОРМЕННЫЙ МЕХАНИЗМ ЭКОНОМИЧЕСКОЙ ТРАНСФОРМАЦИИ</w:t>
                      </w:r>
                    </w:p>
                  </w:txbxContent>
                </v:textbox>
              </v:rect>
            </w:pict>
          </mc:Fallback>
        </mc:AlternateContent>
      </w:r>
    </w:p>
    <w:p>
      <w:pPr>
        <w:pStyle w:val="P13"/>
        <w:spacing w:lineRule="auto" w:line="360" w:beforeAutospacing="0" w:afterAutospacing="0"/>
        <w:ind w:firstLine="709" w:right="-1"/>
        <w:jc w:val="both"/>
        <w:rPr>
          <w:sz w:val="28"/>
          <w:szCs w:val="28"/>
          <w:lang w:val="ru-RU"/>
        </w:rPr>
      </w:pPr>
      <w:r>
        <w:rPr>
          <w:noProof w:val="1"/>
          <w:sz w:val="28"/>
          <w:szCs w:val="28"/>
          <w:lang w:val="ru-RU" w:eastAsia="ru-RU"/>
        </w:rPr>
        <mc:AlternateContent>
          <mc:Choice Requires="wps">
            <w:drawing>
              <wp:anchor xmlns:wp="http://schemas.openxmlformats.org/drawingml/2006/wordprocessingDrawing" distT="0" distB="0" distL="114300" distR="114300" simplePos="0" relativeHeight="153" behindDoc="0" locked="0" layoutInCell="1" allowOverlap="1">
                <wp:simplePos x="0" y="0"/>
                <wp:positionH relativeFrom="column">
                  <wp:posOffset>2595245</wp:posOffset>
                </wp:positionH>
                <wp:positionV relativeFrom="paragraph">
                  <wp:posOffset>112395</wp:posOffset>
                </wp:positionV>
                <wp:extent cx="3457575" cy="1438275"/>
                <wp:effectExtent l="0" t="0" r="28575" b="28575"/>
                <wp:wrapNone/>
                <wp:docPr id="22" name="Блок-схема: карточка 22"/>
                <wp:cNvGraphicFramePr/>
                <a:graphic xmlns:a="http://schemas.openxmlformats.org/drawingml/2006/main">
                  <a:graphicData uri="http://schemas.microsoft.com/office/word/2010/wordprocessingShape">
                    <wps:wsp>
                      <wps:cNvSpPr/>
                      <wps:spPr>
                        <a:xfrm>
                          <a:off x="0" y="0"/>
                          <a:ext cx="3457575" cy="1438275"/>
                        </a:xfrm>
                        <a:prstGeom prst="flowChartPunchedCard"/>
                      </wps:spPr>
                      <wps:style>
                        <a:lnRef idx="1">
                          <a:schemeClr val="accent1"/>
                        </a:lnRef>
                        <a:fillRef idx="2">
                          <a:schemeClr val="accent1"/>
                        </a:fillRef>
                        <a:effectRef idx="1">
                          <a:schemeClr val="accent1"/>
                        </a:effectRef>
                        <a:fontRef idx="minor">
                          <a:schemeClr val="dk1"/>
                        </a:fontRef>
                      </wps:style>
                      <wps:txbx>
                        <w:txbxContent>
                          <w:p>
                            <w:pPr>
                              <w:spacing w:lineRule="auto" w:line="216" w:after="0" w:beforeAutospacing="0" w:afterAutospacing="0"/>
                              <w:ind w:right="-142"/>
                              <w:rPr>
                                <w:rFonts w:ascii="Times New Roman" w:hAnsi="Times New Roman" w:cs="Times New Roman"/>
                                <w:sz w:val="20"/>
                                <w:szCs w:val="20"/>
                              </w:rPr>
                            </w:pPr>
                            <w:r>
                              <w:rPr>
                                <w:rFonts w:ascii="Times New Roman" w:hAnsi="Times New Roman" w:cs="Times New Roman"/>
                                <w:sz w:val="20"/>
                                <w:szCs w:val="20"/>
                              </w:rPr>
                              <w:t>ИНСТИТУЦИОНАЛЬНАЯ СРЕДА</w:t>
                            </w:r>
                            <w:r>
                              <w:rPr>
                                <w:rFonts w:ascii="Times New Roman" w:hAnsi="Times New Roman" w:cs="Times New Roman"/>
                                <w:sz w:val="20"/>
                                <w:szCs w:val="20"/>
                              </w:rPr>
                              <w:br w:type="textWrapping"/>
                            </w:r>
                            <w:r>
                              <w:rPr>
                                <w:rFonts w:ascii="Times New Roman" w:hAnsi="Times New Roman" w:cs="Times New Roman"/>
                                <w:sz w:val="20"/>
                                <w:szCs w:val="20"/>
                              </w:rPr>
                              <w:t>────────────────────</w:t>
                            </w:r>
                            <w:r>
                              <w:rPr>
                                <w:rFonts w:ascii="Times New Roman" w:hAnsi="Times New Roman" w:cs="Times New Roman"/>
                                <w:sz w:val="20"/>
                                <w:szCs w:val="20"/>
                              </w:rPr>
                              <w:br w:type="textWrapping"/>
                            </w:r>
                            <w:r>
                              <w:rPr>
                                <w:rFonts w:ascii="Times New Roman" w:hAnsi="Times New Roman" w:cs="Times New Roman"/>
                                <w:sz w:val="20"/>
                                <w:szCs w:val="20"/>
                              </w:rPr>
                              <w:t>• нормативно-правовое регулирование цифровой экономики</w:t>
                            </w:r>
                            <w:r>
                              <w:rPr>
                                <w:rFonts w:ascii="Times New Roman" w:hAnsi="Times New Roman" w:cs="Times New Roman"/>
                                <w:sz w:val="20"/>
                                <w:szCs w:val="20"/>
                              </w:rPr>
                              <w:br w:type="textWrapping"/>
                            </w:r>
                            <w:r>
                              <w:rPr>
                                <w:rFonts w:ascii="Times New Roman" w:hAnsi="Times New Roman" w:cs="Times New Roman"/>
                                <w:sz w:val="20"/>
                                <w:szCs w:val="20"/>
                              </w:rPr>
                              <w:t>• защита данных и кибербезопасность</w:t>
                            </w:r>
                            <w:r>
                              <w:rPr>
                                <w:rFonts w:ascii="Times New Roman" w:hAnsi="Times New Roman" w:cs="Times New Roman"/>
                                <w:sz w:val="20"/>
                                <w:szCs w:val="20"/>
                              </w:rPr>
                              <w:br w:type="textWrapping"/>
                            </w:r>
                            <w:r>
                              <w:rPr>
                                <w:rFonts w:ascii="Times New Roman" w:hAnsi="Times New Roman" w:cs="Times New Roman"/>
                                <w:sz w:val="20"/>
                                <w:szCs w:val="20"/>
                              </w:rPr>
                              <w:t>• государственная поддержка инноваций и предпринимательства</w:t>
                            </w:r>
                            <w:r>
                              <w:rPr>
                                <w:rFonts w:ascii="Times New Roman" w:hAnsi="Times New Roman" w:cs="Times New Roman"/>
                                <w:sz w:val="20"/>
                                <w:szCs w:val="20"/>
                              </w:rPr>
                              <w:br w:type="textWrapping"/>
                            </w:r>
                            <w:r>
                              <w:rPr>
                                <w:rFonts w:ascii="Times New Roman" w:hAnsi="Times New Roman" w:cs="Times New Roman"/>
                                <w:sz w:val="20"/>
                                <w:szCs w:val="20"/>
                              </w:rPr>
                              <w:t>• институты развития и механизмы финансирования</w:t>
                            </w:r>
                            <w:r>
                              <w:rPr>
                                <w:rFonts w:ascii="Times New Roman" w:hAnsi="Times New Roman" w:cs="Times New Roman"/>
                                <w:sz w:val="20"/>
                                <w:szCs w:val="20"/>
                              </w:rPr>
                              <w:br w:type="textWrapping"/>
                            </w:r>
                            <w:r>
                              <w:rPr>
                                <w:rFonts w:ascii="Times New Roman" w:hAnsi="Times New Roman" w:cs="Times New Roman"/>
                                <w:sz w:val="20"/>
                                <w:szCs w:val="20"/>
                              </w:rPr>
                              <w:t>• формирование доверия в цифровой экономике</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xmlns:o="urn:schemas-microsoft-com:office:office" id="_x0000_t121" coordsize="21600,21600" o:spt="121" path="m4321,l21600,r,21600l,21600,,4338xe">
                <v:stroke joinstyle="miter"/>
                <v:path gradientshapeok="t" o:connecttype="rect" textboxrect="0,4321,21600,21600"/>
              </v:shapetype>
              <v:shape xmlns:o="urn:schemas-microsoft-com:office:office" type="#_x0000_t121" id="Блок-схема: карточка 22" o:spid="_x0000_s1262" style="position:absolute;width:272.25pt;height:113.25pt;z-index:153;mso-wrap-distance-left:9pt;mso-wrap-distance-top:0pt;mso-wrap-distance-right:9pt;mso-wrap-distance-bottom:0pt;margin-left:204.35pt;margin-top:8.85pt;mso-position-horizontal:absolute;mso-position-horizontal-relative:text;mso-position-vertical:absolute;mso-position-vertical-relative:text;v-text-anchor:middle" o:allowincell="t" strokecolor="#4472C4" strokeweight="0.5pt" stroked="t">
                <v:textbox inset="3mm,1mm,3mm,1mm">
                  <w:txbxContent>
                    <w:p>
                      <w:pPr>
                        <w:spacing w:lineRule="auto" w:line="216" w:after="0" w:beforeAutospacing="0" w:afterAutospacing="0"/>
                        <w:ind w:right="-142"/>
                        <w:rPr>
                          <w:rFonts w:ascii="Times New Roman" w:hAnsi="Times New Roman" w:cs="Times New Roman"/>
                          <w:sz w:val="20"/>
                          <w:szCs w:val="20"/>
                        </w:rPr>
                      </w:pPr>
                      <w:r>
                        <w:rPr>
                          <w:rFonts w:ascii="Times New Roman" w:hAnsi="Times New Roman" w:cs="Times New Roman"/>
                          <w:sz w:val="20"/>
                          <w:szCs w:val="20"/>
                        </w:rPr>
                        <w:t>ИНСТИТУЦИОНАЛЬНАЯ СРЕДА</w:t>
                      </w:r>
                      <w:r>
                        <w:rPr>
                          <w:rFonts w:ascii="Times New Roman" w:hAnsi="Times New Roman" w:cs="Times New Roman"/>
                          <w:sz w:val="20"/>
                          <w:szCs w:val="20"/>
                        </w:rPr>
                        <w:br w:type="textWrapping"/>
                      </w:r>
                      <w:r>
                        <w:rPr>
                          <w:rFonts w:ascii="Times New Roman" w:hAnsi="Times New Roman" w:cs="Times New Roman"/>
                          <w:sz w:val="20"/>
                          <w:szCs w:val="20"/>
                        </w:rPr>
                        <w:t>────────────────────</w:t>
                      </w:r>
                      <w:r>
                        <w:rPr>
                          <w:rFonts w:ascii="Times New Roman" w:hAnsi="Times New Roman" w:cs="Times New Roman"/>
                          <w:sz w:val="20"/>
                          <w:szCs w:val="20"/>
                        </w:rPr>
                        <w:br w:type="textWrapping"/>
                      </w:r>
                      <w:r>
                        <w:rPr>
                          <w:rFonts w:ascii="Times New Roman" w:hAnsi="Times New Roman" w:cs="Times New Roman"/>
                          <w:sz w:val="20"/>
                          <w:szCs w:val="20"/>
                        </w:rPr>
                        <w:t>• нормативно-правовое регулирование цифровой экономики</w:t>
                      </w:r>
                      <w:r>
                        <w:rPr>
                          <w:rFonts w:ascii="Times New Roman" w:hAnsi="Times New Roman" w:cs="Times New Roman"/>
                          <w:sz w:val="20"/>
                          <w:szCs w:val="20"/>
                        </w:rPr>
                        <w:br w:type="textWrapping"/>
                      </w:r>
                      <w:r>
                        <w:rPr>
                          <w:rFonts w:ascii="Times New Roman" w:hAnsi="Times New Roman" w:cs="Times New Roman"/>
                          <w:sz w:val="20"/>
                          <w:szCs w:val="20"/>
                        </w:rPr>
                        <w:t>• защита данных и кибербезопасность</w:t>
                      </w:r>
                      <w:r>
                        <w:rPr>
                          <w:rFonts w:ascii="Times New Roman" w:hAnsi="Times New Roman" w:cs="Times New Roman"/>
                          <w:sz w:val="20"/>
                          <w:szCs w:val="20"/>
                        </w:rPr>
                        <w:br w:type="textWrapping"/>
                      </w:r>
                      <w:r>
                        <w:rPr>
                          <w:rFonts w:ascii="Times New Roman" w:hAnsi="Times New Roman" w:cs="Times New Roman"/>
                          <w:sz w:val="20"/>
                          <w:szCs w:val="20"/>
                        </w:rPr>
                        <w:t>• государственная поддержка инноваций и предпринимательства</w:t>
                      </w:r>
                      <w:r>
                        <w:rPr>
                          <w:rFonts w:ascii="Times New Roman" w:hAnsi="Times New Roman" w:cs="Times New Roman"/>
                          <w:sz w:val="20"/>
                          <w:szCs w:val="20"/>
                        </w:rPr>
                        <w:br w:type="textWrapping"/>
                      </w:r>
                      <w:r>
                        <w:rPr>
                          <w:rFonts w:ascii="Times New Roman" w:hAnsi="Times New Roman" w:cs="Times New Roman"/>
                          <w:sz w:val="20"/>
                          <w:szCs w:val="20"/>
                        </w:rPr>
                        <w:t>• институты развития и механизмы финансирования</w:t>
                      </w:r>
                      <w:r>
                        <w:rPr>
                          <w:rFonts w:ascii="Times New Roman" w:hAnsi="Times New Roman" w:cs="Times New Roman"/>
                          <w:sz w:val="20"/>
                          <w:szCs w:val="20"/>
                        </w:rPr>
                        <w:br w:type="textWrapping"/>
                      </w:r>
                      <w:r>
                        <w:rPr>
                          <w:rFonts w:ascii="Times New Roman" w:hAnsi="Times New Roman" w:cs="Times New Roman"/>
                          <w:sz w:val="20"/>
                          <w:szCs w:val="20"/>
                        </w:rPr>
                        <w:t>• формирование доверия в цифровой экономике</w:t>
                      </w:r>
                    </w:p>
                  </w:txbxContent>
                </v:textbox>
              </v:shape>
            </w:pict>
          </mc:Fallback>
        </mc:AlternateContent>
      </w:r>
    </w:p>
    <w:p>
      <w:pPr>
        <w:pStyle w:val="P13"/>
        <w:spacing w:lineRule="auto" w:line="360" w:beforeAutospacing="0" w:afterAutospacing="0"/>
        <w:ind w:firstLine="709" w:right="-1"/>
        <w:jc w:val="both"/>
        <w:rPr>
          <w:sz w:val="28"/>
          <w:szCs w:val="28"/>
          <w:lang w:val="ru-RU"/>
        </w:rPr>
      </w:pPr>
      <w:r>
        <w:rPr>
          <w:noProof w:val="1"/>
          <w:sz w:val="28"/>
          <w:szCs w:val="28"/>
          <w:lang w:val="ru-RU" w:eastAsia="ru-RU"/>
        </w:rPr>
        <mc:AlternateContent>
          <mc:Choice Requires="wps">
            <w:drawing>
              <wp:anchor xmlns:wp="http://schemas.openxmlformats.org/drawingml/2006/wordprocessingDrawing" distT="0" distB="0" distL="114300" distR="114300" simplePos="0" relativeHeight="13" behindDoc="1" locked="0" layoutInCell="1" allowOverlap="1">
                <wp:simplePos x="0" y="0"/>
                <wp:positionH relativeFrom="column">
                  <wp:posOffset>633095</wp:posOffset>
                </wp:positionH>
                <wp:positionV relativeFrom="paragraph">
                  <wp:posOffset>16510</wp:posOffset>
                </wp:positionV>
                <wp:extent cx="1704975" cy="4171950"/>
                <wp:effectExtent l="0" t="0" r="28575" b="19050"/>
                <wp:wrapNone/>
                <wp:docPr id="841381639" name="Блок-схема: несколько документов 841381639"/>
                <wp:cNvGraphicFramePr/>
                <a:graphic xmlns:a="http://schemas.openxmlformats.org/drawingml/2006/main">
                  <a:graphicData uri="http://schemas.microsoft.com/office/word/2010/wordprocessingShape">
                    <wps:wsp>
                      <wps:cNvSpPr/>
                      <wps:spPr>
                        <a:xfrm>
                          <a:off x="0" y="0"/>
                          <a:ext cx="1704975" cy="4171950"/>
                        </a:xfrm>
                        <a:prstGeom prst="flowChartMultidocument"/>
                      </wps:spPr>
                      <wps:style>
                        <a:lnRef idx="1">
                          <a:schemeClr val="accent1"/>
                        </a:lnRef>
                        <a:fillRef idx="2">
                          <a:schemeClr val="accent1"/>
                        </a:fillRef>
                        <a:effectRef idx="1">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xmlns:o="urn:schemas-microsoft-com:office:office" id="_x0000_t115" coordsize="21600,21600" o:spt="115" path="m,20465v810,317,1620,452,2397,725c3077,21325,3790,21417,4405,21597v1620,,2202,-180,2657,-272c7580,21280,8002,21010,8455,20917v422,-135,810,-405,1327,-542c10205,20150,10657,19967,11080,19742v517,-182,970,-407,1425,-590c13087,19017,13605,18745,14255,18610v615,-180,1262,-318,1942,-408c16975,18202,17785,18022,18595,18022r,-1670l19192,16252r808,l20000,14467r722,-75l21597,14392,21597,,2972,r,1815l1532,1815r,1860l,3675,,20465xem1532,3675nfl18595,3675r,12677em2972,1815nfl20000,1815r,12652e">
                <v:stroke joinstyle="miter"/>
                <v:path o:extrusionok="f" o:connecttype="custom" o:connectlocs="10800,0;0,10800;10800,19890;21600,10800" textboxrect="0,3675,18595,18022"/>
              </v:shapetype>
              <v:shape xmlns:o="urn:schemas-microsoft-com:office:office" type="#_x0000_t115" id="Блок-схема: несколько документов 841381639" o:spid="_x0000_s1263" style="position:absolute;width:134.25pt;height:328.5pt;z-index:-32765;mso-wrap-distance-left:9pt;mso-wrap-distance-top:0pt;mso-wrap-distance-right:9pt;mso-wrap-distance-bottom:0pt;margin-left:49.85pt;margin-top:1.3pt;mso-position-horizontal:absolute;mso-position-horizontal-relative:text;mso-position-vertical:absolute;mso-position-vertical-relative:text;v-text-anchor:middle" o:allowincell="t" strokecolor="#4472C4" strokeweight="0.5pt" stroked="t"/>
            </w:pict>
          </mc:Fallback>
        </mc:AlternateContent>
      </w:r>
      <w:r>
        <w:rPr>
          <w:noProof w:val="1"/>
          <w:lang w:val="ru-RU" w:eastAsia="ru-RU"/>
        </w:rPr>
        <mc:AlternateContent>
          <mc:Choice Requires="wps">
            <w:drawing>
              <wp:anchor xmlns:wp="http://schemas.openxmlformats.org/drawingml/2006/wordprocessingDrawing" distT="0" distB="0" distL="114300" distR="114300" simplePos="0" relativeHeight="154" behindDoc="0" locked="0" layoutInCell="1" allowOverlap="1">
                <wp:simplePos x="0" y="0"/>
                <wp:positionH relativeFrom="column">
                  <wp:posOffset>1737995</wp:posOffset>
                </wp:positionH>
                <wp:positionV relativeFrom="paragraph">
                  <wp:posOffset>1853565</wp:posOffset>
                </wp:positionV>
                <wp:extent cx="0" cy="1752600"/>
                <wp:effectExtent l="0" t="0" r="19050" b="19050"/>
                <wp:wrapNone/>
                <wp:docPr id="43" name="Прямая соединительная линия 43"/>
                <wp:cNvGraphicFramePr/>
                <a:graphic xmlns:a="http://schemas.openxmlformats.org/drawingml/2006/main">
                  <a:graphicData uri="http://schemas.microsoft.com/office/word/2010/wordprocessingShape">
                    <wps:wsp>
                      <wps:cNvCnPr/>
                      <wps:spPr>
                        <a:xfrm>
                          <a:off x="0" y="0"/>
                          <a:ext cx="0" cy="1752600"/>
                        </a:xfrm>
                        <a:prstGeom prst="line"/>
                      </wps:spPr>
                      <wps:style>
                        <a:lnRef idx="2">
                          <a:schemeClr val="accent1">
                            <a:shade val="60000"/>
                            <a:hueOff val="0"/>
                            <a:satOff val="0"/>
                            <a:lumOff val="0"/>
                            <a:alphaOff val="0"/>
                          </a:schemeClr>
                        </a:lnRef>
                        <a:fillRef idx="0">
                          <a:schemeClr val="accent1">
                            <a:hueOff val="0"/>
                            <a:satOff val="0"/>
                            <a:lumOff val="0"/>
                            <a:alphaOff val="0"/>
                          </a:schemeClr>
                        </a:fillRef>
                        <a:effectRef idx="0">
                          <a:schemeClr val="accent1">
                            <a:hueOff val="0"/>
                            <a:satOff val="0"/>
                            <a:lumOff val="0"/>
                            <a:alphaOff val="0"/>
                          </a:schemeClr>
                        </a:effectRef>
                        <a:fontRef idx="minor">
                          <a:schemeClr val="tx1">
                            <a:hueOff val="0"/>
                            <a:satOff val="0"/>
                            <a:lumOff val="0"/>
                            <a:alphaOff val="0"/>
                          </a:schemeClr>
                        </a:fontRef>
                      </wps:style>
                      <wps:bodyPr/>
                    </wps:wsp>
                  </a:graphicData>
                </a:graphic>
              </wp:anchor>
            </w:drawing>
          </mc:Choice>
          <mc:Fallback>
            <w:pict>
              <v:line xmlns:o="urn:schemas-microsoft-com:office:office" id="Прямая соединительная линия 43" o:spid="_x0000_s1264" style="position:absolute;z-index:154;mso-wrap-distance-left:9pt;mso-wrap-distance-top:0pt;mso-wrap-distance-right:9pt;mso-wrap-distance-bottom:0pt;mso-position-horizontal:absolute;mso-position-horizontal-relative:text;mso-position-vertical:absolute;mso-position-vertical-relative:text" strokecolor="#34599C" strokeweight="1pt" stroked="t" o:allowincell="t" from="136.85pt,145.95pt" to="136.85pt,283.95pt"/>
            </w:pict>
          </mc:Fallback>
        </mc:AlternateContent>
      </w:r>
      <w:r>
        <w:rPr>
          <w:noProof w:val="1"/>
          <w:sz w:val="28"/>
          <w:szCs w:val="28"/>
          <w:lang w:val="ru-RU" w:eastAsia="ru-RU"/>
        </w:rPr>
        <mc:AlternateContent>
          <mc:Choice Requires="wps">
            <w:drawing>
              <wp:anchor xmlns:wp="http://schemas.openxmlformats.org/drawingml/2006/wordprocessingDrawing" distT="0" distB="0" distL="114300" distR="114300" simplePos="0" relativeHeight="158" behindDoc="0" locked="0" layoutInCell="1" allowOverlap="1">
                <wp:simplePos x="0" y="0"/>
                <wp:positionH relativeFrom="column">
                  <wp:posOffset>728345</wp:posOffset>
                </wp:positionH>
                <wp:positionV relativeFrom="paragraph">
                  <wp:posOffset>1716405</wp:posOffset>
                </wp:positionV>
                <wp:extent cx="190500" cy="171450"/>
                <wp:effectExtent l="0" t="0" r="19050" b="19050"/>
                <wp:wrapNone/>
                <wp:docPr id="841381634" name="Прямая соединительная линия 841381634"/>
                <wp:cNvGraphicFramePr/>
                <a:graphic xmlns:a="http://schemas.openxmlformats.org/drawingml/2006/main">
                  <a:graphicData uri="http://schemas.microsoft.com/office/word/2010/wordprocessingShape">
                    <wps:wsp>
                      <wps:cNvCnPr/>
                      <wps:spPr>
                        <a:xfrm flipH="1">
                          <a:off x="0" y="0"/>
                          <a:ext cx="190500" cy="171450"/>
                        </a:xfrm>
                        <a:prstGeom prst="line"/>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xmlns:o="urn:schemas-microsoft-com:office:office" id="Прямая соединительная линия 841381634" o:spid="_x0000_s1265" style="position:absolute;flip:x;z-index:158;mso-wrap-distance-left:9pt;mso-wrap-distance-top:0pt;mso-wrap-distance-right:9pt;mso-wrap-distance-bottom:0pt;mso-position-horizontal:absolute;mso-position-horizontal-relative:text;mso-position-vertical:absolute;mso-position-vertical-relative:text" strokecolor="#4472C4" strokeweight="0.5pt" stroked="t" o:allowincell="t" from="57.35pt,135.15pt" to="72.35pt,148.65pt"/>
            </w:pict>
          </mc:Fallback>
        </mc:AlternateContent>
      </w:r>
      <w:r>
        <w:rPr>
          <w:noProof w:val="1"/>
          <w:sz w:val="28"/>
          <w:szCs w:val="28"/>
          <w:lang w:val="ru-RU" w:eastAsia="ru-RU"/>
        </w:rPr>
        <mc:AlternateContent>
          <mc:Choice Requires="wps">
            <w:drawing>
              <wp:anchor xmlns:wp="http://schemas.openxmlformats.org/drawingml/2006/wordprocessingDrawing" distT="0" distB="0" distL="114300" distR="114300" simplePos="0" relativeHeight="160" behindDoc="0" locked="0" layoutInCell="1" allowOverlap="1">
                <wp:simplePos x="0" y="0"/>
                <wp:positionH relativeFrom="column">
                  <wp:posOffset>1509395</wp:posOffset>
                </wp:positionH>
                <wp:positionV relativeFrom="paragraph">
                  <wp:posOffset>1716405</wp:posOffset>
                </wp:positionV>
                <wp:extent cx="228600" cy="133350"/>
                <wp:effectExtent l="0" t="0" r="19050" b="19050"/>
                <wp:wrapNone/>
                <wp:docPr id="841381636" name="Прямая соединительная линия 841381636"/>
                <wp:cNvGraphicFramePr/>
                <a:graphic xmlns:a="http://schemas.openxmlformats.org/drawingml/2006/main">
                  <a:graphicData uri="http://schemas.microsoft.com/office/word/2010/wordprocessingShape">
                    <wps:wsp>
                      <wps:cNvCnPr/>
                      <wps:spPr>
                        <a:xfrm>
                          <a:off x="0" y="0"/>
                          <a:ext cx="228600" cy="133350"/>
                        </a:xfrm>
                        <a:prstGeom prst="line"/>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xmlns:o="urn:schemas-microsoft-com:office:office" id="Прямая соединительная линия 841381636" o:spid="_x0000_s1266" style="position:absolute;z-index:160;mso-wrap-distance-left:9pt;mso-wrap-distance-top:0pt;mso-wrap-distance-right:9pt;mso-wrap-distance-bottom:0pt;mso-position-horizontal:absolute;mso-position-horizontal-relative:text;mso-position-vertical:absolute;mso-position-vertical-relative:text" strokecolor="#4472C4" strokeweight="0.5pt" stroked="t" o:allowincell="t" from="118.85pt,135.15pt" to="136.85pt,145.65pt"/>
            </w:pict>
          </mc:Fallback>
        </mc:AlternateContent>
      </w:r>
      <w:r>
        <w:rPr>
          <w:noProof w:val="1"/>
          <w:sz w:val="28"/>
          <w:szCs w:val="28"/>
          <w:lang w:val="ru-RU" w:eastAsia="ru-RU"/>
        </w:rPr>
        <mc:AlternateContent>
          <mc:Choice Requires="wps">
            <w:drawing>
              <wp:anchor xmlns:wp="http://schemas.openxmlformats.org/drawingml/2006/wordprocessingDrawing" distT="0" distB="0" distL="114300" distR="114300" simplePos="0" relativeHeight="159" behindDoc="0" locked="0" layoutInCell="1" allowOverlap="1">
                <wp:simplePos x="0" y="0"/>
                <wp:positionH relativeFrom="column">
                  <wp:posOffset>728345</wp:posOffset>
                </wp:positionH>
                <wp:positionV relativeFrom="paragraph">
                  <wp:posOffset>3545205</wp:posOffset>
                </wp:positionV>
                <wp:extent cx="190500" cy="57150"/>
                <wp:effectExtent l="0" t="0" r="19050" b="19050"/>
                <wp:wrapNone/>
                <wp:docPr id="841381635" name="Прямая соединительная линия 841381635"/>
                <wp:cNvGraphicFramePr/>
                <a:graphic xmlns:a="http://schemas.openxmlformats.org/drawingml/2006/main">
                  <a:graphicData uri="http://schemas.microsoft.com/office/word/2010/wordprocessingShape">
                    <wps:wsp>
                      <wps:cNvCnPr/>
                      <wps:spPr>
                        <a:xfrm flipV="1">
                          <a:off x="0" y="0"/>
                          <a:ext cx="190500" cy="57150"/>
                        </a:xfrm>
                        <a:prstGeom prst="line"/>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xmlns:o="urn:schemas-microsoft-com:office:office" id="Прямая соединительная линия 841381635" o:spid="_x0000_s1267" style="position:absolute;flip:y;z-index:159;mso-wrap-distance-left:9pt;mso-wrap-distance-top:0pt;mso-wrap-distance-right:9pt;mso-wrap-distance-bottom:0pt;mso-position-horizontal:absolute;mso-position-horizontal-relative:text;mso-position-vertical:absolute;mso-position-vertical-relative:text" strokecolor="#4472C4" strokeweight="0.5pt" stroked="t" o:allowincell="t" from="57.35pt,279.15pt" to="72.35pt,283.65pt"/>
            </w:pict>
          </mc:Fallback>
        </mc:AlternateContent>
      </w:r>
      <w:r>
        <w:rPr>
          <w:noProof w:val="1"/>
          <w:sz w:val="28"/>
          <w:szCs w:val="28"/>
          <w:lang w:val="ru-RU" w:eastAsia="ru-RU"/>
        </w:rPr>
        <mc:AlternateContent>
          <mc:Choice Requires="wps">
            <w:drawing>
              <wp:anchor xmlns:wp="http://schemas.openxmlformats.org/drawingml/2006/wordprocessingDrawing" distT="0" distB="0" distL="114300" distR="114300" simplePos="0" relativeHeight="157" behindDoc="0" locked="0" layoutInCell="1" allowOverlap="1">
                <wp:simplePos x="0" y="0"/>
                <wp:positionH relativeFrom="column">
                  <wp:posOffset>728345</wp:posOffset>
                </wp:positionH>
                <wp:positionV relativeFrom="paragraph">
                  <wp:posOffset>1887855</wp:posOffset>
                </wp:positionV>
                <wp:extent cx="0" cy="1714500"/>
                <wp:effectExtent l="0" t="0" r="19050" b="19050"/>
                <wp:wrapNone/>
                <wp:docPr id="841381633" name="Прямая соединительная линия 841381633"/>
                <wp:cNvGraphicFramePr/>
                <a:graphic xmlns:a="http://schemas.openxmlformats.org/drawingml/2006/main">
                  <a:graphicData uri="http://schemas.microsoft.com/office/word/2010/wordprocessingShape">
                    <wps:wsp>
                      <wps:cNvCnPr/>
                      <wps:spPr>
                        <a:xfrm>
                          <a:off x="0" y="0"/>
                          <a:ext cx="0" cy="1714500"/>
                        </a:xfrm>
                        <a:prstGeom prst="line"/>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xmlns:o="urn:schemas-microsoft-com:office:office" id="Прямая соединительная линия 841381633" o:spid="_x0000_s1268" style="position:absolute;z-index:157;mso-wrap-distance-left:9pt;mso-wrap-distance-top:0pt;mso-wrap-distance-right:9pt;mso-wrap-distance-bottom:0pt;mso-position-horizontal:absolute;mso-position-horizontal-relative:text;mso-position-vertical:absolute;mso-position-vertical-relative:text" strokecolor="#4472C4" strokeweight="0.5pt" stroked="t" o:allowincell="t" from="57.35pt,148.65pt" to="57.35pt,283.65pt"/>
            </w:pict>
          </mc:Fallback>
        </mc:AlternateContent>
      </w:r>
      <w:r>
        <w:rPr>
          <w:noProof w:val="1"/>
          <w:sz w:val="28"/>
          <w:szCs w:val="28"/>
          <w:lang w:val="ru-RU" w:eastAsia="ru-RU"/>
        </w:rPr>
        <w:t xml:space="preserve"> </w:t>
      </w:r>
    </w:p>
    <w:p>
      <w:pPr>
        <w:pStyle w:val="P13"/>
        <w:spacing w:lineRule="auto" w:line="360" w:beforeAutospacing="0" w:afterAutospacing="0"/>
        <w:ind w:firstLine="709" w:right="-1"/>
        <w:jc w:val="both"/>
        <w:rPr>
          <w:sz w:val="28"/>
          <w:szCs w:val="28"/>
          <w:lang w:val="ru-RU"/>
        </w:rPr>
      </w:pPr>
      <w:r>
        <w:rPr>
          <w:noProof w:val="1"/>
          <w:sz w:val="28"/>
          <w:szCs w:val="28"/>
          <w:lang w:val="ru-RU" w:eastAsia="ru-RU"/>
        </w:rPr>
        <mc:AlternateContent>
          <mc:Choice Requires="wps">
            <w:drawing>
              <wp:anchor xmlns:wp="http://schemas.openxmlformats.org/drawingml/2006/wordprocessingDrawing" distT="0" distB="0" distL="114300" distR="114300" simplePos="0" relativeHeight="165" behindDoc="0" locked="0" layoutInCell="1" allowOverlap="1">
                <wp:simplePos x="0" y="0"/>
                <wp:positionH relativeFrom="column">
                  <wp:posOffset>2338070</wp:posOffset>
                </wp:positionH>
                <wp:positionV relativeFrom="paragraph">
                  <wp:posOffset>175260</wp:posOffset>
                </wp:positionV>
                <wp:extent cx="257175" cy="0"/>
                <wp:effectExtent l="0" t="0" r="28575" b="19050"/>
                <wp:wrapNone/>
                <wp:docPr id="841381644" name="Прямая соединительная линия 841381644"/>
                <wp:cNvGraphicFramePr/>
                <a:graphic xmlns:a="http://schemas.openxmlformats.org/drawingml/2006/main">
                  <a:graphicData uri="http://schemas.microsoft.com/office/word/2010/wordprocessingShape">
                    <wps:wsp>
                      <wps:cNvCnPr/>
                      <wps:spPr>
                        <a:xfrm>
                          <a:off x="0" y="0"/>
                          <a:ext cx="257175" cy="0"/>
                        </a:xfrm>
                        <a:prstGeom prst="line"/>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xmlns:o="urn:schemas-microsoft-com:office:office" id="Прямая соединительная линия 841381644" o:spid="_x0000_s1269" style="position:absolute;z-index:165;mso-wrap-distance-left:9pt;mso-wrap-distance-top:0pt;mso-wrap-distance-right:9pt;mso-wrap-distance-bottom:0pt;mso-position-horizontal:absolute;mso-position-horizontal-relative:text;mso-position-vertical:absolute;mso-position-vertical-relative:text" strokecolor="#4472C4" strokeweight="0.5pt" stroked="t" o:allowincell="t" from="184.1pt,13.8pt" to="204.35pt,13.8pt"/>
            </w:pict>
          </mc:Fallback>
        </mc:AlternateContent>
      </w:r>
    </w:p>
    <w:p>
      <w:pPr>
        <w:pStyle w:val="P13"/>
        <w:spacing w:lineRule="auto" w:line="360" w:beforeAutospacing="0" w:afterAutospacing="0"/>
        <w:ind w:firstLine="709" w:right="-1"/>
        <w:jc w:val="both"/>
        <w:rPr>
          <w:sz w:val="28"/>
          <w:szCs w:val="28"/>
          <w:lang w:val="ru-RU"/>
        </w:rPr>
      </w:pPr>
      <w:r>
        <w:rPr>
          <w:noProof w:val="1"/>
          <w:sz w:val="24"/>
          <w:szCs w:val="24"/>
          <w:lang w:val="ru-RU" w:eastAsia="ru-RU"/>
        </w:rPr>
        <mc:AlternateContent>
          <mc:Choice Requires="wps">
            <w:drawing>
              <wp:anchor xmlns:wp="http://schemas.openxmlformats.org/drawingml/2006/wordprocessingDrawing" distT="0" distB="0" distL="114300" distR="114300" simplePos="0" relativeHeight="161" behindDoc="0" locked="0" layoutInCell="1" allowOverlap="1">
                <wp:simplePos x="0" y="0"/>
                <wp:positionH relativeFrom="column">
                  <wp:posOffset>633095</wp:posOffset>
                </wp:positionH>
                <wp:positionV relativeFrom="paragraph">
                  <wp:posOffset>287655</wp:posOffset>
                </wp:positionV>
                <wp:extent cx="1390650" cy="819150"/>
                <wp:effectExtent l="0" t="0" r="0" b="0"/>
                <wp:wrapNone/>
                <wp:docPr id="841381640" name="Прямоугольник 841381640"/>
                <wp:cNvGraphicFramePr/>
                <a:graphic xmlns:a="http://schemas.openxmlformats.org/drawingml/2006/main">
                  <a:graphicData uri="http://schemas.microsoft.com/office/word/2010/wordprocessingShape">
                    <wps:wsp>
                      <wps:cNvSpPr/>
                      <wps:spPr>
                        <a:xfrm>
                          <a:off x="0" y="0"/>
                          <a:ext cx="1390650" cy="819150"/>
                        </a:xfrm>
                        <a:prstGeom prst="rect"/>
                        <a:ln>
                          <a:noFill/>
                        </a:ln>
                      </wps:spPr>
                      <wps:style>
                        <a:lnRef idx="1">
                          <a:schemeClr val="accent1"/>
                        </a:lnRef>
                        <a:fillRef idx="2">
                          <a:schemeClr val="accent1"/>
                        </a:fillRef>
                        <a:effectRef idx="1">
                          <a:schemeClr val="accent1"/>
                        </a:effectRef>
                        <a:fontRef idx="minor">
                          <a:schemeClr val="dk1"/>
                        </a:fontRef>
                      </wps:style>
                      <wps:txbx>
                        <w:txbxContent>
                          <w:p>
                            <w:pPr>
                              <w:spacing w:lineRule="auto" w:line="216" w:after="0" w:beforeAutospacing="0" w:afterAutospacing="0"/>
                              <w:jc w:val="center"/>
                              <w:rPr>
                                <w:rFonts w:ascii="Times New Roman" w:hAnsi="Times New Roman" w:cs="Times New Roman"/>
                              </w:rPr>
                            </w:pPr>
                            <w:r>
                              <w:rPr>
                                <w:rFonts w:ascii="Times New Roman" w:hAnsi="Times New Roman" w:cs="Times New Roman"/>
                                <w:caps w:val="1"/>
                              </w:rPr>
                              <w:t>Цифровая платформа</w:t>
                            </w:r>
                            <w:r>
                              <w:rPr>
                                <w:rFonts w:ascii="Times New Roman" w:hAnsi="Times New Roman" w:cs="Times New Roman"/>
                              </w:rPr>
                              <w:t xml:space="preserve"> (интеграционное ядро)</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xmlns:o="urn:schemas-microsoft-com:office:office" id="Прямоугольник 841381640" o:spid="_x0000_s1270" style="position:absolute;width:109.5pt;height:64.5pt;z-index:161;mso-wrap-distance-left:9pt;mso-wrap-distance-top:0pt;mso-wrap-distance-right:9pt;mso-wrap-distance-bottom:0pt;margin-left:49.85pt;margin-top:22.65pt;mso-position-horizontal:absolute;mso-position-horizontal-relative:text;mso-position-vertical:absolute;mso-position-vertical-relative:text;v-text-anchor:middle" o:allowincell="t" strokeweight="0.5pt" stroked="f">
                <v:textbox inset="3mm,1mm,3mm,1mm">
                  <w:txbxContent>
                    <w:p>
                      <w:pPr>
                        <w:spacing w:lineRule="auto" w:line="216" w:after="0" w:beforeAutospacing="0" w:afterAutospacing="0"/>
                        <w:jc w:val="center"/>
                        <w:rPr>
                          <w:rFonts w:ascii="Times New Roman" w:hAnsi="Times New Roman" w:cs="Times New Roman"/>
                        </w:rPr>
                      </w:pPr>
                      <w:r>
                        <w:rPr>
                          <w:rFonts w:ascii="Times New Roman" w:hAnsi="Times New Roman" w:cs="Times New Roman"/>
                          <w:caps w:val="1"/>
                        </w:rPr>
                        <w:t>Цифровая платформа</w:t>
                      </w:r>
                      <w:r>
                        <w:rPr>
                          <w:rFonts w:ascii="Times New Roman" w:hAnsi="Times New Roman" w:cs="Times New Roman"/>
                        </w:rPr>
                        <w:t xml:space="preserve"> (интеграционное ядро)</w:t>
                      </w:r>
                    </w:p>
                  </w:txbxContent>
                </v:textbox>
              </v:rect>
            </w:pict>
          </mc:Fallback>
        </mc:AlternateContent>
      </w:r>
    </w:p>
    <w:p>
      <w:pPr>
        <w:pStyle w:val="P13"/>
        <w:spacing w:lineRule="auto" w:line="360" w:beforeAutospacing="0" w:afterAutospacing="0"/>
        <w:ind w:firstLine="709" w:right="-1"/>
        <w:jc w:val="both"/>
        <w:rPr>
          <w:sz w:val="28"/>
          <w:szCs w:val="28"/>
          <w:lang w:val="ru-RU"/>
        </w:rPr>
      </w:pPr>
    </w:p>
    <w:p>
      <w:pPr>
        <w:pStyle w:val="P13"/>
        <w:spacing w:lineRule="auto" w:line="360" w:beforeAutospacing="0" w:afterAutospacing="0"/>
        <w:ind w:firstLine="709" w:right="-1"/>
        <w:jc w:val="both"/>
        <w:rPr>
          <w:sz w:val="28"/>
          <w:szCs w:val="28"/>
          <w:lang w:val="ru-RU"/>
        </w:rPr>
      </w:pPr>
      <w:r>
        <w:rPr>
          <w:noProof w:val="1"/>
          <w:sz w:val="28"/>
          <w:szCs w:val="28"/>
          <w:lang w:val="ru-RU" w:eastAsia="ru-RU"/>
        </w:rPr>
        <mc:AlternateContent>
          <mc:Choice Requires="wps">
            <w:drawing>
              <wp:anchor xmlns:wp="http://schemas.openxmlformats.org/drawingml/2006/wordprocessingDrawing" distT="0" distB="0" distL="114300" distR="114300" simplePos="0" relativeHeight="155" behindDoc="0" locked="0" layoutInCell="1" allowOverlap="1">
                <wp:simplePos x="0" y="0"/>
                <wp:positionH relativeFrom="column">
                  <wp:posOffset>2595245</wp:posOffset>
                </wp:positionH>
                <wp:positionV relativeFrom="paragraph">
                  <wp:posOffset>93345</wp:posOffset>
                </wp:positionV>
                <wp:extent cx="3457575" cy="1485900"/>
                <wp:effectExtent l="0" t="0" r="28575" b="19050"/>
                <wp:wrapNone/>
                <wp:docPr id="45" name="Блок-схема: карточка 45"/>
                <wp:cNvGraphicFramePr/>
                <a:graphic xmlns:a="http://schemas.openxmlformats.org/drawingml/2006/main">
                  <a:graphicData uri="http://schemas.microsoft.com/office/word/2010/wordprocessingShape">
                    <wps:wsp>
                      <wps:cNvSpPr/>
                      <wps:spPr>
                        <a:xfrm>
                          <a:off x="0" y="0"/>
                          <a:ext cx="3457575" cy="1485900"/>
                        </a:xfrm>
                        <a:prstGeom prst="flowChartPunchedCard"/>
                      </wps:spPr>
                      <wps:style>
                        <a:lnRef idx="1">
                          <a:schemeClr val="accent1"/>
                        </a:lnRef>
                        <a:fillRef idx="2">
                          <a:schemeClr val="accent1"/>
                        </a:fillRef>
                        <a:effectRef idx="1">
                          <a:schemeClr val="accent1"/>
                        </a:effectRef>
                        <a:fontRef idx="minor">
                          <a:schemeClr val="dk1"/>
                        </a:fontRef>
                      </wps:style>
                      <wps:txbx>
                        <w:txbxContent>
                          <w:p>
                            <w:pPr>
                              <w:spacing w:lineRule="auto" w:line="216" w:after="0" w:beforeAutospacing="0" w:afterAutospacing="0"/>
                              <w:ind w:right="-142"/>
                              <w:rPr>
                                <w:rFonts w:ascii="Times New Roman" w:hAnsi="Times New Roman" w:cs="Times New Roman"/>
                                <w:sz w:val="20"/>
                                <w:szCs w:val="20"/>
                              </w:rPr>
                            </w:pPr>
                            <w:r>
                              <w:rPr>
                                <w:rFonts w:ascii="Times New Roman" w:hAnsi="Times New Roman" w:cs="Times New Roman"/>
                                <w:sz w:val="20"/>
                                <w:szCs w:val="20"/>
                              </w:rPr>
                              <w:t>ЭКОНОМИЧЕСКИЕ И ПРОИЗВОДСТВЕННЫЕ СВЯЗИ</w:t>
                            </w:r>
                            <w:r>
                              <w:rPr>
                                <w:rFonts w:ascii="Times New Roman" w:hAnsi="Times New Roman" w:cs="Times New Roman"/>
                                <w:sz w:val="20"/>
                                <w:szCs w:val="20"/>
                              </w:rPr>
                              <w:br w:type="textWrapping"/>
                            </w:r>
                            <w:r>
                              <w:rPr>
                                <w:rFonts w:ascii="Times New Roman" w:hAnsi="Times New Roman" w:cs="Times New Roman"/>
                                <w:sz w:val="20"/>
                                <w:szCs w:val="20"/>
                              </w:rPr>
                              <w:t>──────────────────────────────────</w:t>
                            </w:r>
                            <w:r>
                              <w:rPr>
                                <w:rFonts w:ascii="Times New Roman" w:hAnsi="Times New Roman" w:cs="Times New Roman"/>
                                <w:sz w:val="20"/>
                                <w:szCs w:val="20"/>
                              </w:rPr>
                              <w:br w:type="textWrapping"/>
                            </w:r>
                            <w:r>
                              <w:rPr>
                                <w:rFonts w:ascii="Times New Roman" w:hAnsi="Times New Roman" w:cs="Times New Roman"/>
                                <w:sz w:val="20"/>
                                <w:szCs w:val="20"/>
                              </w:rPr>
                              <w:t>Кластерная структура платформенной экономики</w:t>
                            </w:r>
                          </w:p>
                          <w:p>
                            <w:pPr>
                              <w:pStyle w:val="P15"/>
                              <w:numPr>
                                <w:ilvl w:val="0"/>
                                <w:numId w:val="36"/>
                              </w:numPr>
                              <w:spacing w:lineRule="auto" w:line="216" w:beforeAutospacing="0" w:afterAutospacing="0"/>
                              <w:ind w:right="-142"/>
                              <w:rPr>
                                <w:sz w:val="20"/>
                                <w:szCs w:val="20"/>
                              </w:rPr>
                            </w:pPr>
                            <w:r>
                              <w:rPr>
                                <w:sz w:val="20"/>
                                <w:szCs w:val="20"/>
                              </w:rPr>
                              <w:t>Интеграция участников экономики:</w:t>
                            </w:r>
                          </w:p>
                          <w:p>
                            <w:pPr>
                              <w:spacing w:lineRule="auto" w:line="216" w:after="0" w:beforeAutospacing="0" w:afterAutospacing="0"/>
                              <w:ind w:right="-142"/>
                              <w:rPr>
                                <w:rFonts w:ascii="Times New Roman" w:hAnsi="Times New Roman" w:cs="Times New Roman"/>
                                <w:sz w:val="20"/>
                                <w:szCs w:val="20"/>
                              </w:rPr>
                            </w:pPr>
                            <w:r>
                              <w:rPr>
                                <w:rFonts w:ascii="Times New Roman" w:hAnsi="Times New Roman" w:cs="Times New Roman"/>
                                <w:sz w:val="20"/>
                                <w:szCs w:val="20"/>
                              </w:rPr>
                              <w:t>• координация производственных цепочек</w:t>
                            </w:r>
                          </w:p>
                          <w:p>
                            <w:pPr>
                              <w:spacing w:lineRule="auto" w:line="216" w:after="0" w:beforeAutospacing="0" w:afterAutospacing="0"/>
                              <w:ind w:right="-142"/>
                              <w:rPr>
                                <w:rFonts w:ascii="Times New Roman" w:hAnsi="Times New Roman" w:cs="Times New Roman"/>
                                <w:sz w:val="20"/>
                                <w:szCs w:val="20"/>
                              </w:rPr>
                            </w:pPr>
                            <w:r>
                              <w:rPr>
                                <w:rFonts w:ascii="Times New Roman" w:hAnsi="Times New Roman" w:cs="Times New Roman"/>
                                <w:sz w:val="20"/>
                                <w:szCs w:val="20"/>
                              </w:rPr>
                              <w:t>• развитие кооперационных связей</w:t>
                            </w:r>
                          </w:p>
                          <w:p>
                            <w:pPr>
                              <w:spacing w:lineRule="auto" w:line="216" w:after="0" w:beforeAutospacing="0" w:afterAutospacing="0"/>
                              <w:ind w:right="-142"/>
                              <w:rPr>
                                <w:rFonts w:ascii="Times New Roman" w:hAnsi="Times New Roman" w:cs="Times New Roman"/>
                                <w:sz w:val="20"/>
                                <w:szCs w:val="20"/>
                              </w:rPr>
                            </w:pPr>
                            <w:r>
                              <w:rPr>
                                <w:rFonts w:ascii="Times New Roman" w:hAnsi="Times New Roman" w:cs="Times New Roman"/>
                                <w:sz w:val="20"/>
                                <w:szCs w:val="20"/>
                              </w:rPr>
                              <w:t>• интеграция предприятий в региональные и глобальные цепочки стоимости</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xmlns:o="urn:schemas-microsoft-com:office:office" type="#_x0000_t121" id="Блок-схема: карточка 45" o:spid="_x0000_s1271" style="position:absolute;width:272.25pt;height:117pt;z-index:155;mso-wrap-distance-left:9pt;mso-wrap-distance-top:0pt;mso-wrap-distance-right:9pt;mso-wrap-distance-bottom:0pt;margin-left:204.35pt;margin-top:7.35pt;mso-position-horizontal:absolute;mso-position-horizontal-relative:text;mso-position-vertical:absolute;mso-position-vertical-relative:text;v-text-anchor:middle" o:allowincell="t" strokecolor="#4472C4" strokeweight="0.5pt" stroked="t">
                <v:textbox inset="3mm,1mm,3mm,1mm">
                  <w:txbxContent>
                    <w:p>
                      <w:pPr>
                        <w:spacing w:lineRule="auto" w:line="216" w:after="0" w:beforeAutospacing="0" w:afterAutospacing="0"/>
                        <w:ind w:right="-142"/>
                        <w:rPr>
                          <w:rFonts w:ascii="Times New Roman" w:hAnsi="Times New Roman" w:cs="Times New Roman"/>
                          <w:sz w:val="20"/>
                          <w:szCs w:val="20"/>
                        </w:rPr>
                      </w:pPr>
                      <w:r>
                        <w:rPr>
                          <w:rFonts w:ascii="Times New Roman" w:hAnsi="Times New Roman" w:cs="Times New Roman"/>
                          <w:sz w:val="20"/>
                          <w:szCs w:val="20"/>
                        </w:rPr>
                        <w:t>ЭКОНОМИЧЕСКИЕ И ПРОИЗВОДСТВЕННЫЕ СВЯЗИ</w:t>
                      </w:r>
                      <w:r>
                        <w:rPr>
                          <w:rFonts w:ascii="Times New Roman" w:hAnsi="Times New Roman" w:cs="Times New Roman"/>
                          <w:sz w:val="20"/>
                          <w:szCs w:val="20"/>
                        </w:rPr>
                        <w:br w:type="textWrapping"/>
                      </w:r>
                      <w:r>
                        <w:rPr>
                          <w:rFonts w:ascii="Times New Roman" w:hAnsi="Times New Roman" w:cs="Times New Roman"/>
                          <w:sz w:val="20"/>
                          <w:szCs w:val="20"/>
                        </w:rPr>
                        <w:t>──────────────────────────────────</w:t>
                      </w:r>
                      <w:r>
                        <w:rPr>
                          <w:rFonts w:ascii="Times New Roman" w:hAnsi="Times New Roman" w:cs="Times New Roman"/>
                          <w:sz w:val="20"/>
                          <w:szCs w:val="20"/>
                        </w:rPr>
                        <w:br w:type="textWrapping"/>
                      </w:r>
                      <w:r>
                        <w:rPr>
                          <w:rFonts w:ascii="Times New Roman" w:hAnsi="Times New Roman" w:cs="Times New Roman"/>
                          <w:sz w:val="20"/>
                          <w:szCs w:val="20"/>
                        </w:rPr>
                        <w:t>Кластерная структура платформенной экономики</w:t>
                      </w:r>
                    </w:p>
                    <w:p>
                      <w:pPr>
                        <w:pStyle w:val="P15"/>
                        <w:numPr>
                          <w:ilvl w:val="0"/>
                          <w:numId w:val="36"/>
                        </w:numPr>
                        <w:spacing w:lineRule="auto" w:line="216" w:beforeAutospacing="0" w:afterAutospacing="0"/>
                        <w:ind w:right="-142"/>
                        <w:rPr>
                          <w:sz w:val="20"/>
                          <w:szCs w:val="20"/>
                        </w:rPr>
                      </w:pPr>
                      <w:r>
                        <w:rPr>
                          <w:sz w:val="20"/>
                          <w:szCs w:val="20"/>
                        </w:rPr>
                        <w:t>Интеграция участников экономики:</w:t>
                      </w:r>
                    </w:p>
                    <w:p>
                      <w:pPr>
                        <w:spacing w:lineRule="auto" w:line="216" w:after="0" w:beforeAutospacing="0" w:afterAutospacing="0"/>
                        <w:ind w:right="-142"/>
                        <w:rPr>
                          <w:rFonts w:ascii="Times New Roman" w:hAnsi="Times New Roman" w:cs="Times New Roman"/>
                          <w:sz w:val="20"/>
                          <w:szCs w:val="20"/>
                        </w:rPr>
                      </w:pPr>
                      <w:r>
                        <w:rPr>
                          <w:rFonts w:ascii="Times New Roman" w:hAnsi="Times New Roman" w:cs="Times New Roman"/>
                          <w:sz w:val="20"/>
                          <w:szCs w:val="20"/>
                        </w:rPr>
                        <w:t>• координация производственных цепочек</w:t>
                      </w:r>
                    </w:p>
                    <w:p>
                      <w:pPr>
                        <w:spacing w:lineRule="auto" w:line="216" w:after="0" w:beforeAutospacing="0" w:afterAutospacing="0"/>
                        <w:ind w:right="-142"/>
                        <w:rPr>
                          <w:rFonts w:ascii="Times New Roman" w:hAnsi="Times New Roman" w:cs="Times New Roman"/>
                          <w:sz w:val="20"/>
                          <w:szCs w:val="20"/>
                        </w:rPr>
                      </w:pPr>
                      <w:r>
                        <w:rPr>
                          <w:rFonts w:ascii="Times New Roman" w:hAnsi="Times New Roman" w:cs="Times New Roman"/>
                          <w:sz w:val="20"/>
                          <w:szCs w:val="20"/>
                        </w:rPr>
                        <w:t>• развитие кооперационных связей</w:t>
                      </w:r>
                    </w:p>
                    <w:p>
                      <w:pPr>
                        <w:spacing w:lineRule="auto" w:line="216" w:after="0" w:beforeAutospacing="0" w:afterAutospacing="0"/>
                        <w:ind w:right="-142"/>
                        <w:rPr>
                          <w:rFonts w:ascii="Times New Roman" w:hAnsi="Times New Roman" w:cs="Times New Roman"/>
                          <w:sz w:val="20"/>
                          <w:szCs w:val="20"/>
                        </w:rPr>
                      </w:pPr>
                      <w:r>
                        <w:rPr>
                          <w:rFonts w:ascii="Times New Roman" w:hAnsi="Times New Roman" w:cs="Times New Roman"/>
                          <w:sz w:val="20"/>
                          <w:szCs w:val="20"/>
                        </w:rPr>
                        <w:t>• интеграция предприятий в региональные и глобальные цепочки стоимости</w:t>
                      </w:r>
                    </w:p>
                  </w:txbxContent>
                </v:textbox>
              </v:shape>
            </w:pict>
          </mc:Fallback>
        </mc:AlternateContent>
      </w:r>
    </w:p>
    <w:p>
      <w:pPr>
        <w:pStyle w:val="P13"/>
        <w:spacing w:lineRule="auto" w:line="360" w:beforeAutospacing="0" w:afterAutospacing="0"/>
        <w:ind w:firstLine="709" w:right="-1"/>
        <w:jc w:val="both"/>
        <w:rPr>
          <w:sz w:val="28"/>
          <w:szCs w:val="28"/>
          <w:lang w:val="ru-RU"/>
        </w:rPr>
      </w:pPr>
    </w:p>
    <w:p>
      <w:pPr>
        <w:pStyle w:val="P13"/>
        <w:spacing w:lineRule="auto" w:line="360" w:beforeAutospacing="0" w:afterAutospacing="0"/>
        <w:ind w:firstLine="709" w:right="-1"/>
        <w:jc w:val="both"/>
        <w:rPr>
          <w:sz w:val="28"/>
          <w:szCs w:val="28"/>
          <w:lang w:val="ru-RU"/>
        </w:rPr>
      </w:pPr>
      <w:r>
        <w:rPr>
          <w:noProof w:val="1"/>
          <w:sz w:val="24"/>
          <w:szCs w:val="24"/>
          <w:lang w:val="ru-RU" w:eastAsia="ru-RU"/>
        </w:rPr>
        <mc:AlternateContent>
          <mc:Choice Requires="wps">
            <w:drawing>
              <wp:anchor xmlns:wp="http://schemas.openxmlformats.org/drawingml/2006/wordprocessingDrawing" distT="0" distB="0" distL="114300" distR="114300" simplePos="0" relativeHeight="166" behindDoc="0" locked="0" layoutInCell="1" allowOverlap="1">
                <wp:simplePos x="0" y="0"/>
                <wp:positionH relativeFrom="column">
                  <wp:posOffset>2233295</wp:posOffset>
                </wp:positionH>
                <wp:positionV relativeFrom="paragraph">
                  <wp:posOffset>127635</wp:posOffset>
                </wp:positionV>
                <wp:extent cx="361950" cy="0"/>
                <wp:effectExtent l="0" t="0" r="19050" b="19050"/>
                <wp:wrapNone/>
                <wp:docPr id="841381645" name="Прямая соединительная линия 841381645"/>
                <wp:cNvGraphicFramePr/>
                <a:graphic xmlns:a="http://schemas.openxmlformats.org/drawingml/2006/main">
                  <a:graphicData uri="http://schemas.microsoft.com/office/word/2010/wordprocessingShape">
                    <wps:wsp>
                      <wps:cNvCnPr/>
                      <wps:spPr>
                        <a:xfrm>
                          <a:off x="0" y="0"/>
                          <a:ext cx="361950" cy="0"/>
                        </a:xfrm>
                        <a:prstGeom prst="line"/>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xmlns:o="urn:schemas-microsoft-com:office:office" id="Прямая соединительная линия 841381645" o:spid="_x0000_s1272" style="position:absolute;z-index:166;mso-wrap-distance-left:9pt;mso-wrap-distance-top:0pt;mso-wrap-distance-right:9pt;mso-wrap-distance-bottom:0pt;mso-position-horizontal:absolute;mso-position-horizontal-relative:text;mso-position-vertical:absolute;mso-position-vertical-relative:text" strokecolor="#4472C4" strokeweight="0.5pt" stroked="t" o:allowincell="t" from="175.85pt,10.05pt" to="204.35pt,10.05pt"/>
            </w:pict>
          </mc:Fallback>
        </mc:AlternateContent>
      </w:r>
      <w:r>
        <w:rPr>
          <w:noProof w:val="1"/>
          <w:sz w:val="24"/>
          <w:szCs w:val="24"/>
          <w:lang w:val="ru-RU" w:eastAsia="ru-RU"/>
        </w:rPr>
        <mc:AlternateContent>
          <mc:Choice Requires="wps">
            <w:drawing>
              <wp:anchor xmlns:wp="http://schemas.openxmlformats.org/drawingml/2006/wordprocessingDrawing" distT="0" distB="0" distL="114300" distR="114300" simplePos="0" relativeHeight="163" behindDoc="0" locked="0" layoutInCell="1" allowOverlap="1">
                <wp:simplePos x="0" y="0"/>
                <wp:positionH relativeFrom="column">
                  <wp:posOffset>728345</wp:posOffset>
                </wp:positionH>
                <wp:positionV relativeFrom="paragraph">
                  <wp:posOffset>13335</wp:posOffset>
                </wp:positionV>
                <wp:extent cx="1114425" cy="1752600"/>
                <wp:effectExtent l="0" t="0" r="0" b="0"/>
                <wp:wrapNone/>
                <wp:docPr id="841381642" name="Прямоугольник 841381642"/>
                <wp:cNvGraphicFramePr/>
                <a:graphic xmlns:a="http://schemas.openxmlformats.org/drawingml/2006/main">
                  <a:graphicData uri="http://schemas.microsoft.com/office/word/2010/wordprocessingShape">
                    <wps:wsp>
                      <wps:cNvSpPr/>
                      <wps:spPr>
                        <a:xfrm>
                          <a:off x="0" y="0"/>
                          <a:ext cx="1114425" cy="1752600"/>
                        </a:xfrm>
                        <a:prstGeom prst="rect"/>
                        <a:noFill/>
                        <a:ln>
                          <a:noFill/>
                        </a:ln>
                      </wps:spPr>
                      <wps:style>
                        <a:lnRef idx="2">
                          <a:schemeClr val="dk1"/>
                        </a:lnRef>
                        <a:fillRef idx="1">
                          <a:schemeClr val="lt1"/>
                        </a:fillRef>
                        <a:effectRef idx="0">
                          <a:schemeClr val="dk1"/>
                        </a:effectRef>
                        <a:fontRef idx="minor">
                          <a:schemeClr val="dk1"/>
                        </a:fontRef>
                      </wps:style>
                      <wps:txbx>
                        <w:txbxContent>
                          <w:p>
                            <w:pPr>
                              <w:spacing w:lineRule="auto" w:line="216" w:after="0" w:beforeAutospacing="0" w:afterAutospacing="0"/>
                              <w:rPr>
                                <w:rFonts w:ascii="Times New Roman" w:hAnsi="Times New Roman" w:cs="Times New Roman"/>
                                <w:sz w:val="18"/>
                                <w:szCs w:val="18"/>
                              </w:rPr>
                            </w:pPr>
                            <w:r>
                              <w:rPr>
                                <w:rFonts w:ascii="Times New Roman" w:hAnsi="Times New Roman" w:cs="Times New Roman"/>
                                <w:sz w:val="18"/>
                                <w:szCs w:val="18"/>
                              </w:rPr>
                              <w:t xml:space="preserve">Участники </w:t>
                            </w:r>
                            <w:r>
                              <w:rPr>
                                <w:rFonts w:ascii="Times New Roman" w:hAnsi="Times New Roman" w:cs="Times New Roman"/>
                                <w:sz w:val="18"/>
                                <w:szCs w:val="18"/>
                              </w:rPr>
                              <w:br w:type="textWrapping"/>
                            </w:r>
                            <w:r>
                              <w:rPr>
                                <w:rFonts w:ascii="Times New Roman" w:hAnsi="Times New Roman" w:cs="Times New Roman"/>
                                <w:sz w:val="18"/>
                                <w:szCs w:val="18"/>
                              </w:rPr>
                              <w:t>• предприятия и кооперативы</w:t>
                            </w:r>
                            <w:r>
                              <w:rPr>
                                <w:rFonts w:ascii="Times New Roman" w:hAnsi="Times New Roman" w:cs="Times New Roman"/>
                                <w:sz w:val="18"/>
                                <w:szCs w:val="18"/>
                              </w:rPr>
                              <w:br w:type="textWrapping"/>
                            </w:r>
                            <w:r>
                              <w:rPr>
                                <w:rFonts w:ascii="Times New Roman" w:hAnsi="Times New Roman" w:cs="Times New Roman"/>
                                <w:sz w:val="18"/>
                                <w:szCs w:val="18"/>
                              </w:rPr>
                              <w:t>• малый и средний бизнес</w:t>
                            </w:r>
                            <w:r>
                              <w:rPr>
                                <w:rFonts w:ascii="Times New Roman" w:hAnsi="Times New Roman" w:cs="Times New Roman"/>
                                <w:sz w:val="18"/>
                                <w:szCs w:val="18"/>
                              </w:rPr>
                              <w:br w:type="textWrapping"/>
                            </w:r>
                            <w:r>
                              <w:rPr>
                                <w:rFonts w:ascii="Times New Roman" w:hAnsi="Times New Roman" w:cs="Times New Roman"/>
                                <w:sz w:val="18"/>
                                <w:szCs w:val="18"/>
                              </w:rPr>
                              <w:t>• логистические компании</w:t>
                            </w:r>
                            <w:r>
                              <w:rPr>
                                <w:rFonts w:ascii="Times New Roman" w:hAnsi="Times New Roman" w:cs="Times New Roman"/>
                                <w:sz w:val="18"/>
                                <w:szCs w:val="18"/>
                              </w:rPr>
                              <w:br w:type="textWrapping"/>
                            </w:r>
                            <w:r>
                              <w:rPr>
                                <w:rFonts w:ascii="Times New Roman" w:hAnsi="Times New Roman" w:cs="Times New Roman"/>
                                <w:sz w:val="18"/>
                                <w:szCs w:val="18"/>
                              </w:rPr>
                              <w:t>• финансовые институты</w:t>
                            </w:r>
                            <w:r>
                              <w:rPr>
                                <w:rFonts w:ascii="Times New Roman" w:hAnsi="Times New Roman" w:cs="Times New Roman"/>
                                <w:sz w:val="18"/>
                                <w:szCs w:val="18"/>
                              </w:rPr>
                              <w:br w:type="textWrapping"/>
                            </w:r>
                            <w:r>
                              <w:rPr>
                                <w:rFonts w:ascii="Times New Roman" w:hAnsi="Times New Roman" w:cs="Times New Roman"/>
                                <w:sz w:val="18"/>
                                <w:szCs w:val="18"/>
                              </w:rPr>
                              <w:t>• государственные органы</w:t>
                            </w:r>
                            <w:r>
                              <w:rPr>
                                <w:rFonts w:ascii="Times New Roman" w:hAnsi="Times New Roman" w:cs="Times New Roman"/>
                                <w:sz w:val="18"/>
                                <w:szCs w:val="18"/>
                              </w:rPr>
                              <w:br w:type="textWrapping"/>
                            </w:r>
                            <w:r>
                              <w:rPr>
                                <w:rFonts w:ascii="Times New Roman" w:hAnsi="Times New Roman" w:cs="Times New Roman"/>
                                <w:sz w:val="18"/>
                                <w:szCs w:val="18"/>
                              </w:rPr>
                              <w:t>• научно-образовательные организации</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xmlns:o="urn:schemas-microsoft-com:office:office" id="Прямоугольник 841381642" o:spid="_x0000_s1273" style="position:absolute;width:87.75pt;height:138pt;z-index:163;mso-wrap-distance-left:9pt;mso-wrap-distance-top:0pt;mso-wrap-distance-right:9pt;mso-wrap-distance-bottom:0pt;margin-left:57.35pt;margin-top:1.05pt;mso-position-horizontal:absolute;mso-position-horizontal-relative:text;mso-position-vertical:absolute;mso-position-vertical-relative:text;v-text-anchor:middle" o:allowincell="t" filled="f" strokeweight="1pt" stroked="f">
                <v:textbox inset="3mm,1mm,3mm,1mm">
                  <w:txbxContent>
                    <w:p>
                      <w:pPr>
                        <w:spacing w:lineRule="auto" w:line="216" w:after="0" w:beforeAutospacing="0" w:afterAutospacing="0"/>
                        <w:rPr>
                          <w:rFonts w:ascii="Times New Roman" w:hAnsi="Times New Roman" w:cs="Times New Roman"/>
                          <w:sz w:val="18"/>
                          <w:szCs w:val="18"/>
                        </w:rPr>
                      </w:pPr>
                      <w:r>
                        <w:rPr>
                          <w:rFonts w:ascii="Times New Roman" w:hAnsi="Times New Roman" w:cs="Times New Roman"/>
                          <w:sz w:val="18"/>
                          <w:szCs w:val="18"/>
                        </w:rPr>
                        <w:t xml:space="preserve">Участники </w:t>
                      </w:r>
                      <w:r>
                        <w:rPr>
                          <w:rFonts w:ascii="Times New Roman" w:hAnsi="Times New Roman" w:cs="Times New Roman"/>
                          <w:sz w:val="18"/>
                          <w:szCs w:val="18"/>
                        </w:rPr>
                        <w:br w:type="textWrapping"/>
                      </w:r>
                      <w:r>
                        <w:rPr>
                          <w:rFonts w:ascii="Times New Roman" w:hAnsi="Times New Roman" w:cs="Times New Roman"/>
                          <w:sz w:val="18"/>
                          <w:szCs w:val="18"/>
                        </w:rPr>
                        <w:t>• предприятия и кооперативы</w:t>
                      </w:r>
                      <w:r>
                        <w:rPr>
                          <w:rFonts w:ascii="Times New Roman" w:hAnsi="Times New Roman" w:cs="Times New Roman"/>
                          <w:sz w:val="18"/>
                          <w:szCs w:val="18"/>
                        </w:rPr>
                        <w:br w:type="textWrapping"/>
                      </w:r>
                      <w:r>
                        <w:rPr>
                          <w:rFonts w:ascii="Times New Roman" w:hAnsi="Times New Roman" w:cs="Times New Roman"/>
                          <w:sz w:val="18"/>
                          <w:szCs w:val="18"/>
                        </w:rPr>
                        <w:t>• малый и средний бизнес</w:t>
                      </w:r>
                      <w:r>
                        <w:rPr>
                          <w:rFonts w:ascii="Times New Roman" w:hAnsi="Times New Roman" w:cs="Times New Roman"/>
                          <w:sz w:val="18"/>
                          <w:szCs w:val="18"/>
                        </w:rPr>
                        <w:br w:type="textWrapping"/>
                      </w:r>
                      <w:r>
                        <w:rPr>
                          <w:rFonts w:ascii="Times New Roman" w:hAnsi="Times New Roman" w:cs="Times New Roman"/>
                          <w:sz w:val="18"/>
                          <w:szCs w:val="18"/>
                        </w:rPr>
                        <w:t>• логистические компании</w:t>
                      </w:r>
                      <w:r>
                        <w:rPr>
                          <w:rFonts w:ascii="Times New Roman" w:hAnsi="Times New Roman" w:cs="Times New Roman"/>
                          <w:sz w:val="18"/>
                          <w:szCs w:val="18"/>
                        </w:rPr>
                        <w:br w:type="textWrapping"/>
                      </w:r>
                      <w:r>
                        <w:rPr>
                          <w:rFonts w:ascii="Times New Roman" w:hAnsi="Times New Roman" w:cs="Times New Roman"/>
                          <w:sz w:val="18"/>
                          <w:szCs w:val="18"/>
                        </w:rPr>
                        <w:t>• финансовые институты</w:t>
                      </w:r>
                      <w:r>
                        <w:rPr>
                          <w:rFonts w:ascii="Times New Roman" w:hAnsi="Times New Roman" w:cs="Times New Roman"/>
                          <w:sz w:val="18"/>
                          <w:szCs w:val="18"/>
                        </w:rPr>
                        <w:br w:type="textWrapping"/>
                      </w:r>
                      <w:r>
                        <w:rPr>
                          <w:rFonts w:ascii="Times New Roman" w:hAnsi="Times New Roman" w:cs="Times New Roman"/>
                          <w:sz w:val="18"/>
                          <w:szCs w:val="18"/>
                        </w:rPr>
                        <w:t>• государственные органы</w:t>
                      </w:r>
                      <w:r>
                        <w:rPr>
                          <w:rFonts w:ascii="Times New Roman" w:hAnsi="Times New Roman" w:cs="Times New Roman"/>
                          <w:sz w:val="18"/>
                          <w:szCs w:val="18"/>
                        </w:rPr>
                        <w:br w:type="textWrapping"/>
                      </w:r>
                      <w:r>
                        <w:rPr>
                          <w:rFonts w:ascii="Times New Roman" w:hAnsi="Times New Roman" w:cs="Times New Roman"/>
                          <w:sz w:val="18"/>
                          <w:szCs w:val="18"/>
                        </w:rPr>
                        <w:t>• научно-образовательные организации</w:t>
                      </w:r>
                    </w:p>
                  </w:txbxContent>
                </v:textbox>
              </v:rect>
            </w:pict>
          </mc:Fallback>
        </mc:AlternateContent>
      </w:r>
    </w:p>
    <w:p>
      <w:pPr>
        <w:pStyle w:val="P13"/>
        <w:spacing w:lineRule="auto" w:line="360" w:beforeAutospacing="0" w:afterAutospacing="0"/>
        <w:ind w:firstLine="709" w:right="-1"/>
        <w:jc w:val="both"/>
        <w:rPr>
          <w:sz w:val="28"/>
          <w:szCs w:val="28"/>
          <w:lang w:val="ru-RU"/>
        </w:rPr>
      </w:pPr>
      <w:r>
        <w:rPr>
          <w:noProof w:val="1"/>
          <w:sz w:val="24"/>
          <w:szCs w:val="24"/>
          <w:lang w:val="ru-RU" w:eastAsia="ru-RU"/>
        </w:rPr>
        <mc:AlternateContent>
          <mc:Choice Requires="wps">
            <w:drawing>
              <wp:anchor xmlns:wp="http://schemas.openxmlformats.org/drawingml/2006/wordprocessingDrawing" distT="0" distB="0" distL="114300" distR="114300" simplePos="0" relativeHeight="168" behindDoc="0" locked="0" layoutInCell="1" allowOverlap="1">
                <wp:simplePos x="0" y="0"/>
                <wp:positionH relativeFrom="column">
                  <wp:posOffset>3104515</wp:posOffset>
                </wp:positionH>
                <wp:positionV relativeFrom="paragraph">
                  <wp:posOffset>294005</wp:posOffset>
                </wp:positionV>
                <wp:extent cx="314325" cy="5429250"/>
                <wp:effectExtent l="0" t="4445" r="0" b="23495"/>
                <wp:wrapNone/>
                <wp:docPr id="841381647" name="Штриховая стрелка вправо 841381647"/>
                <wp:cNvGraphicFramePr/>
                <a:graphic xmlns:a="http://schemas.openxmlformats.org/drawingml/2006/main">
                  <a:graphicData uri="http://schemas.microsoft.com/office/word/2010/wordprocessingShape">
                    <wps:wsp>
                      <wps:cNvSpPr/>
                      <wps:spPr>
                        <a:xfrm rot="5400000">
                          <a:off x="0" y="0"/>
                          <a:ext cx="314327" cy="5429250"/>
                        </a:xfrm>
                        <a:prstGeom prst="stripedRightArrow"/>
                      </wps:spPr>
                      <wps:style>
                        <a:lnRef idx="1">
                          <a:schemeClr val="accent1"/>
                        </a:lnRef>
                        <a:fillRef idx="2">
                          <a:schemeClr val="accent1"/>
                        </a:fillRef>
                        <a:effectRef idx="1">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xmlns:o="urn:schemas-microsoft-com:office:office" id="Штриховая стрелка вправо 841381647" o:spid="_x0000_s1274" style="position:absolute;width:24.75pt;height:427.5pt;z-index:168;mso-wrap-distance-left:9pt;mso-wrap-distance-top:0pt;mso-wrap-distance-right:9pt;mso-wrap-distance-bottom:0pt;margin-left:244.45pt;margin-top:23.15pt;mso-position-horizontal:absolute;mso-position-horizontal-relative:text;mso-position-vertical:absolute;mso-position-vertical-relative:text;v-text-anchor:middle;rotation:90" o:allowincell="t" strokecolor="#4472C4" strokeweight="0.5pt" stroked="t"/>
            </w:pict>
          </mc:Fallback>
        </mc:AlternateContent>
      </w:r>
    </w:p>
    <w:p>
      <w:pPr>
        <w:pStyle w:val="P13"/>
        <w:spacing w:lineRule="auto" w:line="360" w:beforeAutospacing="0" w:afterAutospacing="0"/>
        <w:ind w:firstLine="709" w:right="-1"/>
        <w:jc w:val="both"/>
        <w:rPr>
          <w:sz w:val="28"/>
          <w:szCs w:val="28"/>
          <w:lang w:val="ru-RU"/>
        </w:rPr>
      </w:pPr>
    </w:p>
    <w:p>
      <w:pPr>
        <w:pStyle w:val="P13"/>
        <w:spacing w:lineRule="auto" w:line="360" w:beforeAutospacing="0" w:afterAutospacing="0"/>
        <w:ind w:firstLine="709" w:right="-1"/>
        <w:jc w:val="both"/>
        <w:rPr>
          <w:sz w:val="28"/>
          <w:szCs w:val="28"/>
          <w:lang w:val="ru-RU"/>
        </w:rPr>
      </w:pPr>
      <w:r>
        <w:rPr>
          <w:noProof w:val="1"/>
          <w:sz w:val="28"/>
          <w:szCs w:val="28"/>
          <w:lang w:val="ru-RU" w:eastAsia="ru-RU"/>
        </w:rPr>
        <mc:AlternateContent>
          <mc:Choice Requires="wps">
            <w:drawing>
              <wp:anchor xmlns:wp="http://schemas.openxmlformats.org/drawingml/2006/wordprocessingDrawing" distT="0" distB="0" distL="114300" distR="114300" simplePos="0" relativeHeight="156" behindDoc="0" locked="0" layoutInCell="1" allowOverlap="1">
                <wp:simplePos x="0" y="0"/>
                <wp:positionH relativeFrom="column">
                  <wp:posOffset>2595245</wp:posOffset>
                </wp:positionH>
                <wp:positionV relativeFrom="paragraph">
                  <wp:posOffset>113030</wp:posOffset>
                </wp:positionV>
                <wp:extent cx="3457575" cy="1257300"/>
                <wp:effectExtent l="0" t="0" r="28575" b="19050"/>
                <wp:wrapNone/>
                <wp:docPr id="841381632" name="Блок-схема: карточка 841381632"/>
                <wp:cNvGraphicFramePr/>
                <a:graphic xmlns:a="http://schemas.openxmlformats.org/drawingml/2006/main">
                  <a:graphicData uri="http://schemas.microsoft.com/office/word/2010/wordprocessingShape">
                    <wps:wsp>
                      <wps:cNvSpPr/>
                      <wps:spPr>
                        <a:xfrm>
                          <a:off x="0" y="0"/>
                          <a:ext cx="3457575" cy="1257300"/>
                        </a:xfrm>
                        <a:prstGeom prst="flowChartPunchedCard"/>
                      </wps:spPr>
                      <wps:style>
                        <a:lnRef idx="1">
                          <a:schemeClr val="accent1"/>
                        </a:lnRef>
                        <a:fillRef idx="2">
                          <a:schemeClr val="accent1"/>
                        </a:fillRef>
                        <a:effectRef idx="1">
                          <a:schemeClr val="accent1"/>
                        </a:effectRef>
                        <a:fontRef idx="minor">
                          <a:schemeClr val="dk1"/>
                        </a:fontRef>
                      </wps:style>
                      <wps:txbx>
                        <w:txbxContent>
                          <w:p>
                            <w:pPr>
                              <w:spacing w:lineRule="auto" w:line="216" w:after="0" w:beforeAutospacing="0" w:afterAutospacing="0"/>
                              <w:ind w:right="-142"/>
                              <w:rPr>
                                <w:rFonts w:ascii="Times New Roman" w:hAnsi="Times New Roman" w:cs="Times New Roman"/>
                                <w:sz w:val="20"/>
                                <w:szCs w:val="20"/>
                              </w:rPr>
                            </w:pPr>
                            <w:r>
                              <w:rPr>
                                <w:rFonts w:ascii="Times New Roman" w:hAnsi="Times New Roman" w:cs="Times New Roman"/>
                                <w:sz w:val="20"/>
                                <w:szCs w:val="20"/>
                              </w:rPr>
                              <w:t>ЦИФРОВАЯ ИНФРАСТРУКТУРА</w:t>
                            </w:r>
                          </w:p>
                          <w:p>
                            <w:pPr>
                              <w:spacing w:lineRule="auto" w:line="216" w:after="0" w:beforeAutospacing="0" w:afterAutospacing="0"/>
                              <w:ind w:right="-142"/>
                              <w:rPr>
                                <w:rFonts w:ascii="Times New Roman" w:hAnsi="Times New Roman" w:cs="Times New Roman"/>
                                <w:sz w:val="20"/>
                                <w:szCs w:val="20"/>
                              </w:rPr>
                            </w:pPr>
                            <w:r>
                              <w:rPr>
                                <w:rFonts w:ascii="Times New Roman" w:hAnsi="Times New Roman" w:cs="Times New Roman"/>
                                <w:sz w:val="20"/>
                                <w:szCs w:val="20"/>
                              </w:rPr>
                              <w:t>─────────────────────</w:t>
                            </w:r>
                          </w:p>
                          <w:p>
                            <w:pPr>
                              <w:spacing w:lineRule="auto" w:line="216" w:after="0" w:beforeAutospacing="0" w:afterAutospacing="0"/>
                              <w:ind w:right="-142"/>
                              <w:rPr>
                                <w:rFonts w:ascii="Times New Roman" w:hAnsi="Times New Roman" w:cs="Times New Roman"/>
                                <w:sz w:val="20"/>
                                <w:szCs w:val="20"/>
                              </w:rPr>
                            </w:pPr>
                            <w:r>
                              <w:rPr>
                                <w:rFonts w:ascii="Times New Roman" w:hAnsi="Times New Roman" w:cs="Times New Roman"/>
                                <w:sz w:val="20"/>
                                <w:szCs w:val="20"/>
                              </w:rPr>
                              <w:t>• системы обработки и хранения данных</w:t>
                            </w:r>
                          </w:p>
                          <w:p>
                            <w:pPr>
                              <w:spacing w:lineRule="auto" w:line="216" w:after="0" w:beforeAutospacing="0" w:afterAutospacing="0"/>
                              <w:ind w:right="-142"/>
                              <w:rPr>
                                <w:rFonts w:ascii="Times New Roman" w:hAnsi="Times New Roman" w:cs="Times New Roman"/>
                                <w:sz w:val="20"/>
                                <w:szCs w:val="20"/>
                              </w:rPr>
                            </w:pPr>
                            <w:r>
                              <w:rPr>
                                <w:rFonts w:ascii="Times New Roman" w:hAnsi="Times New Roman" w:cs="Times New Roman"/>
                                <w:sz w:val="20"/>
                                <w:szCs w:val="20"/>
                              </w:rPr>
                              <w:t>• облачные сервисы</w:t>
                            </w:r>
                          </w:p>
                          <w:p>
                            <w:pPr>
                              <w:spacing w:lineRule="auto" w:line="216" w:after="0" w:beforeAutospacing="0" w:afterAutospacing="0"/>
                              <w:ind w:right="-142"/>
                              <w:rPr>
                                <w:rFonts w:ascii="Times New Roman" w:hAnsi="Times New Roman" w:cs="Times New Roman"/>
                                <w:sz w:val="20"/>
                                <w:szCs w:val="20"/>
                              </w:rPr>
                            </w:pPr>
                            <w:r>
                              <w:rPr>
                                <w:rFonts w:ascii="Times New Roman" w:hAnsi="Times New Roman" w:cs="Times New Roman"/>
                                <w:sz w:val="20"/>
                                <w:szCs w:val="20"/>
                              </w:rPr>
                              <w:t>• цифровые торговые системы</w:t>
                            </w:r>
                          </w:p>
                          <w:p>
                            <w:pPr>
                              <w:spacing w:lineRule="auto" w:line="216" w:after="0" w:beforeAutospacing="0" w:afterAutospacing="0"/>
                              <w:ind w:right="-142"/>
                              <w:rPr>
                                <w:rFonts w:ascii="Times New Roman" w:hAnsi="Times New Roman" w:cs="Times New Roman"/>
                                <w:sz w:val="20"/>
                                <w:szCs w:val="20"/>
                              </w:rPr>
                            </w:pPr>
                            <w:r>
                              <w:rPr>
                                <w:rFonts w:ascii="Times New Roman" w:hAnsi="Times New Roman" w:cs="Times New Roman"/>
                                <w:sz w:val="20"/>
                                <w:szCs w:val="20"/>
                              </w:rPr>
                              <w:t>• цифровые финансовые инструменты</w:t>
                            </w:r>
                          </w:p>
                          <w:p>
                            <w:pPr>
                              <w:spacing w:lineRule="auto" w:line="216" w:after="0" w:beforeAutospacing="0" w:afterAutospacing="0"/>
                              <w:ind w:right="-142"/>
                              <w:rPr>
                                <w:rFonts w:ascii="Times New Roman" w:hAnsi="Times New Roman" w:cs="Times New Roman"/>
                                <w:sz w:val="20"/>
                                <w:szCs w:val="20"/>
                              </w:rPr>
                            </w:pPr>
                            <w:r>
                              <w:rPr>
                                <w:rFonts w:ascii="Times New Roman" w:hAnsi="Times New Roman" w:cs="Times New Roman"/>
                                <w:sz w:val="20"/>
                                <w:szCs w:val="20"/>
                              </w:rPr>
                              <w:t>• коммуникационные технологии</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xmlns:o="urn:schemas-microsoft-com:office:office" type="#_x0000_t121" id="Блок-схема: карточка 841381632" o:spid="_x0000_s1275" style="position:absolute;width:272.25pt;height:99pt;z-index:156;mso-wrap-distance-left:9pt;mso-wrap-distance-top:0pt;mso-wrap-distance-right:9pt;mso-wrap-distance-bottom:0pt;margin-left:204.35pt;margin-top:8.9pt;mso-position-horizontal:absolute;mso-position-horizontal-relative:text;mso-position-vertical:absolute;mso-position-vertical-relative:text;v-text-anchor:middle" o:allowincell="t" strokecolor="#4472C4" strokeweight="0.5pt" stroked="t">
                <v:textbox inset="3mm,1mm,3mm,1mm">
                  <w:txbxContent>
                    <w:p>
                      <w:pPr>
                        <w:spacing w:lineRule="auto" w:line="216" w:after="0" w:beforeAutospacing="0" w:afterAutospacing="0"/>
                        <w:ind w:right="-142"/>
                        <w:rPr>
                          <w:rFonts w:ascii="Times New Roman" w:hAnsi="Times New Roman" w:cs="Times New Roman"/>
                          <w:sz w:val="20"/>
                          <w:szCs w:val="20"/>
                        </w:rPr>
                      </w:pPr>
                      <w:r>
                        <w:rPr>
                          <w:rFonts w:ascii="Times New Roman" w:hAnsi="Times New Roman" w:cs="Times New Roman"/>
                          <w:sz w:val="20"/>
                          <w:szCs w:val="20"/>
                        </w:rPr>
                        <w:t>ЦИФРОВАЯ ИНФРАСТРУКТУРА</w:t>
                      </w:r>
                    </w:p>
                    <w:p>
                      <w:pPr>
                        <w:spacing w:lineRule="auto" w:line="216" w:after="0" w:beforeAutospacing="0" w:afterAutospacing="0"/>
                        <w:ind w:right="-142"/>
                        <w:rPr>
                          <w:rFonts w:ascii="Times New Roman" w:hAnsi="Times New Roman" w:cs="Times New Roman"/>
                          <w:sz w:val="20"/>
                          <w:szCs w:val="20"/>
                        </w:rPr>
                      </w:pPr>
                      <w:r>
                        <w:rPr>
                          <w:rFonts w:ascii="Times New Roman" w:hAnsi="Times New Roman" w:cs="Times New Roman"/>
                          <w:sz w:val="20"/>
                          <w:szCs w:val="20"/>
                        </w:rPr>
                        <w:t>─────────────────────</w:t>
                      </w:r>
                    </w:p>
                    <w:p>
                      <w:pPr>
                        <w:spacing w:lineRule="auto" w:line="216" w:after="0" w:beforeAutospacing="0" w:afterAutospacing="0"/>
                        <w:ind w:right="-142"/>
                        <w:rPr>
                          <w:rFonts w:ascii="Times New Roman" w:hAnsi="Times New Roman" w:cs="Times New Roman"/>
                          <w:sz w:val="20"/>
                          <w:szCs w:val="20"/>
                        </w:rPr>
                      </w:pPr>
                      <w:r>
                        <w:rPr>
                          <w:rFonts w:ascii="Times New Roman" w:hAnsi="Times New Roman" w:cs="Times New Roman"/>
                          <w:sz w:val="20"/>
                          <w:szCs w:val="20"/>
                        </w:rPr>
                        <w:t>• системы обработки и хранения данных</w:t>
                      </w:r>
                    </w:p>
                    <w:p>
                      <w:pPr>
                        <w:spacing w:lineRule="auto" w:line="216" w:after="0" w:beforeAutospacing="0" w:afterAutospacing="0"/>
                        <w:ind w:right="-142"/>
                        <w:rPr>
                          <w:rFonts w:ascii="Times New Roman" w:hAnsi="Times New Roman" w:cs="Times New Roman"/>
                          <w:sz w:val="20"/>
                          <w:szCs w:val="20"/>
                        </w:rPr>
                      </w:pPr>
                      <w:r>
                        <w:rPr>
                          <w:rFonts w:ascii="Times New Roman" w:hAnsi="Times New Roman" w:cs="Times New Roman"/>
                          <w:sz w:val="20"/>
                          <w:szCs w:val="20"/>
                        </w:rPr>
                        <w:t>• облачные сервисы</w:t>
                      </w:r>
                    </w:p>
                    <w:p>
                      <w:pPr>
                        <w:spacing w:lineRule="auto" w:line="216" w:after="0" w:beforeAutospacing="0" w:afterAutospacing="0"/>
                        <w:ind w:right="-142"/>
                        <w:rPr>
                          <w:rFonts w:ascii="Times New Roman" w:hAnsi="Times New Roman" w:cs="Times New Roman"/>
                          <w:sz w:val="20"/>
                          <w:szCs w:val="20"/>
                        </w:rPr>
                      </w:pPr>
                      <w:r>
                        <w:rPr>
                          <w:rFonts w:ascii="Times New Roman" w:hAnsi="Times New Roman" w:cs="Times New Roman"/>
                          <w:sz w:val="20"/>
                          <w:szCs w:val="20"/>
                        </w:rPr>
                        <w:t>• цифровые торговые системы</w:t>
                      </w:r>
                    </w:p>
                    <w:p>
                      <w:pPr>
                        <w:spacing w:lineRule="auto" w:line="216" w:after="0" w:beforeAutospacing="0" w:afterAutospacing="0"/>
                        <w:ind w:right="-142"/>
                        <w:rPr>
                          <w:rFonts w:ascii="Times New Roman" w:hAnsi="Times New Roman" w:cs="Times New Roman"/>
                          <w:sz w:val="20"/>
                          <w:szCs w:val="20"/>
                        </w:rPr>
                      </w:pPr>
                      <w:r>
                        <w:rPr>
                          <w:rFonts w:ascii="Times New Roman" w:hAnsi="Times New Roman" w:cs="Times New Roman"/>
                          <w:sz w:val="20"/>
                          <w:szCs w:val="20"/>
                        </w:rPr>
                        <w:t>• цифровые финансовые инструменты</w:t>
                      </w:r>
                    </w:p>
                    <w:p>
                      <w:pPr>
                        <w:spacing w:lineRule="auto" w:line="216" w:after="0" w:beforeAutospacing="0" w:afterAutospacing="0"/>
                        <w:ind w:right="-142"/>
                        <w:rPr>
                          <w:rFonts w:ascii="Times New Roman" w:hAnsi="Times New Roman" w:cs="Times New Roman"/>
                          <w:sz w:val="20"/>
                          <w:szCs w:val="20"/>
                        </w:rPr>
                      </w:pPr>
                      <w:r>
                        <w:rPr>
                          <w:rFonts w:ascii="Times New Roman" w:hAnsi="Times New Roman" w:cs="Times New Roman"/>
                          <w:sz w:val="20"/>
                          <w:szCs w:val="20"/>
                        </w:rPr>
                        <w:t>• коммуникационные технологии</w:t>
                      </w:r>
                    </w:p>
                  </w:txbxContent>
                </v:textbox>
              </v:shape>
            </w:pict>
          </mc:Fallback>
        </mc:AlternateContent>
      </w:r>
    </w:p>
    <w:p>
      <w:pPr>
        <w:pStyle w:val="P13"/>
        <w:spacing w:lineRule="auto" w:line="360" w:beforeAutospacing="0" w:afterAutospacing="0"/>
        <w:ind w:firstLine="709" w:right="-1"/>
        <w:jc w:val="both"/>
        <w:rPr>
          <w:sz w:val="28"/>
          <w:szCs w:val="28"/>
          <w:lang w:val="ru-RU"/>
        </w:rPr>
      </w:pPr>
      <w:r>
        <w:rPr>
          <w:noProof w:val="1"/>
          <w:sz w:val="28"/>
          <w:szCs w:val="28"/>
          <w:lang w:val="ru-RU" w:eastAsia="ru-RU"/>
        </w:rPr>
        <mc:AlternateContent>
          <mc:Choice Requires="wps">
            <w:drawing>
              <wp:anchor xmlns:wp="http://schemas.openxmlformats.org/drawingml/2006/wordprocessingDrawing" distT="0" distB="0" distL="114300" distR="114300" simplePos="0" relativeHeight="167" behindDoc="0" locked="0" layoutInCell="1" allowOverlap="1">
                <wp:simplePos x="0" y="0"/>
                <wp:positionH relativeFrom="column">
                  <wp:posOffset>2118995</wp:posOffset>
                </wp:positionH>
                <wp:positionV relativeFrom="paragraph">
                  <wp:posOffset>282575</wp:posOffset>
                </wp:positionV>
                <wp:extent cx="476250" cy="0"/>
                <wp:effectExtent l="0" t="0" r="19050" b="19050"/>
                <wp:wrapNone/>
                <wp:docPr id="841381646" name="Прямая соединительная линия 841381646"/>
                <wp:cNvGraphicFramePr/>
                <a:graphic xmlns:a="http://schemas.openxmlformats.org/drawingml/2006/main">
                  <a:graphicData uri="http://schemas.microsoft.com/office/word/2010/wordprocessingShape">
                    <wps:wsp>
                      <wps:cNvCnPr/>
                      <wps:spPr>
                        <a:xfrm>
                          <a:off x="0" y="0"/>
                          <a:ext cx="476250" cy="0"/>
                        </a:xfrm>
                        <a:prstGeom prst="line"/>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xmlns:o="urn:schemas-microsoft-com:office:office" id="Прямая соединительная линия 841381646" o:spid="_x0000_s1276" style="position:absolute;z-index:167;mso-wrap-distance-left:9pt;mso-wrap-distance-top:0pt;mso-wrap-distance-right:9pt;mso-wrap-distance-bottom:0pt;mso-position-horizontal:absolute;mso-position-horizontal-relative:text;mso-position-vertical:absolute;mso-position-vertical-relative:text" strokecolor="#4472C4" strokeweight="0.5pt" stroked="t" o:allowincell="t" from="166.85pt,22.25pt" to="204.35pt,22.25pt"/>
            </w:pict>
          </mc:Fallback>
        </mc:AlternateContent>
      </w:r>
    </w:p>
    <w:p>
      <w:pPr>
        <w:pStyle w:val="P13"/>
        <w:spacing w:lineRule="auto" w:line="360" w:beforeAutospacing="0" w:afterAutospacing="0"/>
        <w:ind w:firstLine="709" w:right="-1"/>
        <w:jc w:val="both"/>
        <w:rPr>
          <w:sz w:val="28"/>
          <w:szCs w:val="28"/>
          <w:lang w:val="ru-RU"/>
        </w:rPr>
      </w:pPr>
      <w:r>
        <w:rPr>
          <w:noProof w:val="1"/>
          <w:sz w:val="28"/>
          <w:szCs w:val="28"/>
          <w:lang w:val="ru-RU" w:eastAsia="ru-RU"/>
        </w:rPr>
        <mc:AlternateContent>
          <mc:Choice Requires="wps">
            <w:drawing>
              <wp:anchor xmlns:wp="http://schemas.openxmlformats.org/drawingml/2006/wordprocessingDrawing" distT="0" distB="0" distL="114300" distR="114300" simplePos="0" relativeHeight="162" behindDoc="0" locked="0" layoutInCell="1" allowOverlap="1">
                <wp:simplePos x="0" y="0"/>
                <wp:positionH relativeFrom="column">
                  <wp:posOffset>1509395</wp:posOffset>
                </wp:positionH>
                <wp:positionV relativeFrom="paragraph">
                  <wp:posOffset>175895</wp:posOffset>
                </wp:positionV>
                <wp:extent cx="228600" cy="57150"/>
                <wp:effectExtent l="0" t="0" r="19050" b="19050"/>
                <wp:wrapNone/>
                <wp:docPr id="841381641" name="Прямая соединительная линия 841381641"/>
                <wp:cNvGraphicFramePr/>
                <a:graphic xmlns:a="http://schemas.openxmlformats.org/drawingml/2006/main">
                  <a:graphicData uri="http://schemas.microsoft.com/office/word/2010/wordprocessingShape">
                    <wps:wsp>
                      <wps:cNvCnPr/>
                      <wps:spPr>
                        <a:xfrm flipV="1" flipH="1">
                          <a:off x="0" y="0"/>
                          <a:ext cx="228600" cy="57150"/>
                        </a:xfrm>
                        <a:prstGeom prst="line"/>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xmlns:o="urn:schemas-microsoft-com:office:office" id="Прямая соединительная линия 841381641" o:spid="_x0000_s1277" style="position:absolute;flip:x y;z-index:162;mso-wrap-distance-left:9pt;mso-wrap-distance-top:0pt;mso-wrap-distance-right:9pt;mso-wrap-distance-bottom:0pt;mso-position-horizontal:absolute;mso-position-horizontal-relative:text;mso-position-vertical:absolute;mso-position-vertical-relative:text" strokecolor="#4472C4" strokeweight="0.5pt" stroked="t" o:allowincell="t" from="118.85pt,13.85pt" to="136.85pt,18.35pt"/>
            </w:pict>
          </mc:Fallback>
        </mc:AlternateContent>
      </w:r>
    </w:p>
    <w:p>
      <w:pPr>
        <w:pStyle w:val="P13"/>
        <w:jc w:val="both"/>
        <w:rPr>
          <w:sz w:val="24"/>
          <w:szCs w:val="24"/>
          <w:lang w:val="ru-RU"/>
        </w:rPr>
      </w:pPr>
      <w:r>
        <w:rPr>
          <w:sz w:val="24"/>
          <w:szCs w:val="24"/>
          <w:lang w:val="ru-RU"/>
        </w:rPr>
        <w:t xml:space="preserve">              </w:t>
      </w:r>
    </w:p>
    <w:p>
      <w:pPr>
        <w:pStyle w:val="P13"/>
        <w:jc w:val="both"/>
        <w:rPr>
          <w:sz w:val="24"/>
          <w:szCs w:val="24"/>
          <w:lang w:val="ru-RU"/>
        </w:rPr>
      </w:pPr>
    </w:p>
    <w:p>
      <w:pPr>
        <w:pStyle w:val="P13"/>
        <w:jc w:val="both"/>
        <w:rPr>
          <w:sz w:val="24"/>
          <w:szCs w:val="24"/>
          <w:lang w:val="ru-RU"/>
        </w:rPr>
      </w:pPr>
      <w:r>
        <w:rPr>
          <w:noProof w:val="1"/>
          <w:sz w:val="24"/>
          <w:szCs w:val="24"/>
          <w:lang w:val="ru-RU" w:eastAsia="ru-RU"/>
        </w:rPr>
        <mc:AlternateContent>
          <mc:Choice Requires="wps">
            <w:drawing>
              <wp:anchor xmlns:wp="http://schemas.openxmlformats.org/drawingml/2006/wordprocessingDrawing" distT="0" distB="0" distL="114300" distR="114300" simplePos="0" relativeHeight="164" behindDoc="0" locked="0" layoutInCell="1" allowOverlap="1">
                <wp:simplePos x="0" y="0"/>
                <wp:positionH relativeFrom="column">
                  <wp:posOffset>633095</wp:posOffset>
                </wp:positionH>
                <wp:positionV relativeFrom="paragraph">
                  <wp:posOffset>156845</wp:posOffset>
                </wp:positionV>
                <wp:extent cx="3124200" cy="809625"/>
                <wp:effectExtent l="0" t="0" r="19050" b="28575"/>
                <wp:wrapNone/>
                <wp:docPr id="841381643" name="Прямоугольник 841381643"/>
                <wp:cNvGraphicFramePr/>
                <a:graphic xmlns:a="http://schemas.openxmlformats.org/drawingml/2006/main">
                  <a:graphicData uri="http://schemas.microsoft.com/office/word/2010/wordprocessingShape">
                    <wps:wsp>
                      <wps:cNvSpPr/>
                      <wps:spPr>
                        <a:xfrm>
                          <a:off x="0" y="0"/>
                          <a:ext cx="3124200" cy="809625"/>
                        </a:xfrm>
                        <a:prstGeom prst="rect"/>
                        <a:noFill/>
                        <a:ln>
                          <a:solidFill>
                            <a:schemeClr val="accent1"/>
                          </a:solidFill>
                        </a:ln>
                      </wps:spPr>
                      <wps:style>
                        <a:lnRef idx="2">
                          <a:schemeClr val="dk1"/>
                        </a:lnRef>
                        <a:fillRef idx="1">
                          <a:schemeClr val="lt1"/>
                        </a:fillRef>
                        <a:effectRef idx="0">
                          <a:schemeClr val="dk1"/>
                        </a:effectRef>
                        <a:fontRef idx="minor">
                          <a:schemeClr val="dk1"/>
                        </a:fontRef>
                      </wps:style>
                      <wps:txbx>
                        <w:txbxContent>
                          <w:p>
                            <w:pPr>
                              <w:spacing w:lineRule="auto" w:line="216" w:after="0" w:beforeAutospacing="0" w:afterAutospacing="0"/>
                              <w:rPr>
                                <w:rFonts w:ascii="Times New Roman" w:hAnsi="Times New Roman" w:cs="Times New Roman"/>
                                <w:sz w:val="18"/>
                                <w:szCs w:val="18"/>
                              </w:rPr>
                            </w:pPr>
                            <w:r>
                              <w:rPr>
                                <w:rFonts w:ascii="Times New Roman" w:hAnsi="Times New Roman" w:cs="Times New Roman"/>
                                <w:sz w:val="18"/>
                                <w:szCs w:val="18"/>
                              </w:rPr>
                              <w:t>Функции платформы:</w:t>
                            </w:r>
                          </w:p>
                          <w:p>
                            <w:pPr>
                              <w:spacing w:lineRule="auto" w:line="216" w:after="0" w:beforeAutospacing="0" w:afterAutospacing="0"/>
                              <w:rPr>
                                <w:rFonts w:ascii="Times New Roman" w:hAnsi="Times New Roman" w:cs="Times New Roman"/>
                                <w:sz w:val="18"/>
                                <w:szCs w:val="18"/>
                              </w:rPr>
                            </w:pPr>
                            <w:r>
                              <w:rPr>
                                <w:rFonts w:ascii="Times New Roman" w:hAnsi="Times New Roman" w:cs="Times New Roman"/>
                                <w:sz w:val="18"/>
                                <w:szCs w:val="18"/>
                              </w:rPr>
                              <w:t>• координация информационных потоков</w:t>
                            </w:r>
                          </w:p>
                          <w:p>
                            <w:pPr>
                              <w:spacing w:lineRule="auto" w:line="216" w:after="0" w:beforeAutospacing="0" w:afterAutospacing="0"/>
                              <w:rPr>
                                <w:rFonts w:ascii="Times New Roman" w:hAnsi="Times New Roman" w:cs="Times New Roman"/>
                                <w:sz w:val="18"/>
                                <w:szCs w:val="18"/>
                              </w:rPr>
                            </w:pPr>
                            <w:r>
                              <w:rPr>
                                <w:rFonts w:ascii="Times New Roman" w:hAnsi="Times New Roman" w:cs="Times New Roman"/>
                                <w:sz w:val="18"/>
                                <w:szCs w:val="18"/>
                              </w:rPr>
                              <w:t>• организация торговых операций</w:t>
                            </w:r>
                          </w:p>
                          <w:p>
                            <w:pPr>
                              <w:spacing w:lineRule="auto" w:line="216" w:after="0" w:beforeAutospacing="0" w:afterAutospacing="0"/>
                              <w:rPr>
                                <w:rFonts w:ascii="Times New Roman" w:hAnsi="Times New Roman" w:cs="Times New Roman"/>
                                <w:sz w:val="18"/>
                                <w:szCs w:val="18"/>
                              </w:rPr>
                            </w:pPr>
                            <w:r>
                              <w:rPr>
                                <w:rFonts w:ascii="Times New Roman" w:hAnsi="Times New Roman" w:cs="Times New Roman"/>
                                <w:sz w:val="18"/>
                                <w:szCs w:val="18"/>
                              </w:rPr>
                              <w:t>• управление логистическими цепочками</w:t>
                            </w:r>
                          </w:p>
                          <w:p>
                            <w:pPr>
                              <w:spacing w:lineRule="auto" w:line="216" w:after="0" w:beforeAutospacing="0" w:afterAutospacing="0"/>
                              <w:rPr>
                                <w:rFonts w:ascii="Times New Roman" w:hAnsi="Times New Roman" w:cs="Times New Roman"/>
                                <w:sz w:val="18"/>
                                <w:szCs w:val="18"/>
                              </w:rPr>
                            </w:pPr>
                            <w:r>
                              <w:rPr>
                                <w:rFonts w:ascii="Times New Roman" w:hAnsi="Times New Roman" w:cs="Times New Roman"/>
                                <w:sz w:val="18"/>
                                <w:szCs w:val="18"/>
                              </w:rPr>
                              <w:t>• проведение финансовых транзакций</w:t>
                            </w:r>
                          </w:p>
                          <w:p>
                            <w:pPr>
                              <w:spacing w:lineRule="auto" w:line="216" w:after="0" w:beforeAutospacing="0" w:afterAutospacing="0"/>
                              <w:rPr>
                                <w:rFonts w:ascii="Times New Roman" w:hAnsi="Times New Roman" w:cs="Times New Roman"/>
                                <w:sz w:val="18"/>
                                <w:szCs w:val="18"/>
                              </w:rPr>
                            </w:pPr>
                            <w:r>
                              <w:rPr>
                                <w:rFonts w:ascii="Times New Roman" w:hAnsi="Times New Roman" w:cs="Times New Roman"/>
                                <w:sz w:val="18"/>
                                <w:szCs w:val="18"/>
                              </w:rPr>
                              <w:t>• доступ к цифровым сервисам и государственным услугам</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xmlns:o="urn:schemas-microsoft-com:office:office" id="Прямоугольник 841381643" o:spid="_x0000_s1278" style="position:absolute;width:246pt;height:63.75pt;z-index:164;mso-wrap-distance-left:9pt;mso-wrap-distance-top:0pt;mso-wrap-distance-right:9pt;mso-wrap-distance-bottom:0pt;margin-left:49.85pt;margin-top:12.35pt;mso-position-horizontal:absolute;mso-position-horizontal-relative:text;mso-position-vertical:absolute;mso-position-vertical-relative:text;v-text-anchor:middle" o:allowincell="t" filled="f" strokecolor="#4472C4" strokeweight="1pt" stroked="t">
                <v:textbox inset="3mm,1mm,3mm,1mm">
                  <w:txbxContent>
                    <w:p>
                      <w:pPr>
                        <w:spacing w:lineRule="auto" w:line="216" w:after="0" w:beforeAutospacing="0" w:afterAutospacing="0"/>
                        <w:rPr>
                          <w:rFonts w:ascii="Times New Roman" w:hAnsi="Times New Roman" w:cs="Times New Roman"/>
                          <w:sz w:val="18"/>
                          <w:szCs w:val="18"/>
                        </w:rPr>
                      </w:pPr>
                      <w:r>
                        <w:rPr>
                          <w:rFonts w:ascii="Times New Roman" w:hAnsi="Times New Roman" w:cs="Times New Roman"/>
                          <w:sz w:val="18"/>
                          <w:szCs w:val="18"/>
                        </w:rPr>
                        <w:t>Функции платформы:</w:t>
                      </w:r>
                    </w:p>
                    <w:p>
                      <w:pPr>
                        <w:spacing w:lineRule="auto" w:line="216" w:after="0" w:beforeAutospacing="0" w:afterAutospacing="0"/>
                        <w:rPr>
                          <w:rFonts w:ascii="Times New Roman" w:hAnsi="Times New Roman" w:cs="Times New Roman"/>
                          <w:sz w:val="18"/>
                          <w:szCs w:val="18"/>
                        </w:rPr>
                      </w:pPr>
                      <w:r>
                        <w:rPr>
                          <w:rFonts w:ascii="Times New Roman" w:hAnsi="Times New Roman" w:cs="Times New Roman"/>
                          <w:sz w:val="18"/>
                          <w:szCs w:val="18"/>
                        </w:rPr>
                        <w:t>• координация информационных потоков</w:t>
                      </w:r>
                    </w:p>
                    <w:p>
                      <w:pPr>
                        <w:spacing w:lineRule="auto" w:line="216" w:after="0" w:beforeAutospacing="0" w:afterAutospacing="0"/>
                        <w:rPr>
                          <w:rFonts w:ascii="Times New Roman" w:hAnsi="Times New Roman" w:cs="Times New Roman"/>
                          <w:sz w:val="18"/>
                          <w:szCs w:val="18"/>
                        </w:rPr>
                      </w:pPr>
                      <w:r>
                        <w:rPr>
                          <w:rFonts w:ascii="Times New Roman" w:hAnsi="Times New Roman" w:cs="Times New Roman"/>
                          <w:sz w:val="18"/>
                          <w:szCs w:val="18"/>
                        </w:rPr>
                        <w:t>• организация торговых операций</w:t>
                      </w:r>
                    </w:p>
                    <w:p>
                      <w:pPr>
                        <w:spacing w:lineRule="auto" w:line="216" w:after="0" w:beforeAutospacing="0" w:afterAutospacing="0"/>
                        <w:rPr>
                          <w:rFonts w:ascii="Times New Roman" w:hAnsi="Times New Roman" w:cs="Times New Roman"/>
                          <w:sz w:val="18"/>
                          <w:szCs w:val="18"/>
                        </w:rPr>
                      </w:pPr>
                      <w:r>
                        <w:rPr>
                          <w:rFonts w:ascii="Times New Roman" w:hAnsi="Times New Roman" w:cs="Times New Roman"/>
                          <w:sz w:val="18"/>
                          <w:szCs w:val="18"/>
                        </w:rPr>
                        <w:t>• управление логистическими цепочками</w:t>
                      </w:r>
                    </w:p>
                    <w:p>
                      <w:pPr>
                        <w:spacing w:lineRule="auto" w:line="216" w:after="0" w:beforeAutospacing="0" w:afterAutospacing="0"/>
                        <w:rPr>
                          <w:rFonts w:ascii="Times New Roman" w:hAnsi="Times New Roman" w:cs="Times New Roman"/>
                          <w:sz w:val="18"/>
                          <w:szCs w:val="18"/>
                        </w:rPr>
                      </w:pPr>
                      <w:r>
                        <w:rPr>
                          <w:rFonts w:ascii="Times New Roman" w:hAnsi="Times New Roman" w:cs="Times New Roman"/>
                          <w:sz w:val="18"/>
                          <w:szCs w:val="18"/>
                        </w:rPr>
                        <w:t>• проведение финансовых транзакций</w:t>
                      </w:r>
                    </w:p>
                    <w:p>
                      <w:pPr>
                        <w:spacing w:lineRule="auto" w:line="216" w:after="0" w:beforeAutospacing="0" w:afterAutospacing="0"/>
                        <w:rPr>
                          <w:rFonts w:ascii="Times New Roman" w:hAnsi="Times New Roman" w:cs="Times New Roman"/>
                          <w:sz w:val="18"/>
                          <w:szCs w:val="18"/>
                        </w:rPr>
                      </w:pPr>
                      <w:r>
                        <w:rPr>
                          <w:rFonts w:ascii="Times New Roman" w:hAnsi="Times New Roman" w:cs="Times New Roman"/>
                          <w:sz w:val="18"/>
                          <w:szCs w:val="18"/>
                        </w:rPr>
                        <w:t>• доступ к цифровым сервисам и государственным услугам</w:t>
                      </w:r>
                    </w:p>
                  </w:txbxContent>
                </v:textbox>
              </v:rect>
            </w:pict>
          </mc:Fallback>
        </mc:AlternateContent>
      </w:r>
    </w:p>
    <w:p>
      <w:pPr>
        <w:pStyle w:val="P13"/>
        <w:jc w:val="both"/>
        <w:rPr>
          <w:sz w:val="24"/>
          <w:szCs w:val="24"/>
          <w:lang w:val="ru-RU"/>
        </w:rPr>
      </w:pPr>
    </w:p>
    <w:p>
      <w:pPr>
        <w:pStyle w:val="P13"/>
        <w:jc w:val="both"/>
        <w:rPr>
          <w:sz w:val="24"/>
          <w:szCs w:val="24"/>
          <w:lang w:val="ru-RU"/>
        </w:rPr>
      </w:pPr>
    </w:p>
    <w:p>
      <w:pPr>
        <w:pStyle w:val="P13"/>
        <w:jc w:val="both"/>
        <w:rPr>
          <w:sz w:val="24"/>
          <w:szCs w:val="24"/>
          <w:lang w:val="ru-RU"/>
        </w:rPr>
      </w:pPr>
    </w:p>
    <w:p>
      <w:pPr>
        <w:pStyle w:val="P13"/>
        <w:jc w:val="both"/>
        <w:rPr>
          <w:sz w:val="24"/>
          <w:szCs w:val="24"/>
          <w:lang w:val="ru-RU"/>
        </w:rPr>
      </w:pPr>
    </w:p>
    <w:p>
      <w:pPr>
        <w:pStyle w:val="P13"/>
        <w:jc w:val="both"/>
        <w:rPr>
          <w:sz w:val="24"/>
          <w:szCs w:val="24"/>
          <w:lang w:val="ru-RU"/>
        </w:rPr>
      </w:pPr>
    </w:p>
    <w:p>
      <w:pPr>
        <w:pStyle w:val="P13"/>
        <w:jc w:val="both"/>
        <w:rPr>
          <w:sz w:val="24"/>
          <w:szCs w:val="24"/>
          <w:lang w:val="ru-RU"/>
        </w:rPr>
      </w:pPr>
    </w:p>
    <w:p>
      <w:pPr>
        <w:pStyle w:val="P13"/>
        <w:jc w:val="both"/>
        <w:rPr>
          <w:sz w:val="24"/>
          <w:szCs w:val="24"/>
          <w:lang w:val="ru-RU"/>
        </w:rPr>
      </w:pPr>
      <w:r>
        <w:rPr>
          <w:noProof w:val="1"/>
          <w:sz w:val="24"/>
          <w:szCs w:val="24"/>
          <w:lang w:val="ru-RU" w:eastAsia="ru-RU"/>
        </w:rPr>
        <mc:AlternateContent>
          <mc:Choice Requires="wps">
            <w:drawing>
              <wp:anchor xmlns:wp="http://schemas.openxmlformats.org/drawingml/2006/wordprocessingDrawing" distT="0" distB="0" distL="114300" distR="114300" simplePos="0" relativeHeight="169" behindDoc="0" locked="0" layoutInCell="1" allowOverlap="1">
                <wp:simplePos x="0" y="0"/>
                <wp:positionH relativeFrom="column">
                  <wp:posOffset>1023620</wp:posOffset>
                </wp:positionH>
                <wp:positionV relativeFrom="paragraph">
                  <wp:posOffset>90805</wp:posOffset>
                </wp:positionV>
                <wp:extent cx="4705350" cy="304800"/>
                <wp:effectExtent l="0" t="0" r="19050" b="19050"/>
                <wp:wrapNone/>
                <wp:docPr id="841381649" name="Прямоугольник 841381649"/>
                <wp:cNvGraphicFramePr/>
                <a:graphic xmlns:a="http://schemas.openxmlformats.org/drawingml/2006/main">
                  <a:graphicData uri="http://schemas.microsoft.com/office/word/2010/wordprocessingShape">
                    <wps:wsp>
                      <wps:cNvSpPr/>
                      <wps:spPr>
                        <a:xfrm>
                          <a:off x="0" y="0"/>
                          <a:ext cx="4705350" cy="304800"/>
                        </a:xfrm>
                        <a:prstGeom prst="rect"/>
                        <a:noFill/>
                        <a:ln>
                          <a:solidFill>
                            <a:schemeClr val="accent1"/>
                          </a:solidFill>
                        </a:ln>
                      </wps:spPr>
                      <wps:style>
                        <a:lnRef idx="2">
                          <a:schemeClr val="dk1"/>
                        </a:lnRef>
                        <a:fillRef idx="1">
                          <a:schemeClr val="lt1"/>
                        </a:fillRef>
                        <a:effectRef idx="0">
                          <a:schemeClr val="dk1"/>
                        </a:effectRef>
                        <a:fontRef idx="minor">
                          <a:schemeClr val="dk1"/>
                        </a:fontRef>
                      </wps:style>
                      <wps:txbx>
                        <w:txbxContent>
                          <w:p>
                            <w:pPr>
                              <w:spacing w:lineRule="auto" w:line="216" w:after="0" w:beforeAutospacing="0" w:afterAutospacing="0"/>
                              <w:jc w:val="center"/>
                              <w:rPr>
                                <w:rFonts w:ascii="Times New Roman" w:hAnsi="Times New Roman" w:cs="Times New Roman"/>
                                <w:sz w:val="24"/>
                                <w:szCs w:val="24"/>
                              </w:rPr>
                            </w:pPr>
                            <w:r>
                              <w:rPr>
                                <w:rFonts w:ascii="Times New Roman" w:hAnsi="Times New Roman" w:cs="Times New Roman"/>
                                <w:sz w:val="24"/>
                                <w:szCs w:val="24"/>
                              </w:rPr>
                              <w:t>ИННОВАЦИОННО-ИНКЛЮЗИВНАЯ ТРАНСФОРМАЦИЯ</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xmlns:o="urn:schemas-microsoft-com:office:office" id="Прямоугольник 841381649" o:spid="_x0000_s1279" style="position:absolute;width:370.5pt;height:24pt;z-index:169;mso-wrap-distance-left:9pt;mso-wrap-distance-top:0pt;mso-wrap-distance-right:9pt;mso-wrap-distance-bottom:0pt;margin-left:80.6pt;margin-top:7.15pt;mso-position-horizontal:absolute;mso-position-horizontal-relative:text;mso-position-vertical:absolute;mso-position-vertical-relative:text;v-text-anchor:middle" o:allowincell="t" filled="f" strokecolor="#4472C4" strokeweight="1pt" stroked="t">
                <v:textbox inset="3mm,1mm,3mm,1mm">
                  <w:txbxContent>
                    <w:p>
                      <w:pPr>
                        <w:spacing w:lineRule="auto" w:line="216" w:after="0" w:beforeAutospacing="0" w:afterAutospacing="0"/>
                        <w:jc w:val="center"/>
                        <w:rPr>
                          <w:rFonts w:ascii="Times New Roman" w:hAnsi="Times New Roman" w:cs="Times New Roman"/>
                          <w:sz w:val="24"/>
                          <w:szCs w:val="24"/>
                        </w:rPr>
                      </w:pPr>
                      <w:r>
                        <w:rPr>
                          <w:rFonts w:ascii="Times New Roman" w:hAnsi="Times New Roman" w:cs="Times New Roman"/>
                          <w:sz w:val="24"/>
                          <w:szCs w:val="24"/>
                        </w:rPr>
                        <w:t>ИННОВАЦИОННО-ИНКЛЮЗИВНАЯ ТРАНСФОРМАЦИЯ</w:t>
                      </w:r>
                    </w:p>
                  </w:txbxContent>
                </v:textbox>
              </v:rect>
            </w:pict>
          </mc:Fallback>
        </mc:AlternateContent>
      </w:r>
    </w:p>
    <w:p>
      <w:pPr>
        <w:pStyle w:val="P13"/>
        <w:jc w:val="both"/>
        <w:rPr>
          <w:sz w:val="24"/>
          <w:szCs w:val="24"/>
          <w:lang w:val="ru-RU"/>
        </w:rPr>
      </w:pPr>
    </w:p>
    <w:p>
      <w:pPr>
        <w:pStyle w:val="P13"/>
        <w:jc w:val="both"/>
        <w:rPr>
          <w:sz w:val="24"/>
          <w:szCs w:val="24"/>
          <w:lang w:val="ru-RU"/>
        </w:rPr>
      </w:pPr>
    </w:p>
    <w:p>
      <w:pPr>
        <w:pStyle w:val="P13"/>
        <w:ind w:firstLine="709"/>
        <w:jc w:val="center"/>
        <w:rPr>
          <w:sz w:val="28"/>
          <w:szCs w:val="28"/>
          <w:lang w:val="ru-RU"/>
        </w:rPr>
      </w:pPr>
      <w:r>
        <w:rPr>
          <w:sz w:val="28"/>
          <w:szCs w:val="28"/>
          <w:lang w:val="ru-RU"/>
        </w:rPr>
        <w:t xml:space="preserve">Рисунок </w:t>
      </w:r>
      <w:r>
        <w:rPr>
          <w:sz w:val="28"/>
          <w:szCs w:val="28"/>
          <w:highlight w:val="yellow"/>
          <w:lang w:val="ru-RU"/>
        </w:rPr>
        <w:t>??</w:t>
      </w:r>
      <w:r>
        <w:rPr>
          <w:sz w:val="28"/>
          <w:szCs w:val="28"/>
          <w:lang w:val="ru-RU"/>
        </w:rPr>
        <w:t xml:space="preserve"> – Модель платформенного механизма инновационно-инклюзивной трансформации экономики страны (составлено автором)</w:t>
      </w:r>
    </w:p>
    <w:p>
      <w:pPr>
        <w:pStyle w:val="P13"/>
        <w:spacing w:lineRule="auto" w:line="360" w:beforeAutospacing="0" w:afterAutospacing="0"/>
        <w:ind w:firstLine="709"/>
        <w:jc w:val="center"/>
        <w:rPr>
          <w:b w:val="1"/>
          <w:bCs w:val="1"/>
          <w:sz w:val="28"/>
          <w:szCs w:val="28"/>
          <w:lang w:val="ru-RU"/>
        </w:rPr>
      </w:pPr>
    </w:p>
    <w:p>
      <w:pPr>
        <w:pStyle w:val="P13"/>
        <w:spacing w:lineRule="auto" w:line="360" w:beforeAutospacing="0" w:afterAutospacing="0"/>
        <w:ind w:firstLine="709" w:right="-1"/>
        <w:jc w:val="both"/>
        <w:rPr>
          <w:sz w:val="28"/>
          <w:szCs w:val="28"/>
          <w:lang w:val="ru-RU"/>
        </w:rPr>
      </w:pPr>
      <w:r>
        <w:rPr>
          <w:sz w:val="28"/>
          <w:szCs w:val="28"/>
          <w:lang w:val="ru-RU"/>
        </w:rPr>
        <w:t>Таким образом, предложенная концептуальная модель платформенного механизма инновационно-инклюзивного развития рассматривает цифровую платформу не только как технологическую инфраструктуру, но и как институциональный инструмент структурной трансформации экономики, обеспечивающий интеграцию производственных, финансовых и информационных потоков. Реализация данной модели способна создать условия для ускоренного распространения инноваций, расширения предпринимательской активности и повышения устойчивости социально-экономического развития Республики Кот-д’Ивуар.</w:t>
      </w:r>
    </w:p>
    <w:p>
      <w:pPr>
        <w:pStyle w:val="P13"/>
        <w:spacing w:lineRule="auto" w:line="360" w:beforeAutospacing="0" w:afterAutospacing="0"/>
        <w:ind w:firstLine="709" w:right="-1"/>
        <w:jc w:val="both"/>
        <w:rPr>
          <w:sz w:val="28"/>
          <w:szCs w:val="28"/>
          <w:lang w:val="ru-RU"/>
        </w:rPr>
      </w:pPr>
      <w:r>
        <w:rPr>
          <w:sz w:val="28"/>
          <w:szCs w:val="28"/>
          <w:lang w:val="ru-RU"/>
        </w:rPr>
        <w:t xml:space="preserve">В целях раскрытия предлагаемого платформенного механизма инновационно-инклюзивного развития разработаем его архитектуру и институциональную структуру, а также сформируем эмпирическую модель цифровой платформы, ориентированную на интеграцию ключевых отраслей экономики и расширение участия национальных предприятий в глобальных цепочках создания стоимости. </w:t>
      </w:r>
    </w:p>
    <w:p>
      <w:pPr>
        <w:spacing w:lineRule="auto" w:line="360" w:after="0" w:beforeAutospacing="0" w:afterAutospacing="0"/>
        <w:ind w:firstLine="709"/>
        <w:jc w:val="center"/>
        <w:rPr>
          <w:rFonts w:ascii="Times New Roman" w:hAnsi="Times New Roman" w:cs="Times New Roman"/>
          <w:b w:val="1"/>
          <w:bCs w:val="1"/>
          <w:sz w:val="28"/>
          <w:szCs w:val="28"/>
        </w:rPr>
      </w:pPr>
    </w:p>
    <w:p>
      <w:pPr>
        <w:spacing w:lineRule="auto" w:line="360" w:after="0" w:beforeAutospacing="0" w:afterAutospacing="0"/>
        <w:ind w:firstLine="709"/>
        <w:jc w:val="center"/>
        <w:rPr>
          <w:rFonts w:ascii="Times New Roman" w:hAnsi="Times New Roman" w:cs="Times New Roman"/>
          <w:b w:val="1"/>
          <w:bCs w:val="1"/>
          <w:sz w:val="28"/>
          <w:szCs w:val="28"/>
        </w:rPr>
      </w:pPr>
    </w:p>
    <w:p>
      <w:pPr>
        <w:spacing w:lineRule="auto" w:line="360" w:after="0" w:beforeAutospacing="0" w:afterAutospacing="0"/>
        <w:ind w:firstLine="709"/>
        <w:jc w:val="center"/>
        <w:rPr>
          <w:rFonts w:ascii="Times New Roman" w:hAnsi="Times New Roman" w:cs="Times New Roman"/>
          <w:b w:val="1"/>
          <w:bCs w:val="1"/>
          <w:sz w:val="28"/>
          <w:szCs w:val="28"/>
        </w:rPr>
      </w:pPr>
    </w:p>
    <w:p>
      <w:pPr>
        <w:spacing w:lineRule="auto" w:line="360" w:after="0" w:beforeAutospacing="0" w:afterAutospacing="0"/>
        <w:ind w:firstLine="709"/>
        <w:jc w:val="both"/>
        <w:rPr>
          <w:rFonts w:ascii="Times New Roman" w:hAnsi="Times New Roman" w:cs="Times New Roman"/>
          <w:b w:val="1"/>
          <w:bCs w:val="1"/>
          <w:sz w:val="28"/>
          <w:szCs w:val="28"/>
        </w:rPr>
      </w:pPr>
      <w:r>
        <w:rPr>
          <w:rFonts w:ascii="Times New Roman" w:hAnsi="Times New Roman" w:cs="Times New Roman"/>
          <w:b w:val="1"/>
          <w:bCs w:val="1"/>
          <w:sz w:val="28"/>
          <w:szCs w:val="28"/>
        </w:rPr>
        <w:t xml:space="preserve">3.2 </w:t>
      </w:r>
      <w:r>
        <w:rPr>
          <w:rFonts w:ascii="Times New Roman Полужирный" w:hAnsi="Times New Roman Полужирный" w:cs="Times New Roman"/>
          <w:b w:val="1"/>
          <w:bCs w:val="1"/>
          <w:sz w:val="28"/>
          <w:szCs w:val="28"/>
        </w:rPr>
        <w:t>Разработка инновационного проекта цифровой платформы развития национальной инновационной системы Республики Кот-д’Ивуар</w:t>
      </w:r>
    </w:p>
    <w:p>
      <w:pPr>
        <w:spacing w:lineRule="auto" w:line="360" w:after="0" w:beforeAutospacing="0" w:afterAutospacing="0"/>
        <w:ind w:firstLine="709"/>
        <w:jc w:val="both"/>
        <w:rPr>
          <w:rFonts w:ascii="Times New Roman" w:hAnsi="Times New Roman" w:cs="Times New Roman"/>
          <w:b w:val="1"/>
          <w:bCs w:val="1"/>
          <w:sz w:val="28"/>
          <w:szCs w:val="28"/>
        </w:rPr>
      </w:pPr>
    </w:p>
    <w:p>
      <w:pPr>
        <w:spacing w:lineRule="auto" w:line="360" w:after="0" w:beforeAutospacing="0" w:afterAutospacing="0"/>
        <w:ind w:firstLine="709"/>
        <w:jc w:val="both"/>
        <w:rPr>
          <w:rFonts w:ascii="Times New Roman" w:hAnsi="Times New Roman" w:cs="Times New Roman"/>
          <w:b w:val="1"/>
          <w:bCs w:val="1"/>
          <w:sz w:val="28"/>
          <w:szCs w:val="28"/>
        </w:rPr>
      </w:pPr>
    </w:p>
    <w:p>
      <w:pPr>
        <w:spacing w:lineRule="auto" w:line="360" w:after="0" w:beforeAutospacing="0" w:afterAutospacing="0"/>
        <w:ind w:firstLine="709"/>
        <w:jc w:val="both"/>
        <w:rPr>
          <w:rFonts w:ascii="Times New Roman" w:hAnsi="Times New Roman" w:cs="Times New Roman"/>
          <w:b w:val="1"/>
          <w:bCs w:val="1"/>
          <w:sz w:val="28"/>
          <w:szCs w:val="28"/>
        </w:rPr>
      </w:pPr>
    </w:p>
    <w:p>
      <w:pPr>
        <w:spacing w:lineRule="auto" w:line="360" w:after="0" w:beforeAutospacing="0" w:afterAutospacing="0"/>
        <w:ind w:firstLine="709"/>
        <w:jc w:val="both"/>
        <w:rPr>
          <w:rFonts w:ascii="Times New Roman" w:hAnsi="Times New Roman" w:cs="Times New Roman"/>
          <w:bCs w:val="1"/>
          <w:sz w:val="28"/>
          <w:szCs w:val="28"/>
        </w:rPr>
      </w:pPr>
      <w:r>
        <w:rPr>
          <w:rFonts w:ascii="Times New Roman" w:hAnsi="Times New Roman" w:cs="Times New Roman"/>
          <w:bCs w:val="1"/>
          <w:sz w:val="28"/>
          <w:szCs w:val="28"/>
        </w:rPr>
        <w:t>В условиях сохраняющейся сырьевой специализации экономики Республики Кот-д’Ивуар и ограниченной глубины переработки экспортируемой продукции особую актуальность приобретает формирование комплексных проектов структурной модернизации национальной экономики. Как было показано в предыдущих разделах нашего исследования, существующая модель экономического роста страны характеризуется высокой зависимостью от экспорта сельскохозяйственного сырья, прежде всего, какао-бобов, и ограниченным участием национальных предприятий в глобальных цепочках создания стоимости. Такая структура экономики сдерживает формирование устойчивых траекторий инновационно-инклюзивного развития и препятствует переходу страны к модели индустриально ориентированного роста.</w:t>
      </w:r>
    </w:p>
    <w:p>
      <w:pPr>
        <w:spacing w:lineRule="auto" w:line="360" w:after="0" w:beforeAutospacing="0" w:afterAutospacing="0"/>
        <w:ind w:firstLine="709"/>
        <w:jc w:val="both"/>
        <w:rPr>
          <w:rFonts w:ascii="Times New Roman" w:hAnsi="Times New Roman" w:cs="Times New Roman"/>
          <w:bCs w:val="1"/>
          <w:sz w:val="28"/>
          <w:szCs w:val="28"/>
        </w:rPr>
      </w:pPr>
      <w:r>
        <w:rPr>
          <w:rFonts w:ascii="Times New Roman" w:hAnsi="Times New Roman" w:cs="Times New Roman"/>
          <w:bCs w:val="1"/>
          <w:sz w:val="28"/>
          <w:szCs w:val="28"/>
        </w:rPr>
        <w:t>В этой связи нами предлагается инновационный проект под названием «Берег Восхода» как один из возможных инструментов структурной трансформации национальной экономики. Данный проект представляет собой комплексную платформенно-кластерную модель развития прибрежной зоны Республики Кот-д’Ивуар как локомотива инновационно-инклюзивного развития страны, ориентированную на интеграцию производственных, логистических, финансовых и инновационных процессов в единую цифровую экосистему.</w:t>
      </w:r>
    </w:p>
    <w:p>
      <w:pPr>
        <w:spacing w:lineRule="auto" w:line="360" w:after="0" w:beforeAutospacing="0" w:afterAutospacing="0"/>
        <w:ind w:firstLine="709"/>
        <w:jc w:val="both"/>
        <w:rPr>
          <w:rFonts w:ascii="Times New Roman" w:hAnsi="Times New Roman" w:cs="Times New Roman"/>
          <w:bCs w:val="1"/>
          <w:sz w:val="28"/>
          <w:szCs w:val="28"/>
        </w:rPr>
      </w:pPr>
      <w:r>
        <w:rPr>
          <w:rFonts w:ascii="Times New Roman" w:hAnsi="Times New Roman" w:cs="Times New Roman"/>
          <w:bCs w:val="1"/>
          <w:sz w:val="28"/>
          <w:szCs w:val="28"/>
        </w:rPr>
        <w:t>Стратегическое значение проекта определяется несколькими факторами. Во-первых, прибрежная зона страны обладает наиболее развитой инфраструктурой и наибольшей концентрацией экономической активности. Здесь расположены крупнейшие порты Западной Африки – Абиджан и Сан-Педро, обеспечивающие значительную часть внешнеторговых операций страны. Во-вторых, именно в прибрежных регионах сосредоточены ключевые элементы транспортной, энергетической и цифровой инфраструктуры, включая оптоволоконные магистрали, международные кабельные линии связи, крупные логистические терминалы и индустриальные зоны. В-третьих, прибрежная агломерация характеризуется высокой концентрацией человеческого капитала, предпринимательской активности и финансовых институтов, что делает ее наиболее благоприятной территорией для реализации проектов цифровой трансформации экономики.</w:t>
      </w:r>
    </w:p>
    <w:p>
      <w:pPr>
        <w:spacing w:lineRule="auto" w:line="360" w:after="0" w:beforeAutospacing="0" w:afterAutospacing="0"/>
        <w:ind w:firstLine="709"/>
        <w:jc w:val="both"/>
        <w:rPr>
          <w:rFonts w:ascii="Times New Roman" w:hAnsi="Times New Roman" w:cs="Times New Roman"/>
          <w:bCs w:val="1"/>
          <w:sz w:val="28"/>
          <w:szCs w:val="28"/>
        </w:rPr>
      </w:pPr>
      <w:r>
        <w:rPr>
          <w:rFonts w:ascii="Times New Roman" w:hAnsi="Times New Roman" w:cs="Times New Roman"/>
          <w:bCs w:val="1"/>
          <w:sz w:val="28"/>
          <w:szCs w:val="28"/>
        </w:rPr>
        <w:t>Выбор прибрежной зоны в качестве пространственной базы проекта обусловлен также ее ролью в международных торговых потоках. Через порты Абиджана и Сан-Педро проходит значительная часть экспорта сельскохозяйственной продукции не только Кот-д’Ивуара, но и ряда соседних стран Западной Африки. Это создает предпосылки для формирования регионального логистического и промышленного хаба, способного интегрировать национальную экономику в континентальные и глобальные цепочки создания стоимости.</w:t>
      </w:r>
    </w:p>
    <w:p>
      <w:pPr>
        <w:spacing w:lineRule="auto" w:line="360" w:after="0" w:beforeAutospacing="0" w:afterAutospacing="0"/>
        <w:ind w:firstLine="709"/>
        <w:jc w:val="both"/>
        <w:rPr>
          <w:rFonts w:ascii="Times New Roman" w:hAnsi="Times New Roman" w:cs="Times New Roman"/>
          <w:bCs w:val="1"/>
          <w:sz w:val="28"/>
          <w:szCs w:val="28"/>
        </w:rPr>
      </w:pPr>
      <w:r>
        <w:rPr>
          <w:rFonts w:ascii="Times New Roman" w:hAnsi="Times New Roman" w:cs="Times New Roman"/>
          <w:bCs w:val="1"/>
          <w:sz w:val="28"/>
          <w:szCs w:val="28"/>
        </w:rPr>
        <w:t>Концепция инновационного проекта «Берег Восхода» опирается на синтез нескольких стратегических документов развития Республики Кот-д’Ивуар, включая национальную доктрину «Emergence»</w:t>
      </w:r>
      <w:r>
        <w:rPr>
          <w:rFonts w:ascii="Times New Roman" w:hAnsi="Times New Roman" w:cs="Times New Roman"/>
          <w:bCs w:val="1"/>
          <w:color w:val="00B0F0"/>
          <w:sz w:val="28"/>
          <w:szCs w:val="28"/>
          <w:highlight w:val="yellow"/>
        </w:rPr>
        <w:t xml:space="preserve"> +ссылка</w:t>
      </w:r>
      <w:r>
        <w:rPr>
          <w:rFonts w:ascii="Times New Roman" w:hAnsi="Times New Roman" w:cs="Times New Roman"/>
          <w:bCs w:val="1"/>
          <w:sz w:val="28"/>
          <w:szCs w:val="28"/>
        </w:rPr>
        <w:t xml:space="preserve">, долгосрочную стратегию «Côte d’Ivoire 2040»  </w:t>
      </w:r>
      <w:r>
        <w:rPr>
          <w:rFonts w:ascii="Times New Roman" w:hAnsi="Times New Roman" w:cs="Times New Roman"/>
          <w:bCs w:val="1"/>
          <w:color w:val="00B0F0"/>
          <w:sz w:val="28"/>
          <w:szCs w:val="28"/>
          <w:highlight w:val="yellow"/>
        </w:rPr>
        <w:t>+ссылка</w:t>
      </w:r>
      <w:r>
        <w:rPr>
          <w:rFonts w:ascii="Times New Roman" w:hAnsi="Times New Roman" w:cs="Times New Roman"/>
          <w:bCs w:val="1"/>
          <w:sz w:val="28"/>
          <w:szCs w:val="28"/>
        </w:rPr>
        <w:t>, Национальный план развития 2021–2025 гг.</w:t>
      </w:r>
      <w:r>
        <w:rPr>
          <w:rStyle w:val="C42"/>
          <w:rFonts w:ascii="Times New Roman" w:hAnsi="Times New Roman" w:cs="Times New Roman"/>
          <w:bCs w:val="1"/>
          <w:sz w:val="28"/>
          <w:szCs w:val="28"/>
        </w:rPr>
        <w:footnoteReference w:id="112"/>
      </w:r>
      <w:r>
        <w:rPr>
          <w:rFonts w:ascii="Times New Roman" w:hAnsi="Times New Roman" w:cs="Times New Roman"/>
          <w:bCs w:val="1"/>
          <w:sz w:val="28"/>
          <w:szCs w:val="28"/>
        </w:rPr>
        <w:t>, а также международные рамки устойчивого развития, в частности Цели устойчивого развития ООН (ЦУР 8, 9, 11 и 17) и институциональные возможности Африканской континентальной зоны свободной торговли (AfCFTA), объединяющей 54 государства с совокупным ВВП более 3,4 трлн долл.</w:t>
      </w:r>
    </w:p>
    <w:p>
      <w:pPr>
        <w:spacing w:lineRule="auto" w:line="360" w:after="0" w:beforeAutospacing="0" w:afterAutospacing="0"/>
        <w:ind w:firstLine="709"/>
        <w:jc w:val="both"/>
        <w:rPr>
          <w:rFonts w:ascii="Times New Roman" w:hAnsi="Times New Roman" w:cs="Times New Roman"/>
          <w:bCs w:val="1"/>
          <w:sz w:val="28"/>
          <w:szCs w:val="28"/>
        </w:rPr>
      </w:pPr>
      <w:r>
        <w:rPr>
          <w:rFonts w:ascii="Times New Roman" w:hAnsi="Times New Roman" w:cs="Times New Roman"/>
          <w:bCs w:val="1"/>
          <w:sz w:val="28"/>
          <w:szCs w:val="28"/>
        </w:rPr>
        <w:t>Архитектура инновационного проекта «Берег Восхода» основана на кластерной модели развития, предполагающей одновременную активацию нескольких взаимодополняющих отраслевых направлений. В ходе анализа социально-экономического развития страны нами установлено, ни один отдельный сектор экономики не способен обеспечить устойчивый структурный рост ВВП на 5–7 процентных пунктов. Для достижения подобного эффекта требуется синхронное развитие нескольких взаимосвязанных кластеров, формирующих систему мультипликативных экономических эффектов.</w:t>
      </w:r>
    </w:p>
    <w:p>
      <w:pPr>
        <w:spacing w:lineRule="auto" w:line="360" w:after="0" w:beforeAutospacing="0" w:afterAutospacing="0"/>
        <w:ind w:firstLine="709"/>
        <w:jc w:val="both"/>
        <w:rPr>
          <w:rFonts w:ascii="Times New Roman" w:hAnsi="Times New Roman" w:cs="Times New Roman"/>
          <w:bCs w:val="1"/>
          <w:sz w:val="28"/>
          <w:szCs w:val="28"/>
        </w:rPr>
      </w:pPr>
      <w:r>
        <w:rPr>
          <w:rFonts w:ascii="Times New Roman" w:hAnsi="Times New Roman" w:cs="Times New Roman"/>
          <w:bCs w:val="1"/>
          <w:sz w:val="28"/>
          <w:szCs w:val="28"/>
        </w:rPr>
        <w:t>В рамках инновационного проекта «Берег Восхода» выделено девять ключевых кластеров, формирующих основу будущей платформенной экономики:</w:t>
      </w:r>
    </w:p>
    <w:p>
      <w:pPr>
        <w:spacing w:lineRule="auto" w:line="360" w:after="0" w:beforeAutospacing="0" w:afterAutospacing="0"/>
        <w:ind w:firstLine="709"/>
        <w:jc w:val="both"/>
        <w:rPr>
          <w:rFonts w:ascii="Times New Roman" w:hAnsi="Times New Roman" w:cs="Times New Roman"/>
          <w:bCs w:val="1"/>
          <w:sz w:val="28"/>
          <w:szCs w:val="28"/>
        </w:rPr>
      </w:pPr>
      <w:r>
        <w:rPr>
          <w:rFonts w:ascii="Times New Roman" w:hAnsi="Times New Roman" w:cs="Times New Roman"/>
          <w:bCs w:val="1"/>
          <w:sz w:val="28"/>
          <w:szCs w:val="28"/>
          <w:lang w:val="en-US"/>
        </w:rPr>
        <w:t>I</w:t>
      </w:r>
      <w:r>
        <w:rPr>
          <w:rFonts w:ascii="Times New Roman" w:hAnsi="Times New Roman" w:cs="Times New Roman"/>
          <w:bCs w:val="1"/>
          <w:sz w:val="28"/>
          <w:szCs w:val="28"/>
        </w:rPr>
        <w:t>. Агропромышленный кластер и глубокая переработка сельскохозяйственного сырья, направленные на повышение добавленной стоимости продукции аграрного сектора.</w:t>
      </w:r>
    </w:p>
    <w:p>
      <w:pPr>
        <w:spacing w:lineRule="auto" w:line="360" w:after="0" w:beforeAutospacing="0" w:afterAutospacing="0"/>
        <w:ind w:firstLine="709"/>
        <w:jc w:val="both"/>
        <w:rPr>
          <w:rFonts w:ascii="Times New Roman" w:hAnsi="Times New Roman" w:cs="Times New Roman"/>
          <w:bCs w:val="1"/>
          <w:sz w:val="28"/>
          <w:szCs w:val="28"/>
        </w:rPr>
      </w:pPr>
      <w:r>
        <w:rPr>
          <w:rFonts w:ascii="Times New Roman" w:hAnsi="Times New Roman" w:cs="Times New Roman"/>
          <w:bCs w:val="1"/>
          <w:sz w:val="28"/>
          <w:szCs w:val="28"/>
          <w:lang w:val="en-US"/>
        </w:rPr>
        <w:t>II</w:t>
      </w:r>
      <w:r>
        <w:rPr>
          <w:rFonts w:ascii="Times New Roman" w:hAnsi="Times New Roman" w:cs="Times New Roman"/>
          <w:bCs w:val="1"/>
          <w:sz w:val="28"/>
          <w:szCs w:val="28"/>
        </w:rPr>
        <w:t>. Портово-логистический кластер, обеспечивающий интеграцию национальной экономики в международные торговые и транспортные сети.</w:t>
      </w:r>
    </w:p>
    <w:p>
      <w:pPr>
        <w:spacing w:lineRule="auto" w:line="360" w:after="0" w:beforeAutospacing="0" w:afterAutospacing="0"/>
        <w:ind w:firstLine="709"/>
        <w:jc w:val="both"/>
        <w:rPr>
          <w:rFonts w:ascii="Times New Roman" w:hAnsi="Times New Roman" w:cs="Times New Roman"/>
          <w:bCs w:val="1"/>
          <w:sz w:val="28"/>
          <w:szCs w:val="28"/>
        </w:rPr>
      </w:pPr>
      <w:r>
        <w:rPr>
          <w:rFonts w:ascii="Times New Roman" w:hAnsi="Times New Roman" w:cs="Times New Roman"/>
          <w:bCs w:val="1"/>
          <w:sz w:val="28"/>
          <w:szCs w:val="28"/>
          <w:lang w:val="en-US"/>
        </w:rPr>
        <w:t>III</w:t>
      </w:r>
      <w:r>
        <w:rPr>
          <w:rFonts w:ascii="Times New Roman" w:hAnsi="Times New Roman" w:cs="Times New Roman"/>
          <w:bCs w:val="1"/>
          <w:sz w:val="28"/>
          <w:szCs w:val="28"/>
        </w:rPr>
        <w:t>. Индустриальный кластер и специальные экономические зоны, ориентированные на развитие перерабатывающей промышленности.</w:t>
      </w:r>
    </w:p>
    <w:p>
      <w:pPr>
        <w:spacing w:lineRule="auto" w:line="360" w:after="0" w:beforeAutospacing="0" w:afterAutospacing="0"/>
        <w:ind w:firstLine="709"/>
        <w:jc w:val="both"/>
        <w:rPr>
          <w:rFonts w:ascii="Times New Roman" w:hAnsi="Times New Roman" w:cs="Times New Roman"/>
          <w:bCs w:val="1"/>
          <w:sz w:val="28"/>
          <w:szCs w:val="28"/>
        </w:rPr>
      </w:pPr>
      <w:r>
        <w:rPr>
          <w:rFonts w:ascii="Times New Roman" w:hAnsi="Times New Roman" w:cs="Times New Roman"/>
          <w:bCs w:val="1"/>
          <w:sz w:val="28"/>
          <w:szCs w:val="28"/>
          <w:lang w:val="en-US"/>
        </w:rPr>
        <w:t>IV</w:t>
      </w:r>
      <w:r>
        <w:rPr>
          <w:rFonts w:ascii="Times New Roman" w:hAnsi="Times New Roman" w:cs="Times New Roman"/>
          <w:bCs w:val="1"/>
          <w:sz w:val="28"/>
          <w:szCs w:val="28"/>
        </w:rPr>
        <w:t>. Цифровой кластер, включающий создание и развитие цифровой платформы проекта.</w:t>
      </w:r>
    </w:p>
    <w:p>
      <w:pPr>
        <w:spacing w:lineRule="auto" w:line="360" w:after="0" w:beforeAutospacing="0" w:afterAutospacing="0"/>
        <w:ind w:firstLine="709"/>
        <w:jc w:val="both"/>
        <w:rPr>
          <w:rFonts w:ascii="Times New Roman" w:hAnsi="Times New Roman" w:cs="Times New Roman"/>
          <w:bCs w:val="1"/>
          <w:sz w:val="28"/>
          <w:szCs w:val="28"/>
        </w:rPr>
      </w:pPr>
      <w:r>
        <w:rPr>
          <w:rFonts w:ascii="Times New Roman" w:hAnsi="Times New Roman" w:cs="Times New Roman"/>
          <w:bCs w:val="1"/>
          <w:sz w:val="28"/>
          <w:szCs w:val="28"/>
          <w:lang w:val="en-US"/>
        </w:rPr>
        <w:t>V</w:t>
      </w:r>
      <w:r>
        <w:rPr>
          <w:rFonts w:ascii="Times New Roman" w:hAnsi="Times New Roman" w:cs="Times New Roman"/>
          <w:bCs w:val="1"/>
          <w:sz w:val="28"/>
          <w:szCs w:val="28"/>
        </w:rPr>
        <w:t>. Образовательный и научно-исследовательский кластер, обеспечивающий подготовку кадров и развитие инновационных компетенций.</w:t>
      </w:r>
    </w:p>
    <w:p>
      <w:pPr>
        <w:spacing w:lineRule="auto" w:line="360" w:after="0" w:beforeAutospacing="0" w:afterAutospacing="0"/>
        <w:ind w:firstLine="709"/>
        <w:jc w:val="both"/>
        <w:rPr>
          <w:rFonts w:ascii="Times New Roman" w:hAnsi="Times New Roman" w:cs="Times New Roman"/>
          <w:bCs w:val="1"/>
          <w:sz w:val="28"/>
          <w:szCs w:val="28"/>
        </w:rPr>
      </w:pPr>
      <w:r>
        <w:rPr>
          <w:rFonts w:ascii="Times New Roman" w:hAnsi="Times New Roman" w:cs="Times New Roman"/>
          <w:bCs w:val="1"/>
          <w:sz w:val="28"/>
          <w:szCs w:val="28"/>
          <w:lang w:val="en-US"/>
        </w:rPr>
        <w:t>VI</w:t>
      </w:r>
      <w:r>
        <w:rPr>
          <w:rFonts w:ascii="Times New Roman" w:hAnsi="Times New Roman" w:cs="Times New Roman"/>
          <w:bCs w:val="1"/>
          <w:sz w:val="28"/>
          <w:szCs w:val="28"/>
        </w:rPr>
        <w:t>. Энергетический и ESG-кластер, направленный на устойчивое обеспечение энергетических потребностей экономики.</w:t>
      </w:r>
    </w:p>
    <w:p>
      <w:pPr>
        <w:spacing w:lineRule="auto" w:line="360" w:after="0" w:beforeAutospacing="0" w:afterAutospacing="0"/>
        <w:ind w:firstLine="709"/>
        <w:jc w:val="both"/>
        <w:rPr>
          <w:rFonts w:ascii="Times New Roman" w:hAnsi="Times New Roman" w:cs="Times New Roman"/>
          <w:bCs w:val="1"/>
          <w:sz w:val="28"/>
          <w:szCs w:val="28"/>
        </w:rPr>
      </w:pPr>
      <w:r>
        <w:rPr>
          <w:rFonts w:ascii="Times New Roman" w:hAnsi="Times New Roman" w:cs="Times New Roman"/>
          <w:bCs w:val="1"/>
          <w:sz w:val="28"/>
          <w:szCs w:val="28"/>
          <w:lang w:val="en-US"/>
        </w:rPr>
        <w:t>VII</w:t>
      </w:r>
      <w:r>
        <w:rPr>
          <w:rFonts w:ascii="Times New Roman" w:hAnsi="Times New Roman" w:cs="Times New Roman"/>
          <w:bCs w:val="1"/>
          <w:sz w:val="28"/>
          <w:szCs w:val="28"/>
        </w:rPr>
        <w:t>. Финансово-инвестиционный кластер, формирующий механизмы финансирования инфраструктурных и производственных проектов.</w:t>
      </w:r>
    </w:p>
    <w:p>
      <w:pPr>
        <w:spacing w:lineRule="auto" w:line="360" w:after="0" w:beforeAutospacing="0" w:afterAutospacing="0"/>
        <w:ind w:firstLine="709"/>
        <w:jc w:val="both"/>
        <w:rPr>
          <w:rFonts w:ascii="Times New Roman" w:hAnsi="Times New Roman" w:cs="Times New Roman"/>
          <w:bCs w:val="1"/>
          <w:sz w:val="28"/>
          <w:szCs w:val="28"/>
        </w:rPr>
      </w:pPr>
      <w:r>
        <w:rPr>
          <w:rFonts w:ascii="Times New Roman" w:hAnsi="Times New Roman" w:cs="Times New Roman"/>
          <w:bCs w:val="1"/>
          <w:sz w:val="28"/>
          <w:szCs w:val="28"/>
          <w:lang w:val="en-US"/>
        </w:rPr>
        <w:t>VIII</w:t>
      </w:r>
      <w:r>
        <w:rPr>
          <w:rFonts w:ascii="Times New Roman" w:hAnsi="Times New Roman" w:cs="Times New Roman"/>
          <w:bCs w:val="1"/>
          <w:sz w:val="28"/>
          <w:szCs w:val="28"/>
        </w:rPr>
        <w:t>. Социально-урбанистический кластер, ориентированный на развитие городской среды и повышение качества жизни населения.</w:t>
      </w:r>
    </w:p>
    <w:p>
      <w:pPr>
        <w:spacing w:lineRule="auto" w:line="360" w:after="0" w:beforeAutospacing="0" w:afterAutospacing="0"/>
        <w:ind w:firstLine="709"/>
        <w:jc w:val="both"/>
        <w:rPr>
          <w:rFonts w:ascii="Times New Roman" w:hAnsi="Times New Roman" w:cs="Times New Roman"/>
          <w:bCs w:val="1"/>
          <w:sz w:val="28"/>
          <w:szCs w:val="28"/>
        </w:rPr>
      </w:pPr>
      <w:r>
        <w:rPr>
          <w:rFonts w:ascii="Times New Roman" w:hAnsi="Times New Roman" w:cs="Times New Roman"/>
          <w:bCs w:val="1"/>
          <w:sz w:val="28"/>
          <w:szCs w:val="28"/>
          <w:lang w:val="en-US"/>
        </w:rPr>
        <w:t>IX</w:t>
      </w:r>
      <w:r>
        <w:rPr>
          <w:rFonts w:ascii="Times New Roman" w:hAnsi="Times New Roman" w:cs="Times New Roman"/>
          <w:bCs w:val="1"/>
          <w:sz w:val="28"/>
          <w:szCs w:val="28"/>
        </w:rPr>
        <w:t>. Экологический и климатический кластер, обеспечивающий устойчивость экономического развития с учетом природных и климатических факторов.</w:t>
      </w:r>
    </w:p>
    <w:p>
      <w:pPr>
        <w:spacing w:lineRule="auto" w:line="360" w:after="0" w:beforeAutospacing="0" w:afterAutospacing="0"/>
        <w:ind w:firstLine="709"/>
        <w:jc w:val="both"/>
        <w:rPr>
          <w:rFonts w:ascii="Times New Roman" w:hAnsi="Times New Roman" w:cs="Times New Roman"/>
          <w:bCs w:val="1"/>
          <w:sz w:val="28"/>
          <w:szCs w:val="28"/>
        </w:rPr>
      </w:pPr>
      <w:r>
        <w:rPr>
          <w:rFonts w:ascii="Times New Roman" w:hAnsi="Times New Roman" w:cs="Times New Roman"/>
          <w:bCs w:val="1"/>
          <w:sz w:val="28"/>
          <w:szCs w:val="28"/>
        </w:rPr>
        <w:t xml:space="preserve">Отбор данных кластеров основан на трех ключевых критериях. Во-первых, каждый из них соответствует существующим сравнительным преимуществам экономики Кот-д’Ивуара. Во-вторых, предполагаемые направления развития характеризуются высоким потенциалом создания добавленной стоимости по отношению к первоначальным инвестициям. В-третьих, они совместимы с международными ESG-стандартами, которые являются критически важным условием привлечения иностранных инвестиций, прежде всего, из стран Европейского союза и Северной Америки. </w:t>
      </w:r>
    </w:p>
    <w:p>
      <w:pPr>
        <w:spacing w:lineRule="auto" w:line="360" w:after="0" w:beforeAutospacing="0" w:afterAutospacing="0"/>
        <w:ind w:firstLine="709"/>
        <w:jc w:val="both"/>
        <w:rPr>
          <w:rFonts w:ascii="Times New Roman" w:hAnsi="Times New Roman" w:cs="Times New Roman"/>
          <w:bCs w:val="1"/>
          <w:sz w:val="28"/>
          <w:szCs w:val="28"/>
        </w:rPr>
      </w:pPr>
      <w:r>
        <w:rPr>
          <w:rFonts w:ascii="Times New Roman" w:hAnsi="Times New Roman" w:cs="Times New Roman"/>
          <w:bCs w:val="1"/>
          <w:sz w:val="28"/>
          <w:szCs w:val="28"/>
        </w:rPr>
        <w:t>При этом первые шесть кластеров выступают инвестиционным ядром проекта, тогда как 7, 8 и 9 представляют кластеры качества роста. Все все они отражают полную экосистему устойчивого развития прибрежной зоны Республики Кот-д'Ивуар. Координация взаимодействия между кластерами осуществляется посредством цифровой платформы проекта «Берег Восхода», которая выступает интеграционным ядром всей экономической экосистемы.</w:t>
      </w:r>
    </w:p>
    <w:p>
      <w:pPr>
        <w:spacing w:lineRule="auto" w:line="360" w:after="0" w:beforeAutospacing="0" w:afterAutospacing="0"/>
        <w:ind w:firstLine="709"/>
        <w:jc w:val="both"/>
        <w:rPr>
          <w:rFonts w:ascii="Times New Roman" w:hAnsi="Times New Roman" w:cs="Times New Roman"/>
          <w:bCs w:val="1"/>
          <w:sz w:val="28"/>
          <w:szCs w:val="28"/>
        </w:rPr>
      </w:pPr>
      <w:r>
        <w:rPr>
          <w:rFonts w:ascii="Times New Roman" w:hAnsi="Times New Roman" w:cs="Times New Roman"/>
          <w:bCs w:val="1"/>
          <w:sz w:val="28"/>
          <w:szCs w:val="28"/>
        </w:rPr>
        <w:t>Отметим, что в контексте настоящего исследования понятие «цифровая платформа» используется в строгом экономическом смысле, отличном от его узкой технологической интерпретации. Платформа рассматривается как многосторонняя цифровая экосистема, создающая ценность за счет снижения трансакционных издержек взаимодействия между производителями, посредниками, финансовыми агентами и государственными регуляторами, координации кластерного развития и генерации сетевых внешних эффектов. Таким образом, платформа выступает не просто техническим инструментом обработки данных, а институциональным механизмом организации экономического пространства.</w:t>
      </w:r>
    </w:p>
    <w:p>
      <w:pPr>
        <w:spacing w:lineRule="auto" w:line="360" w:after="0" w:beforeAutospacing="0" w:afterAutospacing="0"/>
        <w:ind w:firstLine="709"/>
        <w:jc w:val="both"/>
        <w:rPr>
          <w:rFonts w:ascii="Times New Roman" w:hAnsi="Times New Roman" w:cs="Times New Roman"/>
          <w:bCs w:val="1"/>
          <w:sz w:val="28"/>
          <w:szCs w:val="28"/>
        </w:rPr>
      </w:pPr>
      <w:r>
        <w:rPr>
          <w:rFonts w:ascii="Times New Roman" w:hAnsi="Times New Roman" w:cs="Times New Roman"/>
          <w:bCs w:val="1"/>
          <w:sz w:val="28"/>
          <w:szCs w:val="28"/>
        </w:rPr>
        <w:t xml:space="preserve">Рассмотрим более подробно составляющие архитектуры цифровой платформы «Берег Восхода» (таблица </w:t>
      </w:r>
      <w:r>
        <w:rPr>
          <w:rFonts w:ascii="Times New Roman" w:hAnsi="Times New Roman" w:cs="Times New Roman"/>
          <w:bCs w:val="1"/>
          <w:sz w:val="28"/>
          <w:szCs w:val="28"/>
          <w:highlight w:val="yellow"/>
        </w:rPr>
        <w:t>??</w:t>
      </w:r>
      <w:r>
        <w:rPr>
          <w:rFonts w:ascii="Times New Roman" w:hAnsi="Times New Roman" w:cs="Times New Roman"/>
          <w:bCs w:val="1"/>
          <w:sz w:val="28"/>
          <w:szCs w:val="28"/>
        </w:rPr>
        <w:t>).</w:t>
      </w:r>
    </w:p>
    <w:p>
      <w:pPr>
        <w:spacing w:lineRule="auto" w:line="360" w:after="0" w:beforeAutospacing="0" w:afterAutospacing="0"/>
        <w:jc w:val="both"/>
        <w:rPr>
          <w:rFonts w:ascii="Times New Roman" w:hAnsi="Times New Roman" w:cs="Times New Roman"/>
          <w:bCs w:val="1"/>
          <w:sz w:val="28"/>
          <w:szCs w:val="28"/>
        </w:rPr>
      </w:pPr>
    </w:p>
    <w:p>
      <w:pPr>
        <w:spacing w:lineRule="auto" w:line="360" w:after="0" w:beforeAutospacing="0" w:afterAutospacing="0"/>
        <w:jc w:val="both"/>
        <w:rPr>
          <w:rFonts w:ascii="Times New Roman" w:hAnsi="Times New Roman" w:cs="Times New Roman"/>
          <w:bCs w:val="1"/>
          <w:sz w:val="28"/>
          <w:szCs w:val="28"/>
        </w:rPr>
      </w:pPr>
      <w:r>
        <w:rPr>
          <w:rFonts w:ascii="Times New Roman" w:hAnsi="Times New Roman" w:cs="Times New Roman"/>
          <w:bCs w:val="1"/>
          <w:sz w:val="28"/>
          <w:szCs w:val="28"/>
        </w:rPr>
        <w:t xml:space="preserve">Таблица </w:t>
      </w:r>
      <w:r>
        <w:rPr>
          <w:rFonts w:ascii="Times New Roman" w:hAnsi="Times New Roman" w:cs="Times New Roman"/>
          <w:bCs w:val="1"/>
          <w:sz w:val="28"/>
          <w:szCs w:val="28"/>
          <w:highlight w:val="yellow"/>
        </w:rPr>
        <w:t>3.2</w:t>
      </w:r>
      <w:r>
        <w:rPr>
          <w:rFonts w:ascii="Times New Roman" w:hAnsi="Times New Roman" w:cs="Times New Roman"/>
          <w:bCs w:val="1"/>
          <w:sz w:val="28"/>
          <w:szCs w:val="28"/>
        </w:rPr>
        <w:t xml:space="preserve"> – Составляющие архитектуры цифровой платформы «Берег Восхода» и их экономическая роль (составлено автором)</w:t>
      </w:r>
    </w:p>
    <w:tbl>
      <w:tblPr>
        <w:tblStyle w:val="T3"/>
        <w:tblW w:w="0" w:type="auto"/>
        <w:tblLook w:val="04A0"/>
      </w:tblPr>
      <w:tblGrid>
        <w:gridCol w:w="2250"/>
        <w:gridCol w:w="2784"/>
        <w:gridCol w:w="2171"/>
        <w:gridCol w:w="2707"/>
      </w:tblGrid>
      <w:tr>
        <w:tc>
          <w:tcPr>
            <w:tcW w:w="0" w:type="auto"/>
            <w:hideMark/>
          </w:tcPr>
          <w:p>
            <w:pPr>
              <w:jc w:val="center"/>
              <w:rPr>
                <w:rFonts w:ascii="Times New Roman" w:hAnsi="Times New Roman" w:cs="Times New Roman" w:eastAsia="Times New Roman"/>
                <w:bCs w:val="1"/>
                <w:sz w:val="24"/>
                <w:szCs w:val="24"/>
                <w:lang w:eastAsia="ru-RU"/>
              </w:rPr>
            </w:pPr>
            <w:r>
              <w:rPr>
                <w:rFonts w:ascii="Times New Roman" w:hAnsi="Times New Roman" w:cs="Times New Roman" w:eastAsia="Times New Roman"/>
                <w:bCs w:val="1"/>
                <w:sz w:val="24"/>
                <w:szCs w:val="24"/>
                <w:lang w:eastAsia="ru-RU"/>
              </w:rPr>
              <w:t>Кластер проекта</w:t>
            </w:r>
          </w:p>
        </w:tc>
        <w:tc>
          <w:tcPr>
            <w:tcW w:w="0" w:type="auto"/>
            <w:hideMark/>
          </w:tcPr>
          <w:p>
            <w:pPr>
              <w:jc w:val="center"/>
              <w:rPr>
                <w:rFonts w:ascii="Times New Roman" w:hAnsi="Times New Roman" w:cs="Times New Roman" w:eastAsia="Times New Roman"/>
                <w:bCs w:val="1"/>
                <w:sz w:val="24"/>
                <w:szCs w:val="24"/>
                <w:lang w:eastAsia="ru-RU"/>
              </w:rPr>
            </w:pPr>
            <w:r>
              <w:rPr>
                <w:rFonts w:ascii="Times New Roman" w:hAnsi="Times New Roman" w:cs="Times New Roman" w:eastAsia="Times New Roman"/>
                <w:bCs w:val="1"/>
                <w:sz w:val="24"/>
                <w:szCs w:val="24"/>
                <w:lang w:eastAsia="ru-RU"/>
              </w:rPr>
              <w:t>Основная функция кластера в экономике</w:t>
            </w:r>
          </w:p>
        </w:tc>
        <w:tc>
          <w:tcPr>
            <w:tcW w:w="0" w:type="auto"/>
            <w:hideMark/>
          </w:tcPr>
          <w:p>
            <w:pPr>
              <w:jc w:val="center"/>
              <w:rPr>
                <w:rFonts w:ascii="Times New Roman" w:hAnsi="Times New Roman" w:cs="Times New Roman" w:eastAsia="Times New Roman"/>
                <w:bCs w:val="1"/>
                <w:sz w:val="24"/>
                <w:szCs w:val="24"/>
                <w:lang w:eastAsia="ru-RU"/>
              </w:rPr>
            </w:pPr>
            <w:r>
              <w:rPr>
                <w:rFonts w:ascii="Times New Roman" w:hAnsi="Times New Roman" w:cs="Times New Roman" w:eastAsia="Times New Roman"/>
                <w:bCs w:val="1"/>
                <w:sz w:val="24"/>
                <w:szCs w:val="24"/>
                <w:lang w:eastAsia="ru-RU"/>
              </w:rPr>
              <w:t>Модули цифровой платформы, обеспечивающие взаимодействие</w:t>
            </w:r>
          </w:p>
        </w:tc>
        <w:tc>
          <w:tcPr>
            <w:tcW w:w="0" w:type="auto"/>
            <w:hideMark/>
          </w:tcPr>
          <w:p>
            <w:pPr>
              <w:jc w:val="center"/>
              <w:rPr>
                <w:rFonts w:ascii="Times New Roman" w:hAnsi="Times New Roman" w:cs="Times New Roman" w:eastAsia="Times New Roman"/>
                <w:bCs w:val="1"/>
                <w:sz w:val="24"/>
                <w:szCs w:val="24"/>
                <w:lang w:eastAsia="ru-RU"/>
              </w:rPr>
            </w:pPr>
            <w:r>
              <w:rPr>
                <w:rFonts w:ascii="Times New Roman" w:hAnsi="Times New Roman" w:cs="Times New Roman" w:eastAsia="Times New Roman"/>
                <w:bCs w:val="1"/>
                <w:sz w:val="24"/>
                <w:szCs w:val="24"/>
                <w:lang w:eastAsia="ru-RU"/>
              </w:rPr>
              <w:t>Ключевой экономический эффект</w:t>
            </w:r>
          </w:p>
        </w:tc>
      </w:tr>
      <w:tr>
        <w:tc>
          <w:tcPr>
            <w:tcW w:w="0" w:type="auto"/>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bCs w:val="1"/>
                <w:sz w:val="24"/>
                <w:szCs w:val="24"/>
                <w:lang w:eastAsia="ru-RU"/>
              </w:rPr>
              <w:t>I</w:t>
            </w:r>
            <w:r>
              <w:rPr>
                <w:rFonts w:ascii="Times New Roman" w:hAnsi="Times New Roman" w:cs="Times New Roman" w:eastAsia="Times New Roman"/>
                <w:sz w:val="24"/>
                <w:szCs w:val="24"/>
                <w:lang w:eastAsia="ru-RU"/>
              </w:rPr>
              <w:t xml:space="preserve"> Агропереработка и какао-индустрия</w:t>
            </w:r>
          </w:p>
        </w:tc>
        <w:tc>
          <w:tcPr>
            <w:tcW w:w="0" w:type="auto"/>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Производство и глубокая переработка сельскохозяйственного сырья</w:t>
            </w:r>
          </w:p>
        </w:tc>
        <w:tc>
          <w:tcPr>
            <w:tcW w:w="0" w:type="auto"/>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Traceability, IoT-мониторинг, FinTech, AI-аналитика</w:t>
            </w:r>
          </w:p>
        </w:tc>
        <w:tc>
          <w:tcPr>
            <w:tcW w:w="0" w:type="auto"/>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Повышение прозрачности цепочек поставок, рост добавленной стоимости агропродукции</w:t>
            </w:r>
          </w:p>
        </w:tc>
      </w:tr>
      <w:tr>
        <w:tc>
          <w:tcPr>
            <w:tcW w:w="0" w:type="auto"/>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bCs w:val="1"/>
                <w:sz w:val="24"/>
                <w:szCs w:val="24"/>
                <w:lang w:eastAsia="ru-RU"/>
              </w:rPr>
              <w:t>II</w:t>
            </w:r>
            <w:r>
              <w:rPr>
                <w:rFonts w:ascii="Times New Roman" w:hAnsi="Times New Roman" w:cs="Times New Roman" w:eastAsia="Times New Roman"/>
                <w:sz w:val="24"/>
                <w:szCs w:val="24"/>
                <w:lang w:eastAsia="ru-RU"/>
              </w:rPr>
              <w:t xml:space="preserve"> Портово-логистический кластер</w:t>
            </w:r>
          </w:p>
        </w:tc>
        <w:tc>
          <w:tcPr>
            <w:tcW w:w="0" w:type="auto"/>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Управление экспортно-импортными потоками и транспортной инфраструктурой</w:t>
            </w:r>
          </w:p>
        </w:tc>
        <w:tc>
          <w:tcPr>
            <w:tcW w:w="0" w:type="auto"/>
            <w:hideMark/>
          </w:tcPr>
          <w:p>
            <w:pPr>
              <w:rPr>
                <w:rFonts w:ascii="Times New Roman" w:hAnsi="Times New Roman" w:cs="Times New Roman" w:eastAsia="Times New Roman"/>
                <w:sz w:val="24"/>
                <w:szCs w:val="24"/>
                <w:lang w:val="en-US" w:eastAsia="ru-RU"/>
              </w:rPr>
            </w:pPr>
            <w:r>
              <w:rPr>
                <w:rFonts w:ascii="Times New Roman" w:hAnsi="Times New Roman" w:cs="Times New Roman" w:eastAsia="Times New Roman"/>
                <w:sz w:val="24"/>
                <w:szCs w:val="24"/>
                <w:lang w:val="en-US" w:eastAsia="ru-RU"/>
              </w:rPr>
              <w:t>Single Window, IoT-</w:t>
            </w:r>
            <w:r>
              <w:rPr>
                <w:rFonts w:ascii="Times New Roman" w:hAnsi="Times New Roman" w:cs="Times New Roman" w:eastAsia="Times New Roman"/>
                <w:sz w:val="24"/>
                <w:szCs w:val="24"/>
                <w:lang w:eastAsia="ru-RU"/>
              </w:rPr>
              <w:t>мониторинг</w:t>
            </w:r>
            <w:r>
              <w:rPr>
                <w:rFonts w:ascii="Times New Roman" w:hAnsi="Times New Roman" w:cs="Times New Roman" w:eastAsia="Times New Roman"/>
                <w:sz w:val="24"/>
                <w:szCs w:val="24"/>
                <w:lang w:val="en-US" w:eastAsia="ru-RU"/>
              </w:rPr>
              <w:t>, AI-</w:t>
            </w:r>
            <w:r>
              <w:rPr>
                <w:rFonts w:ascii="Times New Roman" w:hAnsi="Times New Roman" w:cs="Times New Roman" w:eastAsia="Times New Roman"/>
                <w:sz w:val="24"/>
                <w:szCs w:val="24"/>
                <w:lang w:eastAsia="ru-RU"/>
              </w:rPr>
              <w:t>аналитика</w:t>
            </w:r>
            <w:r>
              <w:rPr>
                <w:rFonts w:ascii="Times New Roman" w:hAnsi="Times New Roman" w:cs="Times New Roman" w:eastAsia="Times New Roman"/>
                <w:sz w:val="24"/>
                <w:szCs w:val="24"/>
                <w:lang w:val="en-US" w:eastAsia="ru-RU"/>
              </w:rPr>
              <w:t>, Traceability</w:t>
            </w:r>
          </w:p>
        </w:tc>
        <w:tc>
          <w:tcPr>
            <w:tcW w:w="0" w:type="auto"/>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Снижение логистических издержек, ускорение оборота грузов</w:t>
            </w:r>
          </w:p>
        </w:tc>
      </w:tr>
      <w:tr>
        <w:tc>
          <w:tcPr>
            <w:tcW w:w="0" w:type="auto"/>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bCs w:val="1"/>
                <w:sz w:val="24"/>
                <w:szCs w:val="24"/>
                <w:lang w:eastAsia="ru-RU"/>
              </w:rPr>
              <w:t>III</w:t>
            </w:r>
            <w:r>
              <w:rPr>
                <w:rFonts w:ascii="Times New Roman" w:hAnsi="Times New Roman" w:cs="Times New Roman" w:eastAsia="Times New Roman"/>
                <w:sz w:val="24"/>
                <w:szCs w:val="24"/>
                <w:lang w:eastAsia="ru-RU"/>
              </w:rPr>
              <w:t xml:space="preserve"> Индустриально-производственный кластер и СЭЗ</w:t>
            </w:r>
          </w:p>
        </w:tc>
        <w:tc>
          <w:tcPr>
            <w:tcW w:w="0" w:type="auto"/>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Развитие перерабатывающей промышленности и индустриальной кооперации</w:t>
            </w:r>
          </w:p>
        </w:tc>
        <w:tc>
          <w:tcPr>
            <w:tcW w:w="0" w:type="auto"/>
            <w:hideMark/>
          </w:tcPr>
          <w:p>
            <w:pPr>
              <w:rPr>
                <w:rFonts w:ascii="Times New Roman" w:hAnsi="Times New Roman" w:cs="Times New Roman" w:eastAsia="Times New Roman"/>
                <w:sz w:val="24"/>
                <w:szCs w:val="24"/>
                <w:lang w:val="en-US" w:eastAsia="ru-RU"/>
              </w:rPr>
            </w:pPr>
            <w:r>
              <w:rPr>
                <w:rFonts w:ascii="Times New Roman" w:hAnsi="Times New Roman" w:cs="Times New Roman" w:eastAsia="Times New Roman"/>
                <w:sz w:val="24"/>
                <w:szCs w:val="24"/>
                <w:lang w:val="en-US" w:eastAsia="ru-RU"/>
              </w:rPr>
              <w:t>AI-</w:t>
            </w:r>
            <w:r>
              <w:rPr>
                <w:rFonts w:ascii="Times New Roman" w:hAnsi="Times New Roman" w:cs="Times New Roman" w:eastAsia="Times New Roman"/>
                <w:sz w:val="24"/>
                <w:szCs w:val="24"/>
                <w:lang w:eastAsia="ru-RU"/>
              </w:rPr>
              <w:t>аналитика</w:t>
            </w:r>
            <w:r>
              <w:rPr>
                <w:rFonts w:ascii="Times New Roman" w:hAnsi="Times New Roman" w:cs="Times New Roman" w:eastAsia="Times New Roman"/>
                <w:sz w:val="24"/>
                <w:szCs w:val="24"/>
                <w:lang w:val="en-US" w:eastAsia="ru-RU"/>
              </w:rPr>
              <w:t>, FinTech, HR-</w:t>
            </w:r>
            <w:r>
              <w:rPr>
                <w:rFonts w:ascii="Times New Roman" w:hAnsi="Times New Roman" w:cs="Times New Roman" w:eastAsia="Times New Roman"/>
                <w:sz w:val="24"/>
                <w:szCs w:val="24"/>
                <w:lang w:eastAsia="ru-RU"/>
              </w:rPr>
              <w:t>платформа</w:t>
            </w:r>
            <w:r>
              <w:rPr>
                <w:rFonts w:ascii="Times New Roman" w:hAnsi="Times New Roman" w:cs="Times New Roman" w:eastAsia="Times New Roman"/>
                <w:sz w:val="24"/>
                <w:szCs w:val="24"/>
                <w:lang w:val="en-US" w:eastAsia="ru-RU"/>
              </w:rPr>
              <w:t>, Single Window</w:t>
            </w:r>
          </w:p>
        </w:tc>
        <w:tc>
          <w:tcPr>
            <w:tcW w:w="0" w:type="auto"/>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Локализация цепочек добавленной стоимости и рост промышленной кооперации</w:t>
            </w:r>
          </w:p>
        </w:tc>
      </w:tr>
      <w:tr>
        <w:tc>
          <w:tcPr>
            <w:tcW w:w="0" w:type="auto"/>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bCs w:val="1"/>
                <w:sz w:val="24"/>
                <w:szCs w:val="24"/>
                <w:lang w:eastAsia="ru-RU"/>
              </w:rPr>
              <w:t>IV</w:t>
            </w:r>
            <w:r>
              <w:rPr>
                <w:rFonts w:ascii="Times New Roman" w:hAnsi="Times New Roman" w:cs="Times New Roman" w:eastAsia="Times New Roman"/>
                <w:sz w:val="24"/>
                <w:szCs w:val="24"/>
                <w:lang w:eastAsia="ru-RU"/>
              </w:rPr>
              <w:t xml:space="preserve"> Цифровая платформа (ядро системы)</w:t>
            </w:r>
          </w:p>
        </w:tc>
        <w:tc>
          <w:tcPr>
            <w:tcW w:w="0" w:type="auto"/>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Координация информационных потоков и управление экономической экосистемой</w:t>
            </w:r>
          </w:p>
        </w:tc>
        <w:tc>
          <w:tcPr>
            <w:tcW w:w="0" w:type="auto"/>
            <w:hideMark/>
          </w:tcPr>
          <w:p>
            <w:pPr>
              <w:rPr>
                <w:rFonts w:ascii="Times New Roman" w:hAnsi="Times New Roman" w:cs="Times New Roman" w:eastAsia="Times New Roman"/>
                <w:sz w:val="24"/>
                <w:szCs w:val="24"/>
                <w:lang w:val="en-US" w:eastAsia="ru-RU"/>
              </w:rPr>
            </w:pPr>
            <w:r>
              <w:rPr>
                <w:rFonts w:ascii="Times New Roman" w:hAnsi="Times New Roman" w:cs="Times New Roman" w:eastAsia="Times New Roman"/>
                <w:sz w:val="24"/>
                <w:szCs w:val="24"/>
                <w:lang w:eastAsia="ru-RU"/>
              </w:rPr>
              <w:t>Все</w:t>
            </w:r>
            <w:r>
              <w:rPr>
                <w:rFonts w:ascii="Times New Roman" w:hAnsi="Times New Roman" w:cs="Times New Roman" w:eastAsia="Times New Roman"/>
                <w:sz w:val="24"/>
                <w:szCs w:val="24"/>
                <w:lang w:val="en-US" w:eastAsia="ru-RU"/>
              </w:rPr>
              <w:t xml:space="preserve"> </w:t>
            </w:r>
            <w:r>
              <w:rPr>
                <w:rFonts w:ascii="Times New Roman" w:hAnsi="Times New Roman" w:cs="Times New Roman" w:eastAsia="Times New Roman"/>
                <w:sz w:val="24"/>
                <w:szCs w:val="24"/>
                <w:lang w:eastAsia="ru-RU"/>
              </w:rPr>
              <w:t>модули</w:t>
            </w:r>
            <w:r>
              <w:rPr>
                <w:rFonts w:ascii="Times New Roman" w:hAnsi="Times New Roman" w:cs="Times New Roman" w:eastAsia="Times New Roman"/>
                <w:sz w:val="24"/>
                <w:szCs w:val="24"/>
                <w:lang w:val="en-US" w:eastAsia="ru-RU"/>
              </w:rPr>
              <w:t xml:space="preserve"> </w:t>
            </w:r>
            <w:r>
              <w:rPr>
                <w:rFonts w:ascii="Times New Roman" w:hAnsi="Times New Roman" w:cs="Times New Roman" w:eastAsia="Times New Roman"/>
                <w:sz w:val="24"/>
                <w:szCs w:val="24"/>
                <w:lang w:eastAsia="ru-RU"/>
              </w:rPr>
              <w:t>платформы</w:t>
            </w:r>
            <w:r>
              <w:rPr>
                <w:rFonts w:ascii="Times New Roman" w:hAnsi="Times New Roman" w:cs="Times New Roman" w:eastAsia="Times New Roman"/>
                <w:sz w:val="24"/>
                <w:szCs w:val="24"/>
                <w:lang w:val="en-US" w:eastAsia="ru-RU"/>
              </w:rPr>
              <w:t xml:space="preserve"> (Traceability, AI, FinTech, Single Window, HR, IoT)</w:t>
            </w:r>
          </w:p>
        </w:tc>
        <w:tc>
          <w:tcPr>
            <w:tcW w:w="0" w:type="auto"/>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Снижение транзакционных издержек и формирование сетевых эффектов</w:t>
            </w:r>
          </w:p>
        </w:tc>
      </w:tr>
      <w:tr>
        <w:tc>
          <w:tcPr>
            <w:tcW w:w="0" w:type="auto"/>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bCs w:val="1"/>
                <w:sz w:val="24"/>
                <w:szCs w:val="24"/>
                <w:lang w:eastAsia="ru-RU"/>
              </w:rPr>
              <w:t>V</w:t>
            </w:r>
            <w:r>
              <w:rPr>
                <w:rFonts w:ascii="Times New Roman" w:hAnsi="Times New Roman" w:cs="Times New Roman" w:eastAsia="Times New Roman"/>
                <w:sz w:val="24"/>
                <w:szCs w:val="24"/>
                <w:lang w:eastAsia="ru-RU"/>
              </w:rPr>
              <w:t xml:space="preserve"> Образование и R&amp;D</w:t>
            </w:r>
          </w:p>
        </w:tc>
        <w:tc>
          <w:tcPr>
            <w:tcW w:w="0" w:type="auto"/>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Подготовка кадров и развитие инновационного потенциала</w:t>
            </w:r>
          </w:p>
        </w:tc>
        <w:tc>
          <w:tcPr>
            <w:tcW w:w="0" w:type="auto"/>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HR-платформа, AI-аналитика, Data-сервисы платформы</w:t>
            </w:r>
          </w:p>
        </w:tc>
        <w:tc>
          <w:tcPr>
            <w:tcW w:w="0" w:type="auto"/>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Рост человеческого капитала и ускорение инновационной диффузии</w:t>
            </w:r>
          </w:p>
        </w:tc>
      </w:tr>
      <w:tr>
        <w:tc>
          <w:tcPr>
            <w:tcW w:w="0" w:type="auto"/>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bCs w:val="1"/>
                <w:sz w:val="24"/>
                <w:szCs w:val="24"/>
                <w:lang w:eastAsia="ru-RU"/>
              </w:rPr>
              <w:t>VI</w:t>
            </w:r>
            <w:r>
              <w:rPr>
                <w:rFonts w:ascii="Times New Roman" w:hAnsi="Times New Roman" w:cs="Times New Roman" w:eastAsia="Times New Roman"/>
                <w:sz w:val="24"/>
                <w:szCs w:val="24"/>
                <w:lang w:eastAsia="ru-RU"/>
              </w:rPr>
              <w:t xml:space="preserve"> Энергетика и ESG</w:t>
            </w:r>
          </w:p>
        </w:tc>
        <w:tc>
          <w:tcPr>
            <w:tcW w:w="0" w:type="auto"/>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Энергоснабжение инфраструктуры и внедрение стандартов устойчивого развития</w:t>
            </w:r>
          </w:p>
        </w:tc>
        <w:tc>
          <w:tcPr>
            <w:tcW w:w="0" w:type="auto"/>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IoT-мониторинг, AI-аналитика, ESG-FinTech</w:t>
            </w:r>
          </w:p>
        </w:tc>
        <w:tc>
          <w:tcPr>
            <w:tcW w:w="0" w:type="auto"/>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Повышение энергоэффективности и экологической устойчивости экономики</w:t>
            </w:r>
          </w:p>
        </w:tc>
      </w:tr>
      <w:tr>
        <w:tc>
          <w:tcPr>
            <w:tcW w:w="0" w:type="auto"/>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bCs w:val="1"/>
                <w:sz w:val="24"/>
                <w:szCs w:val="24"/>
                <w:lang w:eastAsia="ru-RU"/>
              </w:rPr>
              <w:t>VII</w:t>
            </w:r>
            <w:r>
              <w:rPr>
                <w:rFonts w:ascii="Times New Roman" w:hAnsi="Times New Roman" w:cs="Times New Roman" w:eastAsia="Times New Roman"/>
                <w:sz w:val="24"/>
                <w:szCs w:val="24"/>
                <w:lang w:eastAsia="ru-RU"/>
              </w:rPr>
              <w:t xml:space="preserve"> Финансово-инвестиционный кластер</w:t>
            </w:r>
          </w:p>
        </w:tc>
        <w:tc>
          <w:tcPr>
            <w:tcW w:w="0" w:type="auto"/>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Финансирование проектов, кредитование МСП, инвестиционные механизмы</w:t>
            </w:r>
          </w:p>
        </w:tc>
        <w:tc>
          <w:tcPr>
            <w:tcW w:w="0" w:type="auto"/>
            <w:hideMark/>
          </w:tcPr>
          <w:p>
            <w:pPr>
              <w:rPr>
                <w:rFonts w:ascii="Times New Roman" w:hAnsi="Times New Roman" w:cs="Times New Roman" w:eastAsia="Times New Roman"/>
                <w:sz w:val="24"/>
                <w:szCs w:val="24"/>
                <w:lang w:val="en-US" w:eastAsia="ru-RU"/>
              </w:rPr>
            </w:pPr>
            <w:r>
              <w:rPr>
                <w:rFonts w:ascii="Times New Roman" w:hAnsi="Times New Roman" w:cs="Times New Roman" w:eastAsia="Times New Roman"/>
                <w:sz w:val="24"/>
                <w:szCs w:val="24"/>
                <w:lang w:val="en-US" w:eastAsia="ru-RU"/>
              </w:rPr>
              <w:t>FinTech, AI-</w:t>
            </w:r>
            <w:r>
              <w:rPr>
                <w:rFonts w:ascii="Times New Roman" w:hAnsi="Times New Roman" w:cs="Times New Roman" w:eastAsia="Times New Roman"/>
                <w:sz w:val="24"/>
                <w:szCs w:val="24"/>
                <w:lang w:eastAsia="ru-RU"/>
              </w:rPr>
              <w:t>аналитика</w:t>
            </w:r>
            <w:r>
              <w:rPr>
                <w:rFonts w:ascii="Times New Roman" w:hAnsi="Times New Roman" w:cs="Times New Roman" w:eastAsia="Times New Roman"/>
                <w:sz w:val="24"/>
                <w:szCs w:val="24"/>
                <w:lang w:val="en-US" w:eastAsia="ru-RU"/>
              </w:rPr>
              <w:t>, Single Window</w:t>
            </w:r>
          </w:p>
        </w:tc>
        <w:tc>
          <w:tcPr>
            <w:tcW w:w="0" w:type="auto"/>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Расширение доступа предприятий к финансированию</w:t>
            </w:r>
          </w:p>
        </w:tc>
      </w:tr>
      <w:tr>
        <w:tc>
          <w:tcPr>
            <w:tcW w:w="0" w:type="auto"/>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bCs w:val="1"/>
                <w:sz w:val="24"/>
                <w:szCs w:val="24"/>
                <w:lang w:eastAsia="ru-RU"/>
              </w:rPr>
              <w:t>VIII</w:t>
            </w:r>
            <w:r>
              <w:rPr>
                <w:rFonts w:ascii="Times New Roman" w:hAnsi="Times New Roman" w:cs="Times New Roman" w:eastAsia="Times New Roman"/>
                <w:sz w:val="24"/>
                <w:szCs w:val="24"/>
                <w:lang w:eastAsia="ru-RU"/>
              </w:rPr>
              <w:t xml:space="preserve"> Социально-урбанистический кластер</w:t>
            </w:r>
          </w:p>
        </w:tc>
        <w:tc>
          <w:tcPr>
            <w:tcW w:w="0" w:type="auto"/>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Развитие городской среды, занятости и социальной инфраструктуры</w:t>
            </w:r>
          </w:p>
        </w:tc>
        <w:tc>
          <w:tcPr>
            <w:tcW w:w="0" w:type="auto"/>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 xml:space="preserve">HR-платформа, AI-аналитика </w:t>
            </w:r>
          </w:p>
        </w:tc>
        <w:tc>
          <w:tcPr>
            <w:tcW w:w="0" w:type="auto"/>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Повышение качества жизни и социальной инклюзивности роста</w:t>
            </w:r>
          </w:p>
        </w:tc>
      </w:tr>
      <w:tr>
        <w:tc>
          <w:tcPr>
            <w:tcW w:w="0" w:type="auto"/>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bCs w:val="1"/>
                <w:sz w:val="24"/>
                <w:szCs w:val="24"/>
                <w:lang w:eastAsia="ru-RU"/>
              </w:rPr>
              <w:t>IX</w:t>
            </w:r>
            <w:r>
              <w:rPr>
                <w:rFonts w:ascii="Times New Roman" w:hAnsi="Times New Roman" w:cs="Times New Roman" w:eastAsia="Times New Roman"/>
                <w:sz w:val="24"/>
                <w:szCs w:val="24"/>
                <w:lang w:eastAsia="ru-RU"/>
              </w:rPr>
              <w:t xml:space="preserve"> Экологический и климатический кластер</w:t>
            </w:r>
          </w:p>
        </w:tc>
        <w:tc>
          <w:tcPr>
            <w:tcW w:w="0" w:type="auto"/>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Экологический контроль и климатическая устойчивость</w:t>
            </w:r>
          </w:p>
        </w:tc>
        <w:tc>
          <w:tcPr>
            <w:tcW w:w="0" w:type="auto"/>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IoT-мониторинг, Traceability, AI-аналитика, ESG-FinTech</w:t>
            </w:r>
          </w:p>
        </w:tc>
        <w:tc>
          <w:tcPr>
            <w:tcW w:w="0" w:type="auto"/>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Снижение экологических рисков и привлечение «зеленых» инвестиций</w:t>
            </w:r>
          </w:p>
        </w:tc>
      </w:tr>
    </w:tbl>
    <w:p>
      <w:pPr>
        <w:spacing w:lineRule="auto" w:line="360" w:after="0" w:beforeAutospacing="0" w:afterAutospacing="0"/>
        <w:jc w:val="both"/>
        <w:rPr>
          <w:rFonts w:ascii="Times New Roman" w:hAnsi="Times New Roman" w:cs="Times New Roman"/>
          <w:bCs w:val="1"/>
          <w:sz w:val="28"/>
          <w:szCs w:val="28"/>
        </w:rPr>
      </w:pPr>
    </w:p>
    <w:p>
      <w:pPr>
        <w:spacing w:lineRule="auto" w:line="360" w:after="0" w:beforeAutospacing="0" w:afterAutospacing="0"/>
        <w:ind w:firstLine="709"/>
        <w:jc w:val="both"/>
        <w:rPr>
          <w:rFonts w:ascii="Times New Roman" w:hAnsi="Times New Roman" w:cs="Times New Roman"/>
          <w:bCs w:val="1"/>
          <w:sz w:val="28"/>
          <w:szCs w:val="28"/>
        </w:rPr>
      </w:pPr>
      <w:r>
        <w:rPr>
          <w:rFonts w:ascii="Times New Roman" w:hAnsi="Times New Roman" w:cs="Times New Roman"/>
          <w:bCs w:val="1"/>
          <w:sz w:val="28"/>
          <w:szCs w:val="28"/>
        </w:rPr>
        <w:t xml:space="preserve">Цифровая платформа «Берег Восхода» строится на основе шести функциональных модулей: Traceability, AI-аналитику, единое цифровое окно взаимодействия с регуляторами, финансовый FinTech-контур, HR-платформу подготовки кадров и IoT-систему мониторинга инфраструктуры, взаимодействие которых формирует системный эффект, несводимый к сумме отдельных воздействий каждого модуля. Каждый из них снижает трансакционные издержки в конкретном домене экономического взаимодействия: торговом, логистическом, финансовом, производственном, образовательном и институциональном (таблица </w:t>
      </w:r>
      <w:r>
        <w:rPr>
          <w:rFonts w:ascii="Times New Roman" w:hAnsi="Times New Roman" w:cs="Times New Roman"/>
          <w:bCs w:val="1"/>
          <w:sz w:val="28"/>
          <w:szCs w:val="28"/>
          <w:highlight w:val="yellow"/>
        </w:rPr>
        <w:t>??</w:t>
      </w:r>
      <w:r>
        <w:rPr>
          <w:rFonts w:ascii="Times New Roman" w:hAnsi="Times New Roman" w:cs="Times New Roman"/>
          <w:bCs w:val="1"/>
          <w:sz w:val="28"/>
          <w:szCs w:val="28"/>
        </w:rPr>
        <w:t>).</w:t>
      </w:r>
    </w:p>
    <w:p>
      <w:pPr>
        <w:spacing w:lineRule="auto" w:line="360" w:after="0" w:beforeAutospacing="0" w:afterAutospacing="0"/>
        <w:ind w:firstLine="709"/>
        <w:jc w:val="both"/>
        <w:rPr>
          <w:rFonts w:ascii="Times New Roman" w:hAnsi="Times New Roman" w:cs="Times New Roman"/>
          <w:bCs w:val="1"/>
          <w:sz w:val="28"/>
          <w:szCs w:val="28"/>
        </w:rPr>
      </w:pPr>
    </w:p>
    <w:p>
      <w:pPr>
        <w:spacing w:lineRule="auto" w:line="360" w:after="0" w:beforeAutospacing="0" w:afterAutospacing="0"/>
        <w:jc w:val="both"/>
        <w:rPr>
          <w:rFonts w:ascii="Times New Roman" w:hAnsi="Times New Roman" w:cs="Times New Roman"/>
          <w:b w:val="1"/>
          <w:bCs w:val="1"/>
          <w:sz w:val="28"/>
          <w:szCs w:val="28"/>
        </w:rPr>
      </w:pPr>
      <w:r>
        <w:rPr>
          <w:rFonts w:ascii="Times New Roman" w:hAnsi="Times New Roman" w:cs="Times New Roman"/>
          <w:bCs w:val="1"/>
          <w:sz w:val="28"/>
          <w:szCs w:val="28"/>
        </w:rPr>
        <w:t xml:space="preserve">Таблица </w:t>
      </w:r>
      <w:r>
        <w:rPr>
          <w:rFonts w:ascii="Times New Roman" w:hAnsi="Times New Roman" w:cs="Times New Roman"/>
          <w:bCs w:val="1"/>
          <w:sz w:val="28"/>
          <w:szCs w:val="28"/>
          <w:highlight w:val="yellow"/>
        </w:rPr>
        <w:t>??</w:t>
      </w:r>
      <w:r>
        <w:rPr>
          <w:rFonts w:ascii="Times New Roman" w:hAnsi="Times New Roman" w:cs="Times New Roman"/>
          <w:bCs w:val="1"/>
          <w:sz w:val="28"/>
          <w:szCs w:val="28"/>
        </w:rPr>
        <w:t xml:space="preserve"> – Функциональные модули цифровой платформы «Берег Восхода» (составлено автором)</w:t>
      </w:r>
    </w:p>
    <w:tbl>
      <w:tblPr>
        <w:tblStyle w:val="T3"/>
        <w:tblW w:w="9976" w:type="dxa"/>
        <w:tblLook w:val="04A0"/>
      </w:tblPr>
      <w:tblGrid>
        <w:gridCol w:w="2547"/>
        <w:gridCol w:w="7429"/>
      </w:tblGrid>
      <w:tr>
        <w:trPr>
          <w:trHeight w:hRule="atLeast" w:val="542"/>
        </w:trPr>
        <w:tc>
          <w:tcPr>
            <w:tcW w:w="2547" w:type="dxa"/>
            <w:hideMark/>
          </w:tcPr>
          <w:p>
            <w:pPr>
              <w:jc w:val="center"/>
              <w:rPr>
                <w:rFonts w:ascii="Times New Roman" w:hAnsi="Times New Roman" w:cs="Times New Roman" w:eastAsia="Times New Roman"/>
                <w:bCs w:val="1"/>
                <w:sz w:val="24"/>
                <w:szCs w:val="24"/>
                <w:lang w:eastAsia="ru-RU"/>
              </w:rPr>
            </w:pPr>
            <w:r>
              <w:rPr>
                <w:rFonts w:ascii="Times New Roman" w:hAnsi="Times New Roman" w:cs="Times New Roman" w:eastAsia="Times New Roman"/>
                <w:bCs w:val="1"/>
                <w:sz w:val="24"/>
                <w:szCs w:val="24"/>
                <w:lang w:eastAsia="ru-RU"/>
              </w:rPr>
              <w:t>Функциональный модуль платформы</w:t>
            </w:r>
          </w:p>
        </w:tc>
        <w:tc>
          <w:tcPr>
            <w:tcW w:w="7429" w:type="dxa"/>
            <w:hideMark/>
          </w:tcPr>
          <w:p>
            <w:pPr>
              <w:jc w:val="center"/>
              <w:rPr>
                <w:rFonts w:ascii="Times New Roman" w:hAnsi="Times New Roman" w:cs="Times New Roman" w:eastAsia="Times New Roman"/>
                <w:bCs w:val="1"/>
                <w:sz w:val="24"/>
                <w:szCs w:val="24"/>
                <w:lang w:eastAsia="ru-RU"/>
              </w:rPr>
            </w:pPr>
            <w:r>
              <w:rPr>
                <w:rFonts w:ascii="Times New Roman" w:hAnsi="Times New Roman" w:cs="Times New Roman" w:eastAsia="Times New Roman"/>
                <w:bCs w:val="1"/>
                <w:sz w:val="24"/>
                <w:szCs w:val="24"/>
                <w:lang w:eastAsia="ru-RU"/>
              </w:rPr>
              <w:t>Основное содержание модуля</w:t>
            </w:r>
          </w:p>
        </w:tc>
      </w:tr>
      <w:tr>
        <w:trPr>
          <w:trHeight w:hRule="atLeast" w:val="813"/>
        </w:trPr>
        <w:tc>
          <w:tcPr>
            <w:tcW w:w="2547"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bCs w:val="1"/>
                <w:sz w:val="24"/>
                <w:szCs w:val="24"/>
                <w:lang w:eastAsia="ru-RU"/>
              </w:rPr>
              <w:t>Traceability-модуль</w:t>
            </w:r>
          </w:p>
        </w:tc>
        <w:tc>
          <w:tcPr>
            <w:tcW w:w="7429"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Блокчейн-регистрация происхождения сырья, контроль цепочек поставок, соответствие требованиям EUDR и международных стандартов устойчивости</w:t>
            </w:r>
          </w:p>
        </w:tc>
      </w:tr>
      <w:tr>
        <w:trPr>
          <w:trHeight w:hRule="atLeast" w:val="443"/>
        </w:trPr>
        <w:tc>
          <w:tcPr>
            <w:tcW w:w="2547"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bCs w:val="1"/>
                <w:sz w:val="24"/>
                <w:szCs w:val="24"/>
                <w:lang w:eastAsia="ru-RU"/>
              </w:rPr>
              <w:t>AI-аналитика</w:t>
            </w:r>
          </w:p>
        </w:tc>
        <w:tc>
          <w:tcPr>
            <w:tcW w:w="7429"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Прогнозирование спроса, оптимизация логистики, анализ производственных потоков, поддержка управленческих решений</w:t>
            </w:r>
          </w:p>
        </w:tc>
      </w:tr>
      <w:tr>
        <w:trPr>
          <w:trHeight w:hRule="atLeast" w:val="542"/>
        </w:trPr>
        <w:tc>
          <w:tcPr>
            <w:tcW w:w="2547"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bCs w:val="1"/>
                <w:sz w:val="24"/>
                <w:szCs w:val="24"/>
                <w:lang w:eastAsia="ru-RU"/>
              </w:rPr>
              <w:t>Единое цифровое окно (Single Window)</w:t>
            </w:r>
          </w:p>
        </w:tc>
        <w:tc>
          <w:tcPr>
            <w:tcW w:w="7429"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Интеграция таможенных процедур, лицензирования, регуляторных сервисов и экспортной документации</w:t>
            </w:r>
          </w:p>
        </w:tc>
      </w:tr>
      <w:tr>
        <w:trPr>
          <w:trHeight w:hRule="atLeast" w:val="813"/>
        </w:trPr>
        <w:tc>
          <w:tcPr>
            <w:tcW w:w="2547"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bCs w:val="1"/>
                <w:sz w:val="24"/>
                <w:szCs w:val="24"/>
                <w:lang w:eastAsia="ru-RU"/>
              </w:rPr>
              <w:t>FinTech-модуль</w:t>
            </w:r>
          </w:p>
        </w:tc>
        <w:tc>
          <w:tcPr>
            <w:tcW w:w="7429"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Платежные системы, мобильные деньги (Mobile Money), кредитование МСП, ESG-финансирование и торговое финансирование</w:t>
            </w:r>
          </w:p>
        </w:tc>
      </w:tr>
      <w:tr>
        <w:trPr>
          <w:trHeight w:hRule="atLeast" w:val="613"/>
        </w:trPr>
        <w:tc>
          <w:tcPr>
            <w:tcW w:w="2547"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bCs w:val="1"/>
                <w:sz w:val="24"/>
                <w:szCs w:val="24"/>
                <w:lang w:eastAsia="ru-RU"/>
              </w:rPr>
              <w:t>HR-платформа</w:t>
            </w:r>
          </w:p>
        </w:tc>
        <w:tc>
          <w:tcPr>
            <w:tcW w:w="7429"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Подготовка кадров, цифровые образовательные программы, управление компетенциями, взаимодействие университетов и бизнеса</w:t>
            </w:r>
          </w:p>
        </w:tc>
      </w:tr>
      <w:tr>
        <w:trPr>
          <w:trHeight w:hRule="atLeast" w:val="542"/>
        </w:trPr>
        <w:tc>
          <w:tcPr>
            <w:tcW w:w="2547"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bCs w:val="1"/>
                <w:sz w:val="24"/>
                <w:szCs w:val="24"/>
                <w:lang w:eastAsia="ru-RU"/>
              </w:rPr>
              <w:t>IoT-мониторинг</w:t>
            </w:r>
          </w:p>
        </w:tc>
        <w:tc>
          <w:tcPr>
            <w:tcW w:w="7429"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Цифровой мониторинг инфраструктуры, сенсорные системы управления портами, энергетикой и агропроизводством</w:t>
            </w:r>
          </w:p>
        </w:tc>
      </w:tr>
    </w:tbl>
    <w:p>
      <w:pPr>
        <w:spacing w:lineRule="auto" w:line="360" w:after="0" w:beforeAutospacing="0" w:afterAutospacing="0"/>
        <w:jc w:val="both"/>
        <w:rPr>
          <w:rFonts w:ascii="Times New Roman" w:hAnsi="Times New Roman" w:cs="Times New Roman"/>
          <w:bCs w:val="1"/>
          <w:sz w:val="28"/>
          <w:szCs w:val="28"/>
        </w:rPr>
      </w:pPr>
    </w:p>
    <w:p>
      <w:pPr>
        <w:spacing w:lineRule="auto" w:line="360" w:after="0" w:beforeAutospacing="0" w:afterAutospacing="0"/>
        <w:ind w:firstLine="709"/>
        <w:jc w:val="both"/>
        <w:rPr>
          <w:rFonts w:ascii="Times New Roman" w:hAnsi="Times New Roman" w:cs="Times New Roman"/>
          <w:bCs w:val="1"/>
          <w:sz w:val="28"/>
          <w:szCs w:val="28"/>
        </w:rPr>
      </w:pPr>
      <w:r>
        <w:rPr>
          <w:rFonts w:ascii="Times New Roman" w:hAnsi="Times New Roman" w:cs="Times New Roman"/>
          <w:bCs w:val="1"/>
          <w:sz w:val="28"/>
          <w:szCs w:val="28"/>
        </w:rPr>
        <w:t>В совокупности данные модули формируют цифровое ядро платформенной экономики, обеспечивающее координацию взаимодействия между кластерами проекта «Берег Восхода». Через платформу осуществляется обмен данными между предприятиями, финансовыми институтами, логистическими операторами и государственными регуляторами. Благодаря этому создается единое цифровое пространство экономической координации, в котором производственные, торговые, финансовые и инновационные процессы интегрируются в единую платформенную экосистему.</w:t>
      </w:r>
    </w:p>
    <w:p>
      <w:pPr>
        <w:spacing w:lineRule="auto" w:line="360" w:after="0" w:beforeAutospacing="0" w:afterAutospacing="0"/>
        <w:ind w:firstLine="709"/>
        <w:jc w:val="both"/>
      </w:pPr>
      <w:r>
        <w:rPr>
          <w:rFonts w:ascii="Times New Roman" w:hAnsi="Times New Roman"/>
          <w:color w:val="000000"/>
          <w:sz w:val="28"/>
        </w:rPr>
        <w:t>Расширенная функция платформы может сформулирована следующим образом:</w:t>
      </w:r>
    </w:p>
    <w:p>
      <w:pPr>
        <w:spacing w:lineRule="auto" w:line="360" w:after="0" w:beforeAutospacing="0" w:afterAutospacing="0"/>
        <w:ind w:firstLine="709"/>
        <w:jc w:val="both"/>
        <w:rPr>
          <w:rFonts w:ascii="Times New Roman" w:hAnsi="Times New Roman"/>
          <w:color w:val="000000"/>
        </w:rPr>
      </w:pPr>
      <w:r>
        <w:rPr>
          <w:rFonts w:ascii="Times New Roman" w:hAnsi="Times New Roman"/>
          <w:i w:val="1"/>
          <w:color w:val="000000"/>
          <w:sz w:val="26"/>
        </w:rPr>
        <w:t xml:space="preserve">                                                              P = f(C, F, T, L, D, G),</w:t>
      </w:r>
      <w:r>
        <w:rPr>
          <w:rFonts w:ascii="Times New Roman" w:hAnsi="Times New Roman"/>
          <w:color w:val="000000"/>
        </w:rPr>
        <w:t xml:space="preserve">                                         </w:t>
      </w:r>
      <w:r>
        <w:rPr>
          <w:rFonts w:ascii="Times New Roman" w:hAnsi="Times New Roman"/>
          <w:color w:val="000000"/>
          <w:sz w:val="28"/>
          <w:szCs w:val="28"/>
        </w:rPr>
        <w:t>(</w:t>
      </w:r>
      <w:r>
        <w:rPr>
          <w:rFonts w:ascii="Times New Roman" w:hAnsi="Times New Roman"/>
          <w:color w:val="000000"/>
          <w:sz w:val="28"/>
          <w:szCs w:val="28"/>
          <w:highlight w:val="yellow"/>
        </w:rPr>
        <w:t>2.23</w:t>
      </w:r>
      <w:r>
        <w:rPr>
          <w:rFonts w:ascii="Times New Roman" w:hAnsi="Times New Roman"/>
          <w:color w:val="000000"/>
          <w:sz w:val="28"/>
          <w:szCs w:val="28"/>
        </w:rPr>
        <w:t>)</w:t>
      </w:r>
    </w:p>
    <w:p>
      <w:pPr>
        <w:spacing w:lineRule="auto" w:line="360" w:after="0" w:beforeAutospacing="0" w:afterAutospacing="0"/>
        <w:ind w:firstLine="709"/>
        <w:jc w:val="both"/>
      </w:pPr>
    </w:p>
    <w:p>
      <w:pPr>
        <w:spacing w:lineRule="auto" w:line="360" w:after="0" w:beforeAutospacing="0" w:afterAutospacing="0"/>
        <w:ind w:firstLine="709"/>
        <w:jc w:val="both"/>
        <w:rPr>
          <w:rFonts w:ascii="Times New Roman" w:hAnsi="Times New Roman"/>
          <w:color w:val="000000"/>
          <w:sz w:val="28"/>
        </w:rPr>
      </w:pPr>
      <w:r>
        <w:rPr>
          <w:rFonts w:ascii="Times New Roman" w:hAnsi="Times New Roman"/>
          <w:color w:val="000000"/>
          <w:sz w:val="28"/>
        </w:rPr>
        <w:t>где C – Contract Management – цифровое управление и автоматическое исполнение (смарт-контракты) торговых, логистических и инвестиционных соглашений;</w:t>
      </w:r>
    </w:p>
    <w:p>
      <w:pPr>
        <w:spacing w:lineRule="auto" w:line="360" w:after="0" w:beforeAutospacing="0" w:afterAutospacing="0"/>
        <w:ind w:firstLine="709"/>
        <w:jc w:val="both"/>
        <w:rPr>
          <w:rFonts w:ascii="Times New Roman" w:hAnsi="Times New Roman"/>
          <w:color w:val="000000"/>
          <w:sz w:val="28"/>
        </w:rPr>
      </w:pPr>
      <w:r>
        <w:rPr>
          <w:rFonts w:ascii="Times New Roman" w:hAnsi="Times New Roman"/>
          <w:color w:val="000000"/>
          <w:sz w:val="28"/>
        </w:rPr>
        <w:t>F – Finance &amp; FinTech – интеграция Mobile Money, смарт-кредитования, исламских финансовых инструментов и факторинга для МСП;</w:t>
      </w:r>
    </w:p>
    <w:p>
      <w:pPr>
        <w:spacing w:lineRule="auto" w:line="360" w:after="0" w:beforeAutospacing="0" w:afterAutospacing="0"/>
        <w:ind w:firstLine="709"/>
        <w:jc w:val="both"/>
        <w:rPr>
          <w:rFonts w:ascii="Times New Roman" w:hAnsi="Times New Roman"/>
          <w:color w:val="000000"/>
          <w:sz w:val="28"/>
        </w:rPr>
      </w:pPr>
      <w:r>
        <w:rPr>
          <w:rFonts w:ascii="Times New Roman" w:hAnsi="Times New Roman"/>
          <w:color w:val="000000"/>
          <w:sz w:val="28"/>
        </w:rPr>
        <w:t>T – Traceability – блокчейн-верификация цепочек поставок от фермы до конечного покупателя (ответ на требования EUDR и ESG-инвесторов);</w:t>
      </w:r>
    </w:p>
    <w:p>
      <w:pPr>
        <w:spacing w:lineRule="auto" w:line="360" w:after="0" w:beforeAutospacing="0" w:afterAutospacing="0"/>
        <w:ind w:firstLine="709"/>
        <w:jc w:val="both"/>
        <w:rPr>
          <w:rFonts w:ascii="Times New Roman" w:hAnsi="Times New Roman"/>
          <w:color w:val="000000"/>
          <w:sz w:val="28"/>
        </w:rPr>
      </w:pPr>
      <w:r>
        <w:rPr>
          <w:rFonts w:ascii="Times New Roman" w:hAnsi="Times New Roman"/>
          <w:color w:val="000000"/>
          <w:sz w:val="28"/>
        </w:rPr>
        <w:t>L – Logistics – AI-оптимизация грузопотоков, цифровые таможенные процедуры, GPS-мониторинг;</w:t>
      </w:r>
    </w:p>
    <w:p>
      <w:pPr>
        <w:spacing w:lineRule="auto" w:line="360" w:after="0" w:beforeAutospacing="0" w:afterAutospacing="0"/>
        <w:ind w:firstLine="709"/>
        <w:jc w:val="both"/>
        <w:rPr>
          <w:rFonts w:ascii="Times New Roman" w:hAnsi="Times New Roman"/>
          <w:color w:val="000000"/>
          <w:sz w:val="28"/>
        </w:rPr>
      </w:pPr>
      <w:r>
        <w:rPr>
          <w:rFonts w:ascii="Times New Roman" w:hAnsi="Times New Roman"/>
          <w:color w:val="000000"/>
          <w:sz w:val="28"/>
        </w:rPr>
        <w:t>D – Data &amp; AI Analytics – обработка данных всех участников платформы, предиктивное управление запасами и спросом;</w:t>
      </w:r>
    </w:p>
    <w:p>
      <w:pPr>
        <w:spacing w:lineRule="auto" w:line="360" w:after="0" w:beforeAutospacing="0" w:afterAutospacing="0"/>
        <w:ind w:firstLine="709"/>
        <w:jc w:val="both"/>
        <w:rPr>
          <w:rFonts w:ascii="Times New Roman" w:hAnsi="Times New Roman"/>
          <w:color w:val="000000"/>
          <w:sz w:val="28"/>
        </w:rPr>
      </w:pPr>
      <w:r>
        <w:rPr>
          <w:rFonts w:ascii="Times New Roman" w:hAnsi="Times New Roman"/>
          <w:color w:val="000000"/>
          <w:sz w:val="28"/>
        </w:rPr>
        <w:t>G – Governance &amp; Compliance – цифровой регулятор, антикоррупционный мониторинг, соответствие нормативным требованиям AfCFTA и ЕС.</w:t>
      </w:r>
    </w:p>
    <w:p>
      <w:pPr>
        <w:widowControl w:val="0"/>
        <w:spacing w:lineRule="auto" w:line="360" w:after="0" w:beforeAutospacing="0" w:afterAutospacing="0"/>
        <w:ind w:firstLine="709"/>
        <w:jc w:val="both"/>
        <w:rPr>
          <w:rFonts w:ascii="Times New Roman" w:hAnsi="Times New Roman" w:cs="Times New Roman"/>
          <w:bCs w:val="1"/>
          <w:sz w:val="28"/>
          <w:szCs w:val="28"/>
        </w:rPr>
      </w:pPr>
      <w:r>
        <w:rPr>
          <w:rFonts w:ascii="Times New Roman" w:hAnsi="Times New Roman" w:cs="Times New Roman"/>
          <w:bCs w:val="1"/>
          <w:sz w:val="28"/>
          <w:szCs w:val="28"/>
        </w:rPr>
        <w:t>Важной особенностью архитектуры платформы является ее интеграция с кластерной структурой инновационного проекта «Берег Восхода». Каждый из девяти кластеров проекта использует цифровую платформу как инфраструктуру взаимодействия и обмена данными. В частности, агропромышленный кластер обеспечивает формирование первичного сырьевого потока, который через логистический и индустриальный кластеры трансформируется в продукцию с высокой добавленной стоимостью. Финансово-инвестиционный кластер обеспечивает ресурсную поддержку данных процессов, а образовательный и научно-исследовательский кластер способствует развитию инновационного потенциала экономики.</w:t>
      </w:r>
    </w:p>
    <w:p>
      <w:pPr>
        <w:widowControl w:val="0"/>
        <w:spacing w:lineRule="auto" w:line="360" w:after="0" w:beforeAutospacing="0" w:afterAutospacing="0"/>
        <w:ind w:firstLine="709"/>
        <w:jc w:val="both"/>
        <w:rPr>
          <w:rFonts w:ascii="Times New Roman" w:hAnsi="Times New Roman" w:cs="Times New Roman"/>
          <w:bCs w:val="1"/>
          <w:sz w:val="28"/>
          <w:szCs w:val="28"/>
        </w:rPr>
      </w:pPr>
      <w:r>
        <w:rPr>
          <w:rFonts w:ascii="Times New Roman" w:hAnsi="Times New Roman" w:cs="Times New Roman"/>
          <w:bCs w:val="1"/>
          <w:sz w:val="28"/>
          <w:szCs w:val="28"/>
        </w:rPr>
        <w:t xml:space="preserve">С методологической точки зрения кластерный подход позволяет: </w:t>
      </w:r>
    </w:p>
    <w:p>
      <w:pPr>
        <w:widowControl w:val="0"/>
        <w:spacing w:lineRule="auto" w:line="360" w:after="0" w:beforeAutospacing="0" w:afterAutospacing="0"/>
        <w:ind w:firstLine="709"/>
        <w:jc w:val="both"/>
        <w:rPr>
          <w:rFonts w:ascii="Times New Roman" w:hAnsi="Times New Roman" w:cs="Times New Roman"/>
          <w:bCs w:val="1"/>
          <w:sz w:val="28"/>
          <w:szCs w:val="28"/>
        </w:rPr>
      </w:pPr>
      <w:r>
        <w:rPr>
          <w:rFonts w:ascii="Times New Roman" w:hAnsi="Times New Roman" w:cs="Times New Roman"/>
          <w:bCs w:val="1"/>
          <w:sz w:val="28"/>
          <w:szCs w:val="28"/>
        </w:rPr>
        <w:t xml:space="preserve">1) декомпозировать целевые ориентиры платформенной модели структурной трансформации экономики страны по секторам и пространству ее прибрежной зоны; </w:t>
      </w:r>
    </w:p>
    <w:p>
      <w:pPr>
        <w:widowControl w:val="0"/>
        <w:spacing w:lineRule="auto" w:line="360" w:after="0" w:beforeAutospacing="0" w:afterAutospacing="0"/>
        <w:ind w:firstLine="709"/>
        <w:jc w:val="both"/>
        <w:rPr>
          <w:rFonts w:ascii="Times New Roman" w:hAnsi="Times New Roman" w:cs="Times New Roman"/>
          <w:bCs w:val="1"/>
          <w:sz w:val="28"/>
          <w:szCs w:val="28"/>
        </w:rPr>
      </w:pPr>
      <w:r>
        <w:rPr>
          <w:rFonts w:ascii="Times New Roman" w:hAnsi="Times New Roman" w:cs="Times New Roman"/>
          <w:bCs w:val="1"/>
          <w:sz w:val="28"/>
          <w:szCs w:val="28"/>
        </w:rPr>
        <w:t xml:space="preserve">2) выделить ключевые узлы мультипликативного эффекта (порт, СЭЗ, цифровая платформа, энергетика, финансы, человеческий капитал); </w:t>
      </w:r>
    </w:p>
    <w:p>
      <w:pPr>
        <w:widowControl w:val="0"/>
        <w:spacing w:lineRule="auto" w:line="360" w:after="0" w:beforeAutospacing="0" w:afterAutospacing="0"/>
        <w:ind w:firstLine="709"/>
        <w:jc w:val="both"/>
        <w:rPr>
          <w:rFonts w:ascii="Times New Roman" w:hAnsi="Times New Roman" w:cs="Times New Roman"/>
          <w:bCs w:val="1"/>
          <w:sz w:val="28"/>
          <w:szCs w:val="28"/>
        </w:rPr>
      </w:pPr>
      <w:r>
        <w:rPr>
          <w:rFonts w:ascii="Times New Roman" w:hAnsi="Times New Roman" w:cs="Times New Roman"/>
          <w:bCs w:val="1"/>
          <w:sz w:val="28"/>
          <w:szCs w:val="28"/>
        </w:rPr>
        <w:t>3) задать целостную интегральную целевую функцию, отражающую не только прирост ВВП, но и изменения в занятости, качестве жизни и устойчивости развития.</w:t>
      </w:r>
    </w:p>
    <w:p>
      <w:pPr>
        <w:widowControl w:val="0"/>
        <w:spacing w:lineRule="auto" w:line="360" w:after="0" w:beforeAutospacing="0" w:afterAutospacing="0"/>
        <w:ind w:firstLine="709"/>
        <w:jc w:val="both"/>
        <w:rPr>
          <w:rFonts w:ascii="Times New Roman" w:hAnsi="Times New Roman" w:cs="Times New Roman"/>
          <w:bCs w:val="1"/>
          <w:sz w:val="28"/>
          <w:szCs w:val="28"/>
        </w:rPr>
      </w:pPr>
      <w:r>
        <w:rPr>
          <w:rFonts w:ascii="Times New Roman" w:hAnsi="Times New Roman" w:cs="Times New Roman"/>
          <w:bCs w:val="1"/>
          <w:sz w:val="28"/>
          <w:szCs w:val="28"/>
        </w:rPr>
        <w:t xml:space="preserve">Для формализации кластерной архитектуры введем следующие обозначения. Пусть множество кластеров обозначено через </w:t>
      </w:r>
      <w:r>
        <w:rPr>
          <w:rFonts w:ascii="Times New Roman" w:hAnsi="Times New Roman" w:cs="Times New Roman"/>
          <w:bCs w:val="1"/>
          <w:sz w:val="28"/>
          <w:szCs w:val="28"/>
          <w:lang w:val="en-US"/>
        </w:rPr>
        <w:t>I</w:t>
      </w:r>
      <w:r>
        <w:rPr>
          <w:rFonts w:ascii="Times New Roman" w:hAnsi="Times New Roman" w:cs="Times New Roman"/>
          <w:bCs w:val="1"/>
          <w:sz w:val="28"/>
          <w:szCs w:val="28"/>
        </w:rPr>
        <w:t xml:space="preserve">={1,…,9}, где </w:t>
      </w:r>
      <w:r>
        <w:rPr>
          <w:rFonts w:ascii="Times New Roman" w:hAnsi="Times New Roman" w:cs="Times New Roman"/>
          <w:bCs w:val="1"/>
          <w:sz w:val="28"/>
          <w:szCs w:val="28"/>
          <w:lang w:val="en-US"/>
        </w:rPr>
        <w:t>i</w:t>
      </w:r>
      <w:r>
        <w:rPr>
          <w:rFonts w:ascii="Times New Roman" w:hAnsi="Times New Roman" w:cs="Times New Roman"/>
          <w:bCs w:val="1"/>
          <w:sz w:val="28"/>
          <w:szCs w:val="28"/>
        </w:rPr>
        <w:t xml:space="preserve">=1 – агропереработка и какао-индустрия, </w:t>
      </w:r>
      <w:r>
        <w:rPr>
          <w:rFonts w:ascii="Times New Roman" w:hAnsi="Times New Roman" w:cs="Times New Roman"/>
          <w:bCs w:val="1"/>
          <w:sz w:val="28"/>
          <w:szCs w:val="28"/>
          <w:lang w:val="en-US"/>
        </w:rPr>
        <w:t>i</w:t>
      </w:r>
      <w:r>
        <w:rPr>
          <w:rFonts w:ascii="Times New Roman" w:hAnsi="Times New Roman" w:cs="Times New Roman"/>
          <w:bCs w:val="1"/>
          <w:sz w:val="28"/>
          <w:szCs w:val="28"/>
        </w:rPr>
        <w:t xml:space="preserve">=2 – портово-логистический хаб, </w:t>
      </w:r>
      <w:r>
        <w:rPr>
          <w:rFonts w:ascii="Times New Roman" w:hAnsi="Times New Roman" w:cs="Times New Roman"/>
          <w:bCs w:val="1"/>
          <w:sz w:val="28"/>
          <w:szCs w:val="28"/>
          <w:lang w:val="en-US"/>
        </w:rPr>
        <w:t>i</w:t>
      </w:r>
      <w:r>
        <w:rPr>
          <w:rFonts w:ascii="Times New Roman" w:hAnsi="Times New Roman" w:cs="Times New Roman"/>
          <w:bCs w:val="1"/>
          <w:sz w:val="28"/>
          <w:szCs w:val="28"/>
        </w:rPr>
        <w:t xml:space="preserve">=3 – индустриально-производственный кластер (СЭЗ), </w:t>
      </w:r>
      <w:r>
        <w:rPr>
          <w:rFonts w:ascii="Times New Roman" w:hAnsi="Times New Roman" w:cs="Times New Roman"/>
          <w:bCs w:val="1"/>
          <w:sz w:val="28"/>
          <w:szCs w:val="28"/>
          <w:lang w:val="en-US"/>
        </w:rPr>
        <w:t>i</w:t>
      </w:r>
      <w:r>
        <w:rPr>
          <w:rFonts w:ascii="Times New Roman" w:hAnsi="Times New Roman" w:cs="Times New Roman"/>
          <w:bCs w:val="1"/>
          <w:sz w:val="28"/>
          <w:szCs w:val="28"/>
        </w:rPr>
        <w:t xml:space="preserve">=4 – цифровая платформа, </w:t>
      </w:r>
      <w:r>
        <w:rPr>
          <w:rFonts w:ascii="Times New Roman" w:hAnsi="Times New Roman" w:cs="Times New Roman"/>
          <w:bCs w:val="1"/>
          <w:sz w:val="28"/>
          <w:szCs w:val="28"/>
          <w:lang w:val="en-US"/>
        </w:rPr>
        <w:t>i</w:t>
      </w:r>
      <w:r>
        <w:rPr>
          <w:rFonts w:ascii="Times New Roman" w:hAnsi="Times New Roman" w:cs="Times New Roman"/>
          <w:bCs w:val="1"/>
          <w:sz w:val="28"/>
          <w:szCs w:val="28"/>
        </w:rPr>
        <w:t xml:space="preserve">=5 – образование и R&amp;D, </w:t>
      </w:r>
      <w:r>
        <w:rPr>
          <w:rFonts w:ascii="Times New Roman" w:hAnsi="Times New Roman" w:cs="Times New Roman"/>
          <w:bCs w:val="1"/>
          <w:sz w:val="28"/>
          <w:szCs w:val="28"/>
          <w:lang w:val="en-US"/>
        </w:rPr>
        <w:t>i</w:t>
      </w:r>
      <w:r>
        <w:rPr>
          <w:rFonts w:ascii="Times New Roman" w:hAnsi="Times New Roman" w:cs="Times New Roman"/>
          <w:bCs w:val="1"/>
          <w:sz w:val="28"/>
          <w:szCs w:val="28"/>
        </w:rPr>
        <w:t xml:space="preserve">=6 – энергетический и ESG-кластер, </w:t>
      </w:r>
      <w:r>
        <w:rPr>
          <w:rFonts w:ascii="Times New Roman" w:hAnsi="Times New Roman" w:cs="Times New Roman"/>
          <w:bCs w:val="1"/>
          <w:sz w:val="28"/>
          <w:szCs w:val="28"/>
          <w:lang w:val="en-US"/>
        </w:rPr>
        <w:t>i</w:t>
      </w:r>
      <w:r>
        <w:rPr>
          <w:rFonts w:ascii="Times New Roman" w:hAnsi="Times New Roman" w:cs="Times New Roman"/>
          <w:bCs w:val="1"/>
          <w:sz w:val="28"/>
          <w:szCs w:val="28"/>
        </w:rPr>
        <w:t xml:space="preserve">=7 – финансово-инвестиционный кластер, </w:t>
      </w:r>
      <w:r>
        <w:rPr>
          <w:rFonts w:ascii="Times New Roman" w:hAnsi="Times New Roman" w:cs="Times New Roman"/>
          <w:bCs w:val="1"/>
          <w:sz w:val="28"/>
          <w:szCs w:val="28"/>
          <w:lang w:val="en-US"/>
        </w:rPr>
        <w:t>i</w:t>
      </w:r>
      <w:r>
        <w:rPr>
          <w:rFonts w:ascii="Times New Roman" w:hAnsi="Times New Roman" w:cs="Times New Roman"/>
          <w:bCs w:val="1"/>
          <w:sz w:val="28"/>
          <w:szCs w:val="28"/>
        </w:rPr>
        <w:t xml:space="preserve">=8 – социально-инклюзивный и урбанистический кластер, </w:t>
      </w:r>
      <w:r>
        <w:rPr>
          <w:rFonts w:ascii="Times New Roman" w:hAnsi="Times New Roman" w:cs="Times New Roman"/>
          <w:bCs w:val="1"/>
          <w:sz w:val="28"/>
          <w:szCs w:val="28"/>
          <w:lang w:val="en-US"/>
        </w:rPr>
        <w:t>i</w:t>
      </w:r>
      <w:r>
        <w:rPr>
          <w:rFonts w:ascii="Times New Roman" w:hAnsi="Times New Roman" w:cs="Times New Roman"/>
          <w:bCs w:val="1"/>
          <w:sz w:val="28"/>
          <w:szCs w:val="28"/>
        </w:rPr>
        <w:t>=9 – экологический и климатический кластер.</w:t>
      </w:r>
    </w:p>
    <w:p>
      <w:pPr>
        <w:widowControl w:val="0"/>
        <w:spacing w:lineRule="auto" w:line="360" w:after="0" w:beforeAutospacing="0" w:afterAutospacing="0"/>
        <w:ind w:firstLine="709"/>
        <w:jc w:val="both"/>
        <w:rPr>
          <w:rFonts w:ascii="Times New Roman" w:hAnsi="Times New Roman" w:cs="Times New Roman"/>
          <w:bCs w:val="1"/>
          <w:sz w:val="28"/>
          <w:szCs w:val="28"/>
        </w:rPr>
      </w:pPr>
      <w:r>
        <w:rPr>
          <w:rFonts w:ascii="Times New Roman" w:hAnsi="Times New Roman" w:cs="Times New Roman"/>
          <w:bCs w:val="1"/>
          <w:sz w:val="28"/>
          <w:szCs w:val="28"/>
        </w:rPr>
        <w:t xml:space="preserve">Для каждого кластера </w:t>
      </w:r>
      <w:r>
        <w:rPr>
          <w:rFonts w:ascii="Times New Roman" w:hAnsi="Times New Roman" w:cs="Times New Roman"/>
          <w:bCs w:val="1"/>
          <w:sz w:val="28"/>
          <w:szCs w:val="28"/>
          <w:lang w:val="en-US"/>
        </w:rPr>
        <w:t>i</w:t>
      </w:r>
      <w:r>
        <w:rPr>
          <w:rFonts w:ascii="Times New Roman" w:hAnsi="Times New Roman" w:cs="Times New Roman"/>
          <w:bCs w:val="1"/>
          <w:sz w:val="28"/>
          <w:szCs w:val="28"/>
        </w:rPr>
        <w:t xml:space="preserve"> введем переменную степени его реализации x</w:t>
      </w:r>
      <w:r>
        <w:rPr>
          <w:rFonts w:ascii="Times New Roman" w:hAnsi="Times New Roman" w:cs="Times New Roman"/>
          <w:bCs w:val="1"/>
          <w:sz w:val="28"/>
          <w:szCs w:val="28"/>
          <w:vertAlign w:val="subscript"/>
          <w:lang w:val="en-US"/>
        </w:rPr>
        <w:t>i</w:t>
      </w:r>
      <w:r>
        <w:rPr>
          <w:rFonts w:ascii="Cambria Math" w:hAnsi="Cambria Math" w:cs="Cambria Math"/>
          <w:bCs w:val="1"/>
          <w:sz w:val="28"/>
          <w:szCs w:val="28"/>
        </w:rPr>
        <w:t>∈</w:t>
      </w:r>
      <w:r>
        <w:rPr>
          <w:rFonts w:ascii="Times New Roman" w:hAnsi="Times New Roman" w:cs="Times New Roman"/>
          <w:bCs w:val="1"/>
          <w:sz w:val="28"/>
          <w:szCs w:val="28"/>
        </w:rPr>
        <w:t xml:space="preserve"> [0;1], где x</w:t>
      </w:r>
      <w:r>
        <w:rPr>
          <w:rFonts w:ascii="Times New Roman" w:hAnsi="Times New Roman" w:cs="Times New Roman"/>
          <w:bCs w:val="1"/>
          <w:sz w:val="28"/>
          <w:szCs w:val="28"/>
          <w:vertAlign w:val="subscript"/>
          <w:lang w:val="en-US"/>
        </w:rPr>
        <w:t>i</w:t>
      </w:r>
      <w:r>
        <w:rPr>
          <w:rFonts w:ascii="Times New Roman" w:hAnsi="Times New Roman" w:cs="Times New Roman"/>
          <w:bCs w:val="1"/>
          <w:sz w:val="28"/>
          <w:szCs w:val="28"/>
        </w:rPr>
        <w:t>=0 соответствует отсутствию реализации проектных мероприятий, а x</w:t>
      </w:r>
      <w:r>
        <w:rPr>
          <w:rFonts w:ascii="Times New Roman" w:hAnsi="Times New Roman" w:cs="Times New Roman"/>
          <w:bCs w:val="1"/>
          <w:sz w:val="28"/>
          <w:szCs w:val="28"/>
          <w:vertAlign w:val="subscript"/>
          <w:lang w:val="en-US"/>
        </w:rPr>
        <w:t>i</w:t>
      </w:r>
      <w:r>
        <w:rPr>
          <w:rFonts w:ascii="Times New Roman" w:hAnsi="Times New Roman" w:cs="Times New Roman"/>
          <w:bCs w:val="1"/>
          <w:sz w:val="28"/>
          <w:szCs w:val="28"/>
        </w:rPr>
        <w:t>=1 – полной реализации проектного сценария инновационно-инклюзивного развития страны. Частичная реализация кластера (0&lt;x</w:t>
      </w:r>
      <w:r>
        <w:rPr>
          <w:rFonts w:ascii="Times New Roman" w:hAnsi="Times New Roman" w:cs="Times New Roman"/>
          <w:bCs w:val="1"/>
          <w:sz w:val="28"/>
          <w:szCs w:val="28"/>
          <w:vertAlign w:val="subscript"/>
          <w:lang w:val="en-US"/>
        </w:rPr>
        <w:t>i</w:t>
      </w:r>
      <w:r>
        <w:rPr>
          <w:rFonts w:ascii="Times New Roman" w:hAnsi="Times New Roman" w:cs="Times New Roman"/>
          <w:bCs w:val="1"/>
          <w:sz w:val="28"/>
          <w:szCs w:val="28"/>
        </w:rPr>
        <w:t>&lt;1) отражает поэтапное или неполное освоение инвестиционного и институционального потенциала.</w:t>
      </w:r>
    </w:p>
    <w:p>
      <w:pPr>
        <w:widowControl w:val="0"/>
        <w:spacing w:lineRule="auto" w:line="360" w:after="0" w:beforeAutospacing="0" w:afterAutospacing="0"/>
        <w:ind w:firstLine="709"/>
        <w:jc w:val="both"/>
        <w:rPr>
          <w:rFonts w:ascii="Times New Roman" w:hAnsi="Times New Roman" w:cs="Times New Roman"/>
          <w:bCs w:val="1"/>
          <w:sz w:val="28"/>
          <w:szCs w:val="28"/>
        </w:rPr>
      </w:pPr>
      <w:r>
        <w:rPr>
          <w:rFonts w:ascii="Times New Roman" w:hAnsi="Times New Roman" w:cs="Times New Roman"/>
          <w:bCs w:val="1"/>
          <w:sz w:val="28"/>
          <w:szCs w:val="28"/>
        </w:rPr>
        <w:t>Реализация проекта «Берег Восхода» предполагает одновременное развертывание девяти взаимосвязанных кластеров, каждый из которых является самостоятельной инвестиционной и операционной единицей, но одновременно формирует положительные внешние эффекты для остальных. Традиционные методы анализа инвестиционных проектов, основанные на изолированной оценке отдельных отраслей, не позволяют адекватно учитывать подобные синергетические эффекты. Для преодоления данного ограничения в настоящем исследовании предложено полиструктурное сценарно-симуляционное вычислительное ядро (ПСВЯ), представляющее собой математическую модель управления многокластерной платформенной системой.</w:t>
      </w:r>
      <w:r>
        <w:t xml:space="preserve"> </w:t>
      </w:r>
      <w:r>
        <w:rPr>
          <w:rFonts w:ascii="Times New Roman" w:hAnsi="Times New Roman" w:cs="Times New Roman"/>
          <w:bCs w:val="1"/>
          <w:sz w:val="28"/>
          <w:szCs w:val="28"/>
        </w:rPr>
        <w:t xml:space="preserve">Архитектура ПСВЯ опирается на методологию многокритериального инвестиционного планирования </w:t>
      </w:r>
      <w:r>
        <w:rPr>
          <w:rFonts w:ascii="Times New Roman" w:hAnsi="Times New Roman" w:cs="Times New Roman"/>
          <w:bCs w:val="1"/>
          <w:sz w:val="28"/>
          <w:szCs w:val="28"/>
          <w:highlight w:val="yellow"/>
        </w:rPr>
        <w:t>[2]</w:t>
      </w:r>
      <w:r>
        <w:rPr>
          <w:rFonts w:ascii="Times New Roman" w:hAnsi="Times New Roman" w:cs="Times New Roman"/>
          <w:bCs w:val="1"/>
          <w:sz w:val="28"/>
          <w:szCs w:val="28"/>
        </w:rPr>
        <w:t xml:space="preserve"> и теорию сетевых внешних эффектов </w:t>
      </w:r>
      <w:r>
        <w:rPr>
          <w:rFonts w:ascii="Times New Roman" w:hAnsi="Times New Roman" w:cs="Times New Roman"/>
          <w:bCs w:val="1"/>
          <w:sz w:val="28"/>
          <w:szCs w:val="28"/>
          <w:highlight w:val="yellow"/>
        </w:rPr>
        <w:t>[3]</w:t>
      </w:r>
      <w:r>
        <w:rPr>
          <w:rFonts w:ascii="Times New Roman" w:hAnsi="Times New Roman" w:cs="Times New Roman"/>
          <w:bCs w:val="1"/>
          <w:sz w:val="28"/>
          <w:szCs w:val="28"/>
        </w:rPr>
        <w:t>.</w:t>
      </w:r>
    </w:p>
    <w:p>
      <w:pPr>
        <w:spacing w:lineRule="auto" w:line="360" w:after="0" w:beforeAutospacing="0" w:afterAutospacing="0"/>
        <w:ind w:firstLine="709"/>
        <w:jc w:val="both"/>
        <w:rPr>
          <w:rFonts w:ascii="Times New Roman" w:hAnsi="Times New Roman" w:cs="Times New Roman"/>
          <w:sz w:val="28"/>
          <w:szCs w:val="28"/>
        </w:rPr>
      </w:pPr>
      <w:r>
        <w:rPr>
          <w:rFonts w:ascii="Times New Roman" w:hAnsi="Times New Roman" w:cs="Times New Roman"/>
          <w:sz w:val="28"/>
          <w:szCs w:val="28"/>
        </w:rPr>
        <w:t>Состояние платформы в момент времени t описывается вектором реализации:</w:t>
      </w:r>
    </w:p>
    <w:p>
      <w:pPr>
        <w:spacing w:lineRule="auto" w:line="360" w:after="0" w:beforeAutospacing="0" w:afterAutospacing="0"/>
        <w:rPr>
          <w:rFonts w:ascii="Times New Roman" w:hAnsi="Times New Roman" w:cs="Times New Roman"/>
          <w:sz w:val="28"/>
          <w:szCs w:val="28"/>
        </w:rPr>
      </w:pPr>
    </w:p>
    <w:p>
      <w:pPr>
        <w:tabs>
          <w:tab w:val="right" w:pos="9000" w:leader="none"/>
        </w:tabs>
        <w:spacing w:lineRule="auto" w:line="360" w:after="0" w:beforeAutospacing="0" w:afterAutospacing="0"/>
        <w:jc w:val="center"/>
        <w:rPr>
          <w:rFonts w:ascii="Times New Roman" w:hAnsi="Times New Roman" w:cs="Times New Roman" w:eastAsia="Courier New"/>
          <w:sz w:val="28"/>
          <w:szCs w:val="28"/>
        </w:rPr>
      </w:pPr>
      <w:r>
        <w:rPr>
          <w:rFonts w:ascii="Times New Roman" w:hAnsi="Times New Roman" w:cs="Times New Roman" w:eastAsiaTheme="minorEastAsia"/>
          <w:sz w:val="28"/>
          <w:szCs w:val="28"/>
        </w:rPr>
        <w:t xml:space="preserve">                      </w:t>
      </w:r>
      <m:oMathPara xmlns:m="http://schemas.openxmlformats.org/officeDocument/2006/math">
        <m:oMath>
          <m:r>
            <m:rPr>
              <m:scr m:val="roman"/>
              <m:sty m:val="i"/>
            </m:rPr>
            <m:t>X=</m:t>
          </m:r>
          <m:d>
            <m:dPr>
              <m:ctrlPr>
                <w:rPr>
                  <w:rFonts w:ascii="Cambria Math" w:hAnsi="Cambria Math" w:cs="Times New Roman" w:eastAsia="Courier New"/>
                  <w:i w:val="1"/>
                  <w:sz w:val="28"/>
                  <w:szCs w:val="28"/>
                </w:rPr>
              </m:ctrlPr>
              <m:shp m:val="centered"/>
            </m:dPr>
            <m:e>
              <m:argPr>
                <m:argSz m:val="0"/>
              </m:argPr>
              <m:sSup>
                <m:sSupPr>
                  <m:ctrlPr>
                    <w:rPr>
                      <w:rFonts w:ascii="Cambria Math" w:hAnsi="Cambria Math" w:cs="Times New Roman" w:eastAsia="Courier New"/>
                      <w:i w:val="1"/>
                      <w:sz w:val="28"/>
                      <w:szCs w:val="28"/>
                    </w:rPr>
                  </m:ctrlPr>
                </m:sSupPr>
                <m:e>
                  <m:argPr>
                    <m:argSz m:val="0"/>
                  </m:argPr>
                  <m:r>
                    <m:rPr>
                      <m:scr m:val="roman"/>
                      <m:sty m:val="i"/>
                    </m:rPr>
                    <m:t>x</m:t>
                  </m:r>
                </m:e>
                <m:sup>
                  <m:argPr>
                    <m:argSz m:val="0"/>
                  </m:argPr>
                  <m:r>
                    <m:rPr>
                      <m:scr m:val="roman"/>
                      <m:sty m:val="i"/>
                    </m:rPr>
                    <m:t>1</m:t>
                  </m:r>
                </m:sup>
              </m:sSup>
              <m:r>
                <m:rPr>
                  <m:scr m:val="roman"/>
                  <m:sty m:val="i"/>
                </m:rPr>
                <m:t>,</m:t>
              </m:r>
              <m:sSup>
                <m:sSupPr>
                  <m:ctrlPr>
                    <w:rPr>
                      <w:rFonts w:ascii="Cambria Math" w:hAnsi="Cambria Math" w:cs="Times New Roman" w:eastAsia="Courier New"/>
                      <w:i w:val="1"/>
                      <w:sz w:val="28"/>
                      <w:szCs w:val="28"/>
                    </w:rPr>
                  </m:ctrlPr>
                </m:sSupPr>
                <m:e>
                  <m:argPr>
                    <m:argSz m:val="0"/>
                  </m:argPr>
                  <m:r>
                    <m:rPr>
                      <m:scr m:val="roman"/>
                      <m:sty m:val="i"/>
                    </m:rPr>
                    <m:t>x</m:t>
                  </m:r>
                </m:e>
                <m:sup>
                  <m:argPr>
                    <m:argSz m:val="0"/>
                  </m:argPr>
                  <m:r>
                    <m:rPr>
                      <m:scr m:val="roman"/>
                      <m:sty m:val="i"/>
                    </m:rPr>
                    <m:t>2</m:t>
                  </m:r>
                </m:sup>
              </m:sSup>
              <m:r>
                <m:rPr>
                  <m:scr m:val="roman"/>
                  <m:sty m:val="i"/>
                </m:rPr>
                <m:t>,</m:t>
              </m:r>
              <m:sSup>
                <m:sSupPr>
                  <m:ctrlPr>
                    <w:rPr>
                      <w:rFonts w:ascii="Cambria Math" w:hAnsi="Cambria Math" w:cs="Times New Roman" w:eastAsia="Courier New"/>
                      <w:i w:val="1"/>
                      <w:sz w:val="28"/>
                      <w:szCs w:val="28"/>
                    </w:rPr>
                  </m:ctrlPr>
                </m:sSupPr>
                <m:e>
                  <m:argPr>
                    <m:argSz m:val="0"/>
                  </m:argPr>
                  <m:r>
                    <m:rPr>
                      <m:scr m:val="roman"/>
                      <m:sty m:val="i"/>
                    </m:rPr>
                    <m:t>x</m:t>
                  </m:r>
                </m:e>
                <m:sup>
                  <m:argPr>
                    <m:argSz m:val="0"/>
                  </m:argPr>
                  <m:r>
                    <m:rPr>
                      <m:scr m:val="roman"/>
                      <m:sty m:val="i"/>
                    </m:rPr>
                    <m:t>3</m:t>
                  </m:r>
                </m:sup>
              </m:sSup>
              <m:r>
                <m:rPr>
                  <m:scr m:val="roman"/>
                  <m:sty m:val="i"/>
                </m:rPr>
                <m:t>,</m:t>
              </m:r>
              <m:sSup>
                <m:sSupPr>
                  <m:ctrlPr>
                    <w:rPr>
                      <w:rFonts w:ascii="Cambria Math" w:hAnsi="Cambria Math" w:cs="Times New Roman" w:eastAsia="Courier New"/>
                      <w:i w:val="1"/>
                      <w:sz w:val="28"/>
                      <w:szCs w:val="28"/>
                    </w:rPr>
                  </m:ctrlPr>
                </m:sSupPr>
                <m:e>
                  <m:argPr>
                    <m:argSz m:val="0"/>
                  </m:argPr>
                  <m:r>
                    <m:rPr>
                      <m:scr m:val="roman"/>
                      <m:sty m:val="i"/>
                    </m:rPr>
                    <m:t>x</m:t>
                  </m:r>
                </m:e>
                <m:sup>
                  <m:argPr>
                    <m:argSz m:val="0"/>
                  </m:argPr>
                  <m:r>
                    <m:rPr>
                      <m:scr m:val="roman"/>
                      <m:sty m:val="i"/>
                    </m:rPr>
                    <m:t>4</m:t>
                  </m:r>
                </m:sup>
              </m:sSup>
              <m:r>
                <m:rPr>
                  <m:scr m:val="roman"/>
                  <m:sty m:val="i"/>
                </m:rPr>
                <m:t>,</m:t>
              </m:r>
              <m:sSup>
                <m:sSupPr>
                  <m:ctrlPr>
                    <w:rPr>
                      <w:rFonts w:ascii="Cambria Math" w:hAnsi="Cambria Math" w:cs="Times New Roman" w:eastAsia="Courier New"/>
                      <w:i w:val="1"/>
                      <w:sz w:val="28"/>
                      <w:szCs w:val="28"/>
                    </w:rPr>
                  </m:ctrlPr>
                </m:sSupPr>
                <m:e>
                  <m:argPr>
                    <m:argSz m:val="0"/>
                  </m:argPr>
                  <m:r>
                    <m:rPr>
                      <m:scr m:val="roman"/>
                      <m:sty m:val="i"/>
                    </m:rPr>
                    <m:t>x</m:t>
                  </m:r>
                </m:e>
                <m:sup>
                  <m:argPr>
                    <m:argSz m:val="0"/>
                  </m:argPr>
                  <m:r>
                    <m:rPr>
                      <m:scr m:val="roman"/>
                      <m:sty m:val="i"/>
                    </m:rPr>
                    <m:t>5</m:t>
                  </m:r>
                </m:sup>
              </m:sSup>
              <m:r>
                <m:rPr>
                  <m:scr m:val="roman"/>
                  <m:sty m:val="i"/>
                </m:rPr>
                <m:t>,</m:t>
              </m:r>
              <m:sSup>
                <m:sSupPr>
                  <m:ctrlPr>
                    <w:rPr>
                      <w:rFonts w:ascii="Cambria Math" w:hAnsi="Cambria Math" w:cs="Times New Roman" w:eastAsia="Courier New"/>
                      <w:i w:val="1"/>
                      <w:sz w:val="28"/>
                      <w:szCs w:val="28"/>
                    </w:rPr>
                  </m:ctrlPr>
                </m:sSupPr>
                <m:e>
                  <m:argPr>
                    <m:argSz m:val="0"/>
                  </m:argPr>
                  <m:r>
                    <m:rPr>
                      <m:scr m:val="roman"/>
                      <m:sty m:val="i"/>
                    </m:rPr>
                    <m:t>x</m:t>
                  </m:r>
                </m:e>
                <m:sup>
                  <m:argPr>
                    <m:argSz m:val="0"/>
                  </m:argPr>
                  <m:r>
                    <m:rPr>
                      <m:scr m:val="roman"/>
                      <m:sty m:val="i"/>
                    </m:rPr>
                    <m:t>6</m:t>
                  </m:r>
                </m:sup>
              </m:sSup>
              <m:r>
                <m:rPr>
                  <m:scr m:val="roman"/>
                  <m:sty m:val="i"/>
                </m:rPr>
                <m:t>,</m:t>
              </m:r>
              <m:sSup>
                <m:sSupPr>
                  <m:ctrlPr>
                    <w:rPr>
                      <w:rFonts w:ascii="Cambria Math" w:hAnsi="Cambria Math" w:cs="Times New Roman" w:eastAsia="Courier New"/>
                      <w:i w:val="1"/>
                      <w:sz w:val="28"/>
                      <w:szCs w:val="28"/>
                    </w:rPr>
                  </m:ctrlPr>
                </m:sSupPr>
                <m:e>
                  <m:argPr>
                    <m:argSz m:val="0"/>
                  </m:argPr>
                  <m:r>
                    <m:rPr>
                      <m:scr m:val="roman"/>
                      <m:sty m:val="i"/>
                    </m:rPr>
                    <m:t>x</m:t>
                  </m:r>
                </m:e>
                <m:sup>
                  <m:argPr>
                    <m:argSz m:val="0"/>
                  </m:argPr>
                  <m:r>
                    <m:rPr>
                      <m:scr m:val="roman"/>
                      <m:sty m:val="i"/>
                    </m:rPr>
                    <m:t>7</m:t>
                  </m:r>
                </m:sup>
              </m:sSup>
              <m:r>
                <m:rPr>
                  <m:scr m:val="roman"/>
                  <m:sty m:val="i"/>
                </m:rPr>
                <m:t>,</m:t>
              </m:r>
              <m:sSup>
                <m:sSupPr>
                  <m:ctrlPr>
                    <w:rPr>
                      <w:rFonts w:ascii="Cambria Math" w:hAnsi="Cambria Math" w:cs="Times New Roman" w:eastAsia="Courier New"/>
                      <w:i w:val="1"/>
                      <w:sz w:val="28"/>
                      <w:szCs w:val="28"/>
                    </w:rPr>
                  </m:ctrlPr>
                </m:sSupPr>
                <m:e>
                  <m:argPr>
                    <m:argSz m:val="0"/>
                  </m:argPr>
                  <m:r>
                    <m:rPr>
                      <m:scr m:val="roman"/>
                      <m:sty m:val="i"/>
                    </m:rPr>
                    <m:t>x</m:t>
                  </m:r>
                </m:e>
                <m:sup>
                  <m:argPr>
                    <m:argSz m:val="0"/>
                  </m:argPr>
                  <m:r>
                    <m:rPr>
                      <m:scr m:val="roman"/>
                      <m:sty m:val="i"/>
                    </m:rPr>
                    <m:t>8</m:t>
                  </m:r>
                </m:sup>
              </m:sSup>
              <m:r>
                <m:rPr>
                  <m:scr m:val="roman"/>
                  <m:sty m:val="i"/>
                </m:rPr>
                <m:t>,</m:t>
              </m:r>
              <m:sSup>
                <m:sSupPr>
                  <m:ctrlPr>
                    <w:rPr>
                      <w:rFonts w:ascii="Cambria Math" w:hAnsi="Cambria Math" w:cs="Times New Roman" w:eastAsia="Courier New"/>
                      <w:i w:val="1"/>
                      <w:sz w:val="28"/>
                      <w:szCs w:val="28"/>
                    </w:rPr>
                  </m:ctrlPr>
                </m:sSupPr>
                <m:e>
                  <m:argPr>
                    <m:argSz m:val="0"/>
                  </m:argPr>
                  <m:r>
                    <m:rPr>
                      <m:scr m:val="roman"/>
                      <m:sty m:val="i"/>
                    </m:rPr>
                    <m:t>x</m:t>
                  </m:r>
                </m:e>
                <m:sup>
                  <m:argPr>
                    <m:argSz m:val="0"/>
                  </m:argPr>
                  <m:r>
                    <m:rPr>
                      <m:scr m:val="roman"/>
                      <m:sty m:val="i"/>
                    </m:rPr>
                    <m:t>9</m:t>
                  </m:r>
                </m:sup>
              </m:sSup>
            </m:e>
          </m:d>
          <m:r>
            <m:rPr>
              <m:scr m:val="roman"/>
              <m:sty m:val="i"/>
            </m:rPr>
            <m:t>ᵀ</m:t>
          </m:r>
        </m:oMath>
      </m:oMathPara>
      <w:r>
        <w:rPr>
          <w:rFonts w:ascii="Times New Roman" w:hAnsi="Times New Roman" w:cs="Times New Roman" w:eastAsia="Courier New"/>
          <w:sz w:val="28"/>
          <w:szCs w:val="28"/>
        </w:rPr>
        <w:t xml:space="preserve">, </w:t>
      </w:r>
      <w:r>
        <w:rPr>
          <w:rFonts w:ascii="Times New Roman" w:hAnsi="Times New Roman" w:cs="Times New Roman"/>
          <w:sz w:val="28"/>
          <w:szCs w:val="28"/>
        </w:rPr>
        <w:t xml:space="preserve">                  (</w:t>
      </w:r>
      <w:r>
        <w:rPr>
          <w:rFonts w:ascii="Times New Roman" w:hAnsi="Times New Roman" w:cs="Times New Roman"/>
          <w:sz w:val="28"/>
          <w:szCs w:val="28"/>
          <w:highlight w:val="yellow"/>
        </w:rPr>
        <w:t>3.1</w:t>
      </w:r>
      <w:r>
        <w:rPr>
          <w:rFonts w:ascii="Times New Roman" w:hAnsi="Times New Roman" w:cs="Times New Roman"/>
          <w:sz w:val="28"/>
          <w:szCs w:val="28"/>
        </w:rPr>
        <w:t>)</w:t>
      </w:r>
    </w:p>
    <w:p>
      <w:pPr>
        <w:spacing w:lineRule="auto" w:line="360" w:after="0" w:beforeAutospacing="0" w:afterAutospacing="0"/>
        <w:rPr>
          <w:rFonts w:ascii="Times New Roman" w:hAnsi="Times New Roman" w:cs="Times New Roman"/>
          <w:sz w:val="28"/>
          <w:szCs w:val="28"/>
        </w:rPr>
      </w:pPr>
    </w:p>
    <w:p>
      <w:pPr>
        <w:widowControl w:val="0"/>
        <w:spacing w:lineRule="auto" w:line="360" w:after="0" w:beforeAutospacing="0" w:afterAutospacing="0"/>
        <w:ind w:firstLine="709"/>
        <w:jc w:val="both"/>
        <w:rPr>
          <w:rFonts w:ascii="Times New Roman" w:hAnsi="Times New Roman" w:cs="Times New Roman"/>
          <w:sz w:val="28"/>
          <w:szCs w:val="28"/>
        </w:rPr>
      </w:pPr>
      <w:r>
        <w:rPr>
          <w:rFonts w:ascii="Times New Roman" w:hAnsi="Times New Roman" w:cs="Times New Roman"/>
          <w:sz w:val="28"/>
          <w:szCs w:val="28"/>
        </w:rPr>
        <w:t xml:space="preserve">где  </w:t>
      </w:r>
      <m:oMathPara xmlns:m="http://schemas.openxmlformats.org/officeDocument/2006/math">
        <m:oMath>
          <m:r>
            <m:rPr>
              <m:scr m:val="roman"/>
              <m:sty m:val="i"/>
            </m:rPr>
            <m:t>x</m:t>
          </m:r>
          <m:r>
            <m:rPr>
              <m:scr m:val="roman"/>
              <m:sty m:val="bi"/>
            </m:rPr>
            <m:t>ᵢ</m:t>
          </m:r>
        </m:oMath>
      </m:oMathPara>
      <w:r>
        <w:rPr>
          <w:rFonts w:ascii="Times New Roman" w:hAnsi="Times New Roman" w:cs="Times New Roman"/>
          <w:sz w:val="28"/>
          <w:szCs w:val="28"/>
        </w:rPr>
        <w:t xml:space="preserve"> – степень реализации i-го кластера (0 = не запущен; 1 = полная проектная мощность).</w:t>
      </w:r>
    </w:p>
    <w:p>
      <w:pPr>
        <w:spacing w:lineRule="auto" w:line="360" w:after="0" w:beforeAutospacing="0" w:afterAutospacing="0"/>
        <w:ind w:firstLine="709"/>
        <w:jc w:val="both"/>
        <w:rPr>
          <w:rFonts w:ascii="Times New Roman" w:hAnsi="Times New Roman" w:cs="Times New Roman"/>
          <w:sz w:val="28"/>
          <w:szCs w:val="28"/>
        </w:rPr>
      </w:pPr>
      <w:r>
        <w:rPr>
          <w:rFonts w:ascii="Times New Roman" w:hAnsi="Times New Roman" w:cs="Times New Roman"/>
          <w:sz w:val="28"/>
          <w:szCs w:val="28"/>
        </w:rPr>
        <w:t>Минимальные значения переменных x</w:t>
      </w:r>
      <w:r>
        <w:rPr>
          <w:rFonts w:ascii="Times New Roman" w:hAnsi="Times New Roman" w:cs="Times New Roman"/>
          <w:sz w:val="28"/>
          <w:szCs w:val="28"/>
          <w:vertAlign w:val="subscript"/>
        </w:rPr>
        <w:t>i</w:t>
      </w:r>
      <w:r>
        <w:rPr>
          <w:rFonts w:ascii="Times New Roman" w:hAnsi="Times New Roman" w:cs="Times New Roman"/>
          <w:sz w:val="28"/>
          <w:szCs w:val="28"/>
          <w:vertAlign w:val="superscript"/>
        </w:rPr>
        <w:t>min</w:t>
      </w:r>
      <w:r>
        <w:rPr>
          <w:rFonts w:ascii="Times New Roman" w:hAnsi="Times New Roman" w:cs="Times New Roman"/>
          <w:sz w:val="28"/>
          <w:szCs w:val="28"/>
        </w:rPr>
        <w:t xml:space="preserve"> отражают критические уровни реализации кластеров, при которых обеспечивается их базовая функциональность. Например, для цифрового кластера пороговое значение составляет приблизительно </w:t>
      </w:r>
      <m:oMathPara xmlns:m="http://schemas.openxmlformats.org/officeDocument/2006/math">
        <m:oMath>
          <m:sSup>
            <m:sSupPr>
              <m:ctrlPr>
                <w:rPr>
                  <w:rFonts w:ascii="Cambria Math" w:hAnsi="Cambria Math" w:cs="Times New Roman"/>
                  <w:i w:val="1"/>
                  <w:sz w:val="28"/>
                  <w:szCs w:val="28"/>
                </w:rPr>
              </m:ctrlPr>
            </m:sSupPr>
            <m:e>
              <m:argPr>
                <m:argSz m:val="0"/>
              </m:argPr>
              <m:r>
                <m:rPr>
                  <m:scr m:val="roman"/>
                  <m:sty m:val="i"/>
                </m:rPr>
                <m:t>x</m:t>
              </m:r>
            </m:e>
            <m:sup>
              <m:argPr>
                <m:argSz m:val="0"/>
              </m:argPr>
              <m:r>
                <m:rPr>
                  <m:scr m:val="roman"/>
                  <m:sty m:val="i"/>
                </m:rPr>
                <m:t>4min</m:t>
              </m:r>
            </m:sup>
          </m:sSup>
        </m:oMath>
      </m:oMathPara>
      <w:r>
        <w:rPr>
          <w:rFonts w:ascii="Times New Roman" w:hAnsi="Times New Roman" w:cs="Times New Roman"/>
          <w:sz w:val="28"/>
          <w:szCs w:val="28"/>
        </w:rPr>
        <w:t xml:space="preserve"> ≈ 0,30, поскольку без достижения данного уровня невозможно обеспечить координацию остальных кластеров через цифровую платформу.</w:t>
      </w:r>
    </w:p>
    <w:p>
      <w:pPr>
        <w:spacing w:lineRule="auto" w:line="360" w:after="0" w:beforeAutospacing="0" w:afterAutospacing="0"/>
        <w:ind w:firstLine="709"/>
        <w:jc w:val="both"/>
        <w:rPr>
          <w:rFonts w:ascii="Times New Roman" w:hAnsi="Times New Roman" w:cs="Times New Roman"/>
          <w:sz w:val="28"/>
          <w:szCs w:val="28"/>
        </w:rPr>
      </w:pPr>
      <w:r>
        <w:rPr>
          <w:rFonts w:ascii="Times New Roman" w:hAnsi="Times New Roman" w:cs="Times New Roman"/>
          <w:sz w:val="28"/>
          <w:szCs w:val="28"/>
        </w:rPr>
        <w:t>Целевой функцией модели является суммарный прирост валовой добавленной стоимости (ВДС) платформы, включающий три компоненты: прямой эффект кластеров, синергетические эффекты межкластерных взаимодействий и эффект снижения транзакционных издержек через цифровую платформу:</w:t>
      </w:r>
    </w:p>
    <w:p>
      <w:pPr>
        <w:spacing w:lineRule="auto" w:line="360" w:after="0" w:beforeAutospacing="0" w:afterAutospacing="0"/>
        <w:rPr>
          <w:rFonts w:ascii="Times New Roman" w:hAnsi="Times New Roman" w:cs="Times New Roman"/>
          <w:sz w:val="28"/>
          <w:szCs w:val="28"/>
        </w:rPr>
      </w:pPr>
    </w:p>
    <w:p>
      <w:pPr>
        <w:tabs>
          <w:tab w:val="right" w:pos="9638" w:leader="none"/>
        </w:tabs>
        <w:spacing w:lineRule="auto" w:line="240" w:beforeAutospacing="0" w:afterAutospacing="0"/>
        <w:jc w:val="center"/>
        <w:rPr>
          <w:sz w:val="28"/>
          <w:szCs w:val="28"/>
        </w:rPr>
      </w:pPr>
      <w:r>
        <w:rPr>
          <w:rFonts w:ascii="Times New Roman" w:hAnsi="Times New Roman" w:eastAsia="Times New Roman"/>
          <w:sz w:val="28"/>
          <w:szCs w:val="28"/>
        </w:rPr>
        <w:t xml:space="preserve">     </w:t>
      </w:r>
      <m:oMathPara xmlns:m="http://schemas.openxmlformats.org/officeDocument/2006/math">
        <m:oMath>
          <m:r>
            <m:rPr>
              <m:scr m:val="roman"/>
              <m:sty m:val="i"/>
            </m:rPr>
            <m:t>ΔY</m:t>
          </m:r>
          <m:d>
            <m:dPr>
              <m:ctrlPr>
                <w:rPr>
                  <w:rFonts w:ascii="Cambria Math" w:hAnsi="Cambria Math" w:cs="Times New Roman"/>
                  <w:sz w:val="24"/>
                  <w:szCs w:val="24"/>
                </w:rPr>
              </m:ctrlPr>
              <m:shp m:val="centered"/>
            </m:dPr>
            <m:e>
              <m:argPr>
                <m:argSz m:val="0"/>
              </m:argPr>
              <m:r>
                <m:rPr>
                  <m:scr m:val="roman"/>
                  <m:sty m:val="i"/>
                </m:rPr>
                <m:t>X</m:t>
              </m:r>
            </m:e>
          </m:d>
          <m:r>
            <m:rPr>
              <m:scr m:val="roman"/>
              <m:sty m:val="p"/>
            </m:rPr>
            <m:t>=</m:t>
          </m:r>
          <m:nary>
            <m:naryPr>
              <m:ctrlPr>
                <w:rPr>
                  <w:rFonts w:ascii="Cambria Math" w:hAnsi="Cambria Math" w:cs="Times New Roman"/>
                  <w:sz w:val="24"/>
                  <w:szCs w:val="24"/>
                </w:rPr>
              </m:ctrlPr>
              <m:chr m:val="∑"/>
              <m:limLoc m:val="undOvr"/>
            </m:naryPr>
            <m:sub>
              <m:argPr>
                <m:argSz m:val="0"/>
              </m:argPr>
              <m:r>
                <m:rPr>
                  <m:scr m:val="roman"/>
                  <m:sty m:val="i"/>
                </m:rPr>
                <m:t>i</m:t>
              </m:r>
              <m:r>
                <m:rPr>
                  <m:scr m:val="roman"/>
                  <m:sty m:val="p"/>
                </m:rPr>
                <m:t>=1</m:t>
              </m:r>
            </m:sub>
            <m:sup>
              <m:argPr>
                <m:argSz m:val="0"/>
              </m:argPr>
              <m:r>
                <m:rPr>
                  <m:scr m:val="roman"/>
                  <m:sty m:val="p"/>
                </m:rPr>
                <m:t>9</m:t>
              </m:r>
            </m:sup>
            <m:e>
              <m:argPr>
                <m:argSz m:val="0"/>
              </m:argPr>
              <m:sSub>
                <m:sSubPr>
                  <m:ctrlPr>
                    <w:rPr>
                      <w:rFonts w:ascii="Cambria Math" w:hAnsi="Cambria Math" w:cs="Times New Roman"/>
                      <w:sz w:val="24"/>
                      <w:szCs w:val="24"/>
                    </w:rPr>
                  </m:ctrlPr>
                </m:sSubPr>
                <m:e>
                  <m:argPr>
                    <m:argSz m:val="0"/>
                  </m:argPr>
                  <m:r>
                    <m:rPr>
                      <m:scr m:val="roman"/>
                      <m:sty m:val="i"/>
                    </m:rPr>
                    <m:t>k</m:t>
                  </m:r>
                </m:e>
                <m:sub>
                  <m:argPr>
                    <m:argSz m:val="0"/>
                  </m:argPr>
                  <m:r>
                    <m:rPr>
                      <m:scr m:val="roman"/>
                      <m:sty m:val="i"/>
                    </m:rPr>
                    <m:t>i</m:t>
                  </m:r>
                </m:sub>
              </m:sSub>
              <m:r>
                <m:rPr>
                  <m:scr m:val="roman"/>
                  <m:sty m:val="p"/>
                </m:rPr>
                <m:t>⋅</m:t>
              </m:r>
              <m:d>
                <m:dPr>
                  <m:ctrlPr>
                    <w:rPr>
                      <w:rFonts w:ascii="Cambria Math" w:hAnsi="Cambria Math" w:cs="Times New Roman"/>
                      <w:sz w:val="24"/>
                      <w:szCs w:val="24"/>
                    </w:rPr>
                  </m:ctrlPr>
                  <m:shp m:val="centered"/>
                </m:dPr>
                <m:e>
                  <m:argPr>
                    <m:argSz m:val="0"/>
                  </m:argPr>
                  <m:r>
                    <m:rPr>
                      <m:scr m:val="roman"/>
                      <m:sty m:val="p"/>
                    </m:rPr>
                    <m:t>1+</m:t>
                  </m:r>
                  <m:sSub>
                    <m:sSubPr>
                      <m:ctrlPr>
                        <w:rPr>
                          <w:rFonts w:ascii="Cambria Math" w:hAnsi="Cambria Math" w:cs="Times New Roman"/>
                          <w:sz w:val="24"/>
                          <w:szCs w:val="24"/>
                        </w:rPr>
                      </m:ctrlPr>
                    </m:sSubPr>
                    <m:e>
                      <m:argPr>
                        <m:argSz m:val="0"/>
                      </m:argPr>
                      <m:r>
                        <m:rPr>
                          <m:scr m:val="roman"/>
                          <m:sty m:val="i"/>
                        </m:rPr>
                        <m:t>δ</m:t>
                      </m:r>
                    </m:e>
                    <m:sub>
                      <m:argPr>
                        <m:argSz m:val="0"/>
                      </m:argPr>
                      <m:r>
                        <m:rPr>
                          <m:scr m:val="roman"/>
                          <m:sty m:val="i"/>
                        </m:rPr>
                        <m:t>i</m:t>
                      </m:r>
                    </m:sub>
                  </m:sSub>
                  <m:r>
                    <m:rPr>
                      <m:scr m:val="roman"/>
                      <m:sty m:val="p"/>
                    </m:rPr>
                    <m:t>⋅</m:t>
                  </m:r>
                  <m:sSub>
                    <m:sSubPr>
                      <m:ctrlPr>
                        <w:rPr>
                          <w:rFonts w:ascii="Cambria Math" w:hAnsi="Cambria Math" w:cs="Times New Roman"/>
                          <w:sz w:val="24"/>
                          <w:szCs w:val="24"/>
                        </w:rPr>
                      </m:ctrlPr>
                    </m:sSubPr>
                    <m:e>
                      <m:argPr>
                        <m:argSz m:val="0"/>
                      </m:argPr>
                      <m:r>
                        <m:rPr>
                          <m:scr m:val="roman"/>
                          <m:sty m:val="i"/>
                        </m:rPr>
                        <m:t>x</m:t>
                      </m:r>
                    </m:e>
                    <m:sub>
                      <m:argPr>
                        <m:argSz m:val="0"/>
                      </m:argPr>
                      <m:r>
                        <m:rPr>
                          <m:scr m:val="roman"/>
                          <m:sty m:val="p"/>
                        </m:rPr>
                        <m:t>4</m:t>
                      </m:r>
                    </m:sub>
                  </m:sSub>
                </m:e>
              </m:d>
              <m:r>
                <m:rPr>
                  <m:scr m:val="roman"/>
                  <m:sty m:val="p"/>
                </m:rPr>
                <m:t>⋅</m:t>
              </m:r>
              <m:sSub>
                <m:sSubPr>
                  <m:ctrlPr>
                    <w:rPr>
                      <w:rFonts w:ascii="Cambria Math" w:hAnsi="Cambria Math" w:cs="Times New Roman"/>
                      <w:sz w:val="24"/>
                      <w:szCs w:val="24"/>
                    </w:rPr>
                  </m:ctrlPr>
                </m:sSubPr>
                <m:e>
                  <m:argPr>
                    <m:argSz m:val="0"/>
                  </m:argPr>
                  <m:r>
                    <m:rPr>
                      <m:scr m:val="roman"/>
                      <m:sty m:val="i"/>
                    </m:rPr>
                    <m:t>x</m:t>
                  </m:r>
                </m:e>
                <m:sub>
                  <m:argPr>
                    <m:argSz m:val="0"/>
                  </m:argPr>
                  <m:r>
                    <m:rPr>
                      <m:scr m:val="roman"/>
                      <m:sty m:val="i"/>
                    </m:rPr>
                    <m:t>i</m:t>
                  </m:r>
                </m:sub>
              </m:sSub>
              <m:r>
                <m:rPr>
                  <m:scr m:val="roman"/>
                  <m:sty m:val="p"/>
                </m:rPr>
                <m:t>⋅</m:t>
              </m:r>
              <m:sSubSup>
                <m:sSubSupPr>
                  <m:ctrlPr>
                    <w:rPr>
                      <w:rFonts w:ascii="Cambria Math" w:hAnsi="Cambria Math" w:cs="Times New Roman"/>
                      <w:sz w:val="24"/>
                      <w:szCs w:val="24"/>
                    </w:rPr>
                  </m:ctrlPr>
                </m:sSubSupPr>
                <m:e>
                  <m:argPr>
                    <m:argSz m:val="0"/>
                  </m:argPr>
                  <m:r>
                    <m:rPr>
                      <m:scr m:val="roman"/>
                      <m:sty m:val="i"/>
                    </m:rPr>
                    <m:t>Q</m:t>
                  </m:r>
                </m:e>
                <m:sub>
                  <m:argPr>
                    <m:argSz m:val="0"/>
                  </m:argPr>
                  <m:r>
                    <m:rPr>
                      <m:scr m:val="roman"/>
                      <m:sty m:val="i"/>
                    </m:rPr>
                    <m:t>i</m:t>
                  </m:r>
                </m:sub>
                <m:sup>
                  <m:argPr>
                    <m:argSz m:val="0"/>
                  </m:argPr>
                  <m:r>
                    <m:rPr>
                      <m:scr m:val="roman"/>
                      <m:sty m:val="p"/>
                    </m:rPr>
                    <m:t>max</m:t>
                  </m:r>
                </m:sup>
              </m:sSubSup>
            </m:e>
          </m:nary>
          <m:r>
            <m:rPr>
              <m:scr m:val="roman"/>
              <m:sty m:val="p"/>
            </m:rPr>
            <m:t>+</m:t>
          </m:r>
          <m:nary>
            <m:naryPr>
              <m:ctrlPr>
                <w:rPr>
                  <w:rFonts w:ascii="Cambria Math" w:hAnsi="Cambria Math" w:cs="Times New Roman"/>
                  <w:sz w:val="24"/>
                  <w:szCs w:val="24"/>
                </w:rPr>
              </m:ctrlPr>
              <m:chr m:val="∑"/>
              <m:limLoc m:val="undOvr"/>
            </m:naryPr>
            <m:sub>
              <m:argPr>
                <m:argSz m:val="0"/>
              </m:argPr>
              <m:r>
                <m:rPr>
                  <m:scr m:val="roman"/>
                  <m:sty m:val="i"/>
                </m:rPr>
                <m:t>i</m:t>
              </m:r>
              <m:r>
                <m:rPr>
                  <m:scr m:val="roman"/>
                  <m:sty m:val="p"/>
                </m:rPr>
                <m:t>=1</m:t>
              </m:r>
            </m:sub>
            <m:sup>
              <m:argPr>
                <m:argSz m:val="0"/>
              </m:argPr>
              <m:r>
                <m:rPr>
                  <m:scr m:val="roman"/>
                  <m:sty m:val="i"/>
                </m:rPr>
                <m:t>9</m:t>
              </m:r>
            </m:sup>
            <m:e>
              <m:argPr>
                <m:argSz m:val="0"/>
              </m:argPr>
              <m:r>
                <m:rPr>
                  <m:scr m:val="roman"/>
                  <m:sty m:val="i"/>
                </m:rPr>
                <m:t xml:space="preserve"> </m:t>
              </m:r>
              <m:nary>
                <m:naryPr>
                  <m:ctrlPr>
                    <w:rPr>
                      <w:rFonts w:ascii="Cambria Math" w:hAnsi="Cambria Math" w:cs="Times New Roman"/>
                      <w:sz w:val="24"/>
                      <w:szCs w:val="24"/>
                    </w:rPr>
                  </m:ctrlPr>
                  <m:chr m:val="∑"/>
                  <m:limLoc m:val="undOvr"/>
                </m:naryPr>
                <m:sub>
                  <m:argPr>
                    <m:argSz m:val="0"/>
                  </m:argPr>
                  <m:r>
                    <m:rPr>
                      <m:scr m:val="roman"/>
                      <m:sty m:val="i"/>
                    </m:rPr>
                    <m:t>j&gt;</m:t>
                  </m:r>
                  <m:r>
                    <m:rPr>
                      <m:scr m:val="roman"/>
                      <m:sty m:val="i"/>
                    </m:rPr>
                    <m:t>i</m:t>
                  </m:r>
                </m:sub>
                <m:sup>
                  <m:argPr>
                    <m:argSz m:val="0"/>
                  </m:argPr>
                  <m:r>
                    <m:rPr>
                      <m:scr m:val="roman"/>
                      <m:sty m:val="i"/>
                    </m:rPr>
                    <m:t>9</m:t>
                  </m:r>
                </m:sup>
                <m:e>
                  <m:argPr>
                    <m:argSz m:val="0"/>
                  </m:argPr>
                  <m:r>
                    <m:rPr>
                      <m:scr m:val="roman"/>
                      <m:sty m:val="i"/>
                    </m:rPr>
                    <m:t xml:space="preserve"> </m:t>
                  </m:r>
                </m:e>
              </m:nary>
              <m:sSub>
                <m:sSubPr>
                  <m:ctrlPr>
                    <w:rPr>
                      <w:rFonts w:ascii="Cambria Math" w:hAnsi="Cambria Math" w:cs="Times New Roman"/>
                      <w:sz w:val="24"/>
                      <w:szCs w:val="24"/>
                    </w:rPr>
                  </m:ctrlPr>
                </m:sSubPr>
                <m:e>
                  <m:argPr>
                    <m:argSz m:val="0"/>
                  </m:argPr>
                  <m:r>
                    <m:rPr>
                      <m:scr m:val="roman"/>
                      <m:sty m:val="i"/>
                    </m:rPr>
                    <m:t>s</m:t>
                  </m:r>
                </m:e>
                <m:sub>
                  <m:argPr>
                    <m:argSz m:val="0"/>
                  </m:argPr>
                  <m:r>
                    <m:rPr>
                      <m:scr m:val="roman"/>
                      <m:sty m:val="p"/>
                    </m:rPr>
                    <m:t>ij</m:t>
                  </m:r>
                </m:sub>
              </m:sSub>
              <m:r>
                <m:rPr>
                  <m:scr m:val="roman"/>
                  <m:sty m:val="p"/>
                </m:rPr>
                <m:t>⋅</m:t>
              </m:r>
              <m:sSub>
                <m:sSubPr>
                  <m:ctrlPr>
                    <w:rPr>
                      <w:rFonts w:ascii="Cambria Math" w:hAnsi="Cambria Math" w:cs="Times New Roman"/>
                      <w:sz w:val="24"/>
                      <w:szCs w:val="24"/>
                    </w:rPr>
                  </m:ctrlPr>
                </m:sSubPr>
                <m:e>
                  <m:argPr>
                    <m:argSz m:val="0"/>
                  </m:argPr>
                  <m:r>
                    <m:rPr>
                      <m:scr m:val="roman"/>
                      <m:sty m:val="i"/>
                    </m:rPr>
                    <m:t>x</m:t>
                  </m:r>
                </m:e>
                <m:sub>
                  <m:argPr>
                    <m:argSz m:val="0"/>
                  </m:argPr>
                  <m:r>
                    <m:rPr>
                      <m:scr m:val="roman"/>
                      <m:sty m:val="i"/>
                    </m:rPr>
                    <m:t>i</m:t>
                  </m:r>
                </m:sub>
              </m:sSub>
              <m:r>
                <m:rPr>
                  <m:scr m:val="roman"/>
                  <m:sty m:val="p"/>
                </m:rPr>
                <m:t>⋅</m:t>
              </m:r>
              <m:sSub>
                <m:sSubPr>
                  <m:ctrlPr>
                    <w:rPr>
                      <w:rFonts w:ascii="Cambria Math" w:hAnsi="Cambria Math" w:cs="Times New Roman"/>
                      <w:sz w:val="24"/>
                      <w:szCs w:val="24"/>
                    </w:rPr>
                  </m:ctrlPr>
                </m:sSubPr>
                <m:e>
                  <m:argPr>
                    <m:argSz m:val="0"/>
                  </m:argPr>
                  <m:r>
                    <m:rPr>
                      <m:scr m:val="roman"/>
                      <m:sty m:val="i"/>
                    </m:rPr>
                    <m:t>x</m:t>
                  </m:r>
                </m:e>
                <m:sub>
                  <m:argPr>
                    <m:argSz m:val="0"/>
                  </m:argPr>
                  <m:r>
                    <m:rPr>
                      <m:scr m:val="roman"/>
                      <m:sty m:val="i"/>
                    </m:rPr>
                    <m:t>j</m:t>
                  </m:r>
                </m:sub>
              </m:sSub>
              <m:r>
                <m:rPr>
                  <m:scr m:val="roman"/>
                  <m:sty m:val="p"/>
                </m:rPr>
                <m:t>⋅</m:t>
              </m:r>
              <m:d>
                <m:dPr>
                  <m:ctrlPr>
                    <w:rPr>
                      <w:rFonts w:ascii="Cambria Math" w:hAnsi="Cambria Math" w:cs="Times New Roman"/>
                      <w:sz w:val="24"/>
                      <w:szCs w:val="24"/>
                    </w:rPr>
                  </m:ctrlPr>
                  <m:shp m:val="centered"/>
                </m:dPr>
                <m:e>
                  <m:argPr>
                    <m:argSz m:val="0"/>
                  </m:argPr>
                  <m:sSub>
                    <m:sSubPr>
                      <m:ctrlPr>
                        <w:rPr>
                          <w:rFonts w:ascii="Cambria Math" w:hAnsi="Cambria Math" w:cs="Times New Roman"/>
                          <w:sz w:val="24"/>
                          <w:szCs w:val="24"/>
                        </w:rPr>
                      </m:ctrlPr>
                    </m:sSubPr>
                    <m:e>
                      <m:argPr>
                        <m:argSz m:val="0"/>
                      </m:argPr>
                      <m:r>
                        <m:rPr>
                          <m:scr m:val="roman"/>
                          <m:sty m:val="i"/>
                        </m:rPr>
                        <m:t>Q̅</m:t>
                      </m:r>
                    </m:e>
                    <m:sub>
                      <m:argPr>
                        <m:argSz m:val="0"/>
                      </m:argPr>
                      <m:r>
                        <m:rPr>
                          <m:scr m:val="roman"/>
                          <m:sty m:val="i"/>
                        </m:rPr>
                        <m:t>i</m:t>
                      </m:r>
                    </m:sub>
                  </m:sSub>
                  <m:r>
                    <m:rPr>
                      <m:scr m:val="roman"/>
                      <m:sty m:val="p"/>
                    </m:rPr>
                    <m:t>+</m:t>
                  </m:r>
                  <m:sSub>
                    <m:sSubPr>
                      <m:ctrlPr>
                        <w:rPr>
                          <w:rFonts w:ascii="Cambria Math" w:hAnsi="Cambria Math" w:cs="Times New Roman"/>
                          <w:sz w:val="24"/>
                          <w:szCs w:val="24"/>
                        </w:rPr>
                      </m:ctrlPr>
                    </m:sSubPr>
                    <m:e>
                      <m:argPr>
                        <m:argSz m:val="0"/>
                      </m:argPr>
                      <m:r>
                        <m:rPr>
                          <m:scr m:val="roman"/>
                          <m:sty m:val="i"/>
                        </m:rPr>
                        <m:t>Q̅</m:t>
                      </m:r>
                    </m:e>
                    <m:sub>
                      <m:argPr>
                        <m:argSz m:val="0"/>
                      </m:argPr>
                      <m:r>
                        <m:rPr>
                          <m:scr m:val="roman"/>
                          <m:sty m:val="i"/>
                        </m:rPr>
                        <m:t>j</m:t>
                      </m:r>
                    </m:sub>
                  </m:sSub>
                </m:e>
              </m:d>
            </m:e>
          </m:nary>
          <m:r>
            <m:rPr>
              <m:scr m:val="roman"/>
              <m:sty m:val="p"/>
            </m:rPr>
            <m:t>+ </m:t>
          </m:r>
          <m:r>
            <m:rPr>
              <m:scr m:val="roman"/>
              <m:sty m:val="i"/>
            </m:rPr>
            <m:t>Δ</m:t>
          </m:r>
          <m:sSub>
            <m:sSubPr>
              <m:ctrlPr>
                <w:rPr>
                  <w:rFonts w:ascii="Cambria Math" w:hAnsi="Cambria Math" w:cs="Times New Roman"/>
                  <w:sz w:val="24"/>
                  <w:szCs w:val="24"/>
                </w:rPr>
              </m:ctrlPr>
            </m:sSubPr>
            <m:e>
              <m:argPr>
                <m:argSz m:val="0"/>
              </m:argPr>
              <m:r>
                <m:rPr>
                  <m:scr m:val="roman"/>
                  <m:sty m:val="i"/>
                </m:rPr>
                <m:t>Y</m:t>
              </m:r>
            </m:e>
            <m:sub>
              <m:argPr>
                <m:argSz m:val="0"/>
              </m:argPr>
              <m:r>
                <m:rPr>
                  <m:scr m:val="roman"/>
                  <m:sty m:val="p"/>
                </m:rPr>
                <m:t>TC</m:t>
              </m:r>
            </m:sub>
          </m:sSub>
          <m:d>
            <m:dPr>
              <m:ctrlPr>
                <w:rPr>
                  <w:rFonts w:ascii="Cambria Math" w:hAnsi="Cambria Math" w:cs="Times New Roman"/>
                  <w:sz w:val="24"/>
                  <w:szCs w:val="24"/>
                </w:rPr>
              </m:ctrlPr>
              <m:shp m:val="centered"/>
            </m:dPr>
            <m:e>
              <m:argPr>
                <m:argSz m:val="0"/>
              </m:argPr>
              <m:sSub>
                <m:sSubPr>
                  <m:ctrlPr>
                    <w:rPr>
                      <w:rFonts w:ascii="Cambria Math" w:hAnsi="Cambria Math" w:cs="Times New Roman"/>
                      <w:sz w:val="24"/>
                      <w:szCs w:val="24"/>
                    </w:rPr>
                  </m:ctrlPr>
                </m:sSubPr>
                <m:e>
                  <m:argPr>
                    <m:argSz m:val="0"/>
                  </m:argPr>
                  <m:r>
                    <m:rPr>
                      <m:scr m:val="roman"/>
                      <m:sty m:val="i"/>
                    </m:rPr>
                    <m:t>x</m:t>
                  </m:r>
                </m:e>
                <m:sub>
                  <m:argPr>
                    <m:argSz m:val="0"/>
                  </m:argPr>
                  <m:r>
                    <m:rPr>
                      <m:scr m:val="roman"/>
                      <m:sty m:val="p"/>
                    </m:rPr>
                    <m:t>4</m:t>
                  </m:r>
                </m:sub>
              </m:sSub>
            </m:e>
          </m:d>
          <m:r>
            <m:rPr>
              <m:scr m:val="roman"/>
              <m:sty m:val="i"/>
            </m:rPr>
            <m:t>,</m:t>
          </m:r>
        </m:oMath>
      </m:oMathPara>
      <w:r>
        <w:rPr>
          <w:rFonts w:eastAsiaTheme="minorEastAsia"/>
          <w:sz w:val="28"/>
          <w:szCs w:val="28"/>
        </w:rPr>
        <w:t xml:space="preserve"> </w:t>
        <w:tab/>
      </w:r>
      <w:r>
        <w:rPr>
          <w:rFonts w:ascii="Times New Roman" w:hAnsi="Times New Roman" w:cs="Times New Roman" w:eastAsiaTheme="minorEastAsia"/>
          <w:sz w:val="28"/>
          <w:szCs w:val="28"/>
        </w:rPr>
        <w:t>(1)</w:t>
      </w:r>
    </w:p>
    <w:p>
      <w:pPr>
        <w:spacing w:lineRule="auto" w:line="360" w:before="60" w:after="80" w:beforeAutospacing="0" w:afterAutospacing="0"/>
        <w:ind w:firstLine="851"/>
        <w:jc w:val="both"/>
        <w:rPr>
          <w:rFonts w:ascii="Times New Roman" w:hAnsi="Times New Roman" w:cs="Times New Roman"/>
          <w:bCs w:val="1"/>
          <w:sz w:val="28"/>
          <w:szCs w:val="28"/>
        </w:rPr>
      </w:pPr>
    </w:p>
    <w:p>
      <w:pPr>
        <w:spacing w:lineRule="auto" w:line="360" w:before="60" w:after="80" w:beforeAutospacing="0" w:afterAutospacing="0"/>
        <w:ind w:firstLine="851"/>
        <w:jc w:val="both"/>
        <w:rPr>
          <w:rFonts w:ascii="Times New Roman" w:hAnsi="Times New Roman" w:cs="Times New Roman"/>
          <w:bCs w:val="1"/>
          <w:sz w:val="28"/>
          <w:szCs w:val="28"/>
        </w:rPr>
      </w:pPr>
      <w:r>
        <w:rPr>
          <w:rFonts w:ascii="Times New Roman" w:hAnsi="Times New Roman" w:cs="Times New Roman"/>
          <w:bCs w:val="1"/>
          <w:sz w:val="28"/>
          <w:szCs w:val="28"/>
        </w:rPr>
        <w:t xml:space="preserve">где </w:t>
      </w:r>
      <w:r>
        <w:rPr>
          <w:rFonts w:ascii="Times New Roman" w:hAnsi="Times New Roman" w:cs="Times New Roman" w:eastAsia="Times New Roman"/>
          <w:i w:val="1"/>
          <w:iCs w:val="1"/>
          <w:sz w:val="28"/>
          <w:szCs w:val="28"/>
        </w:rPr>
        <w:t>kᵢ</w:t>
      </w:r>
      <w:r>
        <w:rPr>
          <w:rFonts w:ascii="Times New Roman" w:hAnsi="Times New Roman" w:cs="Times New Roman" w:eastAsia="Times New Roman"/>
          <w:sz w:val="28"/>
          <w:szCs w:val="28"/>
        </w:rPr>
        <w:t xml:space="preserve"> – коэффициент вклада </w:t>
      </w:r>
      <w:r>
        <w:rPr>
          <w:rFonts w:ascii="Times New Roman" w:hAnsi="Times New Roman" w:cs="Times New Roman" w:eastAsia="Times New Roman"/>
          <w:i w:val="1"/>
          <w:sz w:val="28"/>
          <w:szCs w:val="28"/>
        </w:rPr>
        <w:t>i</w:t>
      </w:r>
      <w:r>
        <w:rPr>
          <w:rFonts w:ascii="Times New Roman" w:hAnsi="Times New Roman" w:cs="Times New Roman" w:eastAsia="Times New Roman"/>
          <w:sz w:val="28"/>
          <w:szCs w:val="28"/>
        </w:rPr>
        <w:t>-го кластера в добавленную стоимость;</w:t>
      </w:r>
    </w:p>
    <w:p>
      <w:pPr>
        <w:spacing w:lineRule="auto" w:line="360" w:before="60" w:after="80" w:beforeAutospacing="0" w:afterAutospacing="0"/>
        <w:ind w:firstLine="851"/>
        <w:jc w:val="both"/>
        <w:rPr>
          <w:rFonts w:ascii="Times New Roman" w:hAnsi="Times New Roman" w:cs="Times New Roman" w:eastAsia="Times New Roman"/>
          <w:sz w:val="28"/>
          <w:szCs w:val="28"/>
        </w:rPr>
      </w:pPr>
      <w:r>
        <w:rPr>
          <w:rFonts w:ascii="Times New Roman" w:hAnsi="Times New Roman" w:cs="Times New Roman" w:eastAsia="Times New Roman"/>
          <w:i w:val="1"/>
          <w:iCs w:val="1"/>
          <w:sz w:val="28"/>
          <w:szCs w:val="28"/>
        </w:rPr>
        <w:t>δᵢ</w:t>
      </w:r>
      <w:r>
        <w:rPr>
          <w:rFonts w:ascii="Times New Roman" w:hAnsi="Times New Roman" w:cs="Times New Roman" w:eastAsia="Times New Roman"/>
          <w:sz w:val="28"/>
          <w:szCs w:val="28"/>
        </w:rPr>
        <w:t xml:space="preserve"> – параметр цифрового усиления </w:t>
      </w:r>
      <w:r>
        <w:rPr>
          <w:rFonts w:ascii="Times New Roman" w:hAnsi="Times New Roman" w:cs="Times New Roman" w:eastAsia="Times New Roman"/>
          <w:i w:val="1"/>
          <w:sz w:val="28"/>
          <w:szCs w:val="28"/>
        </w:rPr>
        <w:t>i</w:t>
      </w:r>
      <w:r>
        <w:rPr>
          <w:rFonts w:ascii="Times New Roman" w:hAnsi="Times New Roman" w:cs="Times New Roman" w:eastAsia="Times New Roman"/>
          <w:sz w:val="28"/>
          <w:szCs w:val="28"/>
        </w:rPr>
        <w:t>-го кластера;</w:t>
      </w:r>
    </w:p>
    <w:p>
      <w:pPr>
        <w:widowControl w:val="0"/>
        <w:spacing w:lineRule="auto" w:line="360" w:after="0" w:beforeAutospacing="0" w:afterAutospacing="0"/>
        <w:ind w:firstLine="851"/>
        <w:jc w:val="both"/>
        <w:rPr>
          <w:rFonts w:ascii="Times New Roman" w:hAnsi="Times New Roman" w:cs="Times New Roman"/>
          <w:bCs w:val="1"/>
          <w:sz w:val="28"/>
          <w:szCs w:val="28"/>
        </w:rPr>
      </w:pPr>
      <w:r>
        <w:rPr>
          <w:rFonts w:ascii="Times New Roman" w:hAnsi="Times New Roman" w:cs="Times New Roman"/>
          <w:i w:val="1"/>
          <w:bCs w:val="1"/>
          <w:sz w:val="28"/>
          <w:szCs w:val="28"/>
        </w:rPr>
        <w:t>x</w:t>
      </w:r>
      <w:r>
        <w:rPr>
          <w:rFonts w:ascii="Times New Roman" w:hAnsi="Times New Roman" w:cs="Times New Roman"/>
          <w:i w:val="1"/>
          <w:bCs w:val="1"/>
          <w:sz w:val="28"/>
          <w:szCs w:val="28"/>
          <w:vertAlign w:val="subscript"/>
        </w:rPr>
        <w:t>i</w:t>
      </w:r>
      <w:r>
        <w:rPr>
          <w:rFonts w:ascii="Times New Roman" w:hAnsi="Times New Roman" w:cs="Times New Roman"/>
          <w:i w:val="1"/>
          <w:bCs w:val="1"/>
          <w:sz w:val="28"/>
          <w:szCs w:val="28"/>
        </w:rPr>
        <w:t>, x</w:t>
      </w:r>
      <w:r>
        <w:rPr>
          <w:rFonts w:ascii="Times New Roman" w:hAnsi="Times New Roman" w:cs="Times New Roman"/>
          <w:i w:val="1"/>
          <w:bCs w:val="1"/>
          <w:sz w:val="28"/>
          <w:szCs w:val="28"/>
          <w:vertAlign w:val="subscript"/>
        </w:rPr>
        <w:t>j</w:t>
      </w:r>
      <w:r>
        <w:rPr>
          <w:rFonts w:ascii="Times New Roman" w:hAnsi="Times New Roman" w:cs="Times New Roman"/>
          <w:bCs w:val="1"/>
          <w:sz w:val="28"/>
          <w:szCs w:val="28"/>
        </w:rPr>
        <w:t xml:space="preserve"> – степень реализации соответствующего кластера;</w:t>
      </w:r>
    </w:p>
    <w:p>
      <w:pPr>
        <w:spacing w:lineRule="auto" w:line="360" w:before="60" w:after="80" w:beforeAutospacing="0" w:afterAutospacing="0"/>
        <w:ind w:firstLine="851"/>
        <w:jc w:val="both"/>
        <w:rPr>
          <w:rFonts w:ascii="Times New Roman" w:hAnsi="Times New Roman" w:cs="Times New Roman" w:eastAsia="Times New Roman"/>
          <w:sz w:val="28"/>
          <w:szCs w:val="28"/>
        </w:rPr>
      </w:pPr>
      <w:r>
        <w:rPr>
          <w:rFonts w:ascii="Times New Roman" w:hAnsi="Times New Roman" w:cs="Times New Roman" w:eastAsia="Times New Roman"/>
          <w:i w:val="1"/>
          <w:iCs w:val="1"/>
          <w:sz w:val="28"/>
          <w:szCs w:val="28"/>
        </w:rPr>
        <w:t>x₄</w:t>
      </w:r>
      <w:r>
        <w:rPr>
          <w:rFonts w:ascii="Times New Roman" w:hAnsi="Times New Roman" w:cs="Times New Roman" w:eastAsia="Times New Roman"/>
          <w:sz w:val="28"/>
          <w:szCs w:val="28"/>
        </w:rPr>
        <w:t xml:space="preserve"> – степень реализации кластера IV (Цифровая платформа);</w:t>
      </w:r>
    </w:p>
    <w:p>
      <w:pPr>
        <w:spacing w:lineRule="auto" w:line="360" w:before="60" w:after="80" w:beforeAutospacing="0" w:afterAutospacing="0"/>
        <w:ind w:firstLine="851"/>
        <w:jc w:val="both"/>
        <w:rPr>
          <w:rFonts w:ascii="Times New Roman" w:hAnsi="Times New Roman" w:cs="Times New Roman" w:eastAsia="Times New Roman"/>
          <w:sz w:val="28"/>
          <w:szCs w:val="28"/>
        </w:rPr>
      </w:pPr>
      <w:r>
        <w:rPr>
          <w:rFonts w:ascii="Times New Roman" w:hAnsi="Times New Roman" w:cs="Times New Roman" w:eastAsia="Times New Roman"/>
          <w:i w:val="1"/>
          <w:iCs w:val="1"/>
          <w:sz w:val="28"/>
          <w:szCs w:val="28"/>
        </w:rPr>
        <w:t>Qᵢᵐᵃˣ</w:t>
      </w:r>
      <w:r>
        <w:rPr>
          <w:rFonts w:ascii="Times New Roman" w:hAnsi="Times New Roman" w:cs="Times New Roman" w:eastAsia="Times New Roman"/>
          <w:sz w:val="28"/>
          <w:szCs w:val="28"/>
        </w:rPr>
        <w:t xml:space="preserve"> – базовая производственная или сервисная мощность </w:t>
      </w:r>
      <w:r>
        <w:rPr>
          <w:rFonts w:ascii="Times New Roman" w:hAnsi="Times New Roman" w:cs="Times New Roman" w:eastAsia="Times New Roman"/>
          <w:i w:val="1"/>
          <w:sz w:val="28"/>
          <w:szCs w:val="28"/>
        </w:rPr>
        <w:t>i</w:t>
      </w:r>
      <w:r>
        <w:rPr>
          <w:rFonts w:ascii="Times New Roman" w:hAnsi="Times New Roman" w:cs="Times New Roman" w:eastAsia="Times New Roman"/>
          <w:sz w:val="28"/>
          <w:szCs w:val="28"/>
        </w:rPr>
        <w:t xml:space="preserve">-го кластера при </w:t>
      </w:r>
      <w:r>
        <w:rPr>
          <w:rFonts w:ascii="Times New Roman" w:hAnsi="Times New Roman" w:cs="Times New Roman" w:eastAsia="Times New Roman"/>
          <w:i w:val="1"/>
          <w:sz w:val="28"/>
          <w:szCs w:val="28"/>
        </w:rPr>
        <w:t>xᵢ</w:t>
      </w:r>
      <w:r>
        <w:rPr>
          <w:rFonts w:ascii="Times New Roman" w:hAnsi="Times New Roman" w:cs="Times New Roman" w:eastAsia="Times New Roman"/>
          <w:sz w:val="28"/>
          <w:szCs w:val="28"/>
        </w:rPr>
        <w:t xml:space="preserve"> = 1, млрд долл. (независимая экспертная оценка);</w:t>
      </w:r>
    </w:p>
    <w:p>
      <w:pPr>
        <w:spacing w:lineRule="auto" w:line="360" w:before="60" w:after="80" w:beforeAutospacing="0" w:afterAutospacing="0"/>
        <w:ind w:firstLine="851"/>
        <w:jc w:val="both"/>
        <w:rPr>
          <w:rFonts w:ascii="Times New Roman" w:hAnsi="Times New Roman" w:cs="Times New Roman" w:eastAsia="Times New Roman"/>
          <w:sz w:val="28"/>
          <w:szCs w:val="28"/>
        </w:rPr>
      </w:pPr>
      <w:r>
        <w:rPr>
          <w:rFonts w:ascii="Times New Roman" w:hAnsi="Times New Roman" w:cs="Times New Roman" w:eastAsia="Times New Roman"/>
          <w:i w:val="1"/>
          <w:iCs w:val="1"/>
          <w:sz w:val="28"/>
          <w:szCs w:val="28"/>
        </w:rPr>
        <w:t>Q̄ᵢ</w:t>
      </w:r>
      <w:r>
        <w:rPr>
          <w:rFonts w:ascii="Times New Roman" w:hAnsi="Times New Roman" w:cs="Times New Roman" w:eastAsia="Times New Roman"/>
          <w:iCs w:val="1"/>
          <w:sz w:val="28"/>
          <w:szCs w:val="28"/>
        </w:rPr>
        <w:t>,</w:t>
      </w:r>
      <w:r>
        <w:rPr>
          <w:rFonts w:ascii="Times New Roman" w:hAnsi="Times New Roman" w:cs="Times New Roman" w:eastAsia="Times New Roman"/>
          <w:i w:val="1"/>
          <w:iCs w:val="1"/>
          <w:sz w:val="28"/>
          <w:szCs w:val="28"/>
        </w:rPr>
        <w:t xml:space="preserve"> Q̄</w:t>
      </w:r>
      <w:r>
        <w:rPr>
          <w:rFonts w:ascii="Times New Roman" w:hAnsi="Times New Roman" w:cs="Times New Roman" w:eastAsia="Times New Roman"/>
          <w:i w:val="1"/>
          <w:iCs w:val="1"/>
          <w:sz w:val="28"/>
          <w:szCs w:val="28"/>
          <w:vertAlign w:val="subscript"/>
          <w:lang w:val="en-US"/>
        </w:rPr>
        <w:t>j</w:t>
      </w:r>
      <w:r>
        <w:rPr>
          <w:rFonts w:ascii="Times New Roman" w:hAnsi="Times New Roman" w:cs="Times New Roman" w:eastAsia="Times New Roman"/>
          <w:sz w:val="28"/>
          <w:szCs w:val="28"/>
        </w:rPr>
        <w:t xml:space="preserve"> –</w:t>
      </w:r>
      <w:r>
        <w:rPr>
          <w:rFonts w:ascii="Times New Roman" w:hAnsi="Times New Roman" w:cs="Times New Roman" w:eastAsia="Times New Roman"/>
          <w:sz w:val="28"/>
          <w:szCs w:val="28"/>
          <w:lang w:val="en-US"/>
        </w:rPr>
        <w:t xml:space="preserve"> </w:t>
      </w:r>
      <w:r>
        <w:rPr>
          <w:rFonts w:ascii="Times New Roman" w:hAnsi="Times New Roman" w:cs="Times New Roman" w:eastAsia="Times New Roman"/>
          <w:sz w:val="28"/>
          <w:szCs w:val="28"/>
        </w:rPr>
        <w:t xml:space="preserve">статический целевой прирост валовой добавленной стоимости </w:t>
      </w:r>
      <w:r>
        <w:rPr>
          <w:rFonts w:ascii="Times New Roman" w:hAnsi="Times New Roman" w:cs="Times New Roman" w:eastAsia="Times New Roman"/>
          <w:i w:val="1"/>
          <w:sz w:val="28"/>
          <w:szCs w:val="28"/>
        </w:rPr>
        <w:t>i</w:t>
      </w:r>
      <w:r>
        <w:rPr>
          <w:rFonts w:ascii="Times New Roman" w:hAnsi="Times New Roman" w:cs="Times New Roman" w:eastAsia="Times New Roman"/>
          <w:sz w:val="28"/>
          <w:szCs w:val="28"/>
        </w:rPr>
        <w:t xml:space="preserve">-го и </w:t>
      </w:r>
      <w:r>
        <w:rPr>
          <w:rFonts w:ascii="Times New Roman" w:hAnsi="Times New Roman" w:cs="Times New Roman" w:eastAsia="Times New Roman"/>
          <w:i w:val="1"/>
          <w:sz w:val="28"/>
          <w:szCs w:val="28"/>
          <w:u w:val="single"/>
        </w:rPr>
        <w:t>j</w:t>
      </w:r>
      <w:r>
        <w:rPr>
          <w:rFonts w:ascii="Times New Roman" w:hAnsi="Times New Roman" w:cs="Times New Roman" w:eastAsia="Times New Roman"/>
          <w:sz w:val="28"/>
          <w:szCs w:val="28"/>
        </w:rPr>
        <w:t>-го кластера, млрд долл.;</w:t>
      </w:r>
    </w:p>
    <w:p>
      <w:pPr>
        <w:spacing w:lineRule="auto" w:line="360" w:before="60" w:after="80" w:beforeAutospacing="0" w:afterAutospacing="0"/>
        <w:ind w:firstLine="851"/>
        <w:jc w:val="both"/>
        <w:rPr>
          <w:rFonts w:ascii="Times New Roman" w:hAnsi="Times New Roman" w:cs="Times New Roman" w:eastAsia="Times New Roman"/>
          <w:sz w:val="28"/>
          <w:szCs w:val="28"/>
        </w:rPr>
      </w:pPr>
      <w:r>
        <w:rPr>
          <w:rFonts w:ascii="Times New Roman" w:hAnsi="Times New Roman" w:cs="Times New Roman" w:eastAsia="Times New Roman"/>
          <w:i w:val="1"/>
          <w:iCs w:val="1"/>
          <w:sz w:val="28"/>
          <w:szCs w:val="28"/>
        </w:rPr>
        <w:t>sᵢⱼ</w:t>
      </w:r>
      <w:r>
        <w:rPr>
          <w:rFonts w:ascii="Times New Roman" w:hAnsi="Times New Roman" w:cs="Times New Roman" w:eastAsia="Times New Roman"/>
          <w:sz w:val="28"/>
          <w:szCs w:val="28"/>
        </w:rPr>
        <w:t xml:space="preserve"> – коэффициент </w:t>
      </w:r>
      <w:r>
        <w:rPr>
          <w:rFonts w:ascii="Times New Roman" w:hAnsi="Times New Roman" w:eastAsia="Times New Roman"/>
          <w:sz w:val="28"/>
          <w:szCs w:val="28"/>
          <w:kern w:val="36"/>
        </w:rPr>
        <w:t>межкластерной синергии</w:t>
      </w:r>
      <w:r>
        <w:rPr>
          <w:rFonts w:ascii="Times New Roman" w:hAnsi="Times New Roman" w:cs="Times New Roman" w:eastAsia="Times New Roman"/>
          <w:sz w:val="28"/>
          <w:szCs w:val="28"/>
        </w:rPr>
        <w:t xml:space="preserve"> пары (</w:t>
      </w:r>
      <w:r>
        <w:rPr>
          <w:rFonts w:ascii="Times New Roman" w:hAnsi="Times New Roman" w:cs="Times New Roman" w:eastAsia="Times New Roman"/>
          <w:i w:val="1"/>
          <w:sz w:val="28"/>
          <w:szCs w:val="28"/>
        </w:rPr>
        <w:t>i, j</w:t>
      </w:r>
      <w:r>
        <w:rPr>
          <w:rFonts w:ascii="Times New Roman" w:hAnsi="Times New Roman" w:cs="Times New Roman" w:eastAsia="Times New Roman"/>
          <w:sz w:val="28"/>
          <w:szCs w:val="28"/>
        </w:rPr>
        <w:t xml:space="preserve">) ( </w:t>
      </w:r>
      <w:r>
        <w:rPr>
          <w:rFonts w:ascii="Times New Roman" w:hAnsi="Times New Roman" w:cs="Times New Roman" w:eastAsia="Times New Roman"/>
          <w:i w:val="1"/>
          <w:sz w:val="28"/>
          <w:szCs w:val="28"/>
        </w:rPr>
        <w:t>sᵢⱼ</w:t>
      </w:r>
      <w:r>
        <w:rPr>
          <w:rFonts w:ascii="Times New Roman" w:hAnsi="Times New Roman" w:cs="Times New Roman" w:eastAsia="Times New Roman"/>
          <w:sz w:val="28"/>
          <w:szCs w:val="28"/>
        </w:rPr>
        <w:t xml:space="preserve"> </w:t>
      </w:r>
      <w:r>
        <w:rPr>
          <w:rFonts w:ascii="Times New Roman" w:hAnsi="Cambria Math" w:cs="Times New Roman" w:eastAsia="Times New Roman"/>
          <w:sz w:val="28"/>
          <w:szCs w:val="28"/>
        </w:rPr>
        <w:t>∈</w:t>
      </w:r>
      <w:r>
        <w:rPr>
          <w:rFonts w:ascii="Times New Roman" w:hAnsi="Times New Roman" w:cs="Times New Roman" w:eastAsia="Times New Roman"/>
          <w:sz w:val="28"/>
          <w:szCs w:val="28"/>
        </w:rPr>
        <w:t xml:space="preserve"> [0; 0,5]);</w:t>
      </w:r>
    </w:p>
    <w:p>
      <w:pPr>
        <w:spacing w:lineRule="auto" w:line="360" w:before="60" w:after="80" w:beforeAutospacing="0" w:afterAutospacing="0"/>
        <w:ind w:firstLine="851"/>
        <w:jc w:val="both"/>
        <w:rPr>
          <w:sz w:val="28"/>
          <w:szCs w:val="28"/>
        </w:rPr>
      </w:pPr>
      <w:r>
        <w:rPr>
          <w:rFonts w:ascii="Times New Roman" w:hAnsi="Times New Roman" w:cs="Times New Roman" w:eastAsia="Times New Roman"/>
          <w:i w:val="1"/>
          <w:iCs w:val="1"/>
          <w:sz w:val="28"/>
          <w:szCs w:val="28"/>
        </w:rPr>
        <w:t>ΔY</w:t>
      </w:r>
      <w:r>
        <w:rPr>
          <w:rFonts w:ascii="Times New Roman" w:hAnsi="Times New Roman" w:cs="Times New Roman" w:eastAsia="Times New Roman"/>
          <w:i w:val="1"/>
          <w:iCs w:val="1"/>
          <w:sz w:val="28"/>
          <w:szCs w:val="28"/>
          <w:vertAlign w:val="subscript"/>
        </w:rPr>
        <w:t>TC</w:t>
      </w:r>
      <w:r>
        <w:rPr>
          <w:rFonts w:ascii="Times New Roman" w:hAnsi="Times New Roman" w:cs="Times New Roman" w:eastAsia="Times New Roman"/>
          <w:i w:val="1"/>
          <w:iCs w:val="1"/>
          <w:sz w:val="28"/>
          <w:szCs w:val="28"/>
        </w:rPr>
        <w:t>(x₄)</w:t>
      </w:r>
      <w:r>
        <w:rPr>
          <w:rFonts w:ascii="Times New Roman" w:hAnsi="Times New Roman" w:cs="Times New Roman" w:eastAsia="Times New Roman"/>
          <w:sz w:val="28"/>
          <w:szCs w:val="28"/>
        </w:rPr>
        <w:t xml:space="preserve"> – прирост валовой добавленной стоимости от снижения транзакционных издержек, индуцированного Кластером IV, млрд долл.;</w:t>
      </w:r>
    </w:p>
    <w:p>
      <w:pPr>
        <w:widowControl w:val="0"/>
        <w:spacing w:lineRule="auto" w:line="360" w:after="0" w:beforeAutospacing="0" w:afterAutospacing="0"/>
        <w:ind w:firstLine="851"/>
        <w:jc w:val="both"/>
        <w:rPr>
          <w:rFonts w:ascii="Times New Roman" w:hAnsi="Times New Roman" w:cs="Times New Roman"/>
          <w:bCs w:val="1"/>
          <w:sz w:val="28"/>
          <w:szCs w:val="28"/>
        </w:rPr>
      </w:pPr>
      <w:r>
        <w:rPr>
          <w:rFonts w:ascii="Times New Roman" w:hAnsi="Times New Roman" w:cs="Times New Roman"/>
          <w:i w:val="1"/>
          <w:bCs w:val="1"/>
          <w:sz w:val="28"/>
          <w:szCs w:val="28"/>
        </w:rPr>
        <w:t>i</w:t>
      </w:r>
      <w:r>
        <w:rPr>
          <w:rFonts w:ascii="Times New Roman" w:hAnsi="Times New Roman" w:cs="Times New Roman"/>
          <w:bCs w:val="1"/>
          <w:sz w:val="28"/>
          <w:szCs w:val="28"/>
        </w:rPr>
        <w:t xml:space="preserve"> – индекс первого кластера (агропереработка, логистика, СЭЗ, цифровая платформа и т.д.);</w:t>
      </w:r>
    </w:p>
    <w:p>
      <w:pPr>
        <w:widowControl w:val="0"/>
        <w:spacing w:lineRule="auto" w:line="360" w:after="0" w:beforeAutospacing="0" w:afterAutospacing="0"/>
        <w:ind w:firstLine="851"/>
        <w:jc w:val="both"/>
        <w:rPr>
          <w:rFonts w:ascii="Times New Roman" w:hAnsi="Times New Roman" w:cs="Times New Roman"/>
          <w:bCs w:val="1"/>
          <w:sz w:val="28"/>
          <w:szCs w:val="28"/>
        </w:rPr>
      </w:pPr>
      <w:r>
        <w:rPr>
          <w:rFonts w:ascii="Times New Roman" w:hAnsi="Times New Roman" w:cs="Times New Roman"/>
          <w:i w:val="1"/>
          <w:bCs w:val="1"/>
          <w:sz w:val="28"/>
          <w:szCs w:val="28"/>
        </w:rPr>
        <w:t>j</w:t>
      </w:r>
      <w:r>
        <w:rPr>
          <w:rFonts w:ascii="Times New Roman" w:hAnsi="Times New Roman" w:cs="Times New Roman"/>
          <w:bCs w:val="1"/>
          <w:sz w:val="28"/>
          <w:szCs w:val="28"/>
        </w:rPr>
        <w:t xml:space="preserve"> – индекс второго кластера, взаимодействующего с кластером i (при это введено </w:t>
      </w:r>
      <w:r>
        <w:rPr>
          <w:rFonts w:ascii="Times New Roman" w:hAnsi="Times New Roman" w:cs="Times New Roman"/>
          <w:sz w:val="28"/>
          <w:szCs w:val="28"/>
        </w:rPr>
        <w:t xml:space="preserve">ограничение </w:t>
      </w:r>
      <w:r>
        <w:rPr>
          <w:rStyle w:val="C49"/>
          <w:rFonts w:ascii="Times New Roman" w:hAnsi="Times New Roman" w:cs="Times New Roman"/>
          <w:i w:val="1"/>
          <w:sz w:val="28"/>
          <w:szCs w:val="28"/>
        </w:rPr>
        <w:t>j&gt;i</w:t>
      </w:r>
      <w:r>
        <w:rPr>
          <w:rFonts w:ascii="Times New Roman" w:hAnsi="Times New Roman" w:cs="Times New Roman"/>
          <w:sz w:val="28"/>
          <w:szCs w:val="28"/>
        </w:rPr>
        <w:t xml:space="preserve"> для исключения повторного учета симметричных пар кластеров, поскольку коэффициенты синергии удовлетворяют условию </w:t>
      </w:r>
      <w:r>
        <w:rPr>
          <w:rStyle w:val="C49"/>
          <w:rFonts w:ascii="Times New Roman" w:hAnsi="Times New Roman" w:cs="Times New Roman"/>
          <w:i w:val="1"/>
          <w:sz w:val="28"/>
          <w:szCs w:val="28"/>
        </w:rPr>
        <w:t>s</w:t>
      </w:r>
      <w:r>
        <w:rPr>
          <w:rStyle w:val="C49"/>
          <w:rFonts w:ascii="Times New Roman" w:hAnsi="Times New Roman" w:cs="Times New Roman"/>
          <w:i w:val="1"/>
          <w:sz w:val="28"/>
          <w:szCs w:val="28"/>
          <w:vertAlign w:val="subscript"/>
        </w:rPr>
        <w:t>ij</w:t>
      </w:r>
      <w:r>
        <w:rPr>
          <w:rStyle w:val="C49"/>
          <w:rFonts w:ascii="Times New Roman" w:hAnsi="Times New Roman" w:cs="Times New Roman"/>
          <w:i w:val="1"/>
          <w:sz w:val="28"/>
          <w:szCs w:val="28"/>
        </w:rPr>
        <w:t>=s</w:t>
      </w:r>
      <w:r>
        <w:rPr>
          <w:rStyle w:val="C49"/>
          <w:rFonts w:ascii="Times New Roman" w:hAnsi="Times New Roman" w:cs="Times New Roman"/>
          <w:i w:val="1"/>
          <w:sz w:val="28"/>
          <w:szCs w:val="28"/>
          <w:vertAlign w:val="subscript"/>
        </w:rPr>
        <w:t>ji</w:t>
      </w:r>
      <w:r>
        <w:rPr>
          <w:rStyle w:val="C49"/>
          <w:rFonts w:ascii="Times New Roman" w:hAnsi="Times New Roman" w:cs="Times New Roman"/>
          <w:sz w:val="28"/>
          <w:szCs w:val="28"/>
        </w:rPr>
        <w:t>)</w:t>
      </w:r>
      <w:r>
        <w:rPr>
          <w:rStyle w:val="C51"/>
          <w:rFonts w:ascii="Times New Roman" w:hAnsi="Times New Roman" w:cs="Times New Roman"/>
          <w:sz w:val="28"/>
          <w:szCs w:val="28"/>
        </w:rPr>
        <w:t>​</w:t>
      </w:r>
      <w:r>
        <w:rPr>
          <w:rFonts w:ascii="Times New Roman" w:hAnsi="Times New Roman" w:cs="Times New Roman"/>
          <w:bCs w:val="1"/>
          <w:sz w:val="28"/>
          <w:szCs w:val="28"/>
        </w:rPr>
        <w:t>.</w:t>
      </w:r>
    </w:p>
    <w:p>
      <w:pPr>
        <w:widowControl w:val="0"/>
        <w:spacing w:lineRule="auto" w:line="360" w:after="0" w:beforeAutospacing="0" w:afterAutospacing="0"/>
        <w:ind w:firstLine="709"/>
        <w:jc w:val="both"/>
        <w:rPr>
          <w:rFonts w:ascii="Times New Roman" w:hAnsi="Times New Roman" w:cs="Times New Roman"/>
          <w:bCs w:val="1"/>
          <w:sz w:val="28"/>
          <w:szCs w:val="28"/>
        </w:rPr>
      </w:pPr>
      <w:r>
        <w:rPr>
          <w:rFonts w:ascii="Times New Roman" w:hAnsi="Times New Roman" w:cs="Times New Roman"/>
          <w:bCs w:val="1"/>
          <w:sz w:val="28"/>
          <w:szCs w:val="28"/>
        </w:rPr>
        <w:t>Первое слагаемое модели описывает прямой эффект развития кластеров. В прикладном отношении это означает, что запуск или масштабирование агропереработки, логистической инфраструктуры, энергетических решений, образовательных и исследовательских мощностей, специальных экономических зон и финансовых сервисов уже само по себе создает добавленную стоимость. Однако для развивающейся экономики такой эффект имеет предел, поскольку при отсутствии сопряжения между кластерами рост остается частичным и не перерастает в устойчивую структурную трансформацию. Именно поэтому даже в условиях благоприятной макродинамики, которую Кот-д’Ивуар демонстрировал в последние годы, Всемирный банк продолжает фиксировать необходимость более глубокого частносекторного преобразования и лучшей интеграции рынков, сервисов и инфраструктуры</w:t>
      </w:r>
      <w:r>
        <w:rPr>
          <w:rStyle w:val="C42"/>
          <w:rFonts w:ascii="Times New Roman" w:hAnsi="Times New Roman" w:cs="Times New Roman"/>
          <w:bCs w:val="1"/>
          <w:sz w:val="28"/>
          <w:szCs w:val="28"/>
        </w:rPr>
        <w:footnoteReference w:id="113"/>
      </w:r>
      <w:r>
        <w:rPr>
          <w:rFonts w:ascii="Times New Roman" w:hAnsi="Times New Roman" w:cs="Times New Roman"/>
          <w:bCs w:val="1"/>
          <w:sz w:val="28"/>
          <w:szCs w:val="28"/>
        </w:rPr>
        <w:t>.</w:t>
      </w:r>
    </w:p>
    <w:p>
      <w:pPr>
        <w:widowControl w:val="0"/>
        <w:spacing w:lineRule="auto" w:line="360" w:after="0" w:beforeAutospacing="0" w:afterAutospacing="0"/>
        <w:ind w:firstLine="709"/>
        <w:jc w:val="both"/>
        <w:rPr>
          <w:rFonts w:ascii="Times New Roman" w:hAnsi="Times New Roman" w:cs="Times New Roman"/>
          <w:bCs w:val="1"/>
          <w:sz w:val="28"/>
          <w:szCs w:val="28"/>
        </w:rPr>
      </w:pPr>
      <w:r>
        <w:rPr>
          <w:rFonts w:ascii="Times New Roman" w:hAnsi="Times New Roman" w:cs="Times New Roman"/>
          <w:bCs w:val="1"/>
          <w:sz w:val="28"/>
          <w:szCs w:val="28"/>
        </w:rPr>
        <w:t>Второе слагаемое отражает межкластерную синергию. Его смысл состоит в том, что агропереработка дает больший эффект, когда она сопряжена с логистикой, энергетикой, финансами и сервисами сбыта; логистическая инфраструктура становится продуктивнее, когда работает не как изолированный транспортный канал, а как часть системы производства и экспорта; образовательный и исследовательский контур усиливает экономический результат лишь тогда, когда встроен в реальные цепочки спроса на компетенции и инновации. Для Кот-д’Ивуара такой подход особенно актуален, поскольку страна уже располагает растущей цифровой экосистемой, но ее развитие остается географически и функционально неравномерным. Следовательно, именно синергетическое сопряжение контуров превращает наличие ресурсов и инфраструктуры в механизм устойчивого роста.</w:t>
      </w:r>
    </w:p>
    <w:p>
      <w:pPr>
        <w:widowControl w:val="0"/>
        <w:spacing w:lineRule="auto" w:line="360" w:after="0" w:beforeAutospacing="0" w:afterAutospacing="0"/>
        <w:ind w:firstLine="709"/>
        <w:jc w:val="both"/>
        <w:rPr>
          <w:rFonts w:ascii="Times New Roman" w:hAnsi="Times New Roman" w:cs="Times New Roman"/>
          <w:bCs w:val="1"/>
          <w:sz w:val="28"/>
          <w:szCs w:val="28"/>
        </w:rPr>
      </w:pPr>
      <w:r>
        <w:rPr>
          <w:rFonts w:ascii="Times New Roman" w:hAnsi="Times New Roman" w:cs="Times New Roman"/>
          <w:bCs w:val="1"/>
          <w:sz w:val="28"/>
          <w:szCs w:val="28"/>
        </w:rPr>
        <w:t xml:space="preserve">Третье слагаемое выражает транcакционный эффект платформы. В логике настоящего исследования он принципиален, поскольку позволяет зафиксировать ту часть экономического результата, которая не сводится ни к расширению производств, ни к простому сложению кластерных мощностей. Речь идет о снижении издержек координации на уровне всей системы: упрощении доступа к информации, ускорении заключения и сопровождения сделок, формировании цифрового следа операций, повышении прозрачности рыночных взаимодействий, облегчении доступа МСП к финансовым инструментам и логистическим сервисам. Ввиду того, что развитие  цифровой торговли в африканских странах требует не только инфраструктуры, но и регуляторной, институциональной и сервисной связанности</w:t>
      </w:r>
      <w:r>
        <w:rPr>
          <w:rStyle w:val="C42"/>
          <w:rFonts w:ascii="Times New Roman" w:hAnsi="Times New Roman" w:cs="Times New Roman"/>
          <w:bCs w:val="1"/>
          <w:sz w:val="28"/>
          <w:szCs w:val="28"/>
        </w:rPr>
        <w:footnoteReference w:id="114"/>
      </w:r>
      <w:r>
        <w:rPr>
          <w:rFonts w:ascii="Times New Roman" w:hAnsi="Times New Roman" w:cs="Times New Roman"/>
          <w:bCs w:val="1"/>
          <w:sz w:val="28"/>
          <w:szCs w:val="28"/>
        </w:rPr>
        <w:t>, то в этом аспекте транзакционный эффект платформы является не побочным следствием цифровизации, а ее главным макроэкономическим каналом воздействия.</w:t>
      </w:r>
    </w:p>
    <w:p>
      <w:pPr>
        <w:widowControl w:val="0"/>
        <w:spacing w:lineRule="auto" w:line="360" w:after="0" w:beforeAutospacing="0" w:afterAutospacing="0"/>
        <w:ind w:firstLine="709"/>
        <w:jc w:val="both"/>
        <w:rPr>
          <w:rFonts w:ascii="Times New Roman" w:hAnsi="Times New Roman" w:cs="Times New Roman"/>
          <w:bCs w:val="1"/>
          <w:sz w:val="28"/>
          <w:szCs w:val="28"/>
        </w:rPr>
      </w:pPr>
      <w:r>
        <w:rPr>
          <w:rFonts w:ascii="Times New Roman" w:hAnsi="Times New Roman" w:cs="Times New Roman"/>
          <w:bCs w:val="1"/>
          <w:sz w:val="28"/>
          <w:szCs w:val="28"/>
        </w:rPr>
        <w:t xml:space="preserve">В ПСВЯ </w:t>
      </w:r>
      <w:r>
        <w:rPr>
          <w:rFonts w:ascii="Times New Roman" w:hAnsi="Times New Roman" w:cs="Times New Roman" w:eastAsia="Times New Roman"/>
          <w:sz w:val="28"/>
          <w:szCs w:val="28"/>
        </w:rPr>
        <w:t xml:space="preserve">коэффициент вклада </w:t>
      </w:r>
      <w:r>
        <w:rPr>
          <w:rFonts w:ascii="Times New Roman" w:hAnsi="Times New Roman" w:cs="Times New Roman" w:eastAsia="Times New Roman"/>
          <w:i w:val="1"/>
          <w:sz w:val="28"/>
          <w:szCs w:val="28"/>
        </w:rPr>
        <w:t>i</w:t>
      </w:r>
      <w:r>
        <w:rPr>
          <w:rFonts w:ascii="Times New Roman" w:hAnsi="Times New Roman" w:cs="Times New Roman" w:eastAsia="Times New Roman"/>
          <w:sz w:val="28"/>
          <w:szCs w:val="28"/>
        </w:rPr>
        <w:t>-го кластера в добавленную стоимость</w:t>
      </w:r>
      <w:r>
        <w:rPr>
          <w:rFonts w:ascii="Times New Roman" w:hAnsi="Times New Roman" w:cs="Times New Roman"/>
          <w:i w:val="1"/>
          <w:bCs w:val="1"/>
          <w:sz w:val="28"/>
          <w:szCs w:val="28"/>
        </w:rPr>
        <w:t xml:space="preserve"> (kᵢ)</w:t>
      </w:r>
      <w:r>
        <w:rPr>
          <w:rFonts w:ascii="Times New Roman" w:hAnsi="Times New Roman" w:cs="Times New Roman"/>
          <w:bCs w:val="1"/>
          <w:sz w:val="28"/>
          <w:szCs w:val="28"/>
        </w:rPr>
        <w:t xml:space="preserve"> задается экзогенно по эмпирическим аналогам и его экспертным оценкам для соответствующих типов кластеров в странах Африки (</w:t>
      </w:r>
      <w:r>
        <w:rPr>
          <w:rFonts w:ascii="Times New Roman" w:hAnsi="Times New Roman" w:cs="Times New Roman"/>
          <w:bCs w:val="1"/>
          <w:sz w:val="28"/>
          <w:szCs w:val="28"/>
          <w:highlight w:val="yellow"/>
        </w:rPr>
        <w:t>таблица 3.2.1</w:t>
      </w:r>
      <w:r>
        <w:rPr>
          <w:rFonts w:ascii="Times New Roman" w:hAnsi="Times New Roman" w:cs="Times New Roman"/>
          <w:bCs w:val="1"/>
          <w:sz w:val="28"/>
          <w:szCs w:val="28"/>
        </w:rPr>
        <w:t xml:space="preserve">). </w:t>
      </w:r>
    </w:p>
    <w:p>
      <w:pPr>
        <w:widowControl w:val="0"/>
        <w:spacing w:lineRule="auto" w:line="360" w:after="0" w:beforeAutospacing="0" w:afterAutospacing="0"/>
        <w:ind w:firstLine="709"/>
        <w:jc w:val="both"/>
        <w:rPr>
          <w:rFonts w:ascii="Times New Roman" w:hAnsi="Times New Roman" w:cs="Times New Roman"/>
          <w:bCs w:val="1"/>
          <w:sz w:val="28"/>
          <w:szCs w:val="28"/>
        </w:rPr>
      </w:pPr>
    </w:p>
    <w:p>
      <w:pPr>
        <w:spacing w:lineRule="auto" w:line="360" w:before="160" w:after="60" w:beforeAutospacing="0" w:afterAutospacing="0"/>
        <w:jc w:val="both"/>
        <w:rPr>
          <w:sz w:val="28"/>
          <w:szCs w:val="28"/>
        </w:rPr>
      </w:pPr>
      <w:r>
        <w:rPr>
          <w:rFonts w:ascii="Times New Roman" w:hAnsi="Times New Roman" w:cs="Times New Roman" w:eastAsia="Times New Roman"/>
          <w:bCs w:val="1"/>
          <w:sz w:val="28"/>
          <w:szCs w:val="28"/>
        </w:rPr>
        <w:t xml:space="preserve">Таблица </w:t>
      </w:r>
      <w:r>
        <w:rPr>
          <w:rFonts w:ascii="Times New Roman" w:hAnsi="Times New Roman" w:cs="Times New Roman" w:eastAsia="Times New Roman"/>
          <w:bCs w:val="1"/>
          <w:sz w:val="28"/>
          <w:szCs w:val="28"/>
          <w:highlight w:val="yellow"/>
        </w:rPr>
        <w:t>3.2.1</w:t>
      </w:r>
      <w:r>
        <w:rPr>
          <w:rFonts w:ascii="Times New Roman" w:hAnsi="Times New Roman" w:cs="Times New Roman" w:eastAsia="Times New Roman"/>
          <w:bCs w:val="1"/>
          <w:sz w:val="28"/>
          <w:szCs w:val="28"/>
        </w:rPr>
        <w:t xml:space="preserve"> – </w:t>
      </w:r>
      <w:r>
        <w:rPr>
          <w:rFonts w:ascii="Times New Roman" w:hAnsi="Times New Roman" w:cs="Times New Roman" w:eastAsia="Times New Roman"/>
          <w:sz w:val="28"/>
          <w:szCs w:val="28"/>
        </w:rPr>
        <w:t>Ключевые параметры вычислительного ядра ПСВЯ по кластерам платформы «Берег Восхода»</w:t>
      </w:r>
      <w:r>
        <w:rPr>
          <w:rStyle w:val="C42"/>
          <w:rFonts w:ascii="Times New Roman" w:hAnsi="Times New Roman" w:cs="Times New Roman" w:eastAsia="Times New Roman"/>
          <w:sz w:val="28"/>
          <w:szCs w:val="28"/>
        </w:rPr>
        <w:footnoteReference w:id="115"/>
      </w:r>
      <w:r>
        <w:rPr>
          <w:rFonts w:ascii="Times New Roman" w:hAnsi="Times New Roman" w:cs="Times New Roman" w:eastAsia="Times New Roman"/>
          <w:sz w:val="28"/>
          <w:szCs w:val="28"/>
        </w:rPr>
        <w:t xml:space="preserve"> </w:t>
      </w:r>
    </w:p>
    <w:tbl>
      <w:tblPr>
        <w:tblStyle w:val="T6"/>
        <w:tblW w:w="9887" w:type="dxa"/>
        <w:tblInd w:w="5" w:type="dxa"/>
        <w:tblLook w:val="0000"/>
      </w:tblPr>
      <w:tblGrid>
        <w:gridCol w:w="2830"/>
        <w:gridCol w:w="2293"/>
        <w:gridCol w:w="2385"/>
        <w:gridCol w:w="709"/>
        <w:gridCol w:w="850"/>
        <w:gridCol w:w="820"/>
      </w:tblGrid>
      <w:tr>
        <w:trPr>
          <w:trHeight w:hRule="atLeast" w:val="236"/>
        </w:trPr>
        <w:tc>
          <w:tcPr>
            <w:cnfStyle w:val="000010000000"/>
            <w:tcW w:w="2830" w:type="dxa"/>
            <w:vMerge w:val="restart"/>
          </w:tcPr>
          <w:p>
            <w:pPr>
              <w:spacing w:before="40" w:after="40" w:beforeAutospacing="0" w:afterAutospacing="0"/>
              <w:jc w:val="center"/>
            </w:pPr>
            <w:r>
              <w:rPr>
                <w:rFonts w:ascii="Times New Roman" w:hAnsi="Times New Roman" w:cs="Times New Roman" w:eastAsia="Times New Roman"/>
                <w:bCs w:val="1"/>
              </w:rPr>
              <w:t>Кластер</w:t>
            </w:r>
          </w:p>
        </w:tc>
        <w:tc>
          <w:tcPr>
            <w:cnfStyle w:val="000001000000"/>
            <w:tcW w:w="7057" w:type="dxa"/>
            <w:gridSpan w:val="5"/>
          </w:tcPr>
          <w:p>
            <w:pPr>
              <w:spacing w:before="40" w:after="40" w:beforeAutospacing="0" w:afterAutospacing="0"/>
              <w:jc w:val="center"/>
              <w:rPr>
                <w:sz w:val="24"/>
                <w:szCs w:val="24"/>
              </w:rPr>
            </w:pPr>
            <w:r>
              <w:rPr>
                <w:rFonts w:ascii="Times New Roman" w:hAnsi="Times New Roman" w:cs="Times New Roman" w:eastAsia="Times New Roman"/>
                <w:sz w:val="24"/>
                <w:szCs w:val="24"/>
              </w:rPr>
              <w:t xml:space="preserve">Параметры  вычислительного ядра ПСВЯ</w:t>
            </w:r>
          </w:p>
        </w:tc>
      </w:tr>
      <w:tr>
        <w:trPr>
          <w:trHeight w:hRule="atLeast" w:val="236"/>
        </w:trPr>
        <w:tc>
          <w:tcPr>
            <w:cnfStyle w:val="000010000000"/>
            <w:tcW w:w="2830" w:type="dxa"/>
            <w:vMerge w:val="continue"/>
          </w:tcPr>
          <w:p>
            <w:pPr>
              <w:spacing w:before="40" w:after="40" w:beforeAutospacing="0" w:afterAutospacing="0"/>
              <w:jc w:val="center"/>
              <w:rPr>
                <w:rFonts w:ascii="Times New Roman" w:hAnsi="Times New Roman" w:cs="Times New Roman" w:eastAsia="Times New Roman"/>
                <w:bCs w:val="1"/>
              </w:rPr>
            </w:pPr>
          </w:p>
        </w:tc>
        <w:tc>
          <w:tcPr>
            <w:cnfStyle w:val="000001000000"/>
            <w:tcW w:w="2293" w:type="dxa"/>
          </w:tcPr>
          <w:p>
            <w:pPr>
              <w:spacing w:before="40" w:after="40" w:beforeAutospacing="0" w:afterAutospacing="0"/>
              <w:jc w:val="center"/>
              <w:rPr>
                <w:rFonts w:ascii="Times New Roman" w:hAnsi="Times New Roman" w:cs="Times New Roman" w:eastAsia="Times New Roman"/>
                <w:bCs w:val="1"/>
              </w:rPr>
            </w:pPr>
            <w:r>
              <w:rPr>
                <w:rFonts w:ascii="Times New Roman" w:hAnsi="Times New Roman" w:cs="Times New Roman" w:eastAsia="Times New Roman"/>
                <w:bCs w:val="1"/>
              </w:rPr>
              <w:t>CAPEXᵢ, млрд долл.</w:t>
            </w:r>
          </w:p>
        </w:tc>
        <w:tc>
          <w:tcPr>
            <w:cnfStyle w:val="000010000000"/>
            <w:tcW w:w="2385" w:type="dxa"/>
          </w:tcPr>
          <w:p>
            <w:pPr>
              <w:spacing w:before="40" w:after="40" w:beforeAutospacing="0" w:afterAutospacing="0"/>
              <w:jc w:val="center"/>
              <w:rPr>
                <w:rFonts w:ascii="Times New Roman" w:hAnsi="Times New Roman" w:cs="Times New Roman" w:eastAsia="Times New Roman"/>
                <w:bCs w:val="1"/>
              </w:rPr>
            </w:pPr>
            <w:r>
              <w:rPr>
                <w:rFonts w:ascii="Times New Roman" w:hAnsi="Times New Roman" w:cs="Times New Roman" w:eastAsia="Times New Roman"/>
                <w:bCs w:val="1"/>
              </w:rPr>
              <w:t>Qᵢᵐᵃˣ, млрд долл.</w:t>
            </w:r>
          </w:p>
        </w:tc>
        <w:tc>
          <w:tcPr>
            <w:cnfStyle w:val="000001000000"/>
            <w:tcW w:w="709" w:type="dxa"/>
          </w:tcPr>
          <w:p>
            <w:pPr>
              <w:spacing w:before="40" w:after="40" w:beforeAutospacing="0" w:afterAutospacing="0"/>
              <w:jc w:val="center"/>
              <w:rPr>
                <w:rFonts w:ascii="Times New Roman" w:hAnsi="Times New Roman" w:cs="Times New Roman" w:eastAsia="Times New Roman"/>
                <w:bCs w:val="1"/>
              </w:rPr>
            </w:pPr>
            <w:r>
              <w:rPr>
                <w:rFonts w:ascii="Times New Roman" w:hAnsi="Times New Roman" w:cs="Times New Roman" w:eastAsia="Times New Roman"/>
                <w:bCs w:val="1"/>
              </w:rPr>
              <w:t>kᵢ</w:t>
            </w:r>
          </w:p>
        </w:tc>
        <w:tc>
          <w:tcPr>
            <w:cnfStyle w:val="000010000000"/>
            <w:tcW w:w="850" w:type="dxa"/>
          </w:tcPr>
          <w:p>
            <w:pPr>
              <w:spacing w:before="40" w:after="40" w:beforeAutospacing="0" w:afterAutospacing="0"/>
              <w:jc w:val="center"/>
              <w:rPr>
                <w:rFonts w:ascii="Times New Roman" w:hAnsi="Times New Roman" w:cs="Times New Roman" w:eastAsia="Times New Roman"/>
                <w:bCs w:val="1"/>
              </w:rPr>
            </w:pPr>
            <w:r>
              <w:rPr>
                <w:rFonts w:ascii="Times New Roman" w:hAnsi="Times New Roman" w:cs="Times New Roman" w:eastAsia="Times New Roman"/>
                <w:bCs w:val="1"/>
              </w:rPr>
              <w:t>δᵢ</w:t>
            </w:r>
          </w:p>
        </w:tc>
        <w:tc>
          <w:tcPr>
            <w:cnfStyle w:val="000001000000"/>
            <w:tcW w:w="820" w:type="dxa"/>
          </w:tcPr>
          <w:p>
            <w:pPr>
              <w:spacing w:before="40" w:after="40" w:beforeAutospacing="0" w:afterAutospacing="0"/>
              <w:jc w:val="center"/>
              <w:rPr>
                <w:rFonts w:ascii="Times New Roman" w:hAnsi="Times New Roman" w:cs="Times New Roman" w:eastAsia="Times New Roman"/>
                <w:bCs w:val="1"/>
              </w:rPr>
            </w:pPr>
            <w:r>
              <w:rPr>
                <w:rFonts w:ascii="Times New Roman" w:hAnsi="Times New Roman" w:cs="Times New Roman" w:eastAsia="Times New Roman"/>
                <w:bCs w:val="1"/>
              </w:rPr>
              <w:t>xᵢᵐⁱⁿ</w:t>
            </w:r>
          </w:p>
        </w:tc>
      </w:tr>
      <w:tr>
        <w:trPr>
          <w:trHeight w:hRule="atLeast" w:val="339"/>
        </w:trPr>
        <w:tc>
          <w:tcPr>
            <w:cnfStyle w:val="000010000000"/>
            <w:tcW w:w="2830" w:type="dxa"/>
          </w:tcPr>
          <w:p>
            <w:pPr>
              <w:spacing w:before="40" w:after="40" w:beforeAutospacing="0" w:afterAutospacing="0"/>
            </w:pPr>
            <w:r>
              <w:rPr>
                <w:rFonts w:ascii="Times New Roman" w:hAnsi="Times New Roman" w:cs="Times New Roman" w:eastAsia="Times New Roman"/>
                <w:bCs w:val="1"/>
                <w:sz w:val="24"/>
                <w:szCs w:val="24"/>
                <w:lang w:eastAsia="ru-RU"/>
              </w:rPr>
              <w:t>I</w:t>
            </w:r>
            <w:r>
              <w:rPr>
                <w:rFonts w:ascii="Times New Roman" w:hAnsi="Times New Roman" w:cs="Times New Roman" w:eastAsia="Times New Roman"/>
                <w:sz w:val="24"/>
                <w:szCs w:val="24"/>
                <w:lang w:eastAsia="ru-RU"/>
              </w:rPr>
              <w:t xml:space="preserve"> Агропереработка и какао-индустрия</w:t>
            </w:r>
          </w:p>
        </w:tc>
        <w:tc>
          <w:tcPr>
            <w:cnfStyle w:val="000001000000"/>
            <w:tcW w:w="2293" w:type="dxa"/>
          </w:tcPr>
          <w:p>
            <w:pPr>
              <w:spacing w:before="40" w:after="40" w:beforeAutospacing="0" w:afterAutospacing="0"/>
              <w:jc w:val="center"/>
            </w:pPr>
            <w:r>
              <w:rPr>
                <w:rFonts w:ascii="Times New Roman" w:hAnsi="Times New Roman" w:cs="Times New Roman" w:eastAsia="Times New Roman"/>
              </w:rPr>
              <w:t>2,75</w:t>
            </w:r>
          </w:p>
        </w:tc>
        <w:tc>
          <w:tcPr>
            <w:cnfStyle w:val="000010000000"/>
            <w:tcW w:w="2385" w:type="dxa"/>
          </w:tcPr>
          <w:p>
            <w:pPr>
              <w:spacing w:before="40" w:after="40" w:beforeAutospacing="0" w:afterAutospacing="0"/>
              <w:jc w:val="center"/>
            </w:pPr>
            <w:r>
              <w:rPr>
                <w:rFonts w:ascii="Times New Roman" w:hAnsi="Times New Roman" w:cs="Times New Roman" w:eastAsia="Times New Roman"/>
              </w:rPr>
              <w:t>3,50</w:t>
            </w:r>
          </w:p>
        </w:tc>
        <w:tc>
          <w:tcPr>
            <w:cnfStyle w:val="000001000000"/>
            <w:tcW w:w="709" w:type="dxa"/>
          </w:tcPr>
          <w:p>
            <w:pPr>
              <w:spacing w:before="40" w:after="40" w:beforeAutospacing="0" w:afterAutospacing="0"/>
              <w:jc w:val="center"/>
            </w:pPr>
            <w:r>
              <w:rPr>
                <w:rFonts w:ascii="Times New Roman" w:hAnsi="Times New Roman" w:cs="Times New Roman" w:eastAsia="Times New Roman"/>
              </w:rPr>
              <w:t>1,80</w:t>
            </w:r>
          </w:p>
        </w:tc>
        <w:tc>
          <w:tcPr>
            <w:cnfStyle w:val="000010000000"/>
            <w:tcW w:w="850" w:type="dxa"/>
          </w:tcPr>
          <w:p>
            <w:pPr>
              <w:spacing w:before="40" w:after="40" w:beforeAutospacing="0" w:afterAutospacing="0"/>
              <w:jc w:val="center"/>
            </w:pPr>
            <w:r>
              <w:rPr>
                <w:rFonts w:ascii="Times New Roman" w:hAnsi="Times New Roman" w:cs="Times New Roman" w:eastAsia="Times New Roman"/>
              </w:rPr>
              <w:t>0,35</w:t>
            </w:r>
          </w:p>
        </w:tc>
        <w:tc>
          <w:tcPr>
            <w:cnfStyle w:val="000001000000"/>
            <w:tcW w:w="820" w:type="dxa"/>
          </w:tcPr>
          <w:p>
            <w:pPr>
              <w:spacing w:before="40" w:after="40" w:beforeAutospacing="0" w:afterAutospacing="0"/>
              <w:jc w:val="center"/>
            </w:pPr>
            <w:r>
              <w:rPr>
                <w:rFonts w:ascii="Times New Roman" w:hAnsi="Times New Roman" w:cs="Times New Roman" w:eastAsia="Times New Roman"/>
              </w:rPr>
              <w:t>0,00</w:t>
            </w:r>
          </w:p>
        </w:tc>
      </w:tr>
      <w:tr>
        <w:trPr>
          <w:trHeight w:hRule="atLeast" w:val="339"/>
        </w:trPr>
        <w:tc>
          <w:tcPr>
            <w:cnfStyle w:val="000010000000"/>
            <w:tcW w:w="2830" w:type="dxa"/>
          </w:tcPr>
          <w:p>
            <w:pPr>
              <w:spacing w:before="40" w:after="40" w:beforeAutospacing="0" w:afterAutospacing="0"/>
            </w:pPr>
            <w:r>
              <w:rPr>
                <w:rFonts w:ascii="Times New Roman" w:hAnsi="Times New Roman" w:cs="Times New Roman" w:eastAsia="Times New Roman"/>
                <w:bCs w:val="1"/>
                <w:sz w:val="24"/>
                <w:szCs w:val="24"/>
                <w:lang w:eastAsia="ru-RU"/>
              </w:rPr>
              <w:t>II</w:t>
            </w:r>
            <w:r>
              <w:rPr>
                <w:rFonts w:ascii="Times New Roman" w:hAnsi="Times New Roman" w:cs="Times New Roman" w:eastAsia="Times New Roman"/>
                <w:sz w:val="24"/>
                <w:szCs w:val="24"/>
                <w:lang w:eastAsia="ru-RU"/>
              </w:rPr>
              <w:t xml:space="preserve"> Портово-логистический кластер</w:t>
            </w:r>
          </w:p>
        </w:tc>
        <w:tc>
          <w:tcPr>
            <w:cnfStyle w:val="000001000000"/>
            <w:tcW w:w="2293" w:type="dxa"/>
          </w:tcPr>
          <w:p>
            <w:pPr>
              <w:spacing w:before="40" w:after="40" w:beforeAutospacing="0" w:afterAutospacing="0"/>
              <w:jc w:val="center"/>
            </w:pPr>
            <w:r>
              <w:rPr>
                <w:rFonts w:ascii="Times New Roman" w:hAnsi="Times New Roman" w:cs="Times New Roman" w:eastAsia="Times New Roman"/>
              </w:rPr>
              <w:t>2,20</w:t>
            </w:r>
          </w:p>
        </w:tc>
        <w:tc>
          <w:tcPr>
            <w:cnfStyle w:val="000010000000"/>
            <w:tcW w:w="2385" w:type="dxa"/>
          </w:tcPr>
          <w:p>
            <w:pPr>
              <w:spacing w:before="40" w:after="40" w:beforeAutospacing="0" w:afterAutospacing="0"/>
              <w:jc w:val="center"/>
            </w:pPr>
            <w:r>
              <w:rPr>
                <w:rFonts w:ascii="Times New Roman" w:hAnsi="Times New Roman" w:cs="Times New Roman" w:eastAsia="Times New Roman"/>
              </w:rPr>
              <w:t>2,50</w:t>
            </w:r>
          </w:p>
        </w:tc>
        <w:tc>
          <w:tcPr>
            <w:cnfStyle w:val="000001000000"/>
            <w:tcW w:w="709" w:type="dxa"/>
          </w:tcPr>
          <w:p>
            <w:pPr>
              <w:spacing w:before="40" w:after="40" w:beforeAutospacing="0" w:afterAutospacing="0"/>
              <w:jc w:val="center"/>
            </w:pPr>
            <w:r>
              <w:rPr>
                <w:rFonts w:ascii="Times New Roman" w:hAnsi="Times New Roman" w:cs="Times New Roman" w:eastAsia="Times New Roman"/>
              </w:rPr>
              <w:t>1,78</w:t>
            </w:r>
          </w:p>
        </w:tc>
        <w:tc>
          <w:tcPr>
            <w:cnfStyle w:val="000010000000"/>
            <w:tcW w:w="850" w:type="dxa"/>
          </w:tcPr>
          <w:p>
            <w:pPr>
              <w:spacing w:before="40" w:after="40" w:beforeAutospacing="0" w:afterAutospacing="0"/>
              <w:jc w:val="center"/>
            </w:pPr>
            <w:r>
              <w:rPr>
                <w:rFonts w:ascii="Times New Roman" w:hAnsi="Times New Roman" w:cs="Times New Roman" w:eastAsia="Times New Roman"/>
              </w:rPr>
              <w:t>0,40</w:t>
            </w:r>
          </w:p>
        </w:tc>
        <w:tc>
          <w:tcPr>
            <w:cnfStyle w:val="000001000000"/>
            <w:tcW w:w="820" w:type="dxa"/>
          </w:tcPr>
          <w:p>
            <w:pPr>
              <w:spacing w:before="40" w:after="40" w:beforeAutospacing="0" w:afterAutospacing="0"/>
              <w:jc w:val="center"/>
            </w:pPr>
            <w:r>
              <w:rPr>
                <w:rFonts w:ascii="Times New Roman" w:hAnsi="Times New Roman" w:cs="Times New Roman" w:eastAsia="Times New Roman"/>
              </w:rPr>
              <w:t>0,00</w:t>
            </w:r>
          </w:p>
        </w:tc>
      </w:tr>
      <w:tr>
        <w:trPr>
          <w:trHeight w:hRule="atLeast" w:val="339"/>
        </w:trPr>
        <w:tc>
          <w:tcPr>
            <w:cnfStyle w:val="000010000000"/>
            <w:tcW w:w="2830" w:type="dxa"/>
          </w:tcPr>
          <w:p>
            <w:pPr>
              <w:spacing w:before="40" w:after="40" w:beforeAutospacing="0" w:afterAutospacing="0"/>
            </w:pPr>
            <w:r>
              <w:rPr>
                <w:rFonts w:ascii="Times New Roman" w:hAnsi="Times New Roman" w:cs="Times New Roman" w:eastAsia="Times New Roman"/>
                <w:bCs w:val="1"/>
                <w:sz w:val="24"/>
                <w:szCs w:val="24"/>
                <w:lang w:eastAsia="ru-RU"/>
              </w:rPr>
              <w:t>III</w:t>
            </w:r>
            <w:r>
              <w:rPr>
                <w:rFonts w:ascii="Times New Roman" w:hAnsi="Times New Roman" w:cs="Times New Roman" w:eastAsia="Times New Roman"/>
                <w:sz w:val="24"/>
                <w:szCs w:val="24"/>
                <w:lang w:eastAsia="ru-RU"/>
              </w:rPr>
              <w:t xml:space="preserve"> Индустриально-производственный кластер и СЭЗ</w:t>
            </w:r>
          </w:p>
        </w:tc>
        <w:tc>
          <w:tcPr>
            <w:cnfStyle w:val="000001000000"/>
            <w:tcW w:w="2293" w:type="dxa"/>
          </w:tcPr>
          <w:p>
            <w:pPr>
              <w:spacing w:before="40" w:after="40" w:beforeAutospacing="0" w:afterAutospacing="0"/>
              <w:jc w:val="center"/>
            </w:pPr>
            <w:r>
              <w:rPr>
                <w:rFonts w:ascii="Times New Roman" w:hAnsi="Times New Roman" w:cs="Times New Roman" w:eastAsia="Times New Roman"/>
              </w:rPr>
              <w:t>3,50</w:t>
            </w:r>
          </w:p>
        </w:tc>
        <w:tc>
          <w:tcPr>
            <w:cnfStyle w:val="000010000000"/>
            <w:tcW w:w="2385" w:type="dxa"/>
          </w:tcPr>
          <w:p>
            <w:pPr>
              <w:spacing w:before="40" w:after="40" w:beforeAutospacing="0" w:afterAutospacing="0"/>
              <w:jc w:val="center"/>
            </w:pPr>
            <w:r>
              <w:rPr>
                <w:rFonts w:ascii="Times New Roman" w:hAnsi="Times New Roman" w:cs="Times New Roman" w:eastAsia="Times New Roman"/>
              </w:rPr>
              <w:t>4,50</w:t>
            </w:r>
          </w:p>
        </w:tc>
        <w:tc>
          <w:tcPr>
            <w:cnfStyle w:val="000001000000"/>
            <w:tcW w:w="709" w:type="dxa"/>
          </w:tcPr>
          <w:p>
            <w:pPr>
              <w:spacing w:before="40" w:after="40" w:beforeAutospacing="0" w:afterAutospacing="0"/>
              <w:jc w:val="center"/>
            </w:pPr>
            <w:r>
              <w:rPr>
                <w:rFonts w:ascii="Times New Roman" w:hAnsi="Times New Roman" w:cs="Times New Roman" w:eastAsia="Times New Roman"/>
              </w:rPr>
              <w:t>1,90</w:t>
            </w:r>
          </w:p>
        </w:tc>
        <w:tc>
          <w:tcPr>
            <w:cnfStyle w:val="000010000000"/>
            <w:tcW w:w="850" w:type="dxa"/>
          </w:tcPr>
          <w:p>
            <w:pPr>
              <w:spacing w:before="40" w:after="40" w:beforeAutospacing="0" w:afterAutospacing="0"/>
              <w:jc w:val="center"/>
            </w:pPr>
            <w:r>
              <w:rPr>
                <w:rFonts w:ascii="Times New Roman" w:hAnsi="Times New Roman" w:cs="Times New Roman" w:eastAsia="Times New Roman"/>
              </w:rPr>
              <w:t>0,30</w:t>
            </w:r>
          </w:p>
        </w:tc>
        <w:tc>
          <w:tcPr>
            <w:cnfStyle w:val="000001000000"/>
            <w:tcW w:w="820" w:type="dxa"/>
          </w:tcPr>
          <w:p>
            <w:pPr>
              <w:spacing w:before="40" w:after="40" w:beforeAutospacing="0" w:afterAutospacing="0"/>
              <w:jc w:val="center"/>
            </w:pPr>
            <w:r>
              <w:rPr>
                <w:rFonts w:ascii="Times New Roman" w:hAnsi="Times New Roman" w:cs="Times New Roman" w:eastAsia="Times New Roman"/>
              </w:rPr>
              <w:t>0,00</w:t>
            </w:r>
          </w:p>
        </w:tc>
      </w:tr>
      <w:tr>
        <w:trPr>
          <w:trHeight w:hRule="atLeast" w:val="339"/>
        </w:trPr>
        <w:tc>
          <w:tcPr>
            <w:cnfStyle w:val="000010000000"/>
            <w:tcW w:w="2830" w:type="dxa"/>
          </w:tcPr>
          <w:p>
            <w:pPr>
              <w:spacing w:before="40" w:after="40" w:beforeAutospacing="0" w:afterAutospacing="0"/>
            </w:pPr>
            <w:r>
              <w:rPr>
                <w:rFonts w:ascii="Times New Roman" w:hAnsi="Times New Roman" w:cs="Times New Roman" w:eastAsia="Times New Roman"/>
                <w:bCs w:val="1"/>
                <w:sz w:val="24"/>
                <w:szCs w:val="24"/>
                <w:lang w:eastAsia="ru-RU"/>
              </w:rPr>
              <w:t>IV</w:t>
            </w:r>
            <w:r>
              <w:rPr>
                <w:rFonts w:ascii="Times New Roman" w:hAnsi="Times New Roman" w:cs="Times New Roman" w:eastAsia="Times New Roman"/>
                <w:sz w:val="24"/>
                <w:szCs w:val="24"/>
                <w:lang w:eastAsia="ru-RU"/>
              </w:rPr>
              <w:t xml:space="preserve"> Цифровая платформа (ядро системы)</w:t>
            </w:r>
          </w:p>
        </w:tc>
        <w:tc>
          <w:tcPr>
            <w:cnfStyle w:val="000001000000"/>
            <w:tcW w:w="2293" w:type="dxa"/>
          </w:tcPr>
          <w:p>
            <w:pPr>
              <w:spacing w:before="40" w:after="40" w:beforeAutospacing="0" w:afterAutospacing="0"/>
              <w:jc w:val="center"/>
            </w:pPr>
            <w:r>
              <w:rPr>
                <w:rFonts w:ascii="Times New Roman" w:hAnsi="Times New Roman" w:cs="Times New Roman" w:eastAsia="Times New Roman"/>
              </w:rPr>
              <w:t>1,25</w:t>
            </w:r>
          </w:p>
        </w:tc>
        <w:tc>
          <w:tcPr>
            <w:cnfStyle w:val="000010000000"/>
            <w:tcW w:w="2385" w:type="dxa"/>
          </w:tcPr>
          <w:p>
            <w:pPr>
              <w:spacing w:before="40" w:after="40" w:beforeAutospacing="0" w:afterAutospacing="0"/>
              <w:jc w:val="center"/>
            </w:pPr>
            <w:r>
              <w:rPr>
                <w:rFonts w:ascii="Times New Roman" w:hAnsi="Times New Roman" w:cs="Times New Roman" w:eastAsia="Times New Roman"/>
              </w:rPr>
              <w:t>2,50</w:t>
            </w:r>
          </w:p>
        </w:tc>
        <w:tc>
          <w:tcPr>
            <w:cnfStyle w:val="000001000000"/>
            <w:tcW w:w="709" w:type="dxa"/>
          </w:tcPr>
          <w:p>
            <w:pPr>
              <w:spacing w:before="40" w:after="40" w:beforeAutospacing="0" w:afterAutospacing="0"/>
              <w:jc w:val="center"/>
            </w:pPr>
            <w:r>
              <w:rPr>
                <w:rFonts w:ascii="Times New Roman" w:hAnsi="Times New Roman" w:cs="Times New Roman" w:eastAsia="Times New Roman"/>
              </w:rPr>
              <w:t>2,05</w:t>
            </w:r>
          </w:p>
        </w:tc>
        <w:tc>
          <w:tcPr>
            <w:cnfStyle w:val="000010000000"/>
            <w:tcW w:w="850" w:type="dxa"/>
          </w:tcPr>
          <w:p>
            <w:pPr>
              <w:spacing w:before="40" w:after="40" w:beforeAutospacing="0" w:afterAutospacing="0"/>
              <w:jc w:val="center"/>
            </w:pPr>
            <w:r>
              <w:rPr>
                <w:rFonts w:ascii="Times New Roman" w:hAnsi="Times New Roman" w:cs="Times New Roman" w:eastAsia="Times New Roman"/>
              </w:rPr>
              <w:t>0,00</w:t>
            </w:r>
          </w:p>
        </w:tc>
        <w:tc>
          <w:tcPr>
            <w:cnfStyle w:val="000001000000"/>
            <w:tcW w:w="820" w:type="dxa"/>
          </w:tcPr>
          <w:p>
            <w:pPr>
              <w:spacing w:before="40" w:after="40" w:beforeAutospacing="0" w:afterAutospacing="0"/>
              <w:jc w:val="center"/>
            </w:pPr>
            <w:r>
              <w:rPr>
                <w:rFonts w:ascii="Times New Roman" w:hAnsi="Times New Roman" w:cs="Times New Roman" w:eastAsia="Times New Roman"/>
              </w:rPr>
              <w:t>0,30</w:t>
            </w:r>
          </w:p>
        </w:tc>
      </w:tr>
      <w:tr>
        <w:trPr>
          <w:trHeight w:hRule="atLeast" w:val="339"/>
        </w:trPr>
        <w:tc>
          <w:tcPr>
            <w:cnfStyle w:val="000010000000"/>
            <w:tcW w:w="2830" w:type="dxa"/>
          </w:tcPr>
          <w:p>
            <w:pPr>
              <w:spacing w:before="40" w:after="40" w:beforeAutospacing="0" w:afterAutospacing="0"/>
            </w:pPr>
            <w:r>
              <w:rPr>
                <w:rFonts w:ascii="Times New Roman" w:hAnsi="Times New Roman" w:cs="Times New Roman" w:eastAsia="Times New Roman"/>
                <w:bCs w:val="1"/>
                <w:sz w:val="24"/>
                <w:szCs w:val="24"/>
                <w:lang w:eastAsia="ru-RU"/>
              </w:rPr>
              <w:t>V</w:t>
            </w:r>
            <w:r>
              <w:rPr>
                <w:rFonts w:ascii="Times New Roman" w:hAnsi="Times New Roman" w:cs="Times New Roman" w:eastAsia="Times New Roman"/>
                <w:sz w:val="24"/>
                <w:szCs w:val="24"/>
                <w:lang w:eastAsia="ru-RU"/>
              </w:rPr>
              <w:t xml:space="preserve"> Образование и R&amp;D</w:t>
            </w:r>
          </w:p>
        </w:tc>
        <w:tc>
          <w:tcPr>
            <w:cnfStyle w:val="000001000000"/>
            <w:tcW w:w="2293" w:type="dxa"/>
          </w:tcPr>
          <w:p>
            <w:pPr>
              <w:spacing w:before="40" w:after="40" w:beforeAutospacing="0" w:afterAutospacing="0"/>
              <w:jc w:val="center"/>
            </w:pPr>
            <w:r>
              <w:rPr>
                <w:rFonts w:ascii="Times New Roman" w:hAnsi="Times New Roman" w:cs="Times New Roman" w:eastAsia="Times New Roman"/>
              </w:rPr>
              <w:t>0,90</w:t>
            </w:r>
          </w:p>
        </w:tc>
        <w:tc>
          <w:tcPr>
            <w:cnfStyle w:val="000010000000"/>
            <w:tcW w:w="2385" w:type="dxa"/>
          </w:tcPr>
          <w:p>
            <w:pPr>
              <w:spacing w:before="40" w:after="40" w:beforeAutospacing="0" w:afterAutospacing="0"/>
              <w:jc w:val="center"/>
            </w:pPr>
            <w:r>
              <w:rPr>
                <w:rFonts w:ascii="Times New Roman" w:hAnsi="Times New Roman" w:cs="Times New Roman" w:eastAsia="Times New Roman"/>
              </w:rPr>
              <w:t>1,20</w:t>
            </w:r>
          </w:p>
        </w:tc>
        <w:tc>
          <w:tcPr>
            <w:cnfStyle w:val="000001000000"/>
            <w:tcW w:w="709" w:type="dxa"/>
          </w:tcPr>
          <w:p>
            <w:pPr>
              <w:spacing w:before="40" w:after="40" w:beforeAutospacing="0" w:afterAutospacing="0"/>
              <w:jc w:val="center"/>
            </w:pPr>
            <w:r>
              <w:rPr>
                <w:rFonts w:ascii="Times New Roman" w:hAnsi="Times New Roman" w:cs="Times New Roman" w:eastAsia="Times New Roman"/>
              </w:rPr>
              <w:t>1,55</w:t>
            </w:r>
          </w:p>
        </w:tc>
        <w:tc>
          <w:tcPr>
            <w:cnfStyle w:val="000010000000"/>
            <w:tcW w:w="850" w:type="dxa"/>
          </w:tcPr>
          <w:p>
            <w:pPr>
              <w:spacing w:before="40" w:after="40" w:beforeAutospacing="0" w:afterAutospacing="0"/>
              <w:jc w:val="center"/>
            </w:pPr>
            <w:r>
              <w:rPr>
                <w:rFonts w:ascii="Times New Roman" w:hAnsi="Times New Roman" w:cs="Times New Roman" w:eastAsia="Times New Roman"/>
              </w:rPr>
              <w:t>0,20</w:t>
            </w:r>
          </w:p>
        </w:tc>
        <w:tc>
          <w:tcPr>
            <w:cnfStyle w:val="000001000000"/>
            <w:tcW w:w="820" w:type="dxa"/>
          </w:tcPr>
          <w:p>
            <w:pPr>
              <w:spacing w:before="40" w:after="40" w:beforeAutospacing="0" w:afterAutospacing="0"/>
              <w:jc w:val="center"/>
            </w:pPr>
            <w:r>
              <w:rPr>
                <w:rFonts w:ascii="Times New Roman" w:hAnsi="Times New Roman" w:cs="Times New Roman" w:eastAsia="Times New Roman"/>
              </w:rPr>
              <w:t>0,25</w:t>
            </w:r>
          </w:p>
        </w:tc>
      </w:tr>
      <w:tr>
        <w:trPr>
          <w:trHeight w:hRule="atLeast" w:val="328"/>
        </w:trPr>
        <w:tc>
          <w:tcPr>
            <w:cnfStyle w:val="000010000000"/>
            <w:tcW w:w="2830" w:type="dxa"/>
          </w:tcPr>
          <w:p>
            <w:pPr>
              <w:spacing w:before="40" w:after="40" w:beforeAutospacing="0" w:afterAutospacing="0"/>
            </w:pPr>
            <w:r>
              <w:rPr>
                <w:rFonts w:ascii="Times New Roman" w:hAnsi="Times New Roman" w:cs="Times New Roman" w:eastAsia="Times New Roman"/>
                <w:bCs w:val="1"/>
                <w:sz w:val="24"/>
                <w:szCs w:val="24"/>
                <w:lang w:eastAsia="ru-RU"/>
              </w:rPr>
              <w:t>VI</w:t>
            </w:r>
            <w:r>
              <w:rPr>
                <w:rFonts w:ascii="Times New Roman" w:hAnsi="Times New Roman" w:cs="Times New Roman" w:eastAsia="Times New Roman"/>
                <w:sz w:val="24"/>
                <w:szCs w:val="24"/>
                <w:lang w:eastAsia="ru-RU"/>
              </w:rPr>
              <w:t xml:space="preserve"> Энергетика и ESG</w:t>
            </w:r>
          </w:p>
        </w:tc>
        <w:tc>
          <w:tcPr>
            <w:cnfStyle w:val="000001000000"/>
            <w:tcW w:w="2293" w:type="dxa"/>
          </w:tcPr>
          <w:p>
            <w:pPr>
              <w:spacing w:before="40" w:after="40" w:beforeAutospacing="0" w:afterAutospacing="0"/>
              <w:jc w:val="center"/>
            </w:pPr>
            <w:r>
              <w:rPr>
                <w:rFonts w:ascii="Times New Roman" w:hAnsi="Times New Roman" w:cs="Times New Roman" w:eastAsia="Times New Roman"/>
              </w:rPr>
              <w:t>2,50</w:t>
            </w:r>
          </w:p>
        </w:tc>
        <w:tc>
          <w:tcPr>
            <w:cnfStyle w:val="000010000000"/>
            <w:tcW w:w="2385" w:type="dxa"/>
          </w:tcPr>
          <w:p>
            <w:pPr>
              <w:spacing w:before="40" w:after="40" w:beforeAutospacing="0" w:afterAutospacing="0"/>
              <w:jc w:val="center"/>
            </w:pPr>
            <w:r>
              <w:rPr>
                <w:rFonts w:ascii="Times New Roman" w:hAnsi="Times New Roman" w:cs="Times New Roman" w:eastAsia="Times New Roman"/>
              </w:rPr>
              <w:t>1,80</w:t>
            </w:r>
          </w:p>
        </w:tc>
        <w:tc>
          <w:tcPr>
            <w:cnfStyle w:val="000001000000"/>
            <w:tcW w:w="709" w:type="dxa"/>
          </w:tcPr>
          <w:p>
            <w:pPr>
              <w:spacing w:before="40" w:after="40" w:beforeAutospacing="0" w:afterAutospacing="0"/>
              <w:jc w:val="center"/>
            </w:pPr>
            <w:r>
              <w:rPr>
                <w:rFonts w:ascii="Times New Roman" w:hAnsi="Times New Roman" w:cs="Times New Roman" w:eastAsia="Times New Roman"/>
              </w:rPr>
              <w:t>1,70</w:t>
            </w:r>
          </w:p>
        </w:tc>
        <w:tc>
          <w:tcPr>
            <w:cnfStyle w:val="000010000000"/>
            <w:tcW w:w="850" w:type="dxa"/>
          </w:tcPr>
          <w:p>
            <w:pPr>
              <w:spacing w:before="40" w:after="40" w:beforeAutospacing="0" w:afterAutospacing="0"/>
              <w:jc w:val="center"/>
            </w:pPr>
            <w:r>
              <w:rPr>
                <w:rFonts w:ascii="Times New Roman" w:hAnsi="Times New Roman" w:cs="Times New Roman" w:eastAsia="Times New Roman"/>
              </w:rPr>
              <w:t>0,25</w:t>
            </w:r>
          </w:p>
        </w:tc>
        <w:tc>
          <w:tcPr>
            <w:cnfStyle w:val="000001000000"/>
            <w:tcW w:w="820" w:type="dxa"/>
          </w:tcPr>
          <w:p>
            <w:pPr>
              <w:spacing w:before="40" w:after="40" w:beforeAutospacing="0" w:afterAutospacing="0"/>
              <w:jc w:val="center"/>
            </w:pPr>
            <w:r>
              <w:rPr>
                <w:rFonts w:ascii="Times New Roman" w:hAnsi="Times New Roman" w:cs="Times New Roman" w:eastAsia="Times New Roman"/>
              </w:rPr>
              <w:t>0,35</w:t>
            </w:r>
          </w:p>
        </w:tc>
      </w:tr>
      <w:tr>
        <w:trPr>
          <w:trHeight w:hRule="atLeast" w:val="339"/>
        </w:trPr>
        <w:tc>
          <w:tcPr>
            <w:cnfStyle w:val="000010000000"/>
            <w:tcW w:w="2830" w:type="dxa"/>
          </w:tcPr>
          <w:p>
            <w:pPr>
              <w:spacing w:before="40" w:after="40" w:beforeAutospacing="0" w:afterAutospacing="0"/>
            </w:pPr>
            <w:r>
              <w:rPr>
                <w:rFonts w:ascii="Times New Roman" w:hAnsi="Times New Roman" w:cs="Times New Roman" w:eastAsia="Times New Roman"/>
                <w:bCs w:val="1"/>
                <w:sz w:val="24"/>
                <w:szCs w:val="24"/>
                <w:lang w:eastAsia="ru-RU"/>
              </w:rPr>
              <w:t>VII</w:t>
            </w:r>
            <w:r>
              <w:rPr>
                <w:rFonts w:ascii="Times New Roman" w:hAnsi="Times New Roman" w:cs="Times New Roman" w:eastAsia="Times New Roman"/>
                <w:sz w:val="24"/>
                <w:szCs w:val="24"/>
                <w:lang w:eastAsia="ru-RU"/>
              </w:rPr>
              <w:t xml:space="preserve"> Финансово-инвестиционный кластер</w:t>
            </w:r>
          </w:p>
        </w:tc>
        <w:tc>
          <w:tcPr>
            <w:cnfStyle w:val="000001000000"/>
            <w:tcW w:w="2293" w:type="dxa"/>
          </w:tcPr>
          <w:p>
            <w:pPr>
              <w:spacing w:before="40" w:after="40" w:beforeAutospacing="0" w:afterAutospacing="0"/>
              <w:jc w:val="center"/>
            </w:pPr>
            <w:r>
              <w:rPr>
                <w:rFonts w:ascii="Times New Roman" w:hAnsi="Times New Roman" w:cs="Times New Roman" w:eastAsia="Times New Roman"/>
              </w:rPr>
              <w:t>0,80</w:t>
            </w:r>
          </w:p>
        </w:tc>
        <w:tc>
          <w:tcPr>
            <w:cnfStyle w:val="000010000000"/>
            <w:tcW w:w="2385" w:type="dxa"/>
          </w:tcPr>
          <w:p>
            <w:pPr>
              <w:spacing w:before="40" w:after="40" w:beforeAutospacing="0" w:afterAutospacing="0"/>
              <w:jc w:val="center"/>
            </w:pPr>
            <w:r>
              <w:rPr>
                <w:rFonts w:ascii="Times New Roman" w:hAnsi="Times New Roman" w:cs="Times New Roman" w:eastAsia="Times New Roman"/>
              </w:rPr>
              <w:t>1,80</w:t>
            </w:r>
          </w:p>
        </w:tc>
        <w:tc>
          <w:tcPr>
            <w:cnfStyle w:val="000001000000"/>
            <w:tcW w:w="709" w:type="dxa"/>
          </w:tcPr>
          <w:p>
            <w:pPr>
              <w:spacing w:before="40" w:after="40" w:beforeAutospacing="0" w:afterAutospacing="0"/>
              <w:jc w:val="center"/>
            </w:pPr>
            <w:r>
              <w:rPr>
                <w:rFonts w:ascii="Times New Roman" w:hAnsi="Times New Roman" w:cs="Times New Roman" w:eastAsia="Times New Roman"/>
              </w:rPr>
              <w:t>1,65</w:t>
            </w:r>
          </w:p>
        </w:tc>
        <w:tc>
          <w:tcPr>
            <w:cnfStyle w:val="000010000000"/>
            <w:tcW w:w="850" w:type="dxa"/>
          </w:tcPr>
          <w:p>
            <w:pPr>
              <w:spacing w:before="40" w:after="40" w:beforeAutospacing="0" w:afterAutospacing="0"/>
              <w:jc w:val="center"/>
            </w:pPr>
            <w:r>
              <w:rPr>
                <w:rFonts w:ascii="Times New Roman" w:hAnsi="Times New Roman" w:cs="Times New Roman" w:eastAsia="Times New Roman"/>
              </w:rPr>
              <w:t>0,15</w:t>
            </w:r>
          </w:p>
        </w:tc>
        <w:tc>
          <w:tcPr>
            <w:cnfStyle w:val="000001000000"/>
            <w:tcW w:w="820" w:type="dxa"/>
          </w:tcPr>
          <w:p>
            <w:pPr>
              <w:spacing w:before="40" w:after="40" w:beforeAutospacing="0" w:afterAutospacing="0"/>
              <w:jc w:val="center"/>
            </w:pPr>
            <w:r>
              <w:rPr>
                <w:rFonts w:ascii="Times New Roman" w:hAnsi="Times New Roman" w:cs="Times New Roman" w:eastAsia="Times New Roman"/>
              </w:rPr>
              <w:t>0,00</w:t>
            </w:r>
          </w:p>
        </w:tc>
      </w:tr>
      <w:tr>
        <w:trPr>
          <w:trHeight w:hRule="atLeast" w:val="339"/>
        </w:trPr>
        <w:tc>
          <w:tcPr>
            <w:cnfStyle w:val="000010000000"/>
            <w:tcW w:w="2830" w:type="dxa"/>
          </w:tcPr>
          <w:p>
            <w:pPr>
              <w:spacing w:before="40" w:after="40" w:beforeAutospacing="0" w:afterAutospacing="0"/>
            </w:pPr>
            <w:r>
              <w:rPr>
                <w:rFonts w:ascii="Times New Roman" w:hAnsi="Times New Roman" w:cs="Times New Roman" w:eastAsia="Times New Roman"/>
                <w:bCs w:val="1"/>
                <w:sz w:val="24"/>
                <w:szCs w:val="24"/>
                <w:lang w:eastAsia="ru-RU"/>
              </w:rPr>
              <w:t>VIII</w:t>
            </w:r>
            <w:r>
              <w:rPr>
                <w:rFonts w:ascii="Times New Roman" w:hAnsi="Times New Roman" w:cs="Times New Roman" w:eastAsia="Times New Roman"/>
                <w:sz w:val="24"/>
                <w:szCs w:val="24"/>
                <w:lang w:eastAsia="ru-RU"/>
              </w:rPr>
              <w:t xml:space="preserve"> Социально-урбанистический кластер</w:t>
            </w:r>
          </w:p>
        </w:tc>
        <w:tc>
          <w:tcPr>
            <w:cnfStyle w:val="000001000000"/>
            <w:tcW w:w="2293" w:type="dxa"/>
          </w:tcPr>
          <w:p>
            <w:pPr>
              <w:spacing w:before="40" w:after="40" w:beforeAutospacing="0" w:afterAutospacing="0"/>
              <w:jc w:val="center"/>
            </w:pPr>
            <w:r>
              <w:rPr>
                <w:rFonts w:ascii="Times New Roman" w:hAnsi="Times New Roman" w:cs="Times New Roman" w:eastAsia="Times New Roman"/>
              </w:rPr>
              <w:t>1,20</w:t>
            </w:r>
          </w:p>
        </w:tc>
        <w:tc>
          <w:tcPr>
            <w:cnfStyle w:val="000010000000"/>
            <w:tcW w:w="2385" w:type="dxa"/>
          </w:tcPr>
          <w:p>
            <w:pPr>
              <w:spacing w:before="40" w:after="40" w:beforeAutospacing="0" w:afterAutospacing="0"/>
              <w:jc w:val="center"/>
            </w:pPr>
            <w:r>
              <w:rPr>
                <w:rFonts w:ascii="Times New Roman" w:hAnsi="Times New Roman" w:cs="Times New Roman" w:eastAsia="Times New Roman"/>
              </w:rPr>
              <w:t>1,40</w:t>
            </w:r>
          </w:p>
        </w:tc>
        <w:tc>
          <w:tcPr>
            <w:cnfStyle w:val="000001000000"/>
            <w:tcW w:w="709" w:type="dxa"/>
          </w:tcPr>
          <w:p>
            <w:pPr>
              <w:spacing w:before="40" w:after="40" w:beforeAutospacing="0" w:afterAutospacing="0"/>
              <w:jc w:val="center"/>
            </w:pPr>
            <w:r>
              <w:rPr>
                <w:rFonts w:ascii="Times New Roman" w:hAnsi="Times New Roman" w:cs="Times New Roman" w:eastAsia="Times New Roman"/>
              </w:rPr>
              <w:t>1,45</w:t>
            </w:r>
          </w:p>
        </w:tc>
        <w:tc>
          <w:tcPr>
            <w:cnfStyle w:val="000010000000"/>
            <w:tcW w:w="850" w:type="dxa"/>
          </w:tcPr>
          <w:p>
            <w:pPr>
              <w:spacing w:before="40" w:after="40" w:beforeAutospacing="0" w:afterAutospacing="0"/>
              <w:jc w:val="center"/>
            </w:pPr>
            <w:r>
              <w:rPr>
                <w:rFonts w:ascii="Times New Roman" w:hAnsi="Times New Roman" w:cs="Times New Roman" w:eastAsia="Times New Roman"/>
              </w:rPr>
              <w:t>0,10</w:t>
            </w:r>
          </w:p>
        </w:tc>
        <w:tc>
          <w:tcPr>
            <w:cnfStyle w:val="000001000000"/>
            <w:tcW w:w="820" w:type="dxa"/>
          </w:tcPr>
          <w:p>
            <w:pPr>
              <w:spacing w:before="40" w:after="40" w:beforeAutospacing="0" w:afterAutospacing="0"/>
              <w:jc w:val="center"/>
            </w:pPr>
            <w:r>
              <w:rPr>
                <w:rFonts w:ascii="Times New Roman" w:hAnsi="Times New Roman" w:cs="Times New Roman" w:eastAsia="Times New Roman"/>
              </w:rPr>
              <w:t>0,00</w:t>
            </w:r>
          </w:p>
        </w:tc>
      </w:tr>
      <w:tr>
        <w:trPr>
          <w:trHeight w:hRule="atLeast" w:val="350"/>
        </w:trPr>
        <w:tc>
          <w:tcPr>
            <w:cnfStyle w:val="000010000000"/>
            <w:tcW w:w="2830" w:type="dxa"/>
          </w:tcPr>
          <w:p>
            <w:pPr>
              <w:spacing w:before="40" w:after="40" w:beforeAutospacing="0" w:afterAutospacing="0"/>
            </w:pPr>
            <w:r>
              <w:rPr>
                <w:rFonts w:ascii="Times New Roman" w:hAnsi="Times New Roman" w:cs="Times New Roman" w:eastAsia="Times New Roman"/>
                <w:bCs w:val="1"/>
                <w:sz w:val="24"/>
                <w:szCs w:val="24"/>
                <w:lang w:eastAsia="ru-RU"/>
              </w:rPr>
              <w:t>IX</w:t>
            </w:r>
            <w:r>
              <w:rPr>
                <w:rFonts w:ascii="Times New Roman" w:hAnsi="Times New Roman" w:cs="Times New Roman" w:eastAsia="Times New Roman"/>
                <w:sz w:val="24"/>
                <w:szCs w:val="24"/>
                <w:lang w:eastAsia="ru-RU"/>
              </w:rPr>
              <w:t xml:space="preserve"> Экологический и климатический кластер</w:t>
            </w:r>
          </w:p>
        </w:tc>
        <w:tc>
          <w:tcPr>
            <w:cnfStyle w:val="000001000000"/>
            <w:tcW w:w="2293" w:type="dxa"/>
          </w:tcPr>
          <w:p>
            <w:pPr>
              <w:spacing w:before="40" w:after="40" w:beforeAutospacing="0" w:afterAutospacing="0"/>
              <w:jc w:val="center"/>
            </w:pPr>
            <w:r>
              <w:rPr>
                <w:rFonts w:ascii="Times New Roman" w:hAnsi="Times New Roman" w:cs="Times New Roman" w:eastAsia="Times New Roman"/>
              </w:rPr>
              <w:t>0,50</w:t>
            </w:r>
          </w:p>
        </w:tc>
        <w:tc>
          <w:tcPr>
            <w:cnfStyle w:val="000010000000"/>
            <w:tcW w:w="2385" w:type="dxa"/>
          </w:tcPr>
          <w:p>
            <w:pPr>
              <w:spacing w:before="40" w:after="40" w:beforeAutospacing="0" w:afterAutospacing="0"/>
              <w:jc w:val="center"/>
            </w:pPr>
            <w:r>
              <w:rPr>
                <w:rFonts w:ascii="Times New Roman" w:hAnsi="Times New Roman" w:cs="Times New Roman" w:eastAsia="Times New Roman"/>
              </w:rPr>
              <w:t>0,80</w:t>
            </w:r>
          </w:p>
        </w:tc>
        <w:tc>
          <w:tcPr>
            <w:cnfStyle w:val="000001000000"/>
            <w:tcW w:w="709" w:type="dxa"/>
          </w:tcPr>
          <w:p>
            <w:pPr>
              <w:spacing w:before="40" w:after="40" w:beforeAutospacing="0" w:afterAutospacing="0"/>
              <w:jc w:val="center"/>
            </w:pPr>
            <w:r>
              <w:rPr>
                <w:rFonts w:ascii="Times New Roman" w:hAnsi="Times New Roman" w:cs="Times New Roman" w:eastAsia="Times New Roman"/>
              </w:rPr>
              <w:t>1,40</w:t>
            </w:r>
          </w:p>
        </w:tc>
        <w:tc>
          <w:tcPr>
            <w:cnfStyle w:val="000010000000"/>
            <w:tcW w:w="850" w:type="dxa"/>
          </w:tcPr>
          <w:p>
            <w:pPr>
              <w:spacing w:before="40" w:after="40" w:beforeAutospacing="0" w:afterAutospacing="0"/>
              <w:jc w:val="center"/>
            </w:pPr>
            <w:r>
              <w:rPr>
                <w:rFonts w:ascii="Times New Roman" w:hAnsi="Times New Roman" w:cs="Times New Roman" w:eastAsia="Times New Roman"/>
              </w:rPr>
              <w:t>0,10</w:t>
            </w:r>
          </w:p>
        </w:tc>
        <w:tc>
          <w:tcPr>
            <w:cnfStyle w:val="000001000000"/>
            <w:tcW w:w="820" w:type="dxa"/>
          </w:tcPr>
          <w:p>
            <w:pPr>
              <w:spacing w:before="40" w:after="40" w:beforeAutospacing="0" w:afterAutospacing="0"/>
              <w:jc w:val="center"/>
            </w:pPr>
            <w:r>
              <w:rPr>
                <w:rFonts w:ascii="Times New Roman" w:hAnsi="Times New Roman" w:cs="Times New Roman" w:eastAsia="Times New Roman"/>
              </w:rPr>
              <w:t>0,00</w:t>
            </w:r>
          </w:p>
        </w:tc>
      </w:tr>
    </w:tbl>
    <w:p>
      <w:pPr>
        <w:widowControl w:val="0"/>
        <w:spacing w:lineRule="auto" w:line="360" w:after="0" w:beforeAutospacing="0" w:afterAutospacing="0"/>
        <w:ind w:firstLine="709"/>
        <w:jc w:val="both"/>
        <w:rPr>
          <w:rFonts w:ascii="Times New Roman" w:hAnsi="Times New Roman" w:cs="Times New Roman"/>
          <w:bCs w:val="1"/>
          <w:sz w:val="28"/>
          <w:szCs w:val="28"/>
        </w:rPr>
      </w:pPr>
    </w:p>
    <w:p>
      <w:pPr>
        <w:spacing w:lineRule="auto" w:line="360" w:after="0" w:beforeAutospacing="0" w:afterAutospacing="0"/>
        <w:ind w:firstLine="709"/>
        <w:jc w:val="both"/>
        <w:rPr>
          <w:rFonts w:ascii="Times New Roman" w:hAnsi="Times New Roman" w:cs="Times New Roman"/>
          <w:sz w:val="28"/>
          <w:szCs w:val="28"/>
        </w:rPr>
      </w:pPr>
      <w:r>
        <w:rPr>
          <w:rFonts w:ascii="Times New Roman" w:hAnsi="Times New Roman" w:cs="Times New Roman"/>
          <w:bCs w:val="1"/>
          <w:sz w:val="28"/>
          <w:szCs w:val="28"/>
        </w:rPr>
        <w:t xml:space="preserve">Выпуск кластера i создает цепочку вторичных эффектов: спрос на промежуточные товары смежных секторов, доходы занятых, налоговые поступления, стимулирование потребления. Совокупный эффект превышает прямой выпуск в </w:t>
      </w:r>
      <w:r>
        <w:rPr>
          <w:rFonts w:ascii="Times New Roman" w:hAnsi="Times New Roman" w:cs="Times New Roman"/>
          <w:i w:val="1"/>
          <w:bCs w:val="1"/>
          <w:sz w:val="28"/>
          <w:szCs w:val="28"/>
        </w:rPr>
        <w:t xml:space="preserve">kᵢ </w:t>
      </w:r>
      <w:r>
        <w:rPr>
          <w:rFonts w:ascii="Times New Roman" w:hAnsi="Times New Roman" w:cs="Times New Roman"/>
          <w:bCs w:val="1"/>
          <w:sz w:val="28"/>
          <w:szCs w:val="28"/>
        </w:rPr>
        <w:t>раз. Однако п</w:t>
      </w:r>
      <w:r>
        <w:rPr>
          <w:rFonts w:ascii="Times New Roman" w:hAnsi="Times New Roman" w:cs="Times New Roman" w:eastAsia="Times New Roman"/>
          <w:sz w:val="28"/>
          <w:szCs w:val="28"/>
        </w:rPr>
        <w:t xml:space="preserve">рисутствие цифровой платформы (Кластер IV) увеличивает эффективный </w:t>
      </w:r>
      <w:r>
        <w:rPr>
          <w:rFonts w:ascii="Times New Roman" w:hAnsi="Times New Roman" w:cs="Times New Roman"/>
          <w:i w:val="1"/>
          <w:bCs w:val="1"/>
          <w:sz w:val="28"/>
          <w:szCs w:val="28"/>
        </w:rPr>
        <w:t>kᵢ</w:t>
      </w:r>
      <w:r>
        <w:rPr>
          <w:rFonts w:ascii="Times New Roman" w:hAnsi="Times New Roman" w:cs="Times New Roman" w:eastAsia="Times New Roman"/>
          <w:sz w:val="28"/>
          <w:szCs w:val="28"/>
        </w:rPr>
        <w:t xml:space="preserve"> каждого зависимого кластера за счет снижения транзакционных издержек и информационной асимметрии [</w:t>
      </w:r>
      <w:r>
        <w:rPr>
          <w:rFonts w:ascii="Times New Roman" w:hAnsi="Times New Roman" w:cs="Times New Roman" w:eastAsia="Times New Roman"/>
          <w:sz w:val="28"/>
          <w:szCs w:val="28"/>
          <w:highlight w:val="yellow"/>
        </w:rPr>
        <w:t>3; 8</w:t>
      </w:r>
      <w:r>
        <w:rPr>
          <w:rFonts w:ascii="Times New Roman" w:hAnsi="Times New Roman" w:cs="Times New Roman" w:eastAsia="Times New Roman"/>
          <w:sz w:val="28"/>
          <w:szCs w:val="28"/>
        </w:rPr>
        <w:t xml:space="preserve">]. Параметр цифрового усиления i-го кластера (δᵢ </w:t>
      </w:r>
      <w:r>
        <w:rPr>
          <w:rFonts w:ascii="Cambria Math" w:hAnsi="Cambria Math" w:cs="Cambria Math" w:eastAsia="Times New Roman"/>
          <w:sz w:val="28"/>
          <w:szCs w:val="28"/>
        </w:rPr>
        <w:t>∈</w:t>
      </w:r>
      <w:r>
        <w:rPr>
          <w:rFonts w:ascii="Times New Roman" w:hAnsi="Times New Roman" w:cs="Times New Roman" w:eastAsia="Times New Roman"/>
          <w:sz w:val="28"/>
          <w:szCs w:val="28"/>
        </w:rPr>
        <w:t xml:space="preserve"> [0,10; 0,40])</w:t>
      </w:r>
      <w:r>
        <w:rPr>
          <w:rFonts w:ascii="Times New Roman" w:hAnsi="Times New Roman" w:cs="Times New Roman"/>
          <w:sz w:val="28"/>
          <w:szCs w:val="28"/>
        </w:rPr>
        <w:t xml:space="preserve"> показывает степень чувствительности кластеров к цифровому усилению со стороны кластера IV и</w:t>
      </w:r>
      <w:r>
        <w:rPr>
          <w:rFonts w:ascii="Times New Roman" w:hAnsi="Times New Roman" w:cs="Times New Roman" w:eastAsia="Times New Roman"/>
          <w:sz w:val="28"/>
          <w:szCs w:val="28"/>
        </w:rPr>
        <w:t xml:space="preserve"> </w:t>
      </w:r>
      <w:r>
        <w:rPr>
          <w:rFonts w:ascii="Times New Roman" w:hAnsi="Times New Roman" w:cs="Times New Roman"/>
          <w:sz w:val="28"/>
          <w:szCs w:val="28"/>
        </w:rPr>
        <w:t xml:space="preserve">принимает наибольшие значения для логистики (δ₂ = 0,40) и агропереработки (δ₁ = 0,35), наименьшие – для экологического кластера (δ₉ = 0,10). </w:t>
      </w:r>
    </w:p>
    <w:p>
      <w:pPr>
        <w:widowControl w:val="0"/>
        <w:spacing w:lineRule="auto" w:line="360" w:after="0" w:beforeAutospacing="0" w:afterAutospacing="0"/>
        <w:ind w:firstLine="709"/>
        <w:jc w:val="both"/>
        <w:rPr>
          <w:sz w:val="28"/>
          <w:szCs w:val="28"/>
        </w:rPr>
      </w:pPr>
      <w:r>
        <w:rPr>
          <w:rFonts w:ascii="Times New Roman" w:hAnsi="Times New Roman" w:cs="Times New Roman" w:eastAsia="Times New Roman"/>
          <w:sz w:val="28"/>
          <w:szCs w:val="28"/>
        </w:rPr>
        <w:t>Показатель Q̄ᵢ характеризует структурный потенциал кластера, обусловленный его производственными связями с остальной экономикой, а не текущим уровнем цифровизации. Использование Q̄ᵢ в синергетическом слагаемом означает, что синергетический прирост ВДС пары (i, j) масштабируется на базовый потенциал каждого кластера</w:t>
      </w:r>
    </w:p>
    <w:p>
      <w:pPr>
        <w:spacing w:lineRule="auto" w:line="240" w:beforeAutospacing="0" w:afterAutospacing="0"/>
        <w:jc w:val="center"/>
        <w:rPr>
          <w:sz w:val="28"/>
          <w:szCs w:val="28"/>
        </w:rPr>
      </w:pPr>
      <w:r>
        <w:rPr>
          <w:rFonts w:ascii="Times New Roman" w:hAnsi="Times New Roman" w:cs="Times New Roman" w:eastAsiaTheme="minorEastAsia"/>
          <w:iCs w:val="1"/>
          <w:sz w:val="28"/>
          <w:szCs w:val="28"/>
        </w:rPr>
        <w:t xml:space="preserve">                                                               </w:t>
      </w:r>
      <m:oMathPara xmlns:m="http://schemas.openxmlformats.org/officeDocument/2006/math">
        <m:oMath>
          <m:r>
            <m:rPr>
              <m:scr m:val="roman"/>
              <m:sty m:val="i"/>
            </m:rPr>
            <m:t>Q̄ᵢ</m:t>
          </m:r>
          <m:r>
            <m:rPr>
              <m:scr m:val="roman"/>
              <m:sty m:val="p"/>
            </m:rPr>
            <m:t>= </m:t>
          </m:r>
          <m:sSub>
            <m:sSubPr>
              <m:ctrlPr>
                <w:rPr>
                  <w:rFonts w:ascii="Cambria Math" w:hAnsi="Cambria Math"/>
                  <w:sz w:val="28"/>
                  <w:szCs w:val="28"/>
                </w:rPr>
              </m:ctrlPr>
            </m:sSubPr>
            <m:e>
              <m:argPr>
                <m:argSz m:val="0"/>
              </m:argPr>
              <m:r>
                <m:rPr>
                  <m:scr m:val="roman"/>
                  <m:sty m:val="i"/>
                </m:rPr>
                <m:t>k</m:t>
              </m:r>
            </m:e>
            <m:sub>
              <m:argPr>
                <m:argSz m:val="0"/>
              </m:argPr>
              <m:r>
                <m:rPr>
                  <m:scr m:val="roman"/>
                  <m:sty m:val="i"/>
                </m:rPr>
                <m:t>i</m:t>
              </m:r>
            </m:sub>
          </m:sSub>
          <m:r>
            <m:rPr>
              <m:scr m:val="roman"/>
              <m:sty m:val="p"/>
            </m:rPr>
            <m:t>⋅</m:t>
          </m:r>
          <m:sSubSup>
            <m:sSubSupPr>
              <m:ctrlPr>
                <w:rPr>
                  <w:rFonts w:ascii="Cambria Math" w:hAnsi="Cambria Math"/>
                  <w:sz w:val="28"/>
                  <w:szCs w:val="28"/>
                </w:rPr>
              </m:ctrlPr>
            </m:sSubSupPr>
            <m:e>
              <m:argPr>
                <m:argSz m:val="0"/>
              </m:argPr>
              <m:r>
                <m:rPr>
                  <m:scr m:val="roman"/>
                  <m:sty m:val="i"/>
                </m:rPr>
                <m:t>Q</m:t>
              </m:r>
            </m:e>
            <m:sub>
              <m:argPr>
                <m:argSz m:val="0"/>
              </m:argPr>
              <m:r>
                <m:rPr>
                  <m:scr m:val="roman"/>
                  <m:sty m:val="i"/>
                </m:rPr>
                <m:t>i</m:t>
              </m:r>
            </m:sub>
            <m:sup>
              <m:argPr>
                <m:argSz m:val="0"/>
              </m:argPr>
              <m:r>
                <m:rPr>
                  <m:scr m:val="roman"/>
                  <m:sty m:val="p"/>
                </m:rPr>
                <m:t>max</m:t>
              </m:r>
            </m:sup>
          </m:sSubSup>
        </m:oMath>
      </m:oMathPara>
      <w:r>
        <w:rPr>
          <w:sz w:val="28"/>
          <w:szCs w:val="28"/>
        </w:rPr>
        <w:t xml:space="preserve">.                                           </w:t>
      </w:r>
      <w:r>
        <w:rPr>
          <w:rFonts w:ascii="Times New Roman" w:hAnsi="Times New Roman" w:cs="Times New Roman"/>
          <w:sz w:val="28"/>
          <w:szCs w:val="28"/>
          <w:highlight w:val="yellow"/>
        </w:rPr>
        <w:t>(3.5)</w:t>
      </w:r>
    </w:p>
    <w:p>
      <w:pPr>
        <w:widowControl w:val="0"/>
        <w:spacing w:lineRule="auto" w:line="360" w:after="0" w:beforeAutospacing="0" w:afterAutospacing="0"/>
        <w:ind w:firstLine="709"/>
        <w:jc w:val="both"/>
        <w:rPr>
          <w:rFonts w:ascii="Times New Roman" w:hAnsi="Times New Roman" w:cs="Times New Roman"/>
          <w:bCs w:val="1"/>
          <w:sz w:val="28"/>
          <w:szCs w:val="28"/>
        </w:rPr>
      </w:pPr>
    </w:p>
    <w:p>
      <w:pPr>
        <w:spacing w:lineRule="auto" w:line="360" w:after="0" w:beforeAutospacing="0" w:afterAutospacing="0"/>
        <w:ind w:firstLine="709"/>
        <w:jc w:val="both"/>
        <w:rPr>
          <w:rFonts w:ascii="Times New Roman" w:hAnsi="Times New Roman" w:cs="Times New Roman"/>
          <w:sz w:val="28"/>
          <w:szCs w:val="28"/>
        </w:rPr>
      </w:pPr>
      <w:r>
        <w:rPr>
          <w:rFonts w:ascii="Times New Roman" w:hAnsi="Times New Roman" w:cs="Times New Roman"/>
          <w:sz w:val="28"/>
          <w:szCs w:val="28"/>
        </w:rPr>
        <w:t xml:space="preserve">Снижение транзакционных издержек – ключевая стратегическая цель кластера IV. Для агроэкспортной экономики Кот-д'Ивуара их величина оценивается в 4–6% ВВП, а применительно к прибрежной зоне – 3,8–5,7 млрд долл./год. Цифровая платформа снижает эти издержки на α_TC п.п. ВВП </w:t>
      </w:r>
      <w:r>
        <w:rPr>
          <w:rFonts w:ascii="Times New Roman" w:hAnsi="Times New Roman" w:cs="Times New Roman"/>
          <w:sz w:val="28"/>
          <w:szCs w:val="28"/>
          <w:highlight w:val="yellow"/>
        </w:rPr>
        <w:t>[3]</w:t>
      </w:r>
    </w:p>
    <w:p>
      <w:pPr>
        <w:spacing w:lineRule="auto" w:line="360" w:after="0" w:beforeAutospacing="0" w:afterAutospacing="0"/>
        <w:ind w:firstLine="709"/>
        <w:jc w:val="both"/>
        <w:rPr>
          <w:rFonts w:ascii="Times New Roman" w:hAnsi="Times New Roman" w:cs="Times New Roman"/>
          <w:sz w:val="28"/>
          <w:szCs w:val="28"/>
        </w:rPr>
      </w:pPr>
    </w:p>
    <w:p>
      <w:pPr>
        <w:tabs>
          <w:tab w:val="right" w:pos="9000" w:leader="none"/>
        </w:tabs>
        <w:spacing w:lineRule="auto" w:line="360" w:after="0" w:beforeAutospacing="0" w:afterAutospacing="0"/>
        <w:jc w:val="center"/>
        <w:rPr>
          <w:rFonts w:ascii="Times New Roman" w:hAnsi="Times New Roman" w:cs="Times New Roman"/>
          <w:sz w:val="28"/>
          <w:szCs w:val="28"/>
        </w:rPr>
      </w:pPr>
      <w:r>
        <w:rPr>
          <w:rFonts w:ascii="Times New Roman" w:hAnsi="Times New Roman" w:cs="Times New Roman" w:eastAsiaTheme="minorEastAsia"/>
          <w:sz w:val="28"/>
          <w:szCs w:val="28"/>
        </w:rPr>
        <w:t xml:space="preserve">                                                        </w:t>
      </w:r>
      <m:oMathPara xmlns:m="http://schemas.openxmlformats.org/officeDocument/2006/math">
        <m:oMath>
          <m:r>
            <m:rPr>
              <m:scr m:val="roman"/>
              <m:sty m:val="i"/>
            </m:rPr>
            <m:t>Δ</m:t>
          </m:r>
          <m:sSub>
            <m:sSubPr>
              <m:ctrlPr>
                <w:rPr>
                  <w:rFonts w:ascii="Cambria Math" w:hAnsi="Cambria Math" w:cs="Times New Roman"/>
                  <w:sz w:val="28"/>
                  <w:szCs w:val="28"/>
                </w:rPr>
              </m:ctrlPr>
            </m:sSubPr>
            <m:e>
              <m:argPr>
                <m:argSz m:val="0"/>
              </m:argPr>
              <m:r>
                <m:rPr>
                  <m:scr m:val="roman"/>
                  <m:sty m:val="i"/>
                </m:rPr>
                <m:t>Y</m:t>
              </m:r>
            </m:e>
            <m:sub>
              <m:argPr>
                <m:argSz m:val="0"/>
              </m:argPr>
              <m:r>
                <m:rPr>
                  <m:scr m:val="roman"/>
                  <m:sty m:val="i"/>
                </m:rPr>
                <m:t>TC</m:t>
              </m:r>
            </m:sub>
          </m:sSub>
          <m:r>
            <m:rPr>
              <m:scr m:val="roman"/>
              <m:sty m:val="i"/>
            </m:rPr>
            <m:t>(</m:t>
          </m:r>
          <m:sSub>
            <m:sSubPr>
              <m:ctrlPr>
                <w:rPr>
                  <w:rFonts w:ascii="Cambria Math" w:hAnsi="Cambria Math" w:cs="Times New Roman"/>
                  <w:sz w:val="28"/>
                  <w:szCs w:val="28"/>
                </w:rPr>
              </m:ctrlPr>
            </m:sSubPr>
            <m:e>
              <m:argPr>
                <m:argSz m:val="0"/>
              </m:argPr>
              <m:r>
                <m:rPr>
                  <m:scr m:val="roman"/>
                  <m:sty m:val="i"/>
                </m:rPr>
                <m:t>x</m:t>
              </m:r>
            </m:e>
            <m:sub>
              <m:argPr>
                <m:argSz m:val="0"/>
              </m:argPr>
              <m:r>
                <m:rPr>
                  <m:scr m:val="roman"/>
                  <m:sty m:val="i"/>
                </m:rPr>
                <m:t>4</m:t>
              </m:r>
            </m:sub>
          </m:sSub>
          <m:r>
            <m:rPr>
              <m:scr m:val="roman"/>
              <m:sty m:val="i"/>
            </m:rPr>
            <m:t>) =</m:t>
          </m:r>
          <m:sSub>
            <m:sSubPr>
              <m:ctrlPr>
                <w:rPr>
                  <w:rFonts w:ascii="Cambria Math" w:hAnsi="Cambria Math" w:cs="Times New Roman"/>
                  <w:sz w:val="28"/>
                  <w:szCs w:val="28"/>
                </w:rPr>
              </m:ctrlPr>
            </m:sSubPr>
            <m:e>
              <m:argPr>
                <m:argSz m:val="0"/>
              </m:argPr>
              <m:r>
                <m:rPr>
                  <m:scr m:val="roman"/>
                  <m:sty m:val="i"/>
                </m:rPr>
                <m:t>α</m:t>
              </m:r>
            </m:e>
            <m:sub>
              <m:argPr>
                <m:argSz m:val="0"/>
              </m:argPr>
              <m:r>
                <m:rPr>
                  <m:scr m:val="roman"/>
                  <m:sty m:val="i"/>
                </m:rPr>
                <m:t>TC</m:t>
              </m:r>
            </m:sub>
          </m:sSub>
          <m:r>
            <m:rPr>
              <m:scr m:val="roman"/>
              <m:sty m:val="i"/>
            </m:rPr>
            <m:t>·</m:t>
          </m:r>
          <m:sSub>
            <m:sSubPr>
              <m:ctrlPr>
                <w:rPr>
                  <w:rFonts w:ascii="Cambria Math" w:hAnsi="Cambria Math" w:cs="Times New Roman"/>
                  <w:sz w:val="28"/>
                  <w:szCs w:val="28"/>
                </w:rPr>
              </m:ctrlPr>
            </m:sSubPr>
            <m:e>
              <m:argPr>
                <m:argSz m:val="0"/>
              </m:argPr>
              <m:r>
                <m:rPr>
                  <m:scr m:val="roman"/>
                  <m:sty m:val="i"/>
                </m:rPr>
                <m:t>x</m:t>
              </m:r>
            </m:e>
            <m:sub>
              <m:argPr>
                <m:argSz m:val="0"/>
              </m:argPr>
              <m:r>
                <m:rPr>
                  <m:scr m:val="roman"/>
                  <m:sty m:val="i"/>
                </m:rPr>
                <m:t>4</m:t>
              </m:r>
            </m:sub>
          </m:sSub>
          <m:r>
            <m:rPr>
              <m:scr m:val="roman"/>
              <m:sty m:val="i"/>
            </m:rPr>
            <m:t>·</m:t>
          </m:r>
          <m:sSub>
            <m:sSubPr>
              <m:ctrlPr>
                <w:rPr>
                  <w:rFonts w:ascii="Cambria Math" w:hAnsi="Cambria Math" w:cs="Times New Roman"/>
                  <w:sz w:val="28"/>
                  <w:szCs w:val="28"/>
                </w:rPr>
              </m:ctrlPr>
            </m:sSubPr>
            <m:e>
              <m:argPr>
                <m:argSz m:val="0"/>
              </m:argPr>
              <m:r>
                <m:rPr>
                  <m:scr m:val="roman"/>
                  <m:sty m:val="i"/>
                </m:rPr>
                <m:t>Y</m:t>
              </m:r>
            </m:e>
            <m:sub>
              <m:argPr>
                <m:argSz m:val="0"/>
              </m:argPr>
              <m:r>
                <m:rPr>
                  <m:scr m:val="roman"/>
                  <m:sty m:val="i"/>
                </m:rPr>
                <m:t>0</m:t>
              </m:r>
            </m:sub>
          </m:sSub>
          <m:r>
            <m:rPr>
              <m:scr m:val="roman"/>
              <m:sty m:val="i"/>
            </m:rPr>
            <m:t>, </m:t>
          </m:r>
        </m:oMath>
      </m:oMathPara>
      <w:r>
        <w:rPr>
          <w:rFonts w:ascii="Times New Roman" w:hAnsi="Times New Roman" w:cs="Times New Roman"/>
          <w:sz w:val="28"/>
          <w:szCs w:val="28"/>
        </w:rPr>
        <w:t xml:space="preserve">                                (</w:t>
      </w:r>
      <w:r>
        <w:rPr>
          <w:rFonts w:ascii="Times New Roman" w:hAnsi="Times New Roman" w:cs="Times New Roman"/>
          <w:sz w:val="28"/>
          <w:szCs w:val="28"/>
          <w:highlight w:val="yellow"/>
        </w:rPr>
        <w:t>3.6</w:t>
      </w:r>
      <w:r>
        <w:rPr>
          <w:rFonts w:ascii="Times New Roman" w:hAnsi="Times New Roman" w:cs="Times New Roman"/>
          <w:sz w:val="28"/>
          <w:szCs w:val="28"/>
        </w:rPr>
        <w:t>)</w:t>
      </w:r>
    </w:p>
    <w:p>
      <w:pPr>
        <w:spacing w:lineRule="auto" w:line="360" w:after="0" w:beforeAutospacing="0" w:afterAutospacing="0"/>
        <w:ind w:firstLine="709"/>
        <w:jc w:val="both"/>
        <w:rPr>
          <w:rFonts w:ascii="Times New Roman" w:hAnsi="Times New Roman" w:cs="Times New Roman"/>
          <w:sz w:val="28"/>
          <w:szCs w:val="28"/>
        </w:rPr>
      </w:pPr>
    </w:p>
    <w:p>
      <w:pPr>
        <w:spacing w:lineRule="auto" w:line="360" w:after="0" w:beforeAutospacing="0" w:afterAutospacing="0"/>
        <w:ind w:firstLine="709"/>
        <w:jc w:val="both"/>
        <w:rPr>
          <w:rFonts w:ascii="Times New Roman" w:hAnsi="Times New Roman" w:cs="Times New Roman"/>
          <w:sz w:val="28"/>
          <w:szCs w:val="28"/>
        </w:rPr>
      </w:pPr>
      <w:r>
        <w:rPr>
          <w:rFonts w:ascii="Times New Roman" w:hAnsi="Times New Roman" w:cs="Times New Roman"/>
          <w:sz w:val="28"/>
          <w:szCs w:val="28"/>
        </w:rPr>
        <w:t xml:space="preserve">где </w:t>
      </w:r>
      <w:r>
        <w:rPr>
          <w:rFonts w:ascii="Times New Roman" w:hAnsi="Times New Roman" w:cs="Times New Roman" w:eastAsia="Courier New"/>
          <w:bCs w:val="1"/>
          <w:sz w:val="28"/>
          <w:szCs w:val="28"/>
        </w:rPr>
        <w:t>α</w:t>
      </w:r>
      <w:r>
        <w:rPr>
          <w:rFonts w:ascii="Times New Roman" w:hAnsi="Times New Roman" w:cs="Times New Roman" w:eastAsia="Courier New"/>
          <w:bCs w:val="1"/>
          <w:sz w:val="28"/>
          <w:szCs w:val="28"/>
          <w:vertAlign w:val="subscript"/>
        </w:rPr>
        <w:t>TC</w:t>
      </w:r>
      <w:r>
        <w:rPr>
          <w:rFonts w:ascii="Times New Roman" w:hAnsi="Times New Roman" w:cs="Times New Roman"/>
          <w:sz w:val="28"/>
          <w:szCs w:val="28"/>
        </w:rPr>
        <w:t xml:space="preserve"> – коэффициент снижения транзакционных издержек как доля ВВП прибрежной зоны;</w:t>
      </w:r>
      <m:oMathPara xmlns:m="http://schemas.openxmlformats.org/officeDocument/2006/math">
        <m:oMath>
          <m:r>
            <m:rPr>
              <m:scr m:val="roman"/>
              <m:sty m:val="p"/>
            </m:rPr>
            <m:t xml:space="preserve"> </m:t>
          </m:r>
          <m:sSub>
            <m:sSubPr>
              <m:ctrlPr>
                <w:rPr>
                  <w:rFonts w:ascii="Cambria Math" w:hAnsi="Cambria Math" w:cs="Times New Roman"/>
                  <w:sz w:val="28"/>
                  <w:szCs w:val="28"/>
                </w:rPr>
              </m:ctrlPr>
            </m:sSubPr>
            <m:e>
              <m:argPr>
                <m:argSz m:val="0"/>
              </m:argPr>
              <m:r>
                <m:rPr>
                  <m:scr m:val="roman"/>
                  <m:sty m:val="i"/>
                </m:rPr>
                <m:t>α</m:t>
              </m:r>
            </m:e>
            <m:sub>
              <m:argPr>
                <m:argSz m:val="0"/>
              </m:argPr>
              <m:r>
                <m:rPr>
                  <m:scr m:val="roman"/>
                  <m:sty m:val="i"/>
                </m:rPr>
                <m:t>TC</m:t>
              </m:r>
            </m:sub>
          </m:sSub>
          <m:r>
            <m:rPr>
              <m:scr m:val="roman"/>
              <m:sty m:val="i"/>
            </m:rPr>
            <m:t>∈ [0,02;  0,03]</m:t>
          </m:r>
        </m:oMath>
      </m:oMathPara>
      <w:r>
        <w:rPr>
          <w:rFonts w:ascii="Times New Roman" w:hAnsi="Times New Roman" w:cs="Times New Roman"/>
          <w:sz w:val="28"/>
          <w:szCs w:val="28"/>
        </w:rPr>
        <w:t xml:space="preserve"> целевое значение 2–3 п.п. ВВП;</w:t>
      </w:r>
    </w:p>
    <w:p>
      <w:pPr>
        <w:spacing w:lineRule="auto" w:line="360" w:after="0" w:beforeAutospacing="0" w:afterAutospacing="0"/>
        <w:ind w:firstLine="709"/>
        <w:jc w:val="both"/>
        <w:rPr>
          <w:rFonts w:ascii="Times New Roman" w:hAnsi="Times New Roman" w:cs="Times New Roman"/>
          <w:sz w:val="28"/>
          <w:szCs w:val="28"/>
        </w:rPr>
      </w:pPr>
      <w:r>
        <w:rPr>
          <w:rFonts w:ascii="Times New Roman" w:hAnsi="Times New Roman" w:cs="Times New Roman" w:eastAsia="Courier New"/>
          <w:bCs w:val="1"/>
          <w:sz w:val="28"/>
          <w:szCs w:val="28"/>
        </w:rPr>
        <w:t>Y</w:t>
      </w:r>
      <w:r>
        <w:rPr>
          <w:rFonts w:ascii="Times New Roman" w:hAnsi="Times New Roman" w:cs="Times New Roman" w:eastAsia="Courier New"/>
          <w:bCs w:val="1"/>
          <w:sz w:val="28"/>
          <w:szCs w:val="28"/>
          <w:vertAlign w:val="subscript"/>
        </w:rPr>
        <w:t>0</w:t>
      </w:r>
      <w:r>
        <w:rPr>
          <w:rFonts w:ascii="Times New Roman" w:hAnsi="Times New Roman" w:cs="Times New Roman"/>
          <w:sz w:val="28"/>
          <w:szCs w:val="28"/>
        </w:rPr>
        <w:t xml:space="preserve"> – базовый ВВП прибрежной зоны в постоянных ценах (Y₀ ≈ 95,5 млрд USD – базовый ВВП прибрежной зоны в постоянных ценах 2024 г.)</w:t>
      </w:r>
    </w:p>
    <w:p>
      <w:pPr>
        <w:widowControl w:val="0"/>
        <w:spacing w:lineRule="auto" w:line="360" w:after="0" w:beforeAutospacing="0" w:afterAutospacing="0"/>
        <w:ind w:firstLine="709"/>
        <w:jc w:val="both"/>
        <w:rPr>
          <w:rFonts w:ascii="Times New Roman" w:hAnsi="Times New Roman" w:cs="Times New Roman"/>
          <w:sz w:val="28"/>
          <w:szCs w:val="28"/>
        </w:rPr>
      </w:pPr>
      <w:r>
        <w:rPr>
          <w:rFonts w:ascii="Times New Roman" w:hAnsi="Times New Roman" w:cs="Times New Roman"/>
          <w:sz w:val="28"/>
          <w:szCs w:val="28"/>
        </w:rPr>
        <w:t>Ценность самой цифровой платформы как сетевого актива качественно описывается законом Меткалфа [</w:t>
      </w:r>
      <w:r>
        <w:rPr>
          <w:rFonts w:ascii="Times New Roman" w:hAnsi="Times New Roman" w:cs="Times New Roman"/>
          <w:sz w:val="28"/>
          <w:szCs w:val="28"/>
          <w:highlight w:val="yellow"/>
        </w:rPr>
        <w:t>10</w:t>
      </w:r>
      <w:r>
        <w:rPr>
          <w:rFonts w:ascii="Times New Roman" w:hAnsi="Times New Roman" w:cs="Times New Roman"/>
          <w:sz w:val="28"/>
          <w:szCs w:val="28"/>
        </w:rPr>
        <w:t>], эмпирически верифицированным для крупных цифровых платформ в работах Zhang, Liu, Xu (2015) и Madureira et al. (2013) [</w:t>
      </w:r>
      <w:r>
        <w:rPr>
          <w:rFonts w:ascii="Times New Roman" w:hAnsi="Times New Roman" w:cs="Times New Roman"/>
          <w:sz w:val="28"/>
          <w:szCs w:val="28"/>
          <w:highlight w:val="yellow"/>
        </w:rPr>
        <w:t>11</w:t>
      </w:r>
      <w:r>
        <w:rPr>
          <w:rFonts w:ascii="Times New Roman" w:hAnsi="Times New Roman" w:cs="Times New Roman"/>
          <w:sz w:val="28"/>
          <w:szCs w:val="28"/>
        </w:rPr>
        <w:t>]:</w:t>
      </w:r>
    </w:p>
    <w:p>
      <w:pPr>
        <w:spacing w:lineRule="auto" w:line="360" w:after="0" w:beforeAutospacing="0" w:afterAutospacing="0"/>
        <w:rPr>
          <w:rFonts w:ascii="Times New Roman" w:hAnsi="Times New Roman" w:cs="Times New Roman"/>
          <w:sz w:val="28"/>
          <w:szCs w:val="28"/>
        </w:rPr>
      </w:pPr>
    </w:p>
    <w:p>
      <w:pPr>
        <w:tabs>
          <w:tab w:val="right" w:pos="9000" w:leader="none"/>
        </w:tabs>
        <w:spacing w:lineRule="auto" w:line="360" w:after="0" w:beforeAutospacing="0" w:afterAutospacing="0"/>
        <w:jc w:val="center"/>
        <w:rPr>
          <w:rFonts w:ascii="Times New Roman" w:hAnsi="Times New Roman" w:cs="Times New Roman"/>
          <w:sz w:val="28"/>
          <w:szCs w:val="28"/>
        </w:rPr>
      </w:pPr>
      <w:r>
        <w:rPr>
          <w:rFonts w:ascii="Times New Roman" w:hAnsi="Times New Roman" w:cs="Times New Roman" w:eastAsiaTheme="minorEastAsia"/>
          <w:sz w:val="28"/>
          <w:szCs w:val="28"/>
        </w:rPr>
        <w:t xml:space="preserve">                                                           </w:t>
      </w:r>
      <m:oMathPara xmlns:m="http://schemas.openxmlformats.org/officeDocument/2006/math">
        <m:oMath>
          <m:r>
            <m:rPr>
              <m:scr m:val="roman"/>
              <m:sty m:val="i"/>
            </m:rPr>
            <m:t>V(n) = β ·</m:t>
          </m:r>
          <m:sSup>
            <m:sSupPr>
              <m:ctrlPr>
                <w:rPr>
                  <w:rFonts w:ascii="Cambria Math" w:hAnsi="Cambria Math" w:cs="Times New Roman"/>
                  <w:sz w:val="28"/>
                  <w:szCs w:val="28"/>
                </w:rPr>
              </m:ctrlPr>
            </m:sSupPr>
            <m:e>
              <m:argPr>
                <m:argSz m:val="0"/>
              </m:argPr>
              <m:r>
                <m:rPr>
                  <m:scr m:val="roman"/>
                  <m:sty m:val="i"/>
                </m:rPr>
                <m:t>n</m:t>
              </m:r>
            </m:e>
            <m:sup>
              <m:argPr>
                <m:argSz m:val="0"/>
              </m:argPr>
              <m:r>
                <m:rPr>
                  <m:scr m:val="roman"/>
                  <m:sty m:val="i"/>
                </m:rPr>
                <m:t>2</m:t>
              </m:r>
            </m:sup>
          </m:sSup>
        </m:oMath>
      </m:oMathPara>
      <w:r>
        <w:rPr>
          <w:rFonts w:ascii="Times New Roman" w:hAnsi="Times New Roman" w:cs="Times New Roman" w:eastAsiaTheme="minorEastAsia"/>
          <w:sz w:val="28"/>
          <w:szCs w:val="28"/>
        </w:rPr>
        <w:t>,</w:t>
      </w:r>
      <w:r>
        <w:rPr>
          <w:rFonts w:ascii="Times New Roman" w:hAnsi="Times New Roman" w:cs="Times New Roman"/>
          <w:sz w:val="28"/>
          <w:szCs w:val="28"/>
        </w:rPr>
        <w:t xml:space="preserve">                                          (</w:t>
      </w:r>
      <w:r>
        <w:rPr>
          <w:rFonts w:ascii="Times New Roman" w:hAnsi="Times New Roman" w:cs="Times New Roman"/>
          <w:sz w:val="28"/>
          <w:szCs w:val="28"/>
          <w:highlight w:val="yellow"/>
        </w:rPr>
        <w:t>3.7</w:t>
      </w:r>
      <w:r>
        <w:rPr>
          <w:rFonts w:ascii="Times New Roman" w:hAnsi="Times New Roman" w:cs="Times New Roman"/>
          <w:sz w:val="28"/>
          <w:szCs w:val="28"/>
        </w:rPr>
        <w:t>)</w:t>
      </w:r>
    </w:p>
    <w:p>
      <w:pPr>
        <w:spacing w:lineRule="auto" w:line="360" w:after="0" w:beforeAutospacing="0" w:afterAutospacing="0"/>
        <w:rPr>
          <w:rFonts w:ascii="Times New Roman" w:hAnsi="Times New Roman" w:cs="Times New Roman"/>
          <w:sz w:val="28"/>
          <w:szCs w:val="28"/>
        </w:rPr>
      </w:pPr>
    </w:p>
    <w:p>
      <w:pPr>
        <w:spacing w:lineRule="auto" w:line="360" w:after="0" w:beforeAutospacing="0" w:afterAutospacing="0"/>
        <w:ind w:firstLine="709"/>
        <w:jc w:val="both"/>
        <w:rPr>
          <w:rFonts w:ascii="Times New Roman" w:hAnsi="Times New Roman" w:cs="Times New Roman"/>
          <w:sz w:val="28"/>
          <w:szCs w:val="28"/>
        </w:rPr>
      </w:pPr>
      <w:r>
        <w:rPr>
          <w:rFonts w:ascii="Times New Roman" w:hAnsi="Times New Roman" w:cs="Times New Roman"/>
          <w:sz w:val="28"/>
          <w:szCs w:val="28"/>
        </w:rPr>
        <w:t xml:space="preserve">где </w:t>
      </w:r>
      <w:r>
        <w:rPr>
          <w:rFonts w:ascii="Times New Roman" w:hAnsi="Times New Roman" w:cs="Times New Roman" w:eastAsia="Courier New"/>
          <w:bCs w:val="1"/>
          <w:sz w:val="28"/>
          <w:szCs w:val="28"/>
        </w:rPr>
        <w:t>n</w:t>
      </w:r>
      <w:r>
        <w:rPr>
          <w:rFonts w:ascii="Times New Roman" w:hAnsi="Times New Roman" w:cs="Times New Roman"/>
          <w:sz w:val="28"/>
          <w:szCs w:val="28"/>
        </w:rPr>
        <w:t xml:space="preserve"> – число активных участников платформы (компании, физические лица, государственные органы);</w:t>
      </w:r>
    </w:p>
    <w:p>
      <w:pPr>
        <w:spacing w:lineRule="auto" w:line="360" w:after="0" w:beforeAutospacing="0" w:afterAutospacing="0"/>
        <w:ind w:firstLine="709"/>
        <w:jc w:val="both"/>
        <w:rPr>
          <w:rFonts w:ascii="Times New Roman" w:hAnsi="Times New Roman" w:cs="Times New Roman"/>
          <w:bCs w:val="1"/>
          <w:sz w:val="28"/>
          <w:szCs w:val="28"/>
        </w:rPr>
      </w:pPr>
      <w:r>
        <w:rPr>
          <w:rFonts w:ascii="Times New Roman" w:hAnsi="Times New Roman" w:cs="Times New Roman" w:eastAsia="Courier New"/>
          <w:bCs w:val="1"/>
          <w:sz w:val="28"/>
          <w:szCs w:val="28"/>
        </w:rPr>
        <w:t>β</w:t>
      </w:r>
      <w:r>
        <w:rPr>
          <w:rFonts w:ascii="Times New Roman" w:hAnsi="Times New Roman" w:cs="Times New Roman"/>
          <w:sz w:val="28"/>
          <w:szCs w:val="28"/>
        </w:rPr>
        <w:t xml:space="preserve"> – </w:t>
      </w:r>
      <w:r>
        <w:rPr>
          <w:rFonts w:ascii="Times New Roman" w:hAnsi="Times New Roman" w:cs="Times New Roman"/>
          <w:bCs w:val="1"/>
          <w:sz w:val="28"/>
          <w:szCs w:val="28"/>
        </w:rPr>
        <w:t>коэффициент, отражающий среднюю экономическую ценность одной связи.</w:t>
      </w:r>
    </w:p>
    <w:p>
      <w:pPr>
        <w:spacing w:lineRule="auto" w:line="360" w:after="0" w:beforeAutospacing="0" w:afterAutospacing="0"/>
        <w:ind w:firstLine="709"/>
        <w:jc w:val="both"/>
        <w:rPr>
          <w:rFonts w:ascii="Times New Roman" w:hAnsi="Times New Roman" w:cs="Times New Roman"/>
          <w:sz w:val="28"/>
          <w:szCs w:val="28"/>
        </w:rPr>
      </w:pPr>
      <w:r>
        <w:rPr>
          <w:rFonts w:ascii="Times New Roman" w:hAnsi="Times New Roman" w:cs="Times New Roman"/>
          <w:sz w:val="28"/>
          <w:szCs w:val="28"/>
        </w:rPr>
        <w:t xml:space="preserve"> Для платформы «Берег Восхода» при планируемом охвате порядка 12 000              (β ≈ 1,5 × 10⁻³ млрд долл при n₀ = 12 000, V₀ ≈ 2,16 млрд долл) участников к 2035 году сетевой эффект способен многократно усилить первоначальные выгоды от снижения трансакционных издержек. Именно данный нелинейный механизм делает платформенную модель развития более эффективной по сравнению с традиционным линейным расширением производственных мощностей. </w:t>
      </w:r>
    </w:p>
    <w:p>
      <w:pPr>
        <w:widowControl w:val="0"/>
        <w:spacing w:lineRule="auto" w:line="360" w:after="0" w:beforeAutospacing="0" w:afterAutospacing="0"/>
        <w:ind w:firstLine="709"/>
        <w:jc w:val="both"/>
        <w:rPr>
          <w:rFonts w:ascii="Times New Roman" w:hAnsi="Times New Roman" w:cs="Times New Roman"/>
          <w:bCs w:val="1"/>
          <w:sz w:val="28"/>
          <w:szCs w:val="28"/>
        </w:rPr>
      </w:pPr>
      <w:r>
        <w:rPr>
          <w:rFonts w:ascii="Times New Roman" w:hAnsi="Times New Roman" w:cs="Times New Roman"/>
          <w:bCs w:val="1"/>
          <w:sz w:val="28"/>
          <w:szCs w:val="28"/>
        </w:rPr>
        <w:t>Исходя из этого считаем, что инновационный проект «Берег Восхода» можно рассматривать как институционально-организационную основу формирования платформенного механизма инновационно-инклюзивного развития Республики Кот-д’Ивуар, где цифровая платформа выступает оператором координации экономических процессов, обеспечивающим интеграцию отраслевых кластеров, расширение участия национальных предприятий в глобальных цепочках стоимости и формирование устойчивых траекторий долгосрочного экономического роста.</w:t>
      </w:r>
    </w:p>
    <w:p>
      <w:pPr>
        <w:widowControl w:val="0"/>
        <w:spacing w:lineRule="auto" w:line="360" w:after="0" w:beforeAutospacing="0" w:afterAutospacing="0"/>
        <w:ind w:firstLine="709"/>
        <w:jc w:val="both"/>
        <w:rPr>
          <w:rFonts w:ascii="Times New Roman" w:hAnsi="Times New Roman" w:cs="Times New Roman"/>
          <w:bCs w:val="1"/>
          <w:sz w:val="28"/>
          <w:szCs w:val="28"/>
        </w:rPr>
      </w:pPr>
      <w:r>
        <w:rPr>
          <w:rFonts w:ascii="Times New Roman" w:hAnsi="Times New Roman" w:cs="Times New Roman"/>
          <w:bCs w:val="1"/>
          <w:sz w:val="28"/>
          <w:szCs w:val="28"/>
        </w:rPr>
        <w:t>Ключевым элементом организационно-экономической архитектуры проекта «Берег Восхода» выступает цифровая платформа, обеспечивающая координацию взаимодействия между основными участниками экономической системы и интеграцию отраслевых кластеров в единую инновационно-производственную экосистему. В рамках предлагаемой модели платформа выполняет функции оператора национальной инновационной системы, объединяя информационные, финансовые, производственные и логистические потоки.</w:t>
      </w:r>
    </w:p>
    <w:p>
      <w:pPr>
        <w:widowControl w:val="0"/>
        <w:spacing w:lineRule="auto" w:line="360" w:after="0" w:beforeAutospacing="0" w:afterAutospacing="0"/>
        <w:ind w:firstLine="709"/>
        <w:jc w:val="both"/>
        <w:rPr>
          <w:rFonts w:ascii="Times New Roman" w:hAnsi="Times New Roman" w:cs="Times New Roman"/>
          <w:bCs w:val="1"/>
          <w:sz w:val="28"/>
          <w:szCs w:val="28"/>
        </w:rPr>
      </w:pPr>
      <w:r>
        <w:rPr>
          <w:rFonts w:ascii="Times New Roman" w:hAnsi="Times New Roman" w:cs="Times New Roman"/>
          <w:bCs w:val="1"/>
          <w:sz w:val="28"/>
          <w:szCs w:val="28"/>
        </w:rPr>
        <w:t>В отличие от традиционных цифровых сервисов, ориентированных преимущественно на автоматизацию отдельных бизнес-процессов, платформа «Берег Восхода» проектируется как многосторонняя экономическая инфраструктура, формирующая пространство взаимодействия между предприятиями, государственными институтами, финансовыми организациями и научно-образовательными центрами. Ее задача заключается не только в обеспечении цифровых коммуникаций, но и в создании механизмов снижения транзакционных издержек, повышения прозрачности экономических операций и ускорения распространения инноваций.</w:t>
      </w:r>
    </w:p>
    <w:p>
      <w:pPr>
        <w:widowControl w:val="0"/>
        <w:spacing w:lineRule="auto" w:line="360" w:after="0" w:beforeAutospacing="0" w:afterAutospacing="0"/>
        <w:ind w:firstLine="709"/>
        <w:jc w:val="both"/>
        <w:rPr>
          <w:rFonts w:ascii="Times New Roman" w:hAnsi="Times New Roman" w:cs="Times New Roman"/>
          <w:bCs w:val="1"/>
          <w:sz w:val="28"/>
          <w:szCs w:val="28"/>
        </w:rPr>
      </w:pPr>
      <w:r>
        <w:rPr>
          <w:rFonts w:ascii="Times New Roman" w:hAnsi="Times New Roman" w:cs="Times New Roman"/>
          <w:bCs w:val="1"/>
          <w:sz w:val="28"/>
          <w:szCs w:val="28"/>
        </w:rPr>
        <w:t xml:space="preserve">Совокупный  эффект проекта формируется не как сумма изолированных отраслевых вкладов, а как результат плотного межкластерного взаимодействия (таблица </w:t>
      </w:r>
      <w:r>
        <w:rPr>
          <w:rFonts w:ascii="Times New Roman" w:hAnsi="Times New Roman" w:cs="Times New Roman"/>
          <w:bCs w:val="1"/>
          <w:sz w:val="28"/>
          <w:szCs w:val="28"/>
          <w:highlight w:val="yellow"/>
        </w:rPr>
        <w:t>3.2.2</w:t>
      </w:r>
      <w:r>
        <w:rPr>
          <w:rFonts w:ascii="Times New Roman" w:hAnsi="Times New Roman" w:cs="Times New Roman"/>
          <w:bCs w:val="1"/>
          <w:sz w:val="28"/>
          <w:szCs w:val="28"/>
        </w:rPr>
        <w:t>). Данная матрица синергетических коэффициентов (</w:t>
      </w:r>
      <w:r>
        <w:rPr>
          <w:rFonts w:ascii="Times New Roman" w:hAnsi="Times New Roman" w:cs="Times New Roman"/>
          <w:i w:val="1"/>
          <w:bCs w:val="1"/>
          <w:sz w:val="28"/>
          <w:szCs w:val="28"/>
        </w:rPr>
        <w:t>sᵢⱼ</w:t>
      </w:r>
      <w:r>
        <w:rPr>
          <w:rFonts w:ascii="Times New Roman" w:hAnsi="Times New Roman" w:cs="Times New Roman"/>
          <w:bCs w:val="1"/>
          <w:sz w:val="28"/>
          <w:szCs w:val="28"/>
        </w:rPr>
        <w:t>) сформирована на основе экспертного анализа межкластерных материальных, финансовых и информационных потоков а также аналогии с эмпирическими данными по СЭЗ стран Африки</w:t>
      </w:r>
      <w:r>
        <w:rPr>
          <w:rStyle w:val="C42"/>
          <w:rFonts w:ascii="Times New Roman" w:hAnsi="Times New Roman" w:cs="Times New Roman"/>
          <w:bCs w:val="1"/>
          <w:sz w:val="28"/>
          <w:szCs w:val="28"/>
        </w:rPr>
        <w:footnoteReference w:id="116"/>
      </w:r>
      <w:r>
        <w:rPr>
          <w:rFonts w:ascii="Times New Roman" w:hAnsi="Times New Roman" w:cs="Times New Roman"/>
          <w:bCs w:val="1"/>
          <w:sz w:val="28"/>
          <w:szCs w:val="28"/>
        </w:rPr>
        <w:t xml:space="preserve"> и ограничений sᵢⱼ </w:t>
      </w:r>
      <w:r>
        <w:rPr>
          <w:rFonts w:ascii="Cambria Math" w:hAnsi="Cambria Math" w:cs="Cambria Math"/>
          <w:bCs w:val="1"/>
          <w:sz w:val="28"/>
          <w:szCs w:val="28"/>
        </w:rPr>
        <w:t>∈</w:t>
      </w:r>
      <w:r>
        <w:rPr>
          <w:rFonts w:ascii="Times New Roman" w:hAnsi="Times New Roman" w:cs="Times New Roman"/>
          <w:bCs w:val="1"/>
          <w:sz w:val="28"/>
          <w:szCs w:val="28"/>
        </w:rPr>
        <w:t xml:space="preserve"> [0; 0,5] из условия финансовой реализуемости.</w:t>
      </w:r>
    </w:p>
    <w:p>
      <w:pPr>
        <w:widowControl w:val="0"/>
        <w:spacing w:lineRule="auto" w:line="360" w:after="0" w:beforeAutospacing="0" w:afterAutospacing="0"/>
        <w:jc w:val="both"/>
        <w:rPr>
          <w:b w:val="1"/>
          <w:bCs w:val="1"/>
        </w:rPr>
      </w:pPr>
    </w:p>
    <w:p>
      <w:pPr>
        <w:widowControl w:val="0"/>
        <w:spacing w:lineRule="auto" w:line="360" w:after="0" w:beforeAutospacing="0" w:afterAutospacing="0"/>
        <w:jc w:val="both"/>
        <w:rPr>
          <w:rFonts w:ascii="Times New Roman" w:hAnsi="Times New Roman" w:cs="Times New Roman"/>
          <w:bCs w:val="1"/>
          <w:sz w:val="28"/>
          <w:szCs w:val="28"/>
        </w:rPr>
      </w:pPr>
      <w:r>
        <w:rPr>
          <w:rFonts w:ascii="Times New Roman" w:hAnsi="Times New Roman" w:cs="Times New Roman"/>
          <w:bCs w:val="1"/>
          <w:sz w:val="28"/>
          <w:szCs w:val="28"/>
        </w:rPr>
        <w:t xml:space="preserve">Таблица </w:t>
      </w:r>
      <w:r>
        <w:rPr>
          <w:rFonts w:ascii="Times New Roman" w:hAnsi="Times New Roman" w:cs="Times New Roman"/>
          <w:bCs w:val="1"/>
          <w:sz w:val="28"/>
          <w:szCs w:val="28"/>
          <w:highlight w:val="yellow"/>
        </w:rPr>
        <w:t>3.2.2</w:t>
      </w:r>
      <w:r>
        <w:rPr>
          <w:rFonts w:ascii="Times New Roman" w:hAnsi="Times New Roman" w:cs="Times New Roman"/>
          <w:bCs w:val="1"/>
          <w:sz w:val="28"/>
          <w:szCs w:val="28"/>
        </w:rPr>
        <w:t xml:space="preserve"> – Матрица синергетических коэффициентов sᵢⱼ между кластерами платформы (составлено автором)</w:t>
      </w:r>
    </w:p>
    <w:tbl>
      <w:tblPr>
        <w:tblStyle w:val="T3"/>
        <w:tblW w:w="9930" w:type="dxa"/>
        <w:tblLook w:val="04A0"/>
      </w:tblPr>
      <w:tblGrid>
        <w:gridCol w:w="1042"/>
        <w:gridCol w:w="987"/>
        <w:gridCol w:w="988"/>
        <w:gridCol w:w="987"/>
        <w:gridCol w:w="987"/>
        <w:gridCol w:w="987"/>
        <w:gridCol w:w="987"/>
        <w:gridCol w:w="987"/>
        <w:gridCol w:w="990"/>
        <w:gridCol w:w="988"/>
      </w:tblGrid>
      <w:tr>
        <w:trPr>
          <w:trHeight w:hRule="atLeast" w:val="144"/>
        </w:trPr>
        <w:tc>
          <w:tcPr>
            <w:tcW w:w="610" w:type="dxa"/>
          </w:tcPr>
          <w:p>
            <w:pPr>
              <w:jc w:val="center"/>
              <w:rPr>
                <w:rFonts w:ascii="Times New Roman" w:hAnsi="Times New Roman" w:cs="Times New Roman"/>
                <w:sz w:val="24"/>
                <w:szCs w:val="24"/>
              </w:rPr>
            </w:pPr>
            <w:r>
              <w:rPr>
                <w:rFonts w:ascii="Times New Roman" w:hAnsi="Times New Roman" w:cs="Times New Roman"/>
                <w:sz w:val="24"/>
                <w:szCs w:val="24"/>
              </w:rPr>
              <w:t xml:space="preserve">Кластер </w:t>
            </w:r>
          </w:p>
        </w:tc>
        <w:tc>
          <w:tcPr>
            <w:tcW w:w="1036" w:type="dxa"/>
          </w:tcPr>
          <w:p>
            <w:pPr>
              <w:jc w:val="center"/>
              <w:rPr>
                <w:rFonts w:ascii="Times New Roman" w:hAnsi="Times New Roman" w:cs="Times New Roman"/>
                <w:sz w:val="24"/>
                <w:szCs w:val="24"/>
              </w:rPr>
            </w:pPr>
            <w:r>
              <w:rPr>
                <w:rFonts w:ascii="Times New Roman" w:hAnsi="Times New Roman" w:cs="Times New Roman"/>
                <w:bCs w:val="1"/>
                <w:sz w:val="24"/>
                <w:szCs w:val="24"/>
              </w:rPr>
              <w:t>I</w:t>
            </w:r>
          </w:p>
        </w:tc>
        <w:tc>
          <w:tcPr>
            <w:tcW w:w="1036" w:type="dxa"/>
          </w:tcPr>
          <w:p>
            <w:pPr>
              <w:jc w:val="center"/>
              <w:rPr>
                <w:rFonts w:ascii="Times New Roman" w:hAnsi="Times New Roman" w:cs="Times New Roman"/>
                <w:sz w:val="24"/>
                <w:szCs w:val="24"/>
              </w:rPr>
            </w:pPr>
            <w:r>
              <w:rPr>
                <w:rFonts w:ascii="Times New Roman" w:hAnsi="Times New Roman" w:cs="Times New Roman"/>
                <w:bCs w:val="1"/>
                <w:sz w:val="24"/>
                <w:szCs w:val="24"/>
              </w:rPr>
              <w:t>II</w:t>
            </w:r>
          </w:p>
        </w:tc>
        <w:tc>
          <w:tcPr>
            <w:tcW w:w="1035" w:type="dxa"/>
          </w:tcPr>
          <w:p>
            <w:pPr>
              <w:jc w:val="center"/>
              <w:rPr>
                <w:rFonts w:ascii="Times New Roman" w:hAnsi="Times New Roman" w:cs="Times New Roman"/>
                <w:sz w:val="24"/>
                <w:szCs w:val="24"/>
              </w:rPr>
            </w:pPr>
            <w:r>
              <w:rPr>
                <w:rFonts w:ascii="Times New Roman" w:hAnsi="Times New Roman" w:cs="Times New Roman"/>
                <w:bCs w:val="1"/>
                <w:sz w:val="24"/>
                <w:szCs w:val="24"/>
              </w:rPr>
              <w:t>III</w:t>
            </w:r>
          </w:p>
        </w:tc>
        <w:tc>
          <w:tcPr>
            <w:tcW w:w="1035" w:type="dxa"/>
          </w:tcPr>
          <w:p>
            <w:pPr>
              <w:jc w:val="center"/>
              <w:rPr>
                <w:rFonts w:ascii="Times New Roman" w:hAnsi="Times New Roman" w:cs="Times New Roman"/>
                <w:sz w:val="24"/>
                <w:szCs w:val="24"/>
              </w:rPr>
            </w:pPr>
            <w:r>
              <w:rPr>
                <w:rFonts w:ascii="Times New Roman" w:hAnsi="Times New Roman" w:cs="Times New Roman"/>
                <w:bCs w:val="1"/>
                <w:sz w:val="24"/>
                <w:szCs w:val="24"/>
              </w:rPr>
              <w:t>IV</w:t>
            </w:r>
          </w:p>
        </w:tc>
        <w:tc>
          <w:tcPr>
            <w:tcW w:w="1035" w:type="dxa"/>
          </w:tcPr>
          <w:p>
            <w:pPr>
              <w:jc w:val="center"/>
              <w:rPr>
                <w:rFonts w:ascii="Times New Roman" w:hAnsi="Times New Roman" w:cs="Times New Roman"/>
                <w:sz w:val="24"/>
                <w:szCs w:val="24"/>
              </w:rPr>
            </w:pPr>
            <w:r>
              <w:rPr>
                <w:rFonts w:ascii="Times New Roman" w:hAnsi="Times New Roman" w:cs="Times New Roman"/>
                <w:bCs w:val="1"/>
                <w:sz w:val="24"/>
                <w:szCs w:val="24"/>
              </w:rPr>
              <w:t>V</w:t>
            </w:r>
          </w:p>
        </w:tc>
        <w:tc>
          <w:tcPr>
            <w:tcW w:w="1035" w:type="dxa"/>
          </w:tcPr>
          <w:p>
            <w:pPr>
              <w:jc w:val="center"/>
              <w:rPr>
                <w:rFonts w:ascii="Times New Roman" w:hAnsi="Times New Roman" w:cs="Times New Roman"/>
                <w:sz w:val="24"/>
                <w:szCs w:val="24"/>
              </w:rPr>
            </w:pPr>
            <w:r>
              <w:rPr>
                <w:rFonts w:ascii="Times New Roman" w:hAnsi="Times New Roman" w:cs="Times New Roman"/>
                <w:bCs w:val="1"/>
                <w:sz w:val="24"/>
                <w:szCs w:val="24"/>
              </w:rPr>
              <w:t>VI</w:t>
            </w:r>
          </w:p>
        </w:tc>
        <w:tc>
          <w:tcPr>
            <w:tcW w:w="1035" w:type="dxa"/>
          </w:tcPr>
          <w:p>
            <w:pPr>
              <w:jc w:val="center"/>
              <w:rPr>
                <w:rFonts w:ascii="Times New Roman" w:hAnsi="Times New Roman" w:cs="Times New Roman"/>
                <w:sz w:val="24"/>
                <w:szCs w:val="24"/>
              </w:rPr>
            </w:pPr>
            <w:r>
              <w:rPr>
                <w:rFonts w:ascii="Times New Roman" w:hAnsi="Times New Roman" w:cs="Times New Roman"/>
                <w:bCs w:val="1"/>
                <w:sz w:val="24"/>
                <w:szCs w:val="24"/>
              </w:rPr>
              <w:t>VII</w:t>
            </w:r>
          </w:p>
        </w:tc>
        <w:tc>
          <w:tcPr>
            <w:tcW w:w="1038" w:type="dxa"/>
          </w:tcPr>
          <w:p>
            <w:pPr>
              <w:jc w:val="center"/>
              <w:rPr>
                <w:rFonts w:ascii="Times New Roman" w:hAnsi="Times New Roman" w:cs="Times New Roman"/>
                <w:sz w:val="24"/>
                <w:szCs w:val="24"/>
              </w:rPr>
            </w:pPr>
            <w:r>
              <w:rPr>
                <w:rFonts w:ascii="Times New Roman" w:hAnsi="Times New Roman" w:cs="Times New Roman"/>
                <w:bCs w:val="1"/>
                <w:sz w:val="24"/>
                <w:szCs w:val="24"/>
              </w:rPr>
              <w:t>VIII</w:t>
            </w:r>
          </w:p>
        </w:tc>
        <w:tc>
          <w:tcPr>
            <w:tcW w:w="1035" w:type="dxa"/>
          </w:tcPr>
          <w:p>
            <w:pPr>
              <w:jc w:val="center"/>
              <w:rPr>
                <w:rFonts w:ascii="Times New Roman" w:hAnsi="Times New Roman" w:cs="Times New Roman"/>
                <w:sz w:val="24"/>
                <w:szCs w:val="24"/>
              </w:rPr>
            </w:pPr>
            <w:r>
              <w:rPr>
                <w:rFonts w:ascii="Times New Roman" w:hAnsi="Times New Roman" w:cs="Times New Roman"/>
                <w:bCs w:val="1"/>
                <w:sz w:val="24"/>
                <w:szCs w:val="24"/>
              </w:rPr>
              <w:t>IX</w:t>
            </w:r>
          </w:p>
        </w:tc>
      </w:tr>
      <w:tr>
        <w:trPr>
          <w:trHeight w:hRule="atLeast" w:val="162"/>
        </w:trPr>
        <w:tc>
          <w:tcPr>
            <w:tcW w:w="610" w:type="dxa"/>
          </w:tcPr>
          <w:p>
            <w:pPr>
              <w:rPr>
                <w:rFonts w:ascii="Times New Roman" w:hAnsi="Times New Roman" w:cs="Times New Roman"/>
                <w:sz w:val="24"/>
                <w:szCs w:val="24"/>
              </w:rPr>
            </w:pPr>
            <w:r>
              <w:rPr>
                <w:rFonts w:ascii="Times New Roman" w:hAnsi="Times New Roman" w:cs="Times New Roman"/>
                <w:bCs w:val="1"/>
                <w:sz w:val="24"/>
                <w:szCs w:val="24"/>
              </w:rPr>
              <w:t>I</w:t>
            </w:r>
          </w:p>
        </w:tc>
        <w:tc>
          <w:tcPr>
            <w:tcW w:w="1036" w:type="dxa"/>
          </w:tcPr>
          <w:p>
            <w:pPr>
              <w:jc w:val="center"/>
              <w:rPr>
                <w:rFonts w:ascii="Times New Roman" w:hAnsi="Times New Roman" w:cs="Times New Roman"/>
                <w:sz w:val="24"/>
                <w:szCs w:val="24"/>
              </w:rPr>
            </w:pPr>
            <w:r>
              <w:rPr>
                <w:rFonts w:ascii="Times New Roman" w:hAnsi="Times New Roman" w:cs="Times New Roman"/>
                <w:sz w:val="24"/>
                <w:szCs w:val="24"/>
              </w:rPr>
              <w:t>—</w:t>
            </w:r>
          </w:p>
        </w:tc>
        <w:tc>
          <w:tcPr>
            <w:tcW w:w="1036" w:type="dxa"/>
          </w:tcPr>
          <w:p>
            <w:pPr>
              <w:jc w:val="center"/>
              <w:rPr>
                <w:rFonts w:ascii="Times New Roman" w:hAnsi="Times New Roman" w:cs="Times New Roman"/>
                <w:sz w:val="24"/>
                <w:szCs w:val="24"/>
              </w:rPr>
            </w:pPr>
            <w:r>
              <w:rPr>
                <w:rFonts w:ascii="Times New Roman" w:hAnsi="Times New Roman" w:cs="Times New Roman"/>
                <w:sz w:val="24"/>
                <w:szCs w:val="24"/>
              </w:rPr>
              <w:t>0,45</w:t>
            </w:r>
          </w:p>
        </w:tc>
        <w:tc>
          <w:tcPr>
            <w:tcW w:w="1035" w:type="dxa"/>
          </w:tcPr>
          <w:p>
            <w:pPr>
              <w:jc w:val="center"/>
              <w:rPr>
                <w:rFonts w:ascii="Times New Roman" w:hAnsi="Times New Roman" w:cs="Times New Roman"/>
                <w:sz w:val="24"/>
                <w:szCs w:val="24"/>
              </w:rPr>
            </w:pPr>
            <w:r>
              <w:rPr>
                <w:rFonts w:ascii="Times New Roman" w:hAnsi="Times New Roman" w:cs="Times New Roman"/>
                <w:sz w:val="24"/>
                <w:szCs w:val="24"/>
              </w:rPr>
              <w:t>0,30</w:t>
            </w:r>
          </w:p>
        </w:tc>
        <w:tc>
          <w:tcPr>
            <w:tcW w:w="1035" w:type="dxa"/>
          </w:tcPr>
          <w:p>
            <w:pPr>
              <w:jc w:val="center"/>
              <w:rPr>
                <w:rFonts w:ascii="Times New Roman" w:hAnsi="Times New Roman" w:cs="Times New Roman"/>
                <w:sz w:val="24"/>
                <w:szCs w:val="24"/>
              </w:rPr>
            </w:pPr>
            <w:r>
              <w:rPr>
                <w:rFonts w:ascii="Times New Roman" w:hAnsi="Times New Roman" w:cs="Times New Roman"/>
                <w:sz w:val="24"/>
                <w:szCs w:val="24"/>
              </w:rPr>
              <w:t>0,40</w:t>
            </w:r>
          </w:p>
        </w:tc>
        <w:tc>
          <w:tcPr>
            <w:tcW w:w="1035" w:type="dxa"/>
          </w:tcPr>
          <w:p>
            <w:pPr>
              <w:jc w:val="center"/>
              <w:rPr>
                <w:rFonts w:ascii="Times New Roman" w:hAnsi="Times New Roman" w:cs="Times New Roman"/>
                <w:sz w:val="24"/>
                <w:szCs w:val="24"/>
              </w:rPr>
            </w:pPr>
            <w:r>
              <w:rPr>
                <w:rFonts w:ascii="Times New Roman" w:hAnsi="Times New Roman" w:cs="Times New Roman"/>
                <w:sz w:val="24"/>
                <w:szCs w:val="24"/>
              </w:rPr>
              <w:t>0,25</w:t>
            </w:r>
          </w:p>
        </w:tc>
        <w:tc>
          <w:tcPr>
            <w:tcW w:w="1035" w:type="dxa"/>
          </w:tcPr>
          <w:p>
            <w:pPr>
              <w:jc w:val="center"/>
              <w:rPr>
                <w:rFonts w:ascii="Times New Roman" w:hAnsi="Times New Roman" w:cs="Times New Roman"/>
                <w:sz w:val="24"/>
                <w:szCs w:val="24"/>
              </w:rPr>
            </w:pPr>
            <w:r>
              <w:rPr>
                <w:rFonts w:ascii="Times New Roman" w:hAnsi="Times New Roman" w:cs="Times New Roman"/>
                <w:sz w:val="24"/>
                <w:szCs w:val="24"/>
              </w:rPr>
              <w:t>0,15</w:t>
            </w:r>
          </w:p>
        </w:tc>
        <w:tc>
          <w:tcPr>
            <w:tcW w:w="1035" w:type="dxa"/>
          </w:tcPr>
          <w:p>
            <w:pPr>
              <w:jc w:val="center"/>
              <w:rPr>
                <w:rFonts w:ascii="Times New Roman" w:hAnsi="Times New Roman" w:cs="Times New Roman"/>
                <w:sz w:val="24"/>
                <w:szCs w:val="24"/>
              </w:rPr>
            </w:pPr>
            <w:r>
              <w:rPr>
                <w:rFonts w:ascii="Times New Roman" w:hAnsi="Times New Roman" w:cs="Times New Roman"/>
                <w:sz w:val="24"/>
                <w:szCs w:val="24"/>
              </w:rPr>
              <w:t>0,20</w:t>
            </w:r>
          </w:p>
        </w:tc>
        <w:tc>
          <w:tcPr>
            <w:tcW w:w="1038" w:type="dxa"/>
          </w:tcPr>
          <w:p>
            <w:pPr>
              <w:jc w:val="center"/>
              <w:rPr>
                <w:rFonts w:ascii="Times New Roman" w:hAnsi="Times New Roman" w:cs="Times New Roman"/>
                <w:sz w:val="24"/>
                <w:szCs w:val="24"/>
              </w:rPr>
            </w:pPr>
            <w:r>
              <w:rPr>
                <w:rFonts w:ascii="Times New Roman" w:hAnsi="Times New Roman" w:cs="Times New Roman"/>
                <w:sz w:val="24"/>
                <w:szCs w:val="24"/>
              </w:rPr>
              <w:t>0,15</w:t>
            </w:r>
          </w:p>
        </w:tc>
        <w:tc>
          <w:tcPr>
            <w:tcW w:w="1035" w:type="dxa"/>
          </w:tcPr>
          <w:p>
            <w:pPr>
              <w:jc w:val="center"/>
              <w:rPr>
                <w:rFonts w:ascii="Times New Roman" w:hAnsi="Times New Roman" w:cs="Times New Roman"/>
                <w:sz w:val="24"/>
                <w:szCs w:val="24"/>
              </w:rPr>
            </w:pPr>
            <w:r>
              <w:rPr>
                <w:rFonts w:ascii="Times New Roman" w:hAnsi="Times New Roman" w:cs="Times New Roman"/>
                <w:sz w:val="24"/>
                <w:szCs w:val="24"/>
              </w:rPr>
              <w:t>0,10</w:t>
            </w:r>
          </w:p>
        </w:tc>
      </w:tr>
      <w:tr>
        <w:trPr>
          <w:trHeight w:hRule="atLeast" w:val="223"/>
        </w:trPr>
        <w:tc>
          <w:tcPr>
            <w:tcW w:w="610" w:type="dxa"/>
          </w:tcPr>
          <w:p>
            <w:pPr>
              <w:rPr>
                <w:rFonts w:ascii="Times New Roman" w:hAnsi="Times New Roman" w:cs="Times New Roman"/>
                <w:sz w:val="24"/>
                <w:szCs w:val="24"/>
              </w:rPr>
            </w:pPr>
            <w:r>
              <w:rPr>
                <w:rFonts w:ascii="Times New Roman" w:hAnsi="Times New Roman" w:cs="Times New Roman"/>
                <w:bCs w:val="1"/>
                <w:sz w:val="24"/>
                <w:szCs w:val="24"/>
              </w:rPr>
              <w:t>II</w:t>
            </w:r>
          </w:p>
        </w:tc>
        <w:tc>
          <w:tcPr>
            <w:tcW w:w="1036" w:type="dxa"/>
          </w:tcPr>
          <w:p>
            <w:pPr>
              <w:jc w:val="center"/>
              <w:rPr>
                <w:rFonts w:ascii="Times New Roman" w:hAnsi="Times New Roman" w:cs="Times New Roman"/>
                <w:sz w:val="24"/>
                <w:szCs w:val="24"/>
              </w:rPr>
            </w:pPr>
            <w:r>
              <w:rPr>
                <w:rFonts w:ascii="Times New Roman" w:hAnsi="Times New Roman" w:cs="Times New Roman"/>
                <w:sz w:val="24"/>
                <w:szCs w:val="24"/>
              </w:rPr>
              <w:t>0,45</w:t>
            </w:r>
          </w:p>
        </w:tc>
        <w:tc>
          <w:tcPr>
            <w:tcW w:w="1036" w:type="dxa"/>
          </w:tcPr>
          <w:p>
            <w:pPr>
              <w:jc w:val="center"/>
              <w:rPr>
                <w:rFonts w:ascii="Times New Roman" w:hAnsi="Times New Roman" w:cs="Times New Roman"/>
                <w:sz w:val="24"/>
                <w:szCs w:val="24"/>
              </w:rPr>
            </w:pPr>
            <w:r>
              <w:rPr>
                <w:rFonts w:ascii="Times New Roman" w:hAnsi="Times New Roman" w:cs="Times New Roman"/>
                <w:sz w:val="24"/>
                <w:szCs w:val="24"/>
              </w:rPr>
              <w:t>—</w:t>
            </w:r>
          </w:p>
        </w:tc>
        <w:tc>
          <w:tcPr>
            <w:tcW w:w="1035" w:type="dxa"/>
          </w:tcPr>
          <w:p>
            <w:pPr>
              <w:jc w:val="center"/>
              <w:rPr>
                <w:rFonts w:ascii="Times New Roman" w:hAnsi="Times New Roman" w:cs="Times New Roman"/>
                <w:sz w:val="24"/>
                <w:szCs w:val="24"/>
              </w:rPr>
            </w:pPr>
            <w:r>
              <w:rPr>
                <w:rFonts w:ascii="Times New Roman" w:hAnsi="Times New Roman" w:cs="Times New Roman"/>
                <w:sz w:val="24"/>
                <w:szCs w:val="24"/>
              </w:rPr>
              <w:t>0,50</w:t>
            </w:r>
          </w:p>
        </w:tc>
        <w:tc>
          <w:tcPr>
            <w:tcW w:w="1035" w:type="dxa"/>
          </w:tcPr>
          <w:p>
            <w:pPr>
              <w:jc w:val="center"/>
              <w:rPr>
                <w:rFonts w:ascii="Times New Roman" w:hAnsi="Times New Roman" w:cs="Times New Roman"/>
                <w:sz w:val="24"/>
                <w:szCs w:val="24"/>
              </w:rPr>
            </w:pPr>
            <w:r>
              <w:rPr>
                <w:rFonts w:ascii="Times New Roman" w:hAnsi="Times New Roman" w:cs="Times New Roman"/>
                <w:sz w:val="24"/>
                <w:szCs w:val="24"/>
              </w:rPr>
              <w:t>0,42</w:t>
            </w:r>
          </w:p>
        </w:tc>
        <w:tc>
          <w:tcPr>
            <w:tcW w:w="1035" w:type="dxa"/>
          </w:tcPr>
          <w:p>
            <w:pPr>
              <w:jc w:val="center"/>
              <w:rPr>
                <w:rFonts w:ascii="Times New Roman" w:hAnsi="Times New Roman" w:cs="Times New Roman"/>
                <w:sz w:val="24"/>
                <w:szCs w:val="24"/>
              </w:rPr>
            </w:pPr>
            <w:r>
              <w:rPr>
                <w:rFonts w:ascii="Times New Roman" w:hAnsi="Times New Roman" w:cs="Times New Roman"/>
                <w:sz w:val="24"/>
                <w:szCs w:val="24"/>
              </w:rPr>
              <w:t>0,20</w:t>
            </w:r>
          </w:p>
        </w:tc>
        <w:tc>
          <w:tcPr>
            <w:tcW w:w="1035" w:type="dxa"/>
          </w:tcPr>
          <w:p>
            <w:pPr>
              <w:jc w:val="center"/>
              <w:rPr>
                <w:rFonts w:ascii="Times New Roman" w:hAnsi="Times New Roman" w:cs="Times New Roman"/>
                <w:sz w:val="24"/>
                <w:szCs w:val="24"/>
              </w:rPr>
            </w:pPr>
            <w:r>
              <w:rPr>
                <w:rFonts w:ascii="Times New Roman" w:hAnsi="Times New Roman" w:cs="Times New Roman"/>
                <w:sz w:val="24"/>
                <w:szCs w:val="24"/>
              </w:rPr>
              <w:t>0,18</w:t>
            </w:r>
          </w:p>
        </w:tc>
        <w:tc>
          <w:tcPr>
            <w:tcW w:w="1035" w:type="dxa"/>
          </w:tcPr>
          <w:p>
            <w:pPr>
              <w:jc w:val="center"/>
              <w:rPr>
                <w:rFonts w:ascii="Times New Roman" w:hAnsi="Times New Roman" w:cs="Times New Roman"/>
                <w:sz w:val="24"/>
                <w:szCs w:val="24"/>
              </w:rPr>
            </w:pPr>
            <w:r>
              <w:rPr>
                <w:rFonts w:ascii="Times New Roman" w:hAnsi="Times New Roman" w:cs="Times New Roman"/>
                <w:sz w:val="24"/>
                <w:szCs w:val="24"/>
              </w:rPr>
              <w:t>0,25</w:t>
            </w:r>
          </w:p>
        </w:tc>
        <w:tc>
          <w:tcPr>
            <w:tcW w:w="1038" w:type="dxa"/>
          </w:tcPr>
          <w:p>
            <w:pPr>
              <w:jc w:val="center"/>
              <w:rPr>
                <w:rFonts w:ascii="Times New Roman" w:hAnsi="Times New Roman" w:cs="Times New Roman"/>
                <w:sz w:val="24"/>
                <w:szCs w:val="24"/>
              </w:rPr>
            </w:pPr>
            <w:r>
              <w:rPr>
                <w:rFonts w:ascii="Times New Roman" w:hAnsi="Times New Roman" w:cs="Times New Roman"/>
                <w:sz w:val="24"/>
                <w:szCs w:val="24"/>
              </w:rPr>
              <w:t>0,12</w:t>
            </w:r>
          </w:p>
        </w:tc>
        <w:tc>
          <w:tcPr>
            <w:tcW w:w="1035" w:type="dxa"/>
          </w:tcPr>
          <w:p>
            <w:pPr>
              <w:jc w:val="center"/>
              <w:rPr>
                <w:rFonts w:ascii="Times New Roman" w:hAnsi="Times New Roman" w:cs="Times New Roman"/>
                <w:sz w:val="24"/>
                <w:szCs w:val="24"/>
              </w:rPr>
            </w:pPr>
            <w:r>
              <w:rPr>
                <w:rFonts w:ascii="Times New Roman" w:hAnsi="Times New Roman" w:cs="Times New Roman"/>
                <w:sz w:val="24"/>
                <w:szCs w:val="24"/>
              </w:rPr>
              <w:t>0,08</w:t>
            </w:r>
          </w:p>
        </w:tc>
      </w:tr>
      <w:tr>
        <w:trPr>
          <w:trHeight w:hRule="atLeast" w:val="286"/>
        </w:trPr>
        <w:tc>
          <w:tcPr>
            <w:tcW w:w="610" w:type="dxa"/>
          </w:tcPr>
          <w:p>
            <w:pPr>
              <w:rPr>
                <w:rFonts w:ascii="Times New Roman" w:hAnsi="Times New Roman" w:cs="Times New Roman"/>
                <w:sz w:val="24"/>
                <w:szCs w:val="24"/>
              </w:rPr>
            </w:pPr>
            <w:r>
              <w:rPr>
                <w:rFonts w:ascii="Times New Roman" w:hAnsi="Times New Roman" w:cs="Times New Roman"/>
                <w:bCs w:val="1"/>
                <w:sz w:val="24"/>
                <w:szCs w:val="24"/>
              </w:rPr>
              <w:t>III</w:t>
            </w:r>
          </w:p>
        </w:tc>
        <w:tc>
          <w:tcPr>
            <w:tcW w:w="1036" w:type="dxa"/>
          </w:tcPr>
          <w:p>
            <w:pPr>
              <w:jc w:val="center"/>
              <w:rPr>
                <w:rFonts w:ascii="Times New Roman" w:hAnsi="Times New Roman" w:cs="Times New Roman"/>
                <w:sz w:val="24"/>
                <w:szCs w:val="24"/>
              </w:rPr>
            </w:pPr>
            <w:r>
              <w:rPr>
                <w:rFonts w:ascii="Times New Roman" w:hAnsi="Times New Roman" w:cs="Times New Roman"/>
                <w:sz w:val="24"/>
                <w:szCs w:val="24"/>
              </w:rPr>
              <w:t>0,30</w:t>
            </w:r>
          </w:p>
        </w:tc>
        <w:tc>
          <w:tcPr>
            <w:tcW w:w="1036" w:type="dxa"/>
          </w:tcPr>
          <w:p>
            <w:pPr>
              <w:jc w:val="center"/>
              <w:rPr>
                <w:rFonts w:ascii="Times New Roman" w:hAnsi="Times New Roman" w:cs="Times New Roman"/>
                <w:sz w:val="24"/>
                <w:szCs w:val="24"/>
              </w:rPr>
            </w:pPr>
            <w:r>
              <w:rPr>
                <w:rFonts w:ascii="Times New Roman" w:hAnsi="Times New Roman" w:cs="Times New Roman"/>
                <w:sz w:val="24"/>
                <w:szCs w:val="24"/>
              </w:rPr>
              <w:t>0,50</w:t>
            </w:r>
          </w:p>
        </w:tc>
        <w:tc>
          <w:tcPr>
            <w:tcW w:w="1035" w:type="dxa"/>
          </w:tcPr>
          <w:p>
            <w:pPr>
              <w:jc w:val="center"/>
              <w:rPr>
                <w:rFonts w:ascii="Times New Roman" w:hAnsi="Times New Roman" w:cs="Times New Roman"/>
                <w:sz w:val="24"/>
                <w:szCs w:val="24"/>
              </w:rPr>
            </w:pPr>
            <w:r>
              <w:rPr>
                <w:rFonts w:ascii="Times New Roman" w:hAnsi="Times New Roman" w:cs="Times New Roman"/>
                <w:sz w:val="24"/>
                <w:szCs w:val="24"/>
              </w:rPr>
              <w:t>—</w:t>
            </w:r>
          </w:p>
        </w:tc>
        <w:tc>
          <w:tcPr>
            <w:tcW w:w="1035" w:type="dxa"/>
          </w:tcPr>
          <w:p>
            <w:pPr>
              <w:jc w:val="center"/>
              <w:rPr>
                <w:rFonts w:ascii="Times New Roman" w:hAnsi="Times New Roman" w:cs="Times New Roman"/>
                <w:sz w:val="24"/>
                <w:szCs w:val="24"/>
              </w:rPr>
            </w:pPr>
            <w:r>
              <w:rPr>
                <w:rFonts w:ascii="Times New Roman" w:hAnsi="Times New Roman" w:cs="Times New Roman"/>
                <w:sz w:val="24"/>
                <w:szCs w:val="24"/>
              </w:rPr>
              <w:t>0,38</w:t>
            </w:r>
          </w:p>
        </w:tc>
        <w:tc>
          <w:tcPr>
            <w:tcW w:w="1035" w:type="dxa"/>
          </w:tcPr>
          <w:p>
            <w:pPr>
              <w:jc w:val="center"/>
              <w:rPr>
                <w:rFonts w:ascii="Times New Roman" w:hAnsi="Times New Roman" w:cs="Times New Roman"/>
                <w:sz w:val="24"/>
                <w:szCs w:val="24"/>
              </w:rPr>
            </w:pPr>
            <w:r>
              <w:rPr>
                <w:rFonts w:ascii="Times New Roman" w:hAnsi="Times New Roman" w:cs="Times New Roman"/>
                <w:sz w:val="24"/>
                <w:szCs w:val="24"/>
              </w:rPr>
              <w:t>0,22</w:t>
            </w:r>
          </w:p>
        </w:tc>
        <w:tc>
          <w:tcPr>
            <w:tcW w:w="1035" w:type="dxa"/>
          </w:tcPr>
          <w:p>
            <w:pPr>
              <w:jc w:val="center"/>
              <w:rPr>
                <w:rFonts w:ascii="Times New Roman" w:hAnsi="Times New Roman" w:cs="Times New Roman"/>
                <w:sz w:val="24"/>
                <w:szCs w:val="24"/>
              </w:rPr>
            </w:pPr>
            <w:r>
              <w:rPr>
                <w:rFonts w:ascii="Times New Roman" w:hAnsi="Times New Roman" w:cs="Times New Roman"/>
                <w:sz w:val="24"/>
                <w:szCs w:val="24"/>
              </w:rPr>
              <w:t>0,30</w:t>
            </w:r>
          </w:p>
        </w:tc>
        <w:tc>
          <w:tcPr>
            <w:tcW w:w="1035" w:type="dxa"/>
          </w:tcPr>
          <w:p>
            <w:pPr>
              <w:jc w:val="center"/>
              <w:rPr>
                <w:rFonts w:ascii="Times New Roman" w:hAnsi="Times New Roman" w:cs="Times New Roman"/>
                <w:sz w:val="24"/>
                <w:szCs w:val="24"/>
              </w:rPr>
            </w:pPr>
            <w:r>
              <w:rPr>
                <w:rFonts w:ascii="Times New Roman" w:hAnsi="Times New Roman" w:cs="Times New Roman"/>
                <w:sz w:val="24"/>
                <w:szCs w:val="24"/>
              </w:rPr>
              <w:t>0,28</w:t>
            </w:r>
          </w:p>
        </w:tc>
        <w:tc>
          <w:tcPr>
            <w:tcW w:w="1038" w:type="dxa"/>
          </w:tcPr>
          <w:p>
            <w:pPr>
              <w:jc w:val="center"/>
              <w:rPr>
                <w:rFonts w:ascii="Times New Roman" w:hAnsi="Times New Roman" w:cs="Times New Roman"/>
                <w:sz w:val="24"/>
                <w:szCs w:val="24"/>
              </w:rPr>
            </w:pPr>
            <w:r>
              <w:rPr>
                <w:rFonts w:ascii="Times New Roman" w:hAnsi="Times New Roman" w:cs="Times New Roman"/>
                <w:sz w:val="24"/>
                <w:szCs w:val="24"/>
              </w:rPr>
              <w:t>0,18</w:t>
            </w:r>
          </w:p>
        </w:tc>
        <w:tc>
          <w:tcPr>
            <w:tcW w:w="1035" w:type="dxa"/>
          </w:tcPr>
          <w:p>
            <w:pPr>
              <w:jc w:val="center"/>
              <w:rPr>
                <w:rFonts w:ascii="Times New Roman" w:hAnsi="Times New Roman" w:cs="Times New Roman"/>
                <w:sz w:val="24"/>
                <w:szCs w:val="24"/>
              </w:rPr>
            </w:pPr>
            <w:r>
              <w:rPr>
                <w:rFonts w:ascii="Times New Roman" w:hAnsi="Times New Roman" w:cs="Times New Roman"/>
                <w:sz w:val="24"/>
                <w:szCs w:val="24"/>
              </w:rPr>
              <w:t>0,12</w:t>
            </w:r>
          </w:p>
        </w:tc>
      </w:tr>
      <w:tr>
        <w:trPr>
          <w:trHeight w:hRule="atLeast" w:val="212"/>
        </w:trPr>
        <w:tc>
          <w:tcPr>
            <w:tcW w:w="610" w:type="dxa"/>
          </w:tcPr>
          <w:p>
            <w:pPr>
              <w:rPr>
                <w:rFonts w:ascii="Times New Roman" w:hAnsi="Times New Roman" w:cs="Times New Roman"/>
                <w:sz w:val="24"/>
                <w:szCs w:val="24"/>
              </w:rPr>
            </w:pPr>
            <w:r>
              <w:rPr>
                <w:rFonts w:ascii="Times New Roman" w:hAnsi="Times New Roman" w:cs="Times New Roman"/>
                <w:bCs w:val="1"/>
                <w:sz w:val="24"/>
                <w:szCs w:val="24"/>
              </w:rPr>
              <w:t>IV</w:t>
            </w:r>
          </w:p>
        </w:tc>
        <w:tc>
          <w:tcPr>
            <w:tcW w:w="1036" w:type="dxa"/>
          </w:tcPr>
          <w:p>
            <w:pPr>
              <w:jc w:val="center"/>
              <w:rPr>
                <w:rFonts w:ascii="Times New Roman" w:hAnsi="Times New Roman" w:cs="Times New Roman"/>
                <w:sz w:val="24"/>
                <w:szCs w:val="24"/>
              </w:rPr>
            </w:pPr>
            <w:r>
              <w:rPr>
                <w:rFonts w:ascii="Times New Roman" w:hAnsi="Times New Roman" w:cs="Times New Roman"/>
                <w:sz w:val="24"/>
                <w:szCs w:val="24"/>
              </w:rPr>
              <w:t>0,40</w:t>
            </w:r>
          </w:p>
        </w:tc>
        <w:tc>
          <w:tcPr>
            <w:tcW w:w="1036" w:type="dxa"/>
          </w:tcPr>
          <w:p>
            <w:pPr>
              <w:jc w:val="center"/>
              <w:rPr>
                <w:rFonts w:ascii="Times New Roman" w:hAnsi="Times New Roman" w:cs="Times New Roman"/>
                <w:sz w:val="24"/>
                <w:szCs w:val="24"/>
              </w:rPr>
            </w:pPr>
            <w:r>
              <w:rPr>
                <w:rFonts w:ascii="Times New Roman" w:hAnsi="Times New Roman" w:cs="Times New Roman"/>
                <w:sz w:val="24"/>
                <w:szCs w:val="24"/>
              </w:rPr>
              <w:t>0,42</w:t>
            </w:r>
          </w:p>
        </w:tc>
        <w:tc>
          <w:tcPr>
            <w:tcW w:w="1035" w:type="dxa"/>
          </w:tcPr>
          <w:p>
            <w:pPr>
              <w:jc w:val="center"/>
              <w:rPr>
                <w:rFonts w:ascii="Times New Roman" w:hAnsi="Times New Roman" w:cs="Times New Roman"/>
                <w:sz w:val="24"/>
                <w:szCs w:val="24"/>
              </w:rPr>
            </w:pPr>
            <w:r>
              <w:rPr>
                <w:rFonts w:ascii="Times New Roman" w:hAnsi="Times New Roman" w:cs="Times New Roman"/>
                <w:sz w:val="24"/>
                <w:szCs w:val="24"/>
              </w:rPr>
              <w:t>0,38</w:t>
            </w:r>
          </w:p>
        </w:tc>
        <w:tc>
          <w:tcPr>
            <w:tcW w:w="1035" w:type="dxa"/>
          </w:tcPr>
          <w:p>
            <w:pPr>
              <w:jc w:val="center"/>
              <w:rPr>
                <w:rFonts w:ascii="Times New Roman" w:hAnsi="Times New Roman" w:cs="Times New Roman"/>
                <w:sz w:val="24"/>
                <w:szCs w:val="24"/>
              </w:rPr>
            </w:pPr>
            <w:r>
              <w:rPr>
                <w:rFonts w:ascii="Times New Roman" w:hAnsi="Times New Roman" w:cs="Times New Roman"/>
                <w:sz w:val="24"/>
                <w:szCs w:val="24"/>
              </w:rPr>
              <w:t>—</w:t>
            </w:r>
          </w:p>
        </w:tc>
        <w:tc>
          <w:tcPr>
            <w:tcW w:w="1035" w:type="dxa"/>
          </w:tcPr>
          <w:p>
            <w:pPr>
              <w:jc w:val="center"/>
              <w:rPr>
                <w:rFonts w:ascii="Times New Roman" w:hAnsi="Times New Roman" w:cs="Times New Roman"/>
                <w:sz w:val="24"/>
                <w:szCs w:val="24"/>
              </w:rPr>
            </w:pPr>
            <w:r>
              <w:rPr>
                <w:rFonts w:ascii="Times New Roman" w:hAnsi="Times New Roman" w:cs="Times New Roman"/>
                <w:sz w:val="24"/>
                <w:szCs w:val="24"/>
              </w:rPr>
              <w:t>0,35</w:t>
            </w:r>
          </w:p>
        </w:tc>
        <w:tc>
          <w:tcPr>
            <w:tcW w:w="1035" w:type="dxa"/>
          </w:tcPr>
          <w:p>
            <w:pPr>
              <w:jc w:val="center"/>
              <w:rPr>
                <w:rFonts w:ascii="Times New Roman" w:hAnsi="Times New Roman" w:cs="Times New Roman"/>
                <w:sz w:val="24"/>
                <w:szCs w:val="24"/>
              </w:rPr>
            </w:pPr>
            <w:r>
              <w:rPr>
                <w:rFonts w:ascii="Times New Roman" w:hAnsi="Times New Roman" w:cs="Times New Roman"/>
                <w:sz w:val="24"/>
                <w:szCs w:val="24"/>
              </w:rPr>
              <w:t>0,25</w:t>
            </w:r>
          </w:p>
        </w:tc>
        <w:tc>
          <w:tcPr>
            <w:tcW w:w="1035" w:type="dxa"/>
          </w:tcPr>
          <w:p>
            <w:pPr>
              <w:jc w:val="center"/>
              <w:rPr>
                <w:rFonts w:ascii="Times New Roman" w:hAnsi="Times New Roman" w:cs="Times New Roman"/>
                <w:sz w:val="24"/>
                <w:szCs w:val="24"/>
              </w:rPr>
            </w:pPr>
            <w:r>
              <w:rPr>
                <w:rFonts w:ascii="Times New Roman" w:hAnsi="Times New Roman" w:cs="Times New Roman"/>
                <w:sz w:val="24"/>
                <w:szCs w:val="24"/>
              </w:rPr>
              <w:t>0,32</w:t>
            </w:r>
          </w:p>
        </w:tc>
        <w:tc>
          <w:tcPr>
            <w:tcW w:w="1038" w:type="dxa"/>
          </w:tcPr>
          <w:p>
            <w:pPr>
              <w:jc w:val="center"/>
              <w:rPr>
                <w:rFonts w:ascii="Times New Roman" w:hAnsi="Times New Roman" w:cs="Times New Roman"/>
                <w:sz w:val="24"/>
                <w:szCs w:val="24"/>
              </w:rPr>
            </w:pPr>
            <w:r>
              <w:rPr>
                <w:rFonts w:ascii="Times New Roman" w:hAnsi="Times New Roman" w:cs="Times New Roman"/>
                <w:sz w:val="24"/>
                <w:szCs w:val="24"/>
              </w:rPr>
              <w:t>0,20</w:t>
            </w:r>
          </w:p>
        </w:tc>
        <w:tc>
          <w:tcPr>
            <w:tcW w:w="1035" w:type="dxa"/>
          </w:tcPr>
          <w:p>
            <w:pPr>
              <w:jc w:val="center"/>
              <w:rPr>
                <w:rFonts w:ascii="Times New Roman" w:hAnsi="Times New Roman" w:cs="Times New Roman"/>
                <w:sz w:val="24"/>
                <w:szCs w:val="24"/>
              </w:rPr>
            </w:pPr>
            <w:r>
              <w:rPr>
                <w:rFonts w:ascii="Times New Roman" w:hAnsi="Times New Roman" w:cs="Times New Roman"/>
                <w:sz w:val="24"/>
                <w:szCs w:val="24"/>
              </w:rPr>
              <w:t>0,15</w:t>
            </w:r>
          </w:p>
        </w:tc>
      </w:tr>
      <w:tr>
        <w:trPr>
          <w:trHeight w:hRule="atLeast" w:val="69"/>
        </w:trPr>
        <w:tc>
          <w:tcPr>
            <w:tcW w:w="610" w:type="dxa"/>
          </w:tcPr>
          <w:p>
            <w:pPr>
              <w:rPr>
                <w:rFonts w:ascii="Times New Roman" w:hAnsi="Times New Roman" w:cs="Times New Roman"/>
                <w:sz w:val="24"/>
                <w:szCs w:val="24"/>
              </w:rPr>
            </w:pPr>
            <w:r>
              <w:rPr>
                <w:rFonts w:ascii="Times New Roman" w:hAnsi="Times New Roman" w:cs="Times New Roman"/>
                <w:bCs w:val="1"/>
                <w:sz w:val="24"/>
                <w:szCs w:val="24"/>
              </w:rPr>
              <w:t>V</w:t>
            </w:r>
          </w:p>
        </w:tc>
        <w:tc>
          <w:tcPr>
            <w:tcW w:w="1036" w:type="dxa"/>
          </w:tcPr>
          <w:p>
            <w:pPr>
              <w:jc w:val="center"/>
              <w:rPr>
                <w:rFonts w:ascii="Times New Roman" w:hAnsi="Times New Roman" w:cs="Times New Roman"/>
                <w:sz w:val="24"/>
                <w:szCs w:val="24"/>
              </w:rPr>
            </w:pPr>
            <w:r>
              <w:rPr>
                <w:rFonts w:ascii="Times New Roman" w:hAnsi="Times New Roman" w:cs="Times New Roman"/>
                <w:sz w:val="24"/>
                <w:szCs w:val="24"/>
              </w:rPr>
              <w:t>0,25</w:t>
            </w:r>
          </w:p>
        </w:tc>
        <w:tc>
          <w:tcPr>
            <w:tcW w:w="1036" w:type="dxa"/>
          </w:tcPr>
          <w:p>
            <w:pPr>
              <w:jc w:val="center"/>
              <w:rPr>
                <w:rFonts w:ascii="Times New Roman" w:hAnsi="Times New Roman" w:cs="Times New Roman"/>
                <w:sz w:val="24"/>
                <w:szCs w:val="24"/>
              </w:rPr>
            </w:pPr>
            <w:r>
              <w:rPr>
                <w:rFonts w:ascii="Times New Roman" w:hAnsi="Times New Roman" w:cs="Times New Roman"/>
                <w:sz w:val="24"/>
                <w:szCs w:val="24"/>
              </w:rPr>
              <w:t>0,20</w:t>
            </w:r>
          </w:p>
        </w:tc>
        <w:tc>
          <w:tcPr>
            <w:tcW w:w="1035" w:type="dxa"/>
          </w:tcPr>
          <w:p>
            <w:pPr>
              <w:jc w:val="center"/>
              <w:rPr>
                <w:rFonts w:ascii="Times New Roman" w:hAnsi="Times New Roman" w:cs="Times New Roman"/>
                <w:sz w:val="24"/>
                <w:szCs w:val="24"/>
              </w:rPr>
            </w:pPr>
            <w:r>
              <w:rPr>
                <w:rFonts w:ascii="Times New Roman" w:hAnsi="Times New Roman" w:cs="Times New Roman"/>
                <w:sz w:val="24"/>
                <w:szCs w:val="24"/>
              </w:rPr>
              <w:t>0,22</w:t>
            </w:r>
          </w:p>
        </w:tc>
        <w:tc>
          <w:tcPr>
            <w:tcW w:w="1035" w:type="dxa"/>
          </w:tcPr>
          <w:p>
            <w:pPr>
              <w:jc w:val="center"/>
              <w:rPr>
                <w:rFonts w:ascii="Times New Roman" w:hAnsi="Times New Roman" w:cs="Times New Roman"/>
                <w:sz w:val="24"/>
                <w:szCs w:val="24"/>
              </w:rPr>
            </w:pPr>
            <w:r>
              <w:rPr>
                <w:rFonts w:ascii="Times New Roman" w:hAnsi="Times New Roman" w:cs="Times New Roman"/>
                <w:sz w:val="24"/>
                <w:szCs w:val="24"/>
              </w:rPr>
              <w:t>0,35</w:t>
            </w:r>
          </w:p>
        </w:tc>
        <w:tc>
          <w:tcPr>
            <w:tcW w:w="1035" w:type="dxa"/>
          </w:tcPr>
          <w:p>
            <w:pPr>
              <w:jc w:val="center"/>
              <w:rPr>
                <w:rFonts w:ascii="Times New Roman" w:hAnsi="Times New Roman" w:cs="Times New Roman"/>
                <w:sz w:val="24"/>
                <w:szCs w:val="24"/>
              </w:rPr>
            </w:pPr>
            <w:r>
              <w:rPr>
                <w:rFonts w:ascii="Times New Roman" w:hAnsi="Times New Roman" w:cs="Times New Roman"/>
                <w:sz w:val="24"/>
                <w:szCs w:val="24"/>
              </w:rPr>
              <w:t>—</w:t>
            </w:r>
          </w:p>
        </w:tc>
        <w:tc>
          <w:tcPr>
            <w:tcW w:w="1035" w:type="dxa"/>
          </w:tcPr>
          <w:p>
            <w:pPr>
              <w:jc w:val="center"/>
              <w:rPr>
                <w:rFonts w:ascii="Times New Roman" w:hAnsi="Times New Roman" w:cs="Times New Roman"/>
                <w:sz w:val="24"/>
                <w:szCs w:val="24"/>
              </w:rPr>
            </w:pPr>
            <w:r>
              <w:rPr>
                <w:rFonts w:ascii="Times New Roman" w:hAnsi="Times New Roman" w:cs="Times New Roman"/>
                <w:sz w:val="24"/>
                <w:szCs w:val="24"/>
              </w:rPr>
              <w:t>0,18</w:t>
            </w:r>
          </w:p>
        </w:tc>
        <w:tc>
          <w:tcPr>
            <w:tcW w:w="1035" w:type="dxa"/>
          </w:tcPr>
          <w:p>
            <w:pPr>
              <w:jc w:val="center"/>
              <w:rPr>
                <w:rFonts w:ascii="Times New Roman" w:hAnsi="Times New Roman" w:cs="Times New Roman"/>
                <w:sz w:val="24"/>
                <w:szCs w:val="24"/>
              </w:rPr>
            </w:pPr>
            <w:r>
              <w:rPr>
                <w:rFonts w:ascii="Times New Roman" w:hAnsi="Times New Roman" w:cs="Times New Roman"/>
                <w:sz w:val="24"/>
                <w:szCs w:val="24"/>
              </w:rPr>
              <w:t>0,15</w:t>
            </w:r>
          </w:p>
        </w:tc>
        <w:tc>
          <w:tcPr>
            <w:tcW w:w="1038" w:type="dxa"/>
          </w:tcPr>
          <w:p>
            <w:pPr>
              <w:jc w:val="center"/>
              <w:rPr>
                <w:rFonts w:ascii="Times New Roman" w:hAnsi="Times New Roman" w:cs="Times New Roman"/>
                <w:sz w:val="24"/>
                <w:szCs w:val="24"/>
              </w:rPr>
            </w:pPr>
            <w:r>
              <w:rPr>
                <w:rFonts w:ascii="Times New Roman" w:hAnsi="Times New Roman" w:cs="Times New Roman"/>
                <w:sz w:val="24"/>
                <w:szCs w:val="24"/>
              </w:rPr>
              <w:t>0,22</w:t>
            </w:r>
          </w:p>
        </w:tc>
        <w:tc>
          <w:tcPr>
            <w:tcW w:w="1035" w:type="dxa"/>
          </w:tcPr>
          <w:p>
            <w:pPr>
              <w:jc w:val="center"/>
              <w:rPr>
                <w:rFonts w:ascii="Times New Roman" w:hAnsi="Times New Roman" w:cs="Times New Roman"/>
                <w:sz w:val="24"/>
                <w:szCs w:val="24"/>
              </w:rPr>
            </w:pPr>
            <w:r>
              <w:rPr>
                <w:rFonts w:ascii="Times New Roman" w:hAnsi="Times New Roman" w:cs="Times New Roman"/>
                <w:sz w:val="24"/>
                <w:szCs w:val="24"/>
              </w:rPr>
              <w:t>0,10</w:t>
            </w:r>
          </w:p>
        </w:tc>
      </w:tr>
      <w:tr>
        <w:trPr>
          <w:trHeight w:hRule="atLeast" w:val="118"/>
        </w:trPr>
        <w:tc>
          <w:tcPr>
            <w:tcW w:w="610" w:type="dxa"/>
          </w:tcPr>
          <w:p>
            <w:pPr>
              <w:rPr>
                <w:rFonts w:ascii="Times New Roman" w:hAnsi="Times New Roman" w:cs="Times New Roman"/>
                <w:sz w:val="24"/>
                <w:szCs w:val="24"/>
              </w:rPr>
            </w:pPr>
            <w:r>
              <w:rPr>
                <w:rFonts w:ascii="Times New Roman" w:hAnsi="Times New Roman" w:cs="Times New Roman"/>
                <w:bCs w:val="1"/>
                <w:sz w:val="24"/>
                <w:szCs w:val="24"/>
              </w:rPr>
              <w:t>VI</w:t>
            </w:r>
          </w:p>
        </w:tc>
        <w:tc>
          <w:tcPr>
            <w:tcW w:w="1036" w:type="dxa"/>
          </w:tcPr>
          <w:p>
            <w:pPr>
              <w:jc w:val="center"/>
              <w:rPr>
                <w:rFonts w:ascii="Times New Roman" w:hAnsi="Times New Roman" w:cs="Times New Roman"/>
                <w:sz w:val="24"/>
                <w:szCs w:val="24"/>
              </w:rPr>
            </w:pPr>
            <w:r>
              <w:rPr>
                <w:rFonts w:ascii="Times New Roman" w:hAnsi="Times New Roman" w:cs="Times New Roman"/>
                <w:sz w:val="24"/>
                <w:szCs w:val="24"/>
              </w:rPr>
              <w:t>0,15</w:t>
            </w:r>
          </w:p>
        </w:tc>
        <w:tc>
          <w:tcPr>
            <w:tcW w:w="1036" w:type="dxa"/>
          </w:tcPr>
          <w:p>
            <w:pPr>
              <w:jc w:val="center"/>
              <w:rPr>
                <w:rFonts w:ascii="Times New Roman" w:hAnsi="Times New Roman" w:cs="Times New Roman"/>
                <w:sz w:val="24"/>
                <w:szCs w:val="24"/>
              </w:rPr>
            </w:pPr>
            <w:r>
              <w:rPr>
                <w:rFonts w:ascii="Times New Roman" w:hAnsi="Times New Roman" w:cs="Times New Roman"/>
                <w:sz w:val="24"/>
                <w:szCs w:val="24"/>
              </w:rPr>
              <w:t>0,18</w:t>
            </w:r>
          </w:p>
        </w:tc>
        <w:tc>
          <w:tcPr>
            <w:tcW w:w="1035" w:type="dxa"/>
          </w:tcPr>
          <w:p>
            <w:pPr>
              <w:jc w:val="center"/>
              <w:rPr>
                <w:rFonts w:ascii="Times New Roman" w:hAnsi="Times New Roman" w:cs="Times New Roman"/>
                <w:sz w:val="24"/>
                <w:szCs w:val="24"/>
              </w:rPr>
            </w:pPr>
            <w:r>
              <w:rPr>
                <w:rFonts w:ascii="Times New Roman" w:hAnsi="Times New Roman" w:cs="Times New Roman"/>
                <w:sz w:val="24"/>
                <w:szCs w:val="24"/>
              </w:rPr>
              <w:t>0,30</w:t>
            </w:r>
          </w:p>
        </w:tc>
        <w:tc>
          <w:tcPr>
            <w:tcW w:w="1035" w:type="dxa"/>
          </w:tcPr>
          <w:p>
            <w:pPr>
              <w:jc w:val="center"/>
              <w:rPr>
                <w:rFonts w:ascii="Times New Roman" w:hAnsi="Times New Roman" w:cs="Times New Roman"/>
                <w:sz w:val="24"/>
                <w:szCs w:val="24"/>
              </w:rPr>
            </w:pPr>
            <w:r>
              <w:rPr>
                <w:rFonts w:ascii="Times New Roman" w:hAnsi="Times New Roman" w:cs="Times New Roman"/>
                <w:sz w:val="24"/>
                <w:szCs w:val="24"/>
              </w:rPr>
              <w:t>0,25</w:t>
            </w:r>
          </w:p>
        </w:tc>
        <w:tc>
          <w:tcPr>
            <w:tcW w:w="1035" w:type="dxa"/>
          </w:tcPr>
          <w:p>
            <w:pPr>
              <w:jc w:val="center"/>
              <w:rPr>
                <w:rFonts w:ascii="Times New Roman" w:hAnsi="Times New Roman" w:cs="Times New Roman"/>
                <w:sz w:val="24"/>
                <w:szCs w:val="24"/>
              </w:rPr>
            </w:pPr>
            <w:r>
              <w:rPr>
                <w:rFonts w:ascii="Times New Roman" w:hAnsi="Times New Roman" w:cs="Times New Roman"/>
                <w:sz w:val="24"/>
                <w:szCs w:val="24"/>
              </w:rPr>
              <w:t>0,18</w:t>
            </w:r>
          </w:p>
        </w:tc>
        <w:tc>
          <w:tcPr>
            <w:tcW w:w="1035" w:type="dxa"/>
          </w:tcPr>
          <w:p>
            <w:pPr>
              <w:jc w:val="center"/>
              <w:rPr>
                <w:rFonts w:ascii="Times New Roman" w:hAnsi="Times New Roman" w:cs="Times New Roman"/>
                <w:sz w:val="24"/>
                <w:szCs w:val="24"/>
              </w:rPr>
            </w:pPr>
            <w:r>
              <w:rPr>
                <w:rFonts w:ascii="Times New Roman" w:hAnsi="Times New Roman" w:cs="Times New Roman"/>
                <w:sz w:val="24"/>
                <w:szCs w:val="24"/>
              </w:rPr>
              <w:t>—</w:t>
            </w:r>
          </w:p>
        </w:tc>
        <w:tc>
          <w:tcPr>
            <w:tcW w:w="1035" w:type="dxa"/>
          </w:tcPr>
          <w:p>
            <w:pPr>
              <w:jc w:val="center"/>
              <w:rPr>
                <w:rFonts w:ascii="Times New Roman" w:hAnsi="Times New Roman" w:cs="Times New Roman"/>
                <w:sz w:val="24"/>
                <w:szCs w:val="24"/>
              </w:rPr>
            </w:pPr>
            <w:r>
              <w:rPr>
                <w:rFonts w:ascii="Times New Roman" w:hAnsi="Times New Roman" w:cs="Times New Roman"/>
                <w:sz w:val="24"/>
                <w:szCs w:val="24"/>
              </w:rPr>
              <w:t>0,15</w:t>
            </w:r>
          </w:p>
        </w:tc>
        <w:tc>
          <w:tcPr>
            <w:tcW w:w="1038" w:type="dxa"/>
          </w:tcPr>
          <w:p>
            <w:pPr>
              <w:jc w:val="center"/>
              <w:rPr>
                <w:rFonts w:ascii="Times New Roman" w:hAnsi="Times New Roman" w:cs="Times New Roman"/>
                <w:sz w:val="24"/>
                <w:szCs w:val="24"/>
              </w:rPr>
            </w:pPr>
            <w:r>
              <w:rPr>
                <w:rFonts w:ascii="Times New Roman" w:hAnsi="Times New Roman" w:cs="Times New Roman"/>
                <w:sz w:val="24"/>
                <w:szCs w:val="24"/>
              </w:rPr>
              <w:t>0,20</w:t>
            </w:r>
          </w:p>
        </w:tc>
        <w:tc>
          <w:tcPr>
            <w:tcW w:w="1035" w:type="dxa"/>
          </w:tcPr>
          <w:p>
            <w:pPr>
              <w:jc w:val="center"/>
              <w:rPr>
                <w:rFonts w:ascii="Times New Roman" w:hAnsi="Times New Roman" w:cs="Times New Roman"/>
                <w:sz w:val="24"/>
                <w:szCs w:val="24"/>
              </w:rPr>
            </w:pPr>
            <w:r>
              <w:rPr>
                <w:rFonts w:ascii="Times New Roman" w:hAnsi="Times New Roman" w:cs="Times New Roman"/>
                <w:sz w:val="24"/>
                <w:szCs w:val="24"/>
              </w:rPr>
              <w:t>0,25</w:t>
            </w:r>
          </w:p>
        </w:tc>
      </w:tr>
      <w:tr>
        <w:trPr>
          <w:trHeight w:hRule="atLeast" w:val="125"/>
        </w:trPr>
        <w:tc>
          <w:tcPr>
            <w:tcW w:w="610" w:type="dxa"/>
          </w:tcPr>
          <w:p>
            <w:pPr>
              <w:rPr>
                <w:rFonts w:ascii="Times New Roman" w:hAnsi="Times New Roman" w:cs="Times New Roman"/>
                <w:sz w:val="24"/>
                <w:szCs w:val="24"/>
              </w:rPr>
            </w:pPr>
            <w:r>
              <w:rPr>
                <w:rFonts w:ascii="Times New Roman" w:hAnsi="Times New Roman" w:cs="Times New Roman"/>
                <w:bCs w:val="1"/>
                <w:sz w:val="24"/>
                <w:szCs w:val="24"/>
              </w:rPr>
              <w:t>VII</w:t>
            </w:r>
          </w:p>
        </w:tc>
        <w:tc>
          <w:tcPr>
            <w:tcW w:w="1036" w:type="dxa"/>
          </w:tcPr>
          <w:p>
            <w:pPr>
              <w:jc w:val="center"/>
              <w:rPr>
                <w:rFonts w:ascii="Times New Roman" w:hAnsi="Times New Roman" w:cs="Times New Roman"/>
                <w:sz w:val="24"/>
                <w:szCs w:val="24"/>
              </w:rPr>
            </w:pPr>
            <w:r>
              <w:rPr>
                <w:rFonts w:ascii="Times New Roman" w:hAnsi="Times New Roman" w:cs="Times New Roman"/>
                <w:sz w:val="24"/>
                <w:szCs w:val="24"/>
              </w:rPr>
              <w:t>0,20</w:t>
            </w:r>
          </w:p>
        </w:tc>
        <w:tc>
          <w:tcPr>
            <w:tcW w:w="1036" w:type="dxa"/>
          </w:tcPr>
          <w:p>
            <w:pPr>
              <w:jc w:val="center"/>
              <w:rPr>
                <w:rFonts w:ascii="Times New Roman" w:hAnsi="Times New Roman" w:cs="Times New Roman"/>
                <w:sz w:val="24"/>
                <w:szCs w:val="24"/>
              </w:rPr>
            </w:pPr>
            <w:r>
              <w:rPr>
                <w:rFonts w:ascii="Times New Roman" w:hAnsi="Times New Roman" w:cs="Times New Roman"/>
                <w:sz w:val="24"/>
                <w:szCs w:val="24"/>
              </w:rPr>
              <w:t>0,25</w:t>
            </w:r>
          </w:p>
        </w:tc>
        <w:tc>
          <w:tcPr>
            <w:tcW w:w="1035" w:type="dxa"/>
          </w:tcPr>
          <w:p>
            <w:pPr>
              <w:jc w:val="center"/>
              <w:rPr>
                <w:rFonts w:ascii="Times New Roman" w:hAnsi="Times New Roman" w:cs="Times New Roman"/>
                <w:sz w:val="24"/>
                <w:szCs w:val="24"/>
              </w:rPr>
            </w:pPr>
            <w:r>
              <w:rPr>
                <w:rFonts w:ascii="Times New Roman" w:hAnsi="Times New Roman" w:cs="Times New Roman"/>
                <w:sz w:val="24"/>
                <w:szCs w:val="24"/>
              </w:rPr>
              <w:t>0,28</w:t>
            </w:r>
          </w:p>
        </w:tc>
        <w:tc>
          <w:tcPr>
            <w:tcW w:w="1035" w:type="dxa"/>
          </w:tcPr>
          <w:p>
            <w:pPr>
              <w:jc w:val="center"/>
              <w:rPr>
                <w:rFonts w:ascii="Times New Roman" w:hAnsi="Times New Roman" w:cs="Times New Roman"/>
                <w:sz w:val="24"/>
                <w:szCs w:val="24"/>
              </w:rPr>
            </w:pPr>
            <w:r>
              <w:rPr>
                <w:rFonts w:ascii="Times New Roman" w:hAnsi="Times New Roman" w:cs="Times New Roman"/>
                <w:sz w:val="24"/>
                <w:szCs w:val="24"/>
              </w:rPr>
              <w:t>0,32</w:t>
            </w:r>
          </w:p>
        </w:tc>
        <w:tc>
          <w:tcPr>
            <w:tcW w:w="1035" w:type="dxa"/>
          </w:tcPr>
          <w:p>
            <w:pPr>
              <w:jc w:val="center"/>
              <w:rPr>
                <w:rFonts w:ascii="Times New Roman" w:hAnsi="Times New Roman" w:cs="Times New Roman"/>
                <w:sz w:val="24"/>
                <w:szCs w:val="24"/>
              </w:rPr>
            </w:pPr>
            <w:r>
              <w:rPr>
                <w:rFonts w:ascii="Times New Roman" w:hAnsi="Times New Roman" w:cs="Times New Roman"/>
                <w:sz w:val="24"/>
                <w:szCs w:val="24"/>
              </w:rPr>
              <w:t>0,15</w:t>
            </w:r>
          </w:p>
        </w:tc>
        <w:tc>
          <w:tcPr>
            <w:tcW w:w="1035" w:type="dxa"/>
          </w:tcPr>
          <w:p>
            <w:pPr>
              <w:jc w:val="center"/>
              <w:rPr>
                <w:rFonts w:ascii="Times New Roman" w:hAnsi="Times New Roman" w:cs="Times New Roman"/>
                <w:sz w:val="24"/>
                <w:szCs w:val="24"/>
              </w:rPr>
            </w:pPr>
            <w:r>
              <w:rPr>
                <w:rFonts w:ascii="Times New Roman" w:hAnsi="Times New Roman" w:cs="Times New Roman"/>
                <w:sz w:val="24"/>
                <w:szCs w:val="24"/>
              </w:rPr>
              <w:t>0,15</w:t>
            </w:r>
          </w:p>
        </w:tc>
        <w:tc>
          <w:tcPr>
            <w:tcW w:w="1035" w:type="dxa"/>
          </w:tcPr>
          <w:p>
            <w:pPr>
              <w:jc w:val="center"/>
              <w:rPr>
                <w:rFonts w:ascii="Times New Roman" w:hAnsi="Times New Roman" w:cs="Times New Roman"/>
                <w:sz w:val="24"/>
                <w:szCs w:val="24"/>
              </w:rPr>
            </w:pPr>
            <w:r>
              <w:rPr>
                <w:rFonts w:ascii="Times New Roman" w:hAnsi="Times New Roman" w:cs="Times New Roman"/>
                <w:sz w:val="24"/>
                <w:szCs w:val="24"/>
              </w:rPr>
              <w:t>—</w:t>
            </w:r>
          </w:p>
        </w:tc>
        <w:tc>
          <w:tcPr>
            <w:tcW w:w="1038" w:type="dxa"/>
          </w:tcPr>
          <w:p>
            <w:pPr>
              <w:jc w:val="center"/>
              <w:rPr>
                <w:rFonts w:ascii="Times New Roman" w:hAnsi="Times New Roman" w:cs="Times New Roman"/>
                <w:sz w:val="24"/>
                <w:szCs w:val="24"/>
              </w:rPr>
            </w:pPr>
            <w:r>
              <w:rPr>
                <w:rFonts w:ascii="Times New Roman" w:hAnsi="Times New Roman" w:cs="Times New Roman"/>
                <w:sz w:val="24"/>
                <w:szCs w:val="24"/>
              </w:rPr>
              <w:t>0,18</w:t>
            </w:r>
          </w:p>
        </w:tc>
        <w:tc>
          <w:tcPr>
            <w:tcW w:w="1035" w:type="dxa"/>
          </w:tcPr>
          <w:p>
            <w:pPr>
              <w:jc w:val="center"/>
              <w:rPr>
                <w:rFonts w:ascii="Times New Roman" w:hAnsi="Times New Roman" w:cs="Times New Roman"/>
                <w:sz w:val="24"/>
                <w:szCs w:val="24"/>
              </w:rPr>
            </w:pPr>
            <w:r>
              <w:rPr>
                <w:rFonts w:ascii="Times New Roman" w:hAnsi="Times New Roman" w:cs="Times New Roman"/>
                <w:sz w:val="24"/>
                <w:szCs w:val="24"/>
              </w:rPr>
              <w:t>0,08</w:t>
            </w:r>
          </w:p>
        </w:tc>
      </w:tr>
      <w:tr>
        <w:trPr>
          <w:trHeight w:hRule="atLeast" w:val="161"/>
        </w:trPr>
        <w:tc>
          <w:tcPr>
            <w:tcW w:w="610" w:type="dxa"/>
          </w:tcPr>
          <w:p>
            <w:pPr>
              <w:rPr>
                <w:rFonts w:ascii="Times New Roman" w:hAnsi="Times New Roman" w:cs="Times New Roman"/>
                <w:sz w:val="24"/>
                <w:szCs w:val="24"/>
              </w:rPr>
            </w:pPr>
            <w:r>
              <w:rPr>
                <w:rFonts w:ascii="Times New Roman" w:hAnsi="Times New Roman" w:cs="Times New Roman"/>
                <w:bCs w:val="1"/>
                <w:sz w:val="24"/>
                <w:szCs w:val="24"/>
              </w:rPr>
              <w:t>VIII</w:t>
            </w:r>
          </w:p>
        </w:tc>
        <w:tc>
          <w:tcPr>
            <w:tcW w:w="1036" w:type="dxa"/>
          </w:tcPr>
          <w:p>
            <w:pPr>
              <w:jc w:val="center"/>
              <w:rPr>
                <w:rFonts w:ascii="Times New Roman" w:hAnsi="Times New Roman" w:cs="Times New Roman"/>
                <w:sz w:val="24"/>
                <w:szCs w:val="24"/>
              </w:rPr>
            </w:pPr>
            <w:r>
              <w:rPr>
                <w:rFonts w:ascii="Times New Roman" w:hAnsi="Times New Roman" w:cs="Times New Roman"/>
                <w:sz w:val="24"/>
                <w:szCs w:val="24"/>
              </w:rPr>
              <w:t>0,15</w:t>
            </w:r>
          </w:p>
        </w:tc>
        <w:tc>
          <w:tcPr>
            <w:tcW w:w="1036" w:type="dxa"/>
          </w:tcPr>
          <w:p>
            <w:pPr>
              <w:jc w:val="center"/>
              <w:rPr>
                <w:rFonts w:ascii="Times New Roman" w:hAnsi="Times New Roman" w:cs="Times New Roman"/>
                <w:sz w:val="24"/>
                <w:szCs w:val="24"/>
              </w:rPr>
            </w:pPr>
            <w:r>
              <w:rPr>
                <w:rFonts w:ascii="Times New Roman" w:hAnsi="Times New Roman" w:cs="Times New Roman"/>
                <w:sz w:val="24"/>
                <w:szCs w:val="24"/>
              </w:rPr>
              <w:t>0,12</w:t>
            </w:r>
          </w:p>
        </w:tc>
        <w:tc>
          <w:tcPr>
            <w:tcW w:w="1035" w:type="dxa"/>
          </w:tcPr>
          <w:p>
            <w:pPr>
              <w:jc w:val="center"/>
              <w:rPr>
                <w:rFonts w:ascii="Times New Roman" w:hAnsi="Times New Roman" w:cs="Times New Roman"/>
                <w:sz w:val="24"/>
                <w:szCs w:val="24"/>
              </w:rPr>
            </w:pPr>
            <w:r>
              <w:rPr>
                <w:rFonts w:ascii="Times New Roman" w:hAnsi="Times New Roman" w:cs="Times New Roman"/>
                <w:sz w:val="24"/>
                <w:szCs w:val="24"/>
              </w:rPr>
              <w:t>0,18</w:t>
            </w:r>
          </w:p>
        </w:tc>
        <w:tc>
          <w:tcPr>
            <w:tcW w:w="1035" w:type="dxa"/>
          </w:tcPr>
          <w:p>
            <w:pPr>
              <w:jc w:val="center"/>
              <w:rPr>
                <w:rFonts w:ascii="Times New Roman" w:hAnsi="Times New Roman" w:cs="Times New Roman"/>
                <w:sz w:val="24"/>
                <w:szCs w:val="24"/>
              </w:rPr>
            </w:pPr>
            <w:r>
              <w:rPr>
                <w:rFonts w:ascii="Times New Roman" w:hAnsi="Times New Roman" w:cs="Times New Roman"/>
                <w:sz w:val="24"/>
                <w:szCs w:val="24"/>
              </w:rPr>
              <w:t>0,20</w:t>
            </w:r>
          </w:p>
        </w:tc>
        <w:tc>
          <w:tcPr>
            <w:tcW w:w="1035" w:type="dxa"/>
          </w:tcPr>
          <w:p>
            <w:pPr>
              <w:jc w:val="center"/>
              <w:rPr>
                <w:rFonts w:ascii="Times New Roman" w:hAnsi="Times New Roman" w:cs="Times New Roman"/>
                <w:sz w:val="24"/>
                <w:szCs w:val="24"/>
              </w:rPr>
            </w:pPr>
            <w:r>
              <w:rPr>
                <w:rFonts w:ascii="Times New Roman" w:hAnsi="Times New Roman" w:cs="Times New Roman"/>
                <w:sz w:val="24"/>
                <w:szCs w:val="24"/>
              </w:rPr>
              <w:t>0,22</w:t>
            </w:r>
          </w:p>
        </w:tc>
        <w:tc>
          <w:tcPr>
            <w:tcW w:w="1035" w:type="dxa"/>
          </w:tcPr>
          <w:p>
            <w:pPr>
              <w:jc w:val="center"/>
              <w:rPr>
                <w:rFonts w:ascii="Times New Roman" w:hAnsi="Times New Roman" w:cs="Times New Roman"/>
                <w:sz w:val="24"/>
                <w:szCs w:val="24"/>
              </w:rPr>
            </w:pPr>
            <w:r>
              <w:rPr>
                <w:rFonts w:ascii="Times New Roman" w:hAnsi="Times New Roman" w:cs="Times New Roman"/>
                <w:sz w:val="24"/>
                <w:szCs w:val="24"/>
              </w:rPr>
              <w:t>0,20</w:t>
            </w:r>
          </w:p>
        </w:tc>
        <w:tc>
          <w:tcPr>
            <w:tcW w:w="1035" w:type="dxa"/>
          </w:tcPr>
          <w:p>
            <w:pPr>
              <w:jc w:val="center"/>
              <w:rPr>
                <w:rFonts w:ascii="Times New Roman" w:hAnsi="Times New Roman" w:cs="Times New Roman"/>
                <w:sz w:val="24"/>
                <w:szCs w:val="24"/>
              </w:rPr>
            </w:pPr>
            <w:r>
              <w:rPr>
                <w:rFonts w:ascii="Times New Roman" w:hAnsi="Times New Roman" w:cs="Times New Roman"/>
                <w:sz w:val="24"/>
                <w:szCs w:val="24"/>
              </w:rPr>
              <w:t>0,18</w:t>
            </w:r>
          </w:p>
        </w:tc>
        <w:tc>
          <w:tcPr>
            <w:tcW w:w="1038" w:type="dxa"/>
          </w:tcPr>
          <w:p>
            <w:pPr>
              <w:jc w:val="center"/>
              <w:rPr>
                <w:rFonts w:ascii="Times New Roman" w:hAnsi="Times New Roman" w:cs="Times New Roman"/>
                <w:sz w:val="24"/>
                <w:szCs w:val="24"/>
              </w:rPr>
            </w:pPr>
            <w:r>
              <w:rPr>
                <w:rFonts w:ascii="Times New Roman" w:hAnsi="Times New Roman" w:cs="Times New Roman"/>
                <w:sz w:val="24"/>
                <w:szCs w:val="24"/>
              </w:rPr>
              <w:t>—</w:t>
            </w:r>
          </w:p>
        </w:tc>
        <w:tc>
          <w:tcPr>
            <w:tcW w:w="1035" w:type="dxa"/>
          </w:tcPr>
          <w:p>
            <w:pPr>
              <w:jc w:val="center"/>
              <w:rPr>
                <w:rFonts w:ascii="Times New Roman" w:hAnsi="Times New Roman" w:cs="Times New Roman"/>
                <w:sz w:val="24"/>
                <w:szCs w:val="24"/>
              </w:rPr>
            </w:pPr>
            <w:r>
              <w:rPr>
                <w:rFonts w:ascii="Times New Roman" w:hAnsi="Times New Roman" w:cs="Times New Roman"/>
                <w:sz w:val="24"/>
                <w:szCs w:val="24"/>
              </w:rPr>
              <w:t>0,12</w:t>
            </w:r>
          </w:p>
        </w:tc>
      </w:tr>
      <w:tr>
        <w:trPr>
          <w:trHeight w:hRule="atLeast" w:val="56"/>
        </w:trPr>
        <w:tc>
          <w:tcPr>
            <w:tcW w:w="610" w:type="dxa"/>
          </w:tcPr>
          <w:p>
            <w:pPr>
              <w:rPr>
                <w:rFonts w:ascii="Times New Roman" w:hAnsi="Times New Roman" w:cs="Times New Roman"/>
                <w:sz w:val="24"/>
                <w:szCs w:val="24"/>
              </w:rPr>
            </w:pPr>
            <w:r>
              <w:rPr>
                <w:rFonts w:ascii="Times New Roman" w:hAnsi="Times New Roman" w:cs="Times New Roman"/>
                <w:bCs w:val="1"/>
                <w:sz w:val="24"/>
                <w:szCs w:val="24"/>
              </w:rPr>
              <w:t>IX</w:t>
            </w:r>
          </w:p>
        </w:tc>
        <w:tc>
          <w:tcPr>
            <w:tcW w:w="1036" w:type="dxa"/>
          </w:tcPr>
          <w:p>
            <w:pPr>
              <w:jc w:val="center"/>
              <w:rPr>
                <w:rFonts w:ascii="Times New Roman" w:hAnsi="Times New Roman" w:cs="Times New Roman"/>
                <w:sz w:val="24"/>
                <w:szCs w:val="24"/>
              </w:rPr>
            </w:pPr>
            <w:r>
              <w:rPr>
                <w:rFonts w:ascii="Times New Roman" w:hAnsi="Times New Roman" w:cs="Times New Roman"/>
                <w:sz w:val="24"/>
                <w:szCs w:val="24"/>
              </w:rPr>
              <w:t>0,10</w:t>
            </w:r>
          </w:p>
        </w:tc>
        <w:tc>
          <w:tcPr>
            <w:tcW w:w="1036" w:type="dxa"/>
          </w:tcPr>
          <w:p>
            <w:pPr>
              <w:jc w:val="center"/>
              <w:rPr>
                <w:rFonts w:ascii="Times New Roman" w:hAnsi="Times New Roman" w:cs="Times New Roman"/>
                <w:sz w:val="24"/>
                <w:szCs w:val="24"/>
              </w:rPr>
            </w:pPr>
            <w:r>
              <w:rPr>
                <w:rFonts w:ascii="Times New Roman" w:hAnsi="Times New Roman" w:cs="Times New Roman"/>
                <w:sz w:val="24"/>
                <w:szCs w:val="24"/>
              </w:rPr>
              <w:t>0,08</w:t>
            </w:r>
          </w:p>
        </w:tc>
        <w:tc>
          <w:tcPr>
            <w:tcW w:w="1035" w:type="dxa"/>
          </w:tcPr>
          <w:p>
            <w:pPr>
              <w:jc w:val="center"/>
              <w:rPr>
                <w:rFonts w:ascii="Times New Roman" w:hAnsi="Times New Roman" w:cs="Times New Roman"/>
                <w:sz w:val="24"/>
                <w:szCs w:val="24"/>
              </w:rPr>
            </w:pPr>
            <w:r>
              <w:rPr>
                <w:rFonts w:ascii="Times New Roman" w:hAnsi="Times New Roman" w:cs="Times New Roman"/>
                <w:sz w:val="24"/>
                <w:szCs w:val="24"/>
              </w:rPr>
              <w:t>0,12</w:t>
            </w:r>
          </w:p>
        </w:tc>
        <w:tc>
          <w:tcPr>
            <w:tcW w:w="1035" w:type="dxa"/>
          </w:tcPr>
          <w:p>
            <w:pPr>
              <w:jc w:val="center"/>
              <w:rPr>
                <w:rFonts w:ascii="Times New Roman" w:hAnsi="Times New Roman" w:cs="Times New Roman"/>
                <w:sz w:val="24"/>
                <w:szCs w:val="24"/>
              </w:rPr>
            </w:pPr>
            <w:r>
              <w:rPr>
                <w:rFonts w:ascii="Times New Roman" w:hAnsi="Times New Roman" w:cs="Times New Roman"/>
                <w:sz w:val="24"/>
                <w:szCs w:val="24"/>
              </w:rPr>
              <w:t>0,15</w:t>
            </w:r>
          </w:p>
        </w:tc>
        <w:tc>
          <w:tcPr>
            <w:tcW w:w="1035" w:type="dxa"/>
          </w:tcPr>
          <w:p>
            <w:pPr>
              <w:jc w:val="center"/>
              <w:rPr>
                <w:rFonts w:ascii="Times New Roman" w:hAnsi="Times New Roman" w:cs="Times New Roman"/>
                <w:sz w:val="24"/>
                <w:szCs w:val="24"/>
              </w:rPr>
            </w:pPr>
            <w:r>
              <w:rPr>
                <w:rFonts w:ascii="Times New Roman" w:hAnsi="Times New Roman" w:cs="Times New Roman"/>
                <w:sz w:val="24"/>
                <w:szCs w:val="24"/>
              </w:rPr>
              <w:t>0,10</w:t>
            </w:r>
          </w:p>
        </w:tc>
        <w:tc>
          <w:tcPr>
            <w:tcW w:w="1035" w:type="dxa"/>
          </w:tcPr>
          <w:p>
            <w:pPr>
              <w:jc w:val="center"/>
              <w:rPr>
                <w:rFonts w:ascii="Times New Roman" w:hAnsi="Times New Roman" w:cs="Times New Roman"/>
                <w:sz w:val="24"/>
                <w:szCs w:val="24"/>
              </w:rPr>
            </w:pPr>
            <w:r>
              <w:rPr>
                <w:rFonts w:ascii="Times New Roman" w:hAnsi="Times New Roman" w:cs="Times New Roman"/>
                <w:sz w:val="24"/>
                <w:szCs w:val="24"/>
              </w:rPr>
              <w:t>0,25</w:t>
            </w:r>
          </w:p>
        </w:tc>
        <w:tc>
          <w:tcPr>
            <w:tcW w:w="1035" w:type="dxa"/>
          </w:tcPr>
          <w:p>
            <w:pPr>
              <w:jc w:val="center"/>
              <w:rPr>
                <w:rFonts w:ascii="Times New Roman" w:hAnsi="Times New Roman" w:cs="Times New Roman"/>
                <w:sz w:val="24"/>
                <w:szCs w:val="24"/>
              </w:rPr>
            </w:pPr>
            <w:r>
              <w:rPr>
                <w:rFonts w:ascii="Times New Roman" w:hAnsi="Times New Roman" w:cs="Times New Roman"/>
                <w:sz w:val="24"/>
                <w:szCs w:val="24"/>
              </w:rPr>
              <w:t>0,08</w:t>
            </w:r>
          </w:p>
        </w:tc>
        <w:tc>
          <w:tcPr>
            <w:tcW w:w="1038" w:type="dxa"/>
          </w:tcPr>
          <w:p>
            <w:pPr>
              <w:jc w:val="center"/>
              <w:rPr>
                <w:rFonts w:ascii="Times New Roman" w:hAnsi="Times New Roman" w:cs="Times New Roman"/>
                <w:sz w:val="24"/>
                <w:szCs w:val="24"/>
              </w:rPr>
            </w:pPr>
            <w:r>
              <w:rPr>
                <w:rFonts w:ascii="Times New Roman" w:hAnsi="Times New Roman" w:cs="Times New Roman"/>
                <w:sz w:val="24"/>
                <w:szCs w:val="24"/>
              </w:rPr>
              <w:t>0,12</w:t>
            </w:r>
          </w:p>
        </w:tc>
        <w:tc>
          <w:tcPr>
            <w:tcW w:w="1035" w:type="dxa"/>
          </w:tcPr>
          <w:p>
            <w:pPr>
              <w:jc w:val="center"/>
              <w:rPr>
                <w:rFonts w:ascii="Times New Roman" w:hAnsi="Times New Roman" w:cs="Times New Roman"/>
                <w:sz w:val="24"/>
                <w:szCs w:val="24"/>
              </w:rPr>
            </w:pPr>
            <w:r>
              <w:rPr>
                <w:rFonts w:ascii="Times New Roman" w:hAnsi="Times New Roman" w:cs="Times New Roman"/>
                <w:sz w:val="24"/>
                <w:szCs w:val="24"/>
              </w:rPr>
              <w:t>—</w:t>
            </w:r>
          </w:p>
        </w:tc>
      </w:tr>
    </w:tbl>
    <w:p>
      <w:pPr>
        <w:spacing w:lineRule="auto" w:line="360" w:after="0" w:beforeAutospacing="0" w:afterAutospacing="0"/>
        <w:rPr>
          <w:rFonts w:ascii="Times New Roman" w:hAnsi="Times New Roman" w:cs="Times New Roman"/>
          <w:sz w:val="28"/>
          <w:szCs w:val="28"/>
        </w:rPr>
      </w:pPr>
    </w:p>
    <w:p>
      <w:pPr>
        <w:widowControl w:val="0"/>
        <w:spacing w:lineRule="auto" w:line="360" w:after="0" w:beforeAutospacing="0" w:afterAutospacing="0"/>
        <w:ind w:firstLine="709"/>
        <w:jc w:val="both"/>
        <w:rPr>
          <w:rFonts w:ascii="Times New Roman" w:hAnsi="Times New Roman" w:cs="Times New Roman"/>
          <w:bCs w:val="1"/>
          <w:sz w:val="28"/>
          <w:szCs w:val="28"/>
        </w:rPr>
      </w:pPr>
      <w:r>
        <w:rPr>
          <w:rFonts w:ascii="Times New Roman" w:hAnsi="Times New Roman" w:cs="Times New Roman"/>
          <w:bCs w:val="1"/>
          <w:sz w:val="28"/>
          <w:szCs w:val="28"/>
        </w:rPr>
        <w:t xml:space="preserve">Матрица является симметричной </w:t>
      </w:r>
      <w:r>
        <w:rPr>
          <w:rFonts w:ascii="Times New Roman" w:hAnsi="Times New Roman" w:cs="Times New Roman"/>
          <w:i w:val="1"/>
          <w:bCs w:val="1"/>
          <w:sz w:val="28"/>
          <w:szCs w:val="28"/>
        </w:rPr>
        <w:t>sij=sji</w:t>
      </w:r>
      <w:r>
        <w:rPr>
          <w:rFonts w:ascii="Times New Roman" w:hAnsi="Times New Roman" w:cs="Times New Roman"/>
          <w:bCs w:val="1"/>
          <w:sz w:val="28"/>
          <w:szCs w:val="28"/>
        </w:rPr>
        <w:t xml:space="preserve"> и подлежит калибровке по мере накопления фактических данных о реализации проекта. Наиболее сильные синергетические пары: II–III (0,50), I–II (0,45), II–IV (0,42), I–IV (0,40), IV–V (0,35), IV–VII (0,32), III–VI (0,30).</w:t>
      </w:r>
    </w:p>
    <w:p>
      <w:pPr>
        <w:widowControl w:val="0"/>
        <w:spacing w:lineRule="auto" w:line="360" w:after="0" w:beforeAutospacing="0" w:afterAutospacing="0"/>
        <w:ind w:firstLine="709"/>
        <w:jc w:val="both"/>
        <w:rPr>
          <w:rFonts w:ascii="Times New Roman" w:hAnsi="Times New Roman" w:cs="Times New Roman"/>
          <w:bCs w:val="1"/>
          <w:sz w:val="28"/>
          <w:szCs w:val="28"/>
        </w:rPr>
      </w:pPr>
      <w:r>
        <w:rPr>
          <w:rFonts w:ascii="Times New Roman" w:hAnsi="Times New Roman" w:cs="Times New Roman"/>
          <w:bCs w:val="1"/>
          <w:sz w:val="28"/>
          <w:szCs w:val="28"/>
        </w:rPr>
        <w:t xml:space="preserve">Важно отметить, что помимо  прироста валовой добавленной стоимости (или ВВП) при полной реализации x</w:t>
      </w:r>
      <w:r>
        <w:rPr>
          <w:rFonts w:ascii="Times New Roman" w:hAnsi="Times New Roman" w:cs="Times New Roman"/>
          <w:bCs w:val="1"/>
          <w:sz w:val="28"/>
          <w:szCs w:val="28"/>
          <w:vertAlign w:val="subscript"/>
          <w:lang w:val="en-US"/>
        </w:rPr>
        <w:t>i</w:t>
      </w:r>
      <w:r>
        <w:rPr>
          <w:rFonts w:ascii="Times New Roman" w:hAnsi="Times New Roman" w:cs="Times New Roman"/>
          <w:bCs w:val="1"/>
          <w:sz w:val="28"/>
          <w:szCs w:val="28"/>
        </w:rPr>
        <w:t>-го кластера (ΔY</w:t>
      </w:r>
      <w:r>
        <w:rPr>
          <w:rFonts w:ascii="Times New Roman" w:hAnsi="Times New Roman" w:cs="Times New Roman"/>
          <w:bCs w:val="1"/>
          <w:sz w:val="28"/>
          <w:szCs w:val="28"/>
          <w:vertAlign w:val="subscript"/>
          <w:lang w:val="en-US"/>
        </w:rPr>
        <w:t>i</w:t>
      </w:r>
      <w:r>
        <w:rPr>
          <w:rFonts w:ascii="Times New Roman" w:hAnsi="Times New Roman" w:cs="Times New Roman"/>
          <w:bCs w:val="1"/>
          <w:sz w:val="28"/>
          <w:szCs w:val="28"/>
        </w:rPr>
        <w:t xml:space="preserve">) платформа обеспечивает прирост занятости (рабочих мест),  интегральный социальный эффект (улучшение доступа к услугам, качеству жизни), экологическую нагрузку (условный объем выбросов и воздействий) и учитывает совокупный риск реализации кластера (институциональный, финансовый, технологический) (R</w:t>
      </w:r>
      <w:r>
        <w:rPr>
          <w:rFonts w:ascii="Times New Roman" w:hAnsi="Times New Roman" w:cs="Times New Roman"/>
          <w:bCs w:val="1"/>
          <w:sz w:val="28"/>
          <w:szCs w:val="28"/>
          <w:vertAlign w:val="subscript"/>
        </w:rPr>
        <w:t>i</w:t>
      </w:r>
      <w:r>
        <w:rPr>
          <w:rFonts w:ascii="Times New Roman" w:hAnsi="Times New Roman" w:cs="Times New Roman"/>
          <w:bCs w:val="1"/>
          <w:sz w:val="28"/>
          <w:szCs w:val="28"/>
        </w:rPr>
        <w:t>). Аналогично определяются агрегированные показатели по занятости (L</w:t>
      </w:r>
      <w:r>
        <w:rPr>
          <w:rFonts w:ascii="Times New Roman" w:hAnsi="Times New Roman" w:cs="Times New Roman"/>
          <w:bCs w:val="1"/>
          <w:sz w:val="28"/>
          <w:szCs w:val="28"/>
          <w:vertAlign w:val="subscript"/>
          <w:lang w:val="en-US"/>
        </w:rPr>
        <w:t>i</w:t>
      </w:r>
      <w:r>
        <w:rPr>
          <w:rFonts w:ascii="Times New Roman" w:hAnsi="Times New Roman" w:cs="Times New Roman"/>
          <w:bCs w:val="1"/>
          <w:sz w:val="28"/>
          <w:szCs w:val="28"/>
        </w:rPr>
        <w:t>), социальной (S</w:t>
      </w:r>
      <w:r>
        <w:rPr>
          <w:rFonts w:ascii="Times New Roman" w:hAnsi="Times New Roman" w:cs="Times New Roman"/>
          <w:bCs w:val="1"/>
          <w:sz w:val="28"/>
          <w:szCs w:val="28"/>
          <w:vertAlign w:val="subscript"/>
        </w:rPr>
        <w:t>i</w:t>
      </w:r>
      <w:r>
        <w:rPr>
          <w:rFonts w:ascii="Times New Roman" w:hAnsi="Times New Roman" w:cs="Times New Roman"/>
          <w:bCs w:val="1"/>
          <w:sz w:val="28"/>
          <w:szCs w:val="28"/>
        </w:rPr>
        <w:t>) и экологической (S</w:t>
      </w:r>
      <w:r>
        <w:rPr>
          <w:rFonts w:ascii="Times New Roman" w:hAnsi="Times New Roman" w:cs="Times New Roman"/>
          <w:bCs w:val="1"/>
          <w:sz w:val="28"/>
          <w:szCs w:val="28"/>
          <w:vertAlign w:val="subscript"/>
        </w:rPr>
        <w:t>i</w:t>
      </w:r>
      <w:r>
        <w:rPr>
          <w:rFonts w:ascii="Times New Roman" w:hAnsi="Times New Roman" w:cs="Times New Roman"/>
          <w:bCs w:val="1"/>
          <w:sz w:val="28"/>
          <w:szCs w:val="28"/>
        </w:rPr>
        <w:t>) компонентам:</w:t>
      </w:r>
    </w:p>
    <w:p>
      <w:pPr>
        <w:widowControl w:val="0"/>
        <w:spacing w:lineRule="auto" w:line="360" w:after="0" w:beforeAutospacing="0" w:afterAutospacing="0"/>
        <w:ind w:firstLine="709"/>
        <w:jc w:val="both"/>
        <w:rPr>
          <w:rFonts w:ascii="Times New Roman" w:hAnsi="Times New Roman" w:cs="Times New Roman"/>
          <w:bCs w:val="1"/>
          <w:sz w:val="28"/>
          <w:szCs w:val="28"/>
        </w:rPr>
      </w:pPr>
    </w:p>
    <w:p>
      <w:pPr>
        <w:widowControl w:val="0"/>
        <w:tabs>
          <w:tab w:val="center" w:pos="5315" w:leader="none"/>
          <w:tab w:val="right" w:pos="9922" w:leader="none"/>
        </w:tabs>
        <w:spacing w:lineRule="auto" w:line="360" w:after="0" w:beforeAutospacing="0" w:afterAutospacing="0"/>
        <w:ind w:firstLine="709"/>
        <w:rPr>
          <w:rFonts w:ascii="Times New Roman" w:hAnsi="Times New Roman" w:cs="Times New Roman"/>
          <w:bCs w:val="1"/>
          <w:sz w:val="28"/>
          <w:szCs w:val="28"/>
        </w:rPr>
      </w:pPr>
      <w:r>
        <w:rPr>
          <w:rFonts w:ascii="Times New Roman" w:hAnsi="Times New Roman" w:cs="Times New Roman"/>
          <w:bCs w:val="1"/>
          <w:sz w:val="28"/>
          <w:szCs w:val="28"/>
        </w:rPr>
        <w:tab/>
      </w:r>
      <m:oMathPara xmlns:m="http://schemas.openxmlformats.org/officeDocument/2006/math">
        <m:oMath>
          <m:r>
            <m:rPr>
              <m:scr m:val="roman"/>
              <m:sty m:val="i"/>
            </m:rPr>
            <m:t>ΔL =</m:t>
          </m:r>
          <m:nary>
            <m:naryPr>
              <m:ctrlPr>
                <w:rPr>
                  <w:rFonts w:ascii="Cambria Math" w:hAnsi="Cambria Math" w:cs="Times New Roman"/>
                  <w:i w:val="1"/>
                  <w:bCs w:val="1"/>
                  <w:sz w:val="28"/>
                  <w:szCs w:val="28"/>
                </w:rPr>
              </m:ctrlPr>
              <m:chr m:val="∑"/>
              <m:limLoc m:val="undOvr"/>
            </m:naryPr>
            <m:sub>
              <m:argPr>
                <m:argSz m:val="0"/>
              </m:argPr>
              <m:r>
                <m:rPr>
                  <m:scr m:val="roman"/>
                  <m:sty m:val="i"/>
                </m:rPr>
                <m:t>i=1</m:t>
              </m:r>
            </m:sub>
            <m:sup>
              <m:argPr>
                <m:argSz m:val="0"/>
              </m:argPr>
              <m:r>
                <m:rPr>
                  <m:scr m:val="roman"/>
                  <m:sty m:val="i"/>
                </m:rPr>
                <m:t>9</m:t>
              </m:r>
            </m:sup>
            <m:e>
              <m:argPr>
                <m:argSz m:val="0"/>
              </m:argPr>
              <m:r>
                <m:rPr>
                  <m:scr m:val="roman"/>
                  <m:sty m:val="i"/>
                </m:rPr>
                <m:t>x</m:t>
              </m:r>
              <m:r>
                <m:rPr>
                  <m:scr m:val="roman"/>
                  <m:sty m:val="i"/>
                </m:rPr>
                <m:t>i</m:t>
              </m:r>
              <m:r>
                <m:rPr>
                  <m:scr m:val="roman"/>
                  <m:sty m:val="i"/>
                </m:rPr>
                <m:t xml:space="preserve"> · L</m:t>
              </m:r>
              <m:r>
                <m:rPr>
                  <m:scr m:val="roman"/>
                  <m:sty m:val="i"/>
                </m:rPr>
                <m:t>i</m:t>
              </m:r>
            </m:e>
          </m:nary>
        </m:oMath>
      </m:oMathPara>
      <w:r>
        <w:rPr>
          <w:rFonts w:ascii="Times New Roman" w:hAnsi="Times New Roman" w:cs="Times New Roman"/>
          <w:bCs w:val="1"/>
          <w:sz w:val="28"/>
          <w:szCs w:val="28"/>
        </w:rPr>
        <w:t>,</w:t>
        <w:tab/>
      </w:r>
      <w:r>
        <w:rPr>
          <w:rFonts w:ascii="Times New Roman" w:hAnsi="Times New Roman" w:cs="Times New Roman"/>
          <w:bCs w:val="1"/>
          <w:sz w:val="28"/>
          <w:szCs w:val="28"/>
          <w:highlight w:val="yellow"/>
        </w:rPr>
        <w:t>(??)</w:t>
      </w:r>
    </w:p>
    <w:p>
      <w:pPr>
        <w:widowControl w:val="0"/>
        <w:tabs>
          <w:tab w:val="center" w:pos="5315" w:leader="none"/>
          <w:tab w:val="right" w:pos="9922" w:leader="none"/>
        </w:tabs>
        <w:spacing w:lineRule="auto" w:line="360" w:after="0" w:beforeAutospacing="0" w:afterAutospacing="0"/>
        <w:ind w:firstLine="709"/>
        <w:rPr>
          <w:rFonts w:ascii="Times New Roman" w:hAnsi="Times New Roman" w:cs="Times New Roman"/>
          <w:bCs w:val="1"/>
          <w:sz w:val="28"/>
          <w:szCs w:val="28"/>
        </w:rPr>
      </w:pPr>
      <w:r>
        <w:rPr>
          <w:rFonts w:ascii="Times New Roman" w:hAnsi="Times New Roman" w:cs="Times New Roman"/>
          <w:bCs w:val="1"/>
          <w:sz w:val="28"/>
          <w:szCs w:val="28"/>
        </w:rPr>
        <w:tab/>
      </w:r>
      <m:oMathPara xmlns:m="http://schemas.openxmlformats.org/officeDocument/2006/math">
        <m:oMath>
          <m:r>
            <m:rPr>
              <m:scr m:val="roman"/>
              <m:sty m:val="i"/>
            </m:rPr>
            <m:t>ΔS =</m:t>
          </m:r>
          <m:nary>
            <m:naryPr>
              <m:ctrlPr>
                <w:rPr>
                  <w:rFonts w:ascii="Cambria Math" w:hAnsi="Cambria Math" w:cs="Times New Roman"/>
                  <w:i w:val="1"/>
                  <w:bCs w:val="1"/>
                  <w:sz w:val="28"/>
                  <w:szCs w:val="28"/>
                </w:rPr>
              </m:ctrlPr>
              <m:chr m:val="∑"/>
              <m:limLoc m:val="undOvr"/>
            </m:naryPr>
            <m:sub>
              <m:argPr>
                <m:argSz m:val="0"/>
              </m:argPr>
              <m:r>
                <m:rPr>
                  <m:scr m:val="roman"/>
                  <m:sty m:val="i"/>
                </m:rPr>
                <m:t>i=1</m:t>
              </m:r>
            </m:sub>
            <m:sup>
              <m:argPr>
                <m:argSz m:val="0"/>
              </m:argPr>
              <m:r>
                <m:rPr>
                  <m:scr m:val="roman"/>
                  <m:sty m:val="i"/>
                </m:rPr>
                <m:t>9</m:t>
              </m:r>
            </m:sup>
            <m:e>
              <m:argPr>
                <m:argSz m:val="0"/>
              </m:argPr>
              <m:r>
                <m:rPr>
                  <m:scr m:val="roman"/>
                  <m:sty m:val="i"/>
                </m:rPr>
                <m:t>x</m:t>
              </m:r>
              <m:r>
                <m:rPr>
                  <m:scr m:val="roman"/>
                  <m:sty m:val="i"/>
                </m:rPr>
                <m:t>i</m:t>
              </m:r>
              <m:r>
                <m:rPr>
                  <m:scr m:val="roman"/>
                  <m:sty m:val="i"/>
                </m:rPr>
                <m:t xml:space="preserve"> · S</m:t>
              </m:r>
              <m:r>
                <m:rPr>
                  <m:scr m:val="roman"/>
                  <m:sty m:val="i"/>
                </m:rPr>
                <m:t>i</m:t>
              </m:r>
            </m:e>
          </m:nary>
        </m:oMath>
      </m:oMathPara>
      <w:r>
        <w:rPr>
          <w:rFonts w:ascii="Times New Roman" w:hAnsi="Times New Roman" w:cs="Times New Roman"/>
          <w:bCs w:val="1"/>
          <w:sz w:val="28"/>
          <w:szCs w:val="28"/>
        </w:rPr>
        <w:t>,</w:t>
        <w:tab/>
      </w:r>
      <w:r>
        <w:rPr>
          <w:rFonts w:ascii="Times New Roman" w:hAnsi="Times New Roman" w:cs="Times New Roman"/>
          <w:bCs w:val="1"/>
          <w:sz w:val="28"/>
          <w:szCs w:val="28"/>
          <w:highlight w:val="yellow"/>
        </w:rPr>
        <w:t>(??)</w:t>
      </w:r>
    </w:p>
    <w:p>
      <w:pPr>
        <w:widowControl w:val="0"/>
        <w:tabs>
          <w:tab w:val="center" w:pos="5315" w:leader="none"/>
          <w:tab w:val="right" w:pos="9922" w:leader="none"/>
        </w:tabs>
        <w:spacing w:lineRule="auto" w:line="360" w:after="0" w:beforeAutospacing="0" w:afterAutospacing="0"/>
        <w:ind w:firstLine="709"/>
        <w:rPr>
          <w:rFonts w:ascii="Times New Roman" w:hAnsi="Times New Roman" w:cs="Times New Roman"/>
          <w:bCs w:val="1"/>
          <w:sz w:val="28"/>
          <w:szCs w:val="28"/>
        </w:rPr>
      </w:pPr>
      <w:r>
        <w:rPr>
          <w:rFonts w:ascii="Times New Roman" w:hAnsi="Times New Roman" w:cs="Times New Roman"/>
          <w:bCs w:val="1"/>
          <w:sz w:val="28"/>
          <w:szCs w:val="28"/>
        </w:rPr>
        <w:tab/>
      </w:r>
      <m:oMathPara xmlns:m="http://schemas.openxmlformats.org/officeDocument/2006/math">
        <m:oMath>
          <m:r>
            <m:rPr>
              <m:scr m:val="roman"/>
              <m:sty m:val="i"/>
            </m:rPr>
            <m:t>ΔE =</m:t>
          </m:r>
          <m:nary>
            <m:naryPr>
              <m:ctrlPr>
                <w:rPr>
                  <w:rFonts w:ascii="Cambria Math" w:hAnsi="Cambria Math" w:cs="Times New Roman"/>
                  <w:i w:val="1"/>
                  <w:bCs w:val="1"/>
                  <w:sz w:val="28"/>
                  <w:szCs w:val="28"/>
                </w:rPr>
              </m:ctrlPr>
              <m:chr m:val="∑"/>
              <m:limLoc m:val="undOvr"/>
            </m:naryPr>
            <m:sub>
              <m:argPr>
                <m:argSz m:val="0"/>
              </m:argPr>
              <m:r>
                <m:rPr>
                  <m:scr m:val="roman"/>
                  <m:sty m:val="i"/>
                </m:rPr>
                <m:t>i=1</m:t>
              </m:r>
            </m:sub>
            <m:sup>
              <m:argPr>
                <m:argSz m:val="0"/>
              </m:argPr>
              <m:r>
                <m:rPr>
                  <m:scr m:val="roman"/>
                  <m:sty m:val="i"/>
                </m:rPr>
                <m:t>9</m:t>
              </m:r>
            </m:sup>
            <m:e>
              <m:argPr>
                <m:argSz m:val="0"/>
              </m:argPr>
              <m:r>
                <m:rPr>
                  <m:scr m:val="roman"/>
                  <m:sty m:val="i"/>
                </m:rPr>
                <m:t>x</m:t>
              </m:r>
              <m:r>
                <m:rPr>
                  <m:scr m:val="roman"/>
                  <m:sty m:val="i"/>
                </m:rPr>
                <m:t>i</m:t>
              </m:r>
              <m:r>
                <m:rPr>
                  <m:scr m:val="roman"/>
                  <m:sty m:val="i"/>
                </m:rPr>
                <m:t xml:space="preserve"> · E</m:t>
              </m:r>
              <m:r>
                <m:rPr>
                  <m:scr m:val="roman"/>
                  <m:sty m:val="i"/>
                </m:rPr>
                <m:t>i</m:t>
              </m:r>
            </m:e>
          </m:nary>
        </m:oMath>
      </m:oMathPara>
      <w:r>
        <w:rPr>
          <w:rFonts w:ascii="Times New Roman" w:hAnsi="Times New Roman" w:cs="Times New Roman"/>
          <w:bCs w:val="1"/>
          <w:sz w:val="28"/>
          <w:szCs w:val="28"/>
        </w:rPr>
        <w:t>.</w:t>
        <w:tab/>
      </w:r>
      <w:r>
        <w:rPr>
          <w:rFonts w:ascii="Times New Roman" w:hAnsi="Times New Roman" w:cs="Times New Roman"/>
          <w:bCs w:val="1"/>
          <w:sz w:val="28"/>
          <w:szCs w:val="28"/>
          <w:highlight w:val="yellow"/>
        </w:rPr>
        <w:t>(??)</w:t>
      </w:r>
    </w:p>
    <w:p>
      <w:pPr>
        <w:widowControl w:val="0"/>
        <w:spacing w:lineRule="auto" w:line="360" w:after="0" w:beforeAutospacing="0" w:afterAutospacing="0"/>
        <w:ind w:firstLine="567"/>
        <w:jc w:val="both"/>
        <w:rPr>
          <w:rFonts w:ascii="Times New Roman" w:hAnsi="Times New Roman" w:cs="Times New Roman"/>
          <w:bCs w:val="1"/>
          <w:sz w:val="28"/>
          <w:szCs w:val="28"/>
        </w:rPr>
      </w:pPr>
      <w:r>
        <w:rPr>
          <w:rFonts w:ascii="Times New Roman" w:hAnsi="Times New Roman" w:cs="Times New Roman"/>
          <w:bCs w:val="1"/>
          <w:sz w:val="28"/>
          <w:szCs w:val="28"/>
        </w:rPr>
        <w:t xml:space="preserve"> </w:t>
      </w:r>
    </w:p>
    <w:p>
      <w:pPr>
        <w:widowControl w:val="0"/>
        <w:spacing w:lineRule="auto" w:line="360" w:after="0" w:beforeAutospacing="0" w:afterAutospacing="0"/>
        <w:ind w:firstLine="567"/>
        <w:jc w:val="both"/>
        <w:rPr>
          <w:rFonts w:ascii="Times New Roman" w:hAnsi="Times New Roman" w:cs="Times New Roman"/>
          <w:bCs w:val="1"/>
          <w:sz w:val="28"/>
          <w:szCs w:val="28"/>
        </w:rPr>
      </w:pPr>
      <w:r>
        <w:rPr>
          <w:rFonts w:ascii="Times New Roman" w:hAnsi="Times New Roman" w:cs="Times New Roman"/>
          <w:bCs w:val="1"/>
          <w:sz w:val="28"/>
          <w:szCs w:val="28"/>
        </w:rPr>
        <w:t xml:space="preserve">Интегральный  риск проекта определяется как взвешенная сумма кластерных рисков с учетом их корреляции:</w:t>
      </w:r>
    </w:p>
    <w:p>
      <w:pPr>
        <w:widowControl w:val="0"/>
        <w:tabs>
          <w:tab w:val="center" w:pos="5315" w:leader="none"/>
          <w:tab w:val="right" w:pos="9922" w:leader="none"/>
        </w:tabs>
        <w:spacing w:lineRule="auto" w:line="360" w:after="0" w:beforeAutospacing="0" w:afterAutospacing="0"/>
        <w:rPr>
          <w:rFonts w:ascii="Times New Roman" w:hAnsi="Times New Roman" w:cs="Times New Roman"/>
          <w:bCs w:val="1"/>
          <w:sz w:val="28"/>
          <w:szCs w:val="28"/>
        </w:rPr>
      </w:pPr>
      <w:r>
        <w:rPr>
          <w:rFonts w:ascii="Times New Roman" w:hAnsi="Times New Roman" w:cs="Times New Roman"/>
          <w:bCs w:val="1"/>
          <w:sz w:val="28"/>
          <w:szCs w:val="28"/>
        </w:rPr>
        <w:tab/>
      </w:r>
    </w:p>
    <w:p>
      <w:pPr>
        <w:widowControl w:val="0"/>
        <w:tabs>
          <w:tab w:val="right" w:pos="9922" w:leader="none"/>
        </w:tabs>
        <w:spacing w:lineRule="auto" w:line="360" w:after="0" w:beforeAutospacing="0" w:afterAutospacing="0"/>
        <w:ind w:firstLine="709"/>
        <w:jc w:val="center"/>
        <w:rPr>
          <w:rFonts w:ascii="Times New Roman" w:hAnsi="Times New Roman" w:cs="Times New Roman"/>
          <w:bCs w:val="1"/>
          <w:sz w:val="28"/>
          <w:szCs w:val="28"/>
        </w:rPr>
      </w:pPr>
      <w:r>
        <w:rPr>
          <w:rFonts w:ascii="Times New Roman" w:hAnsi="Times New Roman" w:cs="Times New Roman" w:eastAsiaTheme="minorEastAsia"/>
          <w:bCs w:val="1"/>
          <w:sz w:val="28"/>
          <w:szCs w:val="28"/>
        </w:rPr>
        <w:t xml:space="preserve">                             </w:t>
      </w:r>
      <m:oMathPara xmlns:m="http://schemas.openxmlformats.org/officeDocument/2006/math">
        <m:oMath>
          <m:r>
            <m:rPr>
              <m:scr m:val="roman"/>
              <m:sty m:val="i"/>
            </m:rPr>
            <m:t>R</m:t>
          </m:r>
          <m:r>
            <m:rPr>
              <m:scr m:val="roman"/>
              <m:sty m:val="i"/>
            </m:rPr>
            <m:t>Σ</m:t>
          </m:r>
          <m:r>
            <m:rPr>
              <m:scr m:val="roman"/>
              <m:sty m:val="i"/>
            </m:rPr>
            <m:t xml:space="preserve"> =</m:t>
          </m:r>
          <m:nary>
            <m:naryPr>
              <m:ctrlPr>
                <w:rPr>
                  <w:rFonts w:ascii="Cambria Math" w:hAnsi="Cambria Math" w:cs="Times New Roman"/>
                  <w:i w:val="1"/>
                  <w:bCs w:val="1"/>
                  <w:sz w:val="28"/>
                  <w:szCs w:val="28"/>
                </w:rPr>
              </m:ctrlPr>
              <m:chr m:val="∑"/>
              <m:limLoc m:val="undOvr"/>
            </m:naryPr>
            <m:sub>
              <m:argPr>
                <m:argSz m:val="0"/>
              </m:argPr>
              <m:r>
                <m:rPr>
                  <m:scr m:val="roman"/>
                  <m:sty m:val="i"/>
                </m:rPr>
                <m:t>i=1</m:t>
              </m:r>
            </m:sub>
            <m:sup>
              <m:argPr>
                <m:argSz m:val="0"/>
              </m:argPr>
              <m:r>
                <m:rPr>
                  <m:scr m:val="roman"/>
                  <m:sty m:val="i"/>
                </m:rPr>
                <m:t>9</m:t>
              </m:r>
            </m:sup>
            <m:e>
              <m:argPr>
                <m:argSz m:val="0"/>
              </m:argPr>
              <m:r>
                <m:rPr>
                  <m:scr m:val="roman"/>
                  <m:sty m:val="i"/>
                </m:rPr>
                <m:t>x</m:t>
              </m:r>
              <m:r>
                <m:rPr>
                  <m:scr m:val="roman"/>
                  <m:sty m:val="i"/>
                </m:rPr>
                <m:t>i</m:t>
              </m:r>
              <m:r>
                <m:rPr>
                  <m:scr m:val="roman"/>
                  <m:sty m:val="i"/>
                </m:rPr>
                <m:t xml:space="preserve"> · R</m:t>
              </m:r>
              <m:r>
                <m:rPr>
                  <m:scr m:val="roman"/>
                  <m:sty m:val="i"/>
                </m:rPr>
                <m:t>i</m:t>
              </m:r>
            </m:e>
          </m:nary>
          <m:r>
            <m:rPr>
              <m:scr m:val="roman"/>
              <m:sty m:val="i"/>
            </m:rPr>
            <m:t>+</m:t>
          </m:r>
          <m:nary>
            <m:naryPr>
              <m:ctrlPr>
                <w:rPr>
                  <w:rFonts w:ascii="Cambria Math" w:hAnsi="Cambria Math" w:cs="Times New Roman"/>
                  <w:i w:val="1"/>
                  <w:sz w:val="24"/>
                  <w:szCs w:val="24"/>
                </w:rPr>
              </m:ctrlPr>
              <m:chr m:val="∑"/>
              <m:limLoc m:val="undOvr"/>
            </m:naryPr>
            <m:sub>
              <m:argPr>
                <m:argSz m:val="0"/>
              </m:argPr>
              <m:r>
                <m:rPr>
                  <m:scr m:val="roman"/>
                  <m:sty m:val="i"/>
                </m:rPr>
                <m:t>i</m:t>
              </m:r>
              <m:r>
                <m:rPr>
                  <m:scr m:val="roman"/>
                  <m:sty m:val="i"/>
                </m:rPr>
                <m:t>=1</m:t>
              </m:r>
            </m:sub>
            <m:sup>
              <m:argPr>
                <m:argSz m:val="0"/>
              </m:argPr>
              <m:r>
                <m:rPr>
                  <m:scr m:val="roman"/>
                  <m:sty m:val="i"/>
                </m:rPr>
                <m:t>9</m:t>
              </m:r>
            </m:sup>
            <m:e>
              <m:argPr>
                <m:argSz m:val="0"/>
              </m:argPr>
              <m:nary>
                <m:naryPr>
                  <m:ctrlPr>
                    <w:rPr>
                      <w:rFonts w:ascii="Cambria Math" w:hAnsi="Cambria Math" w:cs="Times New Roman"/>
                      <w:i w:val="1"/>
                      <w:sz w:val="24"/>
                      <w:szCs w:val="24"/>
                    </w:rPr>
                  </m:ctrlPr>
                  <m:chr m:val="∑"/>
                  <m:limLoc m:val="undOvr"/>
                </m:naryPr>
                <m:sub>
                  <m:argPr>
                    <m:argSz m:val="0"/>
                  </m:argPr>
                  <m:r>
                    <m:rPr>
                      <m:scr m:val="roman"/>
                      <m:sty m:val="i"/>
                    </m:rPr>
                    <m:t>j&gt;i</m:t>
                  </m:r>
                </m:sub>
                <m:sup>
                  <m:argPr>
                    <m:argSz m:val="0"/>
                  </m:argPr>
                  <m:r>
                    <m:rPr>
                      <m:scr m:val="roman"/>
                      <m:sty m:val="i"/>
                    </m:rPr>
                    <m:t>9</m:t>
                  </m:r>
                </m:sup>
                <m:e>
                  <m:argPr>
                    <m:argSz m:val="0"/>
                  </m:argPr>
                  <m:r>
                    <m:rPr>
                      <m:scr m:val="roman"/>
                      <m:sty m:val="i"/>
                    </m:rPr>
                    <m:t>ρ</m:t>
                  </m:r>
                  <m:r>
                    <m:rPr>
                      <m:scr m:val="roman"/>
                      <m:sty m:val="i"/>
                    </m:rPr>
                    <m:t>ij</m:t>
                  </m:r>
                  <m:r>
                    <m:rPr>
                      <m:scr m:val="roman"/>
                      <m:sty m:val="i"/>
                    </m:rPr>
                    <m:t>∙</m:t>
                  </m:r>
                </m:e>
              </m:nary>
              <m:sSub>
                <m:sSubPr>
                  <m:ctrlPr>
                    <w:rPr>
                      <w:rFonts w:ascii="Cambria Math" w:hAnsi="Cambria Math" w:cs="Times New Roman"/>
                      <w:i w:val="1"/>
                      <w:sz w:val="24"/>
                      <w:szCs w:val="24"/>
                      <w:vertAlign w:val="subscript"/>
                    </w:rPr>
                  </m:ctrlPr>
                </m:sSubPr>
                <m:e>
                  <m:argPr>
                    <m:argSz m:val="0"/>
                  </m:argPr>
                  <m:r>
                    <m:rPr>
                      <m:scr m:val="roman"/>
                      <m:sty m:val="i"/>
                    </m:rPr>
                    <m:t>x</m:t>
                  </m:r>
                </m:e>
                <m:sub>
                  <m:argPr>
                    <m:argSz m:val="0"/>
                  </m:argPr>
                  <m:r>
                    <m:rPr>
                      <m:scr m:val="roman"/>
                      <m:sty m:val="i"/>
                    </m:rPr>
                    <m:t>i</m:t>
                  </m:r>
                </m:sub>
              </m:sSub>
              <m:r>
                <m:rPr>
                  <m:scr m:val="roman"/>
                  <m:sty m:val="i"/>
                </m:rPr>
                <m:t>·</m:t>
              </m:r>
              <m:sSub>
                <m:sSubPr>
                  <m:ctrlPr>
                    <w:rPr>
                      <w:rFonts w:ascii="Cambria Math" w:hAnsi="Cambria Math" w:cs="Times New Roman"/>
                      <w:i w:val="1"/>
                      <w:sz w:val="24"/>
                      <w:szCs w:val="24"/>
                    </w:rPr>
                  </m:ctrlPr>
                </m:sSubPr>
                <m:e>
                  <m:argPr>
                    <m:argSz m:val="0"/>
                  </m:argPr>
                  <m:r>
                    <m:rPr>
                      <m:scr m:val="roman"/>
                      <m:sty m:val="i"/>
                    </m:rPr>
                    <m:t>x</m:t>
                  </m:r>
                </m:e>
                <m:sub>
                  <m:argPr>
                    <m:argSz m:val="0"/>
                  </m:argPr>
                  <m:r>
                    <m:rPr>
                      <m:scr m:val="roman"/>
                      <m:sty m:val="i"/>
                    </m:rPr>
                    <m:t>j</m:t>
                  </m:r>
                </m:sub>
              </m:sSub>
            </m:e>
          </m:nary>
        </m:oMath>
      </m:oMathPara>
      <w:r>
        <w:rPr>
          <w:rFonts w:ascii="Times New Roman" w:hAnsi="Times New Roman" w:cs="Times New Roman"/>
          <w:bCs w:val="1"/>
          <w:sz w:val="28"/>
          <w:szCs w:val="28"/>
        </w:rPr>
        <w:t xml:space="preserve"> .                          </w:t>
      </w:r>
      <w:r>
        <w:rPr>
          <w:rFonts w:ascii="Times New Roman" w:hAnsi="Times New Roman" w:cs="Times New Roman"/>
          <w:bCs w:val="1"/>
          <w:sz w:val="28"/>
          <w:szCs w:val="28"/>
          <w:highlight w:val="yellow"/>
        </w:rPr>
        <w:t>(??)</w:t>
      </w:r>
    </w:p>
    <w:p>
      <w:pPr>
        <w:widowControl w:val="0"/>
        <w:spacing w:lineRule="auto" w:line="360" w:after="0" w:beforeAutospacing="0" w:afterAutospacing="0"/>
        <w:ind w:firstLine="709"/>
        <w:jc w:val="both"/>
        <w:rPr>
          <w:rFonts w:ascii="Times New Roman" w:hAnsi="Times New Roman" w:cs="Times New Roman"/>
          <w:bCs w:val="1"/>
          <w:sz w:val="28"/>
          <w:szCs w:val="28"/>
        </w:rPr>
      </w:pPr>
    </w:p>
    <w:p>
      <w:pPr>
        <w:widowControl w:val="0"/>
        <w:spacing w:lineRule="auto" w:line="360" w:after="0" w:beforeAutospacing="0" w:afterAutospacing="0"/>
        <w:ind w:firstLine="709"/>
        <w:jc w:val="both"/>
        <w:rPr>
          <w:rFonts w:ascii="Times New Roman" w:hAnsi="Times New Roman" w:cs="Times New Roman"/>
          <w:bCs w:val="1"/>
          <w:sz w:val="28"/>
          <w:szCs w:val="28"/>
        </w:rPr>
      </w:pPr>
      <w:r>
        <w:rPr>
          <w:rFonts w:ascii="Times New Roman" w:hAnsi="Times New Roman" w:cs="Times New Roman"/>
          <w:bCs w:val="1"/>
          <w:sz w:val="28"/>
          <w:szCs w:val="28"/>
        </w:rPr>
        <w:t>где ρ</w:t>
      </w:r>
      <w:r>
        <w:rPr>
          <w:rFonts w:ascii="Times New Roman" w:hAnsi="Times New Roman" w:cs="Times New Roman"/>
          <w:bCs w:val="1"/>
          <w:sz w:val="28"/>
          <w:szCs w:val="28"/>
          <w:vertAlign w:val="subscript"/>
          <w:lang w:val="en-US"/>
        </w:rPr>
        <w:t>ij</w:t>
      </w:r>
      <w:r>
        <w:rPr>
          <w:rFonts w:ascii="Times New Roman" w:hAnsi="Times New Roman" w:cs="Times New Roman"/>
          <w:bCs w:val="1"/>
          <w:sz w:val="28"/>
          <w:szCs w:val="28"/>
        </w:rPr>
        <w:t xml:space="preserve"> – параметры взаимосвязи рисков (например, влияние регуляторных решений на несколько кластеров одновременно).</w:t>
      </w:r>
    </w:p>
    <w:p>
      <w:pPr>
        <w:widowControl w:val="0"/>
        <w:spacing w:lineRule="auto" w:line="360" w:after="0" w:beforeAutospacing="0" w:afterAutospacing="0"/>
        <w:ind w:firstLine="709"/>
        <w:jc w:val="both"/>
        <w:rPr>
          <w:rFonts w:ascii="Times New Roman" w:hAnsi="Times New Roman" w:cs="Times New Roman"/>
          <w:bCs w:val="1"/>
          <w:sz w:val="28"/>
          <w:szCs w:val="28"/>
        </w:rPr>
      </w:pPr>
      <w:r>
        <w:rPr>
          <w:rFonts w:ascii="Times New Roman" w:hAnsi="Times New Roman" w:cs="Times New Roman"/>
          <w:bCs w:val="1"/>
          <w:sz w:val="28"/>
          <w:szCs w:val="28"/>
        </w:rPr>
        <w:t>С учетом многокритериального характера проекта интегральная целевая функция может быть представлена в виде скаляризованного критерия максимизации интегрального эффекта с учетом социальных и экологических ограничений инновационно-инклюзивного развития:</w:t>
      </w:r>
    </w:p>
    <w:p>
      <w:pPr>
        <w:widowControl w:val="0"/>
        <w:spacing w:lineRule="auto" w:line="360" w:after="0" w:beforeAutospacing="0" w:afterAutospacing="0"/>
        <w:ind w:firstLine="709"/>
        <w:jc w:val="both"/>
        <w:rPr>
          <w:rFonts w:ascii="Times New Roman" w:hAnsi="Times New Roman" w:cs="Times New Roman"/>
          <w:bCs w:val="1"/>
          <w:sz w:val="28"/>
          <w:szCs w:val="28"/>
        </w:rPr>
      </w:pPr>
    </w:p>
    <w:p>
      <w:pPr>
        <w:widowControl w:val="0"/>
        <w:spacing w:lineRule="auto" w:line="360" w:after="0" w:beforeAutospacing="0" w:afterAutospacing="0"/>
        <w:ind w:firstLine="709"/>
        <w:jc w:val="center"/>
        <w:rPr>
          <w:rFonts w:ascii="Times New Roman" w:hAnsi="Times New Roman" w:cs="Times New Roman" w:eastAsia="Cambria Math"/>
          <w:i w:val="1"/>
          <w:sz w:val="28"/>
          <w:szCs w:val="28"/>
        </w:rPr>
      </w:pPr>
      <w:r>
        <w:rPr>
          <w:rFonts w:ascii="Times New Roman" w:hAnsi="Times New Roman" w:cs="Times New Roman" w:eastAsia="Cambria Math"/>
          <w:i w:val="1"/>
          <w:sz w:val="26"/>
          <w:szCs w:val="26"/>
        </w:rPr>
        <w:t>F(x) = w</w:t>
      </w:r>
      <w:r>
        <w:rPr>
          <w:rFonts w:ascii="Times New Roman" w:hAnsi="Times New Roman" w:cs="Times New Roman" w:eastAsia="Cambria Math"/>
          <w:i w:val="1"/>
          <w:sz w:val="26"/>
          <w:szCs w:val="26"/>
          <w:vertAlign w:val="subscript"/>
        </w:rPr>
        <w:t>Y</w:t>
      </w:r>
      <w:r>
        <w:rPr>
          <w:rFonts w:ascii="Times New Roman" w:hAnsi="Times New Roman" w:cs="Times New Roman" w:eastAsia="Cambria Math"/>
          <w:i w:val="1"/>
          <w:sz w:val="26"/>
          <w:szCs w:val="26"/>
        </w:rPr>
        <w:t>·(ΔY/Y₀) + w</w:t>
      </w:r>
      <w:r>
        <w:rPr>
          <w:rFonts w:ascii="Times New Roman" w:hAnsi="Times New Roman" w:cs="Times New Roman" w:eastAsia="Cambria Math"/>
          <w:i w:val="1"/>
          <w:sz w:val="26"/>
          <w:szCs w:val="26"/>
          <w:vertAlign w:val="subscript"/>
        </w:rPr>
        <w:t>L</w:t>
      </w:r>
      <w:r>
        <w:rPr>
          <w:rFonts w:ascii="Times New Roman" w:hAnsi="Times New Roman" w:cs="Times New Roman" w:eastAsia="Cambria Math"/>
          <w:i w:val="1"/>
          <w:sz w:val="26"/>
          <w:szCs w:val="26"/>
        </w:rPr>
        <w:t xml:space="preserve">·(ΔL/L₀)+ </w:t>
      </w:r>
      <w:r>
        <w:rPr>
          <w:rFonts w:ascii="Times New Roman" w:hAnsi="Times New Roman" w:cs="Times New Roman" w:eastAsia="Cambria Math"/>
          <w:i w:val="1"/>
          <w:sz w:val="26"/>
          <w:szCs w:val="26"/>
          <w:lang w:val="en-US"/>
        </w:rPr>
        <w:t>w</w:t>
      </w:r>
      <w:r>
        <w:rPr>
          <w:rFonts w:ascii="Times New Roman" w:hAnsi="Times New Roman" w:cs="Times New Roman" w:eastAsia="Cambria Math"/>
          <w:i w:val="1"/>
          <w:sz w:val="26"/>
          <w:szCs w:val="26"/>
          <w:vertAlign w:val="subscript"/>
          <w:lang w:val="en-US"/>
        </w:rPr>
        <w:t>S</w:t>
      </w:r>
      <w:r>
        <w:rPr>
          <w:rFonts w:ascii="Times New Roman" w:hAnsi="Times New Roman" w:cs="Times New Roman" w:eastAsia="Cambria Math"/>
          <w:i w:val="1"/>
          <w:sz w:val="26"/>
          <w:szCs w:val="26"/>
        </w:rPr>
        <w:t>·(Δ</w:t>
      </w:r>
      <w:r>
        <w:rPr>
          <w:rFonts w:ascii="Times New Roman" w:hAnsi="Times New Roman" w:cs="Times New Roman" w:eastAsia="Cambria Math"/>
          <w:i w:val="1"/>
          <w:sz w:val="26"/>
          <w:szCs w:val="26"/>
          <w:lang w:val="en-US"/>
        </w:rPr>
        <w:t>S</w:t>
      </w:r>
      <w:r>
        <w:rPr>
          <w:rFonts w:ascii="Times New Roman" w:hAnsi="Times New Roman" w:cs="Times New Roman" w:eastAsia="Cambria Math"/>
          <w:i w:val="1"/>
          <w:sz w:val="26"/>
          <w:szCs w:val="26"/>
        </w:rPr>
        <w:t>/</w:t>
      </w:r>
      <w:r>
        <w:rPr>
          <w:rFonts w:ascii="Times New Roman" w:hAnsi="Times New Roman" w:cs="Times New Roman" w:eastAsia="Cambria Math"/>
          <w:i w:val="1"/>
          <w:sz w:val="26"/>
          <w:szCs w:val="26"/>
          <w:lang w:val="en-US"/>
        </w:rPr>
        <w:t>S</w:t>
      </w:r>
      <w:r>
        <w:rPr>
          <w:rFonts w:ascii="Times New Roman" w:hAnsi="Times New Roman" w:cs="Times New Roman" w:eastAsia="Cambria Math"/>
          <w:i w:val="1"/>
          <w:sz w:val="26"/>
          <w:szCs w:val="26"/>
        </w:rPr>
        <w:t xml:space="preserve">₀) − </w:t>
      </w:r>
      <w:r>
        <w:rPr>
          <w:rFonts w:ascii="Times New Roman" w:hAnsi="Times New Roman" w:cs="Times New Roman" w:eastAsia="Cambria Math"/>
          <w:i w:val="1"/>
          <w:sz w:val="26"/>
          <w:szCs w:val="26"/>
          <w:lang w:val="en-US"/>
        </w:rPr>
        <w:t>wE</w:t>
      </w:r>
      <w:r>
        <w:rPr>
          <w:rFonts w:ascii="Times New Roman" w:hAnsi="Times New Roman" w:cs="Times New Roman" w:eastAsia="Cambria Math"/>
          <w:i w:val="1"/>
          <w:sz w:val="26"/>
          <w:szCs w:val="26"/>
        </w:rPr>
        <w:t>·(Δ</w:t>
      </w:r>
      <w:r>
        <w:rPr>
          <w:rFonts w:ascii="Times New Roman" w:hAnsi="Times New Roman" w:cs="Times New Roman" w:eastAsia="Cambria Math"/>
          <w:i w:val="1"/>
          <w:sz w:val="26"/>
          <w:szCs w:val="26"/>
          <w:lang w:val="en-US"/>
        </w:rPr>
        <w:t>E</w:t>
      </w:r>
      <w:r>
        <w:rPr>
          <w:rFonts w:ascii="Times New Roman" w:hAnsi="Times New Roman" w:cs="Times New Roman" w:eastAsia="Cambria Math"/>
          <w:i w:val="1"/>
          <w:sz w:val="26"/>
          <w:szCs w:val="26"/>
        </w:rPr>
        <w:t>/</w:t>
      </w:r>
      <w:r>
        <w:rPr>
          <w:rFonts w:ascii="Times New Roman" w:hAnsi="Times New Roman" w:cs="Times New Roman" w:eastAsia="Cambria Math"/>
          <w:i w:val="1"/>
          <w:sz w:val="26"/>
          <w:szCs w:val="26"/>
          <w:lang w:val="en-US"/>
        </w:rPr>
        <w:t>E</w:t>
      </w:r>
      <w:r>
        <w:rPr>
          <w:rFonts w:ascii="Times New Roman" w:hAnsi="Times New Roman" w:cs="Times New Roman" w:eastAsia="Cambria Math"/>
          <w:i w:val="1"/>
          <w:sz w:val="26"/>
          <w:szCs w:val="26"/>
        </w:rPr>
        <w:t>₀) − w</w:t>
      </w:r>
      <w:r>
        <w:rPr>
          <w:rFonts w:ascii="Times New Roman" w:hAnsi="Times New Roman" w:cs="Times New Roman" w:eastAsia="Cambria Math"/>
          <w:i w:val="1"/>
          <w:sz w:val="26"/>
          <w:szCs w:val="26"/>
          <w:vertAlign w:val="subscript"/>
        </w:rPr>
        <w:t>R</w:t>
      </w:r>
      <w:r>
        <w:rPr>
          <w:rFonts w:ascii="Times New Roman" w:hAnsi="Times New Roman" w:cs="Times New Roman" w:eastAsia="Cambria Math"/>
          <w:i w:val="1"/>
          <w:sz w:val="26"/>
          <w:szCs w:val="26"/>
        </w:rPr>
        <w:t>·(R</w:t>
      </w:r>
      <w:r>
        <w:rPr>
          <w:rFonts w:ascii="Times New Roman" w:hAnsi="Times New Roman" w:cs="Times New Roman" w:eastAsia="Cambria Math"/>
          <w:i w:val="1"/>
          <w:sz w:val="26"/>
          <w:szCs w:val="26"/>
          <w:vertAlign w:val="subscript"/>
        </w:rPr>
        <w:t>Σ</w:t>
      </w:r>
      <w:r>
        <w:rPr>
          <w:rFonts w:ascii="Times New Roman" w:hAnsi="Times New Roman" w:cs="Times New Roman" w:eastAsia="Cambria Math"/>
          <w:i w:val="1"/>
          <w:sz w:val="26"/>
          <w:szCs w:val="26"/>
        </w:rPr>
        <w:t>/R₀)→max</w:t>
      </w:r>
      <w:r>
        <w:rPr>
          <w:rFonts w:ascii="Times New Roman" w:hAnsi="Times New Roman" w:cs="Times New Roman"/>
          <w:bCs w:val="1"/>
          <w:sz w:val="26"/>
          <w:szCs w:val="26"/>
        </w:rPr>
        <w:t>,</w:t>
      </w:r>
      <w:r>
        <w:rPr>
          <w:rFonts w:ascii="Times New Roman" w:hAnsi="Times New Roman" w:cs="Times New Roman"/>
          <w:bCs w:val="1"/>
          <w:sz w:val="28"/>
          <w:szCs w:val="28"/>
        </w:rPr>
        <w:t xml:space="preserve"> </w:t>
      </w:r>
      <w:r>
        <w:rPr>
          <w:rFonts w:ascii="Times New Roman" w:hAnsi="Times New Roman" w:cs="Times New Roman"/>
          <w:bCs w:val="1"/>
          <w:sz w:val="28"/>
          <w:szCs w:val="28"/>
          <w:highlight w:val="yellow"/>
        </w:rPr>
        <w:t>(??)</w:t>
      </w:r>
    </w:p>
    <w:p>
      <w:pPr>
        <w:widowControl w:val="0"/>
        <w:spacing w:lineRule="auto" w:line="360" w:after="0" w:beforeAutospacing="0" w:afterAutospacing="0"/>
        <w:ind w:firstLine="709"/>
        <w:jc w:val="both"/>
        <w:rPr>
          <w:rFonts w:ascii="Times New Roman" w:hAnsi="Times New Roman" w:cs="Times New Roman"/>
          <w:bCs w:val="1"/>
          <w:sz w:val="28"/>
          <w:szCs w:val="28"/>
        </w:rPr>
      </w:pPr>
    </w:p>
    <w:p>
      <w:pPr>
        <w:widowControl w:val="0"/>
        <w:spacing w:lineRule="auto" w:line="360" w:after="0" w:beforeAutospacing="0" w:afterAutospacing="0"/>
        <w:ind w:firstLine="709"/>
        <w:jc w:val="both"/>
        <w:rPr>
          <w:rFonts w:ascii="Times New Roman" w:hAnsi="Times New Roman" w:cs="Times New Roman"/>
          <w:bCs w:val="1"/>
          <w:sz w:val="28"/>
          <w:szCs w:val="28"/>
        </w:rPr>
      </w:pPr>
      <w:r>
        <w:rPr>
          <w:rFonts w:ascii="Times New Roman" w:hAnsi="Times New Roman" w:cs="Times New Roman"/>
          <w:bCs w:val="1"/>
          <w:sz w:val="28"/>
          <w:szCs w:val="28"/>
        </w:rPr>
        <w:t>где Y</w:t>
      </w:r>
      <w:r>
        <w:rPr>
          <w:rFonts w:ascii="Times New Roman" w:hAnsi="Times New Roman" w:cs="Times New Roman"/>
          <w:bCs w:val="1"/>
          <w:sz w:val="28"/>
          <w:szCs w:val="28"/>
          <w:vertAlign w:val="subscript"/>
        </w:rPr>
        <w:t>0</w:t>
      </w:r>
      <w:r>
        <w:rPr>
          <w:rFonts w:ascii="Times New Roman" w:hAnsi="Times New Roman" w:cs="Times New Roman"/>
          <w:bCs w:val="1"/>
          <w:sz w:val="28"/>
          <w:szCs w:val="28"/>
        </w:rPr>
        <w:t>, L</w:t>
      </w:r>
      <w:r>
        <w:rPr>
          <w:rFonts w:ascii="Times New Roman" w:hAnsi="Times New Roman" w:cs="Times New Roman"/>
          <w:bCs w:val="1"/>
          <w:sz w:val="28"/>
          <w:szCs w:val="28"/>
          <w:vertAlign w:val="subscript"/>
        </w:rPr>
        <w:t>0</w:t>
      </w:r>
      <w:r>
        <w:rPr>
          <w:rFonts w:ascii="Times New Roman" w:hAnsi="Times New Roman" w:cs="Times New Roman"/>
          <w:bCs w:val="1"/>
          <w:sz w:val="28"/>
          <w:szCs w:val="28"/>
        </w:rPr>
        <w:t>, S</w:t>
      </w:r>
      <w:r>
        <w:rPr>
          <w:rFonts w:ascii="Times New Roman" w:hAnsi="Times New Roman" w:cs="Times New Roman"/>
          <w:bCs w:val="1"/>
          <w:sz w:val="28"/>
          <w:szCs w:val="28"/>
          <w:vertAlign w:val="subscript"/>
        </w:rPr>
        <w:t>0</w:t>
      </w:r>
      <w:r>
        <w:rPr>
          <w:rFonts w:ascii="Times New Roman" w:hAnsi="Times New Roman" w:cs="Times New Roman"/>
          <w:bCs w:val="1"/>
          <w:sz w:val="28"/>
          <w:szCs w:val="28"/>
        </w:rPr>
        <w:t>, E</w:t>
      </w:r>
      <w:r>
        <w:rPr>
          <w:rFonts w:ascii="Times New Roman" w:hAnsi="Times New Roman" w:cs="Times New Roman"/>
          <w:bCs w:val="1"/>
          <w:sz w:val="28"/>
          <w:szCs w:val="28"/>
          <w:vertAlign w:val="subscript"/>
        </w:rPr>
        <w:t>0</w:t>
      </w:r>
      <w:r>
        <w:rPr>
          <w:rFonts w:ascii="Times New Roman" w:hAnsi="Times New Roman" w:cs="Times New Roman"/>
          <w:bCs w:val="1"/>
          <w:sz w:val="28"/>
          <w:szCs w:val="28"/>
        </w:rPr>
        <w:t>, R</w:t>
      </w:r>
      <w:r>
        <w:rPr>
          <w:rFonts w:ascii="Times New Roman" w:hAnsi="Times New Roman" w:cs="Times New Roman"/>
          <w:bCs w:val="1"/>
          <w:sz w:val="28"/>
          <w:szCs w:val="28"/>
          <w:vertAlign w:val="subscript"/>
        </w:rPr>
        <w:t>0</w:t>
      </w:r>
      <w:r>
        <w:rPr>
          <w:rFonts w:ascii="Times New Roman" w:hAnsi="Times New Roman" w:cs="Times New Roman"/>
          <w:bCs w:val="1"/>
          <w:sz w:val="28"/>
          <w:szCs w:val="28"/>
        </w:rPr>
        <w:t xml:space="preserve"> – базовые значения ВДС, занятости, социальной и экологической компонент, риска соотвественно; </w:t>
      </w:r>
    </w:p>
    <w:p>
      <w:pPr>
        <w:widowControl w:val="0"/>
        <w:spacing w:lineRule="auto" w:line="360" w:after="0" w:beforeAutospacing="0" w:afterAutospacing="0"/>
        <w:ind w:firstLine="709"/>
        <w:jc w:val="both"/>
        <w:rPr>
          <w:rFonts w:ascii="Times New Roman" w:hAnsi="Times New Roman" w:cs="Times New Roman"/>
          <w:bCs w:val="1"/>
          <w:sz w:val="28"/>
          <w:szCs w:val="28"/>
        </w:rPr>
      </w:pPr>
      <w:r>
        <w:rPr>
          <w:rFonts w:ascii="Times New Roman" w:hAnsi="Times New Roman" w:cs="Times New Roman"/>
          <w:bCs w:val="1"/>
          <w:sz w:val="28"/>
          <w:szCs w:val="28"/>
        </w:rPr>
        <w:t>w</w:t>
      </w:r>
      <w:r>
        <w:rPr>
          <w:rFonts w:ascii="Times New Roman" w:hAnsi="Times New Roman" w:cs="Times New Roman"/>
          <w:bCs w:val="1"/>
          <w:sz w:val="28"/>
          <w:szCs w:val="28"/>
          <w:vertAlign w:val="subscript"/>
        </w:rPr>
        <w:t>Y</w:t>
      </w:r>
      <w:r>
        <w:rPr>
          <w:rFonts w:ascii="Times New Roman" w:hAnsi="Times New Roman" w:cs="Times New Roman"/>
          <w:bCs w:val="1"/>
          <w:sz w:val="28"/>
          <w:szCs w:val="28"/>
        </w:rPr>
        <w:t>, w</w:t>
      </w:r>
      <w:r>
        <w:rPr>
          <w:rFonts w:ascii="Times New Roman" w:hAnsi="Times New Roman" w:cs="Times New Roman"/>
          <w:bCs w:val="1"/>
          <w:sz w:val="28"/>
          <w:szCs w:val="28"/>
          <w:vertAlign w:val="subscript"/>
        </w:rPr>
        <w:t>L</w:t>
      </w:r>
      <w:r>
        <w:rPr>
          <w:rFonts w:ascii="Times New Roman" w:hAnsi="Times New Roman" w:cs="Times New Roman"/>
          <w:bCs w:val="1"/>
          <w:sz w:val="28"/>
          <w:szCs w:val="28"/>
        </w:rPr>
        <w:t>, w</w:t>
      </w:r>
      <w:r>
        <w:rPr>
          <w:rFonts w:ascii="Times New Roman" w:hAnsi="Times New Roman" w:cs="Times New Roman"/>
          <w:bCs w:val="1"/>
          <w:sz w:val="28"/>
          <w:szCs w:val="28"/>
          <w:vertAlign w:val="subscript"/>
        </w:rPr>
        <w:t>S</w:t>
      </w:r>
      <w:r>
        <w:rPr>
          <w:rFonts w:ascii="Times New Roman" w:hAnsi="Times New Roman" w:cs="Times New Roman"/>
          <w:bCs w:val="1"/>
          <w:sz w:val="28"/>
          <w:szCs w:val="28"/>
        </w:rPr>
        <w:t>, w</w:t>
      </w:r>
      <w:r>
        <w:rPr>
          <w:rFonts w:ascii="Times New Roman" w:hAnsi="Times New Roman" w:cs="Times New Roman"/>
          <w:bCs w:val="1"/>
          <w:sz w:val="28"/>
          <w:szCs w:val="28"/>
          <w:vertAlign w:val="subscript"/>
        </w:rPr>
        <w:t>E</w:t>
      </w:r>
      <w:r>
        <w:rPr>
          <w:rFonts w:ascii="Times New Roman" w:hAnsi="Times New Roman" w:cs="Times New Roman"/>
          <w:bCs w:val="1"/>
          <w:sz w:val="28"/>
          <w:szCs w:val="28"/>
        </w:rPr>
        <w:t>, w</w:t>
      </w:r>
      <w:r>
        <w:rPr>
          <w:rFonts w:ascii="Times New Roman" w:hAnsi="Times New Roman" w:cs="Times New Roman"/>
          <w:bCs w:val="1"/>
          <w:sz w:val="28"/>
          <w:szCs w:val="28"/>
          <w:vertAlign w:val="subscript"/>
        </w:rPr>
        <w:t>R</w:t>
      </w:r>
      <w:r>
        <w:rPr>
          <w:rFonts w:ascii="Times New Roman" w:hAnsi="Times New Roman" w:cs="Times New Roman"/>
          <w:bCs w:val="1"/>
          <w:sz w:val="28"/>
          <w:szCs w:val="28"/>
        </w:rPr>
        <w:t xml:space="preserve"> – весовые коэффициенты, определяемые в рамках сценарной платформенной модели инновационно-инклюзивного развития экономики страны и отражающие приоритеты экономического роста, занятости, социальной инклюзивности, экологической устойчивости и управления рисками.</w:t>
      </w:r>
    </w:p>
    <w:p>
      <w:pPr>
        <w:widowControl w:val="0"/>
        <w:spacing w:lineRule="auto" w:line="360" w:after="0" w:beforeAutospacing="0" w:afterAutospacing="0"/>
        <w:ind w:firstLine="709"/>
        <w:jc w:val="both"/>
        <w:rPr>
          <w:rFonts w:ascii="Times New Roman" w:hAnsi="Times New Roman" w:cs="Times New Roman"/>
          <w:bCs w:val="1"/>
          <w:sz w:val="28"/>
          <w:szCs w:val="28"/>
        </w:rPr>
      </w:pPr>
      <w:r>
        <w:rPr>
          <w:rFonts w:ascii="Times New Roman" w:hAnsi="Times New Roman" w:cs="Times New Roman"/>
          <w:bCs w:val="1"/>
          <w:sz w:val="28"/>
          <w:szCs w:val="28"/>
        </w:rPr>
        <w:t>Для придания модели операционального характера введена система ограничений по каждому кластеру. Обозначим через Land</w:t>
      </w:r>
      <w:r>
        <w:rPr>
          <w:rFonts w:ascii="Times New Roman" w:hAnsi="Times New Roman" w:cs="Times New Roman"/>
          <w:bCs w:val="1"/>
          <w:sz w:val="28"/>
          <w:szCs w:val="28"/>
          <w:vertAlign w:val="subscript"/>
          <w:lang w:val="en-US"/>
        </w:rPr>
        <w:t>i</w:t>
      </w:r>
      <w:r>
        <w:rPr>
          <w:rFonts w:ascii="Times New Roman" w:hAnsi="Times New Roman" w:cs="Times New Roman"/>
          <w:bCs w:val="1"/>
          <w:sz w:val="28"/>
          <w:szCs w:val="28"/>
          <w:vertAlign w:val="subscript"/>
        </w:rPr>
        <w:t xml:space="preserve"> </w:t>
      </w:r>
      <w:r>
        <w:rPr>
          <w:rFonts w:ascii="Times New Roman" w:hAnsi="Times New Roman" w:cs="Times New Roman"/>
          <w:bCs w:val="1"/>
          <w:sz w:val="28"/>
          <w:szCs w:val="28"/>
        </w:rPr>
        <w:t xml:space="preserve">– потребность кластера </w:t>
      </w:r>
      <w:r>
        <w:rPr>
          <w:rFonts w:ascii="Times New Roman" w:hAnsi="Times New Roman" w:cs="Times New Roman"/>
          <w:bCs w:val="1"/>
          <w:sz w:val="28"/>
          <w:szCs w:val="28"/>
          <w:lang w:val="en-US"/>
        </w:rPr>
        <w:t>i</w:t>
      </w:r>
      <w:r>
        <w:rPr>
          <w:rFonts w:ascii="Times New Roman" w:hAnsi="Times New Roman" w:cs="Times New Roman"/>
          <w:bCs w:val="1"/>
          <w:sz w:val="28"/>
          <w:szCs w:val="28"/>
        </w:rPr>
        <w:t xml:space="preserve"> в земельных ресурсах, En</w:t>
      </w:r>
      <w:r>
        <w:rPr>
          <w:rFonts w:ascii="Times New Roman" w:hAnsi="Times New Roman" w:cs="Times New Roman"/>
          <w:bCs w:val="1"/>
          <w:sz w:val="28"/>
          <w:szCs w:val="28"/>
          <w:vertAlign w:val="subscript"/>
          <w:lang w:val="en-US"/>
        </w:rPr>
        <w:t>i</w:t>
      </w:r>
      <w:r>
        <w:rPr>
          <w:rFonts w:ascii="Times New Roman" w:hAnsi="Times New Roman" w:cs="Times New Roman"/>
          <w:bCs w:val="1"/>
          <w:sz w:val="28"/>
          <w:szCs w:val="28"/>
        </w:rPr>
        <w:t>– его потребность в энергии, HR</w:t>
      </w:r>
      <w:r>
        <w:rPr>
          <w:rFonts w:ascii="Times New Roman" w:hAnsi="Times New Roman" w:cs="Times New Roman"/>
          <w:bCs w:val="1"/>
          <w:sz w:val="28"/>
          <w:szCs w:val="28"/>
          <w:vertAlign w:val="subscript"/>
          <w:lang w:val="en-US"/>
        </w:rPr>
        <w:t>i</w:t>
      </w:r>
      <w:r>
        <w:rPr>
          <w:rFonts w:ascii="Times New Roman" w:hAnsi="Times New Roman" w:cs="Times New Roman"/>
          <w:bCs w:val="1"/>
          <w:sz w:val="28"/>
          <w:szCs w:val="28"/>
          <w:vertAlign w:val="subscript"/>
        </w:rPr>
        <w:t xml:space="preserve"> </w:t>
      </w:r>
      <w:r>
        <w:rPr>
          <w:rFonts w:ascii="Times New Roman" w:hAnsi="Times New Roman" w:cs="Times New Roman"/>
          <w:bCs w:val="1"/>
          <w:sz w:val="28"/>
          <w:szCs w:val="28"/>
        </w:rPr>
        <w:t xml:space="preserve">– потребность в человеческом капитале (численности и квалификации кадров), </w:t>
      </w:r>
      <m:oMathPara xmlns:m="http://schemas.openxmlformats.org/officeDocument/2006/math">
        <m:oMath>
          <m:r>
            <m:rPr>
              <m:scr m:val="roman"/>
              <m:sty m:val="i"/>
            </m:rPr>
            <m:t>С</m:t>
          </m:r>
          <m:r>
            <m:rPr>
              <m:scr m:val="roman"/>
              <m:sty m:val="i"/>
            </m:rPr>
            <m:t>APEX</m:t>
          </m:r>
          <m:r>
            <m:rPr>
              <m:scr m:val="roman"/>
              <m:sty m:val="p"/>
            </m:rPr>
            <m:t>i</m:t>
          </m:r>
        </m:oMath>
      </m:oMathPara>
      <w:r>
        <w:rPr>
          <w:rFonts w:ascii="Times New Roman" w:hAnsi="Times New Roman" w:cs="Times New Roman"/>
          <w:bCs w:val="1"/>
          <w:sz w:val="28"/>
          <w:szCs w:val="28"/>
        </w:rPr>
        <w:t xml:space="preserve"> – инвестиционные вложения, OPEX</w:t>
      </w:r>
      <w:r>
        <w:rPr>
          <w:rFonts w:ascii="Times New Roman" w:hAnsi="Times New Roman" w:cs="Times New Roman"/>
          <w:bCs w:val="1"/>
          <w:sz w:val="28"/>
          <w:szCs w:val="28"/>
          <w:vertAlign w:val="subscript"/>
          <w:lang w:val="en-US"/>
        </w:rPr>
        <w:t>i</w:t>
      </w:r>
      <w:r>
        <w:rPr>
          <w:rFonts w:ascii="Times New Roman" w:hAnsi="Times New Roman" w:cs="Times New Roman"/>
          <w:bCs w:val="1"/>
          <w:sz w:val="28"/>
          <w:szCs w:val="28"/>
          <w:vertAlign w:val="subscript"/>
        </w:rPr>
        <w:t xml:space="preserve"> </w:t>
      </w:r>
      <w:r>
        <w:rPr>
          <w:rFonts w:ascii="Times New Roman" w:hAnsi="Times New Roman" w:cs="Times New Roman"/>
          <w:bCs w:val="1"/>
          <w:sz w:val="28"/>
          <w:szCs w:val="28"/>
        </w:rPr>
        <w:t>– ежегодные эксплуатационные расходы. Тогда базовые ресурсные ограничения по каждому кластеру имеют вид:</w:t>
      </w:r>
    </w:p>
    <w:p>
      <w:pPr>
        <w:widowControl w:val="0"/>
        <w:spacing w:lineRule="auto" w:line="360" w:after="0" w:beforeAutospacing="0" w:afterAutospacing="0"/>
        <w:ind w:firstLine="709"/>
        <w:jc w:val="center"/>
        <w:rPr>
          <w:rFonts w:ascii="Times New Roman" w:hAnsi="Times New Roman" w:cs="Times New Roman"/>
          <w:bCs w:val="1"/>
          <w:sz w:val="28"/>
          <w:szCs w:val="28"/>
        </w:rPr>
      </w:pPr>
    </w:p>
    <w:p>
      <w:pPr>
        <w:widowControl w:val="0"/>
        <w:tabs>
          <w:tab w:val="center" w:pos="5315" w:leader="none"/>
          <w:tab w:val="right" w:pos="9922" w:leader="none"/>
        </w:tabs>
        <w:spacing w:lineRule="auto" w:line="360" w:after="0" w:beforeAutospacing="0" w:afterAutospacing="0"/>
        <w:ind w:firstLine="709"/>
        <w:rPr>
          <w:rFonts w:ascii="Times New Roman" w:hAnsi="Times New Roman" w:cs="Times New Roman"/>
          <w:bCs w:val="1"/>
          <w:sz w:val="28"/>
          <w:szCs w:val="28"/>
        </w:rPr>
      </w:pPr>
      <w:r>
        <w:rPr>
          <w:rFonts w:ascii="Times New Roman" w:hAnsi="Times New Roman" w:cs="Times New Roman"/>
          <w:bCs w:val="1"/>
          <w:sz w:val="28"/>
          <w:szCs w:val="28"/>
        </w:rPr>
        <w:tab/>
      </w:r>
      <w:r>
        <w:rPr>
          <w:rFonts w:ascii="Times New Roman" w:hAnsi="Times New Roman" w:cs="Times New Roman"/>
          <w:i w:val="1"/>
          <w:bCs w:val="1"/>
          <w:sz w:val="28"/>
          <w:szCs w:val="28"/>
        </w:rPr>
        <w:t xml:space="preserve">0 ≤ </w:t>
      </w:r>
      <w:r>
        <w:rPr>
          <w:rFonts w:ascii="Times New Roman" w:hAnsi="Times New Roman" w:cs="Times New Roman"/>
          <w:i w:val="1"/>
          <w:bCs w:val="1"/>
          <w:sz w:val="28"/>
          <w:szCs w:val="28"/>
          <w:lang w:val="en-GB"/>
        </w:rPr>
        <w:t>x</w:t>
      </w:r>
      <w:r>
        <w:rPr>
          <w:rFonts w:ascii="Times New Roman" w:hAnsi="Times New Roman" w:cs="Times New Roman"/>
          <w:i w:val="1"/>
          <w:bCs w:val="1"/>
          <w:sz w:val="28"/>
          <w:szCs w:val="28"/>
          <w:vertAlign w:val="subscript"/>
          <w:lang w:val="en-US"/>
        </w:rPr>
        <w:t>i</w:t>
      </w:r>
      <w:r>
        <w:rPr>
          <w:rFonts w:ascii="Times New Roman" w:hAnsi="Times New Roman" w:cs="Times New Roman"/>
          <w:i w:val="1"/>
          <w:bCs w:val="1"/>
          <w:sz w:val="28"/>
          <w:szCs w:val="28"/>
          <w:vertAlign w:val="subscript"/>
        </w:rPr>
        <w:t xml:space="preserve"> </w:t>
      </w:r>
      <w:r>
        <w:rPr>
          <w:rFonts w:ascii="Times New Roman" w:hAnsi="Times New Roman" w:cs="Times New Roman"/>
          <w:i w:val="1"/>
          <w:bCs w:val="1"/>
          <w:sz w:val="28"/>
          <w:szCs w:val="28"/>
        </w:rPr>
        <w:t>≤ 1</w:t>
      </w:r>
      <w:r>
        <w:rPr>
          <w:rFonts w:ascii="Times New Roman" w:hAnsi="Times New Roman" w:cs="Times New Roman"/>
          <w:bCs w:val="1"/>
          <w:sz w:val="28"/>
          <w:szCs w:val="28"/>
        </w:rPr>
        <w:t xml:space="preserve">,   </w:t>
        <w:tab/>
      </w:r>
      <w:r>
        <w:rPr>
          <w:rFonts w:ascii="Times New Roman" w:hAnsi="Times New Roman" w:cs="Times New Roman"/>
          <w:bCs w:val="1"/>
          <w:sz w:val="28"/>
          <w:szCs w:val="28"/>
          <w:highlight w:val="yellow"/>
        </w:rPr>
        <w:t>(??)</w:t>
      </w:r>
    </w:p>
    <w:p>
      <w:pPr>
        <w:widowControl w:val="0"/>
        <w:tabs>
          <w:tab w:val="center" w:pos="5315" w:leader="none"/>
          <w:tab w:val="right" w:pos="9922" w:leader="none"/>
        </w:tabs>
        <w:spacing w:lineRule="auto" w:line="360" w:after="0" w:beforeAutospacing="0" w:afterAutospacing="0"/>
        <w:ind w:firstLine="709"/>
        <w:rPr>
          <w:rFonts w:ascii="Times New Roman" w:hAnsi="Times New Roman" w:cs="Times New Roman"/>
          <w:bCs w:val="1"/>
          <w:sz w:val="28"/>
          <w:szCs w:val="28"/>
        </w:rPr>
      </w:pPr>
      <w:r>
        <w:rPr>
          <w:rFonts w:ascii="Times New Roman" w:hAnsi="Times New Roman" w:cs="Times New Roman"/>
          <w:bCs w:val="1"/>
          <w:sz w:val="28"/>
          <w:szCs w:val="28"/>
        </w:rPr>
        <w:tab/>
      </w:r>
      <w:r>
        <w:rPr>
          <w:rFonts w:ascii="Times New Roman" w:hAnsi="Times New Roman" w:cs="Times New Roman"/>
          <w:i w:val="1"/>
          <w:bCs w:val="1"/>
          <w:sz w:val="28"/>
          <w:szCs w:val="28"/>
          <w:lang w:val="en-US"/>
        </w:rPr>
        <w:t>x</w:t>
      </w:r>
      <w:r>
        <w:rPr>
          <w:rFonts w:ascii="Times New Roman" w:hAnsi="Times New Roman" w:cs="Times New Roman"/>
          <w:i w:val="1"/>
          <w:bCs w:val="1"/>
          <w:sz w:val="28"/>
          <w:szCs w:val="28"/>
          <w:vertAlign w:val="subscript"/>
          <w:lang w:val="en-US"/>
        </w:rPr>
        <w:t>i</w:t>
      </w:r>
      <w:r>
        <w:rPr>
          <w:rFonts w:ascii="Times New Roman" w:hAnsi="Times New Roman" w:cs="Times New Roman"/>
          <w:bCs w:val="1"/>
          <w:sz w:val="28"/>
          <w:szCs w:val="28"/>
        </w:rPr>
        <w:t xml:space="preserve">· </w:t>
      </w:r>
      <m:oMathPara xmlns:m="http://schemas.openxmlformats.org/officeDocument/2006/math">
        <m:oMath>
          <m:r>
            <m:rPr>
              <m:scr m:val="roman"/>
              <m:sty m:val="i"/>
            </m:rPr>
            <m:t>С</m:t>
          </m:r>
          <m:r>
            <m:rPr>
              <m:scr m:val="roman"/>
              <m:sty m:val="i"/>
            </m:rPr>
            <m:t>APEX</m:t>
          </m:r>
        </m:oMath>
      </m:oMathPara>
      <w:r>
        <w:rPr>
          <w:rFonts w:ascii="Times New Roman" w:hAnsi="Times New Roman" w:cs="Times New Roman"/>
          <w:bCs w:val="1"/>
          <w:sz w:val="28"/>
          <w:szCs w:val="28"/>
          <w:vertAlign w:val="subscript"/>
        </w:rPr>
        <w:t xml:space="preserve"> </w:t>
      </w:r>
      <w:r>
        <w:rPr>
          <w:rFonts w:ascii="Times New Roman" w:hAnsi="Times New Roman" w:cs="Times New Roman"/>
          <w:bCs w:val="1"/>
          <w:sz w:val="28"/>
          <w:szCs w:val="28"/>
          <w:vertAlign w:val="subscript"/>
          <w:lang w:val="en-US"/>
        </w:rPr>
        <w:t>i</w:t>
      </w:r>
      <w:r>
        <w:rPr>
          <w:rFonts w:ascii="Times New Roman" w:hAnsi="Times New Roman" w:cs="Times New Roman"/>
          <w:bCs w:val="1"/>
          <w:sz w:val="28"/>
          <w:szCs w:val="28"/>
          <w:vertAlign w:val="subscript"/>
        </w:rPr>
        <w:t xml:space="preserve"> </w:t>
      </w:r>
      <w:r>
        <w:rPr>
          <w:rFonts w:ascii="Times New Roman" w:hAnsi="Times New Roman" w:cs="Times New Roman"/>
          <w:bCs w:val="1"/>
          <w:sz w:val="28"/>
          <w:szCs w:val="28"/>
        </w:rPr>
        <w:t xml:space="preserve">≤ </w:t>
      </w:r>
      <m:oMathPara xmlns:m="http://schemas.openxmlformats.org/officeDocument/2006/math">
        <m:oMath>
          <m:r>
            <m:rPr>
              <m:scr m:val="roman"/>
              <m:sty m:val="i"/>
            </m:rPr>
            <m:t>С</m:t>
          </m:r>
          <m:r>
            <m:rPr>
              <m:scr m:val="roman"/>
              <m:sty m:val="i"/>
            </m:rPr>
            <m:t>APEX</m:t>
          </m:r>
        </m:oMath>
      </m:oMathPara>
      <w:r>
        <w:rPr>
          <w:rFonts w:ascii="Times New Roman" w:hAnsi="Times New Roman" w:cs="Times New Roman"/>
          <w:bCs w:val="1"/>
          <w:sz w:val="28"/>
          <w:szCs w:val="28"/>
          <w:vertAlign w:val="subscript"/>
        </w:rPr>
        <w:t xml:space="preserve"> </w:t>
      </w:r>
      <w:r>
        <w:rPr>
          <w:rFonts w:ascii="Times New Roman" w:hAnsi="Times New Roman" w:cs="Times New Roman"/>
          <w:bCs w:val="1"/>
          <w:sz w:val="28"/>
          <w:szCs w:val="28"/>
          <w:vertAlign w:val="subscript"/>
          <w:lang w:val="en-US"/>
        </w:rPr>
        <w:t>i</w:t>
      </w:r>
      <w:r>
        <w:rPr>
          <w:rFonts w:ascii="Times New Roman" w:hAnsi="Times New Roman" w:cs="Times New Roman"/>
          <w:bCs w:val="1"/>
          <w:sz w:val="28"/>
          <w:szCs w:val="28"/>
          <w:vertAlign w:val="superscript"/>
          <w:lang w:val="en-US"/>
        </w:rPr>
        <w:t>max</w:t>
      </w:r>
      <w:r>
        <w:rPr>
          <w:rFonts w:ascii="Times New Roman" w:hAnsi="Times New Roman" w:cs="Times New Roman"/>
          <w:bCs w:val="1"/>
          <w:sz w:val="28"/>
          <w:szCs w:val="28"/>
        </w:rPr>
        <w:t xml:space="preserve">,   при этом </w:t>
      </w:r>
      <m:oMathPara xmlns:m="http://schemas.openxmlformats.org/officeDocument/2006/math">
        <m:oMath>
          <m:nary>
            <m:naryPr>
              <m:ctrlPr>
                <w:rPr>
                  <w:rFonts w:ascii="Cambria Math" w:hAnsi="Cambria Math" w:cs="Times New Roman"/>
                  <w:i w:val="1"/>
                  <w:bCs w:val="1"/>
                  <w:sz w:val="28"/>
                  <w:szCs w:val="28"/>
                </w:rPr>
              </m:ctrlPr>
              <m:chr m:val="∑"/>
              <m:limLoc m:val="undOvr"/>
            </m:naryPr>
            <m:sub>
              <m:argPr>
                <m:argSz m:val="0"/>
              </m:argPr>
              <m:r>
                <m:rPr>
                  <m:scr m:val="roman"/>
                  <m:sty m:val="i"/>
                </m:rPr>
                <m:t>i=1</m:t>
              </m:r>
            </m:sub>
            <m:sup>
              <m:argPr>
                <m:argSz m:val="0"/>
              </m:argPr>
              <m:r>
                <m:rPr>
                  <m:scr m:val="roman"/>
                  <m:sty m:val="i"/>
                </m:rPr>
                <m:t>9</m:t>
              </m:r>
            </m:sup>
            <m:e>
              <m:argPr>
                <m:argSz m:val="0"/>
              </m:argPr>
              <m:sSub>
                <m:sSubPr>
                  <m:ctrlPr>
                    <w:rPr>
                      <w:rFonts w:ascii="Cambria Math" w:hAnsi="Cambria Math" w:cs="Times New Roman"/>
                      <w:sz w:val="24"/>
                      <w:szCs w:val="24"/>
                    </w:rPr>
                  </m:ctrlPr>
                </m:sSubPr>
                <m:e>
                  <m:argPr>
                    <m:argSz m:val="0"/>
                  </m:argPr>
                  <m:r>
                    <m:rPr>
                      <m:scr m:val="roman"/>
                      <m:sty m:val="i"/>
                    </m:rPr>
                    <m:t>x</m:t>
                  </m:r>
                </m:e>
                <m:sub>
                  <m:argPr>
                    <m:argSz m:val="0"/>
                  </m:argPr>
                  <m:r>
                    <m:rPr>
                      <m:scr m:val="roman"/>
                      <m:sty m:val="i"/>
                    </m:rPr>
                    <m:t>i</m:t>
                  </m:r>
                </m:sub>
              </m:sSub>
              <m:r>
                <m:rPr>
                  <m:scr m:val="roman"/>
                  <m:sty m:val="p"/>
                </m:rPr>
                <m:t>·</m:t>
              </m:r>
              <m:r>
                <m:rPr>
                  <m:scr m:val="roman"/>
                  <m:sty m:val="i"/>
                </m:rPr>
                <m:t>С</m:t>
              </m:r>
              <m:r>
                <m:rPr>
                  <m:scr m:val="roman"/>
                  <m:sty m:val="i"/>
                </m:rPr>
                <m:t>APEX</m:t>
              </m:r>
              <m:r>
                <m:rPr>
                  <m:scr m:val="roman"/>
                  <m:sty m:val="p"/>
                </m:rPr>
                <m:t>i</m:t>
              </m:r>
            </m:e>
          </m:nary>
        </m:oMath>
      </m:oMathPara>
      <w:r>
        <w:rPr>
          <w:rFonts w:ascii="Times New Roman" w:hAnsi="Times New Roman" w:cs="Times New Roman" w:eastAsiaTheme="minorEastAsia"/>
          <w:bCs w:val="1"/>
          <w:sz w:val="28"/>
          <w:szCs w:val="28"/>
        </w:rPr>
        <w:t>≤</w:t>
      </w:r>
      <w:r>
        <w:rPr>
          <w:rFonts w:ascii="Times New Roman" w:hAnsi="Times New Roman" w:cs="Times New Roman" w:eastAsiaTheme="minorEastAsia"/>
          <w:i w:val="1"/>
          <w:bCs w:val="1"/>
          <w:sz w:val="28"/>
          <w:szCs w:val="28"/>
        </w:rPr>
        <w:t>В</w:t>
      </w:r>
      <w:r>
        <w:rPr>
          <w:rFonts w:ascii="Times New Roman" w:hAnsi="Times New Roman" w:cs="Times New Roman"/>
          <w:bCs w:val="1"/>
          <w:sz w:val="28"/>
          <w:szCs w:val="28"/>
        </w:rPr>
        <w:tab/>
      </w:r>
      <w:r>
        <w:rPr>
          <w:rFonts w:ascii="Times New Roman" w:hAnsi="Times New Roman" w:cs="Times New Roman"/>
          <w:bCs w:val="1"/>
          <w:sz w:val="28"/>
          <w:szCs w:val="28"/>
          <w:highlight w:val="yellow"/>
        </w:rPr>
        <w:t>(??)</w:t>
      </w:r>
    </w:p>
    <w:p>
      <w:pPr>
        <w:widowControl w:val="0"/>
        <w:tabs>
          <w:tab w:val="center" w:pos="5315" w:leader="none"/>
          <w:tab w:val="right" w:pos="9922" w:leader="none"/>
        </w:tabs>
        <w:spacing w:lineRule="auto" w:line="360" w:after="0" w:beforeAutospacing="0" w:afterAutospacing="0"/>
        <w:ind w:firstLine="709"/>
        <w:rPr>
          <w:rFonts w:ascii="Times New Roman" w:hAnsi="Times New Roman" w:cs="Times New Roman"/>
          <w:bCs w:val="1"/>
          <w:sz w:val="28"/>
          <w:szCs w:val="28"/>
          <w:lang w:val="en-US"/>
        </w:rPr>
      </w:pPr>
      <w:r>
        <w:rPr>
          <w:rFonts w:ascii="Times New Roman" w:hAnsi="Times New Roman" w:cs="Times New Roman"/>
          <w:bCs w:val="1"/>
          <w:sz w:val="28"/>
          <w:szCs w:val="28"/>
        </w:rPr>
        <w:tab/>
      </w:r>
      <w:r>
        <w:rPr>
          <w:rFonts w:ascii="Times New Roman" w:hAnsi="Times New Roman" w:cs="Times New Roman"/>
          <w:i w:val="1"/>
          <w:bCs w:val="1"/>
          <w:sz w:val="28"/>
          <w:szCs w:val="28"/>
          <w:lang w:val="en-US"/>
        </w:rPr>
        <w:t>x</w:t>
      </w:r>
      <w:r>
        <w:rPr>
          <w:rFonts w:ascii="Times New Roman" w:hAnsi="Times New Roman" w:cs="Times New Roman"/>
          <w:i w:val="1"/>
          <w:bCs w:val="1"/>
          <w:sz w:val="28"/>
          <w:szCs w:val="28"/>
          <w:vertAlign w:val="subscript"/>
          <w:lang w:val="en-US"/>
        </w:rPr>
        <w:t>i</w:t>
      </w:r>
      <w:r>
        <w:rPr>
          <w:rFonts w:ascii="Times New Roman" w:hAnsi="Times New Roman" w:cs="Times New Roman"/>
          <w:i w:val="1"/>
          <w:bCs w:val="1"/>
          <w:sz w:val="28"/>
          <w:szCs w:val="28"/>
          <w:lang w:val="en-US"/>
        </w:rPr>
        <w:t>· Land</w:t>
      </w:r>
      <w:r>
        <w:rPr>
          <w:rFonts w:ascii="Times New Roman" w:hAnsi="Times New Roman" w:cs="Times New Roman"/>
          <w:i w:val="1"/>
          <w:bCs w:val="1"/>
          <w:sz w:val="28"/>
          <w:szCs w:val="28"/>
          <w:vertAlign w:val="subscript"/>
          <w:lang w:val="en-US"/>
        </w:rPr>
        <w:t>i</w:t>
      </w:r>
      <w:r>
        <w:rPr>
          <w:rFonts w:ascii="Times New Roman" w:hAnsi="Times New Roman" w:cs="Times New Roman"/>
          <w:i w:val="1"/>
          <w:bCs w:val="1"/>
          <w:sz w:val="28"/>
          <w:szCs w:val="28"/>
          <w:lang w:val="en-US"/>
        </w:rPr>
        <w:t>≤ Land</w:t>
      </w:r>
      <w:r>
        <w:rPr>
          <w:rFonts w:ascii="Times New Roman" w:hAnsi="Times New Roman" w:cs="Times New Roman"/>
          <w:i w:val="1"/>
          <w:bCs w:val="1"/>
          <w:sz w:val="28"/>
          <w:szCs w:val="28"/>
          <w:vertAlign w:val="subscript"/>
          <w:lang w:val="en-US"/>
        </w:rPr>
        <w:t>i</w:t>
      </w:r>
      <w:r>
        <w:rPr>
          <w:rFonts w:ascii="Times New Roman" w:hAnsi="Times New Roman" w:cs="Times New Roman"/>
          <w:i w:val="1"/>
          <w:bCs w:val="1"/>
          <w:sz w:val="28"/>
          <w:szCs w:val="28"/>
          <w:vertAlign w:val="superscript"/>
          <w:lang w:val="en-US"/>
        </w:rPr>
        <w:t>max</w:t>
      </w:r>
      <w:r>
        <w:rPr>
          <w:rFonts w:ascii="Times New Roman" w:hAnsi="Times New Roman" w:cs="Times New Roman"/>
          <w:bCs w:val="1"/>
          <w:sz w:val="28"/>
          <w:szCs w:val="28"/>
          <w:lang w:val="en-US"/>
        </w:rPr>
        <w:t xml:space="preserve">,   </w:t>
        <w:tab/>
      </w:r>
      <w:r>
        <w:rPr>
          <w:rFonts w:ascii="Times New Roman" w:hAnsi="Times New Roman" w:cs="Times New Roman"/>
          <w:bCs w:val="1"/>
          <w:sz w:val="28"/>
          <w:szCs w:val="28"/>
          <w:highlight w:val="yellow"/>
          <w:lang w:val="en-US"/>
        </w:rPr>
        <w:t>(??)</w:t>
      </w:r>
    </w:p>
    <w:p>
      <w:pPr>
        <w:widowControl w:val="0"/>
        <w:tabs>
          <w:tab w:val="center" w:pos="5315" w:leader="none"/>
          <w:tab w:val="right" w:pos="9922" w:leader="none"/>
        </w:tabs>
        <w:spacing w:lineRule="auto" w:line="360" w:after="0" w:beforeAutospacing="0" w:afterAutospacing="0"/>
        <w:ind w:firstLine="709"/>
        <w:rPr>
          <w:rFonts w:ascii="Times New Roman" w:hAnsi="Times New Roman" w:cs="Times New Roman"/>
          <w:bCs w:val="1"/>
          <w:sz w:val="28"/>
          <w:szCs w:val="28"/>
          <w:lang w:val="fr-FR"/>
        </w:rPr>
      </w:pPr>
      <w:r>
        <w:rPr>
          <w:rFonts w:ascii="Times New Roman" w:hAnsi="Times New Roman" w:cs="Times New Roman"/>
          <w:bCs w:val="1"/>
          <w:sz w:val="28"/>
          <w:szCs w:val="28"/>
          <w:lang w:val="en-US"/>
        </w:rPr>
        <w:tab/>
      </w:r>
      <w:r>
        <w:rPr>
          <w:rFonts w:ascii="Times New Roman" w:hAnsi="Times New Roman" w:cs="Times New Roman"/>
          <w:i w:val="1"/>
          <w:bCs w:val="1"/>
          <w:sz w:val="28"/>
          <w:szCs w:val="28"/>
          <w:lang w:val="fr-FR"/>
        </w:rPr>
        <w:t>x</w:t>
      </w:r>
      <w:r>
        <w:rPr>
          <w:rFonts w:ascii="Times New Roman" w:hAnsi="Times New Roman" w:cs="Times New Roman"/>
          <w:i w:val="1"/>
          <w:bCs w:val="1"/>
          <w:sz w:val="28"/>
          <w:szCs w:val="28"/>
          <w:vertAlign w:val="subscript"/>
          <w:lang w:val="en-US"/>
        </w:rPr>
        <w:t>i</w:t>
      </w:r>
      <w:r>
        <w:rPr>
          <w:rFonts w:ascii="Times New Roman" w:hAnsi="Times New Roman" w:cs="Times New Roman"/>
          <w:i w:val="1"/>
          <w:bCs w:val="1"/>
          <w:sz w:val="28"/>
          <w:szCs w:val="28"/>
          <w:lang w:val="fr-FR"/>
        </w:rPr>
        <w:t>· En</w:t>
      </w:r>
      <w:r>
        <w:rPr>
          <w:rFonts w:ascii="Times New Roman" w:hAnsi="Times New Roman" w:cs="Times New Roman"/>
          <w:i w:val="1"/>
          <w:bCs w:val="1"/>
          <w:sz w:val="28"/>
          <w:szCs w:val="28"/>
          <w:vertAlign w:val="subscript"/>
          <w:lang w:val="en-US"/>
        </w:rPr>
        <w:t xml:space="preserve">i </w:t>
      </w:r>
      <w:r>
        <w:rPr>
          <w:rFonts w:ascii="Times New Roman" w:hAnsi="Times New Roman" w:cs="Times New Roman"/>
          <w:i w:val="1"/>
          <w:bCs w:val="1"/>
          <w:sz w:val="28"/>
          <w:szCs w:val="28"/>
          <w:lang w:val="fr-FR"/>
        </w:rPr>
        <w:t>≤ En</w:t>
      </w:r>
      <w:r>
        <w:rPr>
          <w:rFonts w:ascii="Times New Roman" w:hAnsi="Times New Roman" w:cs="Times New Roman"/>
          <w:i w:val="1"/>
          <w:bCs w:val="1"/>
          <w:sz w:val="28"/>
          <w:szCs w:val="28"/>
          <w:vertAlign w:val="subscript"/>
          <w:lang w:val="en-US"/>
        </w:rPr>
        <w:t>i</w:t>
      </w:r>
      <w:r>
        <w:rPr>
          <w:rFonts w:ascii="Times New Roman" w:hAnsi="Times New Roman" w:cs="Times New Roman"/>
          <w:i w:val="1"/>
          <w:bCs w:val="1"/>
          <w:sz w:val="28"/>
          <w:szCs w:val="28"/>
          <w:vertAlign w:val="superscript"/>
          <w:lang w:val="fr-FR"/>
        </w:rPr>
        <w:t>max</w:t>
      </w:r>
      <w:r>
        <w:rPr>
          <w:rFonts w:ascii="Times New Roman" w:hAnsi="Times New Roman" w:cs="Times New Roman"/>
          <w:bCs w:val="1"/>
          <w:sz w:val="28"/>
          <w:szCs w:val="28"/>
          <w:lang w:val="fr-FR"/>
        </w:rPr>
        <w:t xml:space="preserve">,   </w:t>
        <w:tab/>
      </w:r>
      <w:r>
        <w:rPr>
          <w:rFonts w:ascii="Times New Roman" w:hAnsi="Times New Roman" w:cs="Times New Roman"/>
          <w:bCs w:val="1"/>
          <w:sz w:val="28"/>
          <w:szCs w:val="28"/>
          <w:highlight w:val="yellow"/>
          <w:lang w:val="fr-FR"/>
        </w:rPr>
        <w:t>(??)</w:t>
      </w:r>
    </w:p>
    <w:p>
      <w:pPr>
        <w:widowControl w:val="0"/>
        <w:tabs>
          <w:tab w:val="center" w:pos="5315" w:leader="none"/>
          <w:tab w:val="right" w:pos="9922" w:leader="none"/>
        </w:tabs>
        <w:spacing w:lineRule="auto" w:line="360" w:after="0" w:beforeAutospacing="0" w:afterAutospacing="0"/>
        <w:ind w:firstLine="709"/>
        <w:rPr>
          <w:rFonts w:ascii="Times New Roman" w:hAnsi="Times New Roman" w:cs="Times New Roman"/>
          <w:bCs w:val="1"/>
          <w:sz w:val="28"/>
          <w:szCs w:val="28"/>
          <w:lang w:val="fr-FR"/>
        </w:rPr>
      </w:pPr>
      <w:r>
        <w:rPr>
          <w:rFonts w:ascii="Times New Roman" w:hAnsi="Times New Roman" w:cs="Times New Roman"/>
          <w:bCs w:val="1"/>
          <w:sz w:val="28"/>
          <w:szCs w:val="28"/>
          <w:lang w:val="fr-FR"/>
        </w:rPr>
        <w:tab/>
      </w:r>
      <w:r>
        <w:rPr>
          <w:rFonts w:ascii="Times New Roman" w:hAnsi="Times New Roman" w:cs="Times New Roman"/>
          <w:i w:val="1"/>
          <w:bCs w:val="1"/>
          <w:sz w:val="28"/>
          <w:szCs w:val="28"/>
          <w:lang w:val="fr-FR"/>
        </w:rPr>
        <w:t>x</w:t>
      </w:r>
      <w:r>
        <w:rPr>
          <w:rFonts w:ascii="Times New Roman" w:hAnsi="Times New Roman" w:cs="Times New Roman"/>
          <w:i w:val="1"/>
          <w:bCs w:val="1"/>
          <w:sz w:val="28"/>
          <w:szCs w:val="28"/>
          <w:vertAlign w:val="subscript"/>
          <w:lang w:val="fr-FR"/>
        </w:rPr>
        <w:t>i</w:t>
      </w:r>
      <w:r>
        <w:rPr>
          <w:rFonts w:ascii="Times New Roman" w:hAnsi="Times New Roman" w:cs="Times New Roman"/>
          <w:i w:val="1"/>
          <w:bCs w:val="1"/>
          <w:sz w:val="28"/>
          <w:szCs w:val="28"/>
          <w:lang w:val="fr-FR"/>
        </w:rPr>
        <w:t>· HR</w:t>
      </w:r>
      <w:r>
        <w:rPr>
          <w:rFonts w:ascii="Times New Roman" w:hAnsi="Times New Roman" w:cs="Times New Roman"/>
          <w:i w:val="1"/>
          <w:bCs w:val="1"/>
          <w:sz w:val="28"/>
          <w:szCs w:val="28"/>
          <w:vertAlign w:val="subscript"/>
          <w:lang w:val="fr-FR"/>
        </w:rPr>
        <w:t xml:space="preserve">i </w:t>
      </w:r>
      <w:r>
        <w:rPr>
          <w:rFonts w:ascii="Times New Roman" w:hAnsi="Times New Roman" w:cs="Times New Roman"/>
          <w:i w:val="1"/>
          <w:bCs w:val="1"/>
          <w:sz w:val="28"/>
          <w:szCs w:val="28"/>
          <w:lang w:val="fr-FR"/>
        </w:rPr>
        <w:t>≤ HR</w:t>
      </w:r>
      <w:r>
        <w:rPr>
          <w:rFonts w:ascii="Times New Roman" w:hAnsi="Times New Roman" w:cs="Times New Roman"/>
          <w:i w:val="1"/>
          <w:bCs w:val="1"/>
          <w:sz w:val="28"/>
          <w:szCs w:val="28"/>
          <w:vertAlign w:val="subscript"/>
          <w:lang w:val="fr-FR"/>
        </w:rPr>
        <w:t>i</w:t>
      </w:r>
      <w:r>
        <w:rPr>
          <w:rFonts w:ascii="Times New Roman" w:hAnsi="Times New Roman" w:cs="Times New Roman"/>
          <w:i w:val="1"/>
          <w:bCs w:val="1"/>
          <w:sz w:val="28"/>
          <w:szCs w:val="28"/>
          <w:vertAlign w:val="superscript"/>
          <w:lang w:val="fr-FR"/>
        </w:rPr>
        <w:t>max</w:t>
      </w:r>
      <w:r>
        <w:rPr>
          <w:rFonts w:ascii="Times New Roman" w:hAnsi="Times New Roman" w:cs="Times New Roman"/>
          <w:bCs w:val="1"/>
          <w:sz w:val="28"/>
          <w:szCs w:val="28"/>
          <w:lang w:val="fr-FR"/>
        </w:rPr>
        <w:t xml:space="preserve">,   </w:t>
        <w:tab/>
      </w:r>
      <w:r>
        <w:rPr>
          <w:rFonts w:ascii="Times New Roman" w:hAnsi="Times New Roman" w:cs="Times New Roman"/>
          <w:bCs w:val="1"/>
          <w:sz w:val="28"/>
          <w:szCs w:val="28"/>
          <w:highlight w:val="yellow"/>
          <w:lang w:val="fr-FR"/>
        </w:rPr>
        <w:t>(??)</w:t>
      </w:r>
    </w:p>
    <w:p>
      <w:pPr>
        <w:widowControl w:val="0"/>
        <w:spacing w:lineRule="auto" w:line="360" w:after="0" w:beforeAutospacing="0" w:afterAutospacing="0"/>
        <w:ind w:firstLine="709"/>
        <w:jc w:val="both"/>
        <w:rPr>
          <w:rFonts w:ascii="Times New Roman" w:hAnsi="Times New Roman" w:cs="Times New Roman"/>
          <w:bCs w:val="1"/>
          <w:sz w:val="28"/>
          <w:szCs w:val="28"/>
          <w:lang w:val="fr-FR"/>
        </w:rPr>
      </w:pPr>
    </w:p>
    <w:p>
      <w:pPr>
        <w:widowControl w:val="0"/>
        <w:spacing w:lineRule="auto" w:line="360" w:after="0" w:beforeAutospacing="0" w:afterAutospacing="0"/>
        <w:ind w:firstLine="709"/>
        <w:jc w:val="both"/>
        <w:rPr>
          <w:rFonts w:ascii="Times New Roman" w:hAnsi="Times New Roman" w:cs="Times New Roman"/>
          <w:bCs w:val="1"/>
          <w:sz w:val="28"/>
          <w:szCs w:val="28"/>
        </w:rPr>
      </w:pPr>
      <w:r>
        <w:rPr>
          <w:rFonts w:ascii="Times New Roman" w:hAnsi="Times New Roman" w:cs="Times New Roman"/>
          <w:bCs w:val="1"/>
          <w:sz w:val="28"/>
          <w:szCs w:val="28"/>
        </w:rPr>
        <w:t xml:space="preserve">где </w:t>
      </w:r>
      <m:oMathPara xmlns:m="http://schemas.openxmlformats.org/officeDocument/2006/math">
        <m:oMath>
          <m:r>
            <m:rPr>
              <m:scr m:val="roman"/>
              <m:sty m:val="i"/>
            </m:rPr>
            <m:t>С</m:t>
          </m:r>
          <m:r>
            <m:rPr>
              <m:scr m:val="roman"/>
              <m:sty m:val="i"/>
            </m:rPr>
            <m:t>APEX</m:t>
          </m:r>
        </m:oMath>
      </m:oMathPara>
      <w:r>
        <w:rPr>
          <w:rFonts w:ascii="Times New Roman" w:hAnsi="Times New Roman" w:cs="Times New Roman"/>
          <w:bCs w:val="1"/>
          <w:sz w:val="28"/>
          <w:szCs w:val="28"/>
          <w:vertAlign w:val="subscript"/>
        </w:rPr>
        <w:t xml:space="preserve"> </w:t>
      </w:r>
      <w:r>
        <w:rPr>
          <w:rFonts w:ascii="Times New Roman" w:hAnsi="Times New Roman" w:cs="Times New Roman"/>
          <w:i w:val="1"/>
          <w:bCs w:val="1"/>
          <w:sz w:val="28"/>
          <w:szCs w:val="28"/>
          <w:vertAlign w:val="subscript"/>
          <w:lang w:val="en-US"/>
        </w:rPr>
        <w:t>i</w:t>
      </w:r>
      <w:r>
        <w:rPr>
          <w:rFonts w:ascii="Times New Roman" w:hAnsi="Times New Roman" w:cs="Times New Roman"/>
          <w:i w:val="1"/>
          <w:bCs w:val="1"/>
          <w:sz w:val="28"/>
          <w:szCs w:val="28"/>
          <w:vertAlign w:val="superscript"/>
          <w:lang w:val="en-US"/>
        </w:rPr>
        <w:t>max</w:t>
      </w:r>
      <w:r>
        <w:rPr>
          <w:rFonts w:ascii="Times New Roman" w:hAnsi="Times New Roman" w:cs="Times New Roman"/>
          <w:i w:val="1"/>
          <w:bCs w:val="1"/>
          <w:sz w:val="28"/>
          <w:szCs w:val="28"/>
        </w:rPr>
        <w:t xml:space="preserve">, </w:t>
      </w:r>
      <w:r>
        <w:rPr>
          <w:rFonts w:ascii="Times New Roman" w:hAnsi="Times New Roman" w:cs="Times New Roman"/>
          <w:i w:val="1"/>
          <w:bCs w:val="1"/>
          <w:sz w:val="28"/>
          <w:szCs w:val="28"/>
          <w:lang w:val="en-US"/>
        </w:rPr>
        <w:t>Land</w:t>
      </w:r>
      <w:r>
        <w:rPr>
          <w:rFonts w:ascii="Times New Roman" w:hAnsi="Times New Roman" w:cs="Times New Roman"/>
          <w:i w:val="1"/>
          <w:bCs w:val="1"/>
          <w:sz w:val="28"/>
          <w:szCs w:val="28"/>
          <w:vertAlign w:val="subscript"/>
          <w:lang w:val="en-US"/>
        </w:rPr>
        <w:t>i</w:t>
      </w:r>
      <w:r>
        <w:rPr>
          <w:rFonts w:ascii="Times New Roman" w:hAnsi="Times New Roman" w:cs="Times New Roman"/>
          <w:i w:val="1"/>
          <w:bCs w:val="1"/>
          <w:sz w:val="28"/>
          <w:szCs w:val="28"/>
          <w:vertAlign w:val="superscript"/>
          <w:lang w:val="en-US"/>
        </w:rPr>
        <w:t>max</w:t>
      </w:r>
      <w:r>
        <w:rPr>
          <w:rFonts w:ascii="Times New Roman" w:hAnsi="Times New Roman" w:cs="Times New Roman"/>
          <w:i w:val="1"/>
          <w:bCs w:val="1"/>
          <w:sz w:val="28"/>
          <w:szCs w:val="28"/>
        </w:rPr>
        <w:t xml:space="preserve">, </w:t>
      </w:r>
      <w:r>
        <w:rPr>
          <w:rFonts w:ascii="Times New Roman" w:hAnsi="Times New Roman" w:cs="Times New Roman"/>
          <w:i w:val="1"/>
          <w:bCs w:val="1"/>
          <w:sz w:val="28"/>
          <w:szCs w:val="28"/>
          <w:lang w:val="fr-FR"/>
        </w:rPr>
        <w:t>En</w:t>
      </w:r>
      <w:r>
        <w:rPr>
          <w:rFonts w:ascii="Times New Roman" w:hAnsi="Times New Roman" w:cs="Times New Roman"/>
          <w:i w:val="1"/>
          <w:bCs w:val="1"/>
          <w:sz w:val="28"/>
          <w:szCs w:val="28"/>
          <w:vertAlign w:val="subscript"/>
          <w:lang w:val="en-US"/>
        </w:rPr>
        <w:t>i</w:t>
      </w:r>
      <w:r>
        <w:rPr>
          <w:rFonts w:ascii="Times New Roman" w:hAnsi="Times New Roman" w:cs="Times New Roman"/>
          <w:i w:val="1"/>
          <w:bCs w:val="1"/>
          <w:sz w:val="28"/>
          <w:szCs w:val="28"/>
          <w:vertAlign w:val="superscript"/>
          <w:lang w:val="fr-FR"/>
        </w:rPr>
        <w:t>max</w:t>
      </w:r>
      <w:r>
        <w:rPr>
          <w:rFonts w:ascii="Times New Roman" w:hAnsi="Times New Roman" w:cs="Times New Roman"/>
          <w:i w:val="1"/>
          <w:bCs w:val="1"/>
          <w:sz w:val="28"/>
          <w:szCs w:val="28"/>
          <w:lang w:val="fr-FR"/>
        </w:rPr>
        <w:t xml:space="preserve">,   HR</w:t>
      </w:r>
      <w:r>
        <w:rPr>
          <w:rFonts w:ascii="Times New Roman" w:hAnsi="Times New Roman" w:cs="Times New Roman"/>
          <w:i w:val="1"/>
          <w:bCs w:val="1"/>
          <w:sz w:val="28"/>
          <w:szCs w:val="28"/>
          <w:vertAlign w:val="subscript"/>
          <w:lang w:val="fr-FR"/>
        </w:rPr>
        <w:t xml:space="preserve">i </w:t>
      </w:r>
      <w:r>
        <w:rPr>
          <w:rFonts w:ascii="Times New Roman" w:hAnsi="Times New Roman" w:cs="Times New Roman"/>
          <w:i w:val="1"/>
          <w:bCs w:val="1"/>
          <w:sz w:val="28"/>
          <w:szCs w:val="28"/>
          <w:lang w:val="fr-FR"/>
        </w:rPr>
        <w:t>≤ HR</w:t>
      </w:r>
      <w:r>
        <w:rPr>
          <w:rFonts w:ascii="Times New Roman" w:hAnsi="Times New Roman" w:cs="Times New Roman"/>
          <w:i w:val="1"/>
          <w:bCs w:val="1"/>
          <w:sz w:val="28"/>
          <w:szCs w:val="28"/>
          <w:vertAlign w:val="subscript"/>
          <w:lang w:val="fr-FR"/>
        </w:rPr>
        <w:t>i</w:t>
      </w:r>
      <w:r>
        <w:rPr>
          <w:rFonts w:ascii="Times New Roman" w:hAnsi="Times New Roman" w:cs="Times New Roman"/>
          <w:i w:val="1"/>
          <w:bCs w:val="1"/>
          <w:sz w:val="28"/>
          <w:szCs w:val="28"/>
          <w:vertAlign w:val="superscript"/>
          <w:lang w:val="fr-FR"/>
        </w:rPr>
        <w:t>max</w:t>
      </w:r>
      <w:r>
        <w:rPr>
          <w:rFonts w:ascii="Times New Roman" w:hAnsi="Times New Roman" w:cs="Times New Roman"/>
          <w:bCs w:val="1"/>
          <w:sz w:val="28"/>
          <w:szCs w:val="28"/>
          <w:lang w:val="fr-FR"/>
        </w:rPr>
        <w:t xml:space="preserve">,   </w:t>
      </w:r>
      <w:r>
        <w:rPr>
          <w:rFonts w:ascii="Times New Roman" w:hAnsi="Times New Roman" w:cs="Times New Roman"/>
          <w:bCs w:val="1"/>
          <w:sz w:val="28"/>
          <w:szCs w:val="28"/>
        </w:rPr>
        <w:t>– максимально допустимые значения ресурсов, которые могут быть направлены на развитие соответствующего кластера в рассматриваемом сценарии. Фактически это ограничения бюджетного, земельного, энергетического и кадрового характера.</w:t>
      </w:r>
    </w:p>
    <w:p>
      <w:pPr>
        <w:widowControl w:val="0"/>
        <w:spacing w:lineRule="auto" w:line="360" w:after="0" w:beforeAutospacing="0" w:afterAutospacing="0"/>
        <w:ind w:firstLine="709"/>
        <w:jc w:val="both"/>
        <w:rPr>
          <w:rFonts w:ascii="Times New Roman" w:hAnsi="Times New Roman" w:cs="Times New Roman"/>
          <w:bCs w:val="1"/>
          <w:sz w:val="28"/>
          <w:szCs w:val="28"/>
        </w:rPr>
      </w:pPr>
      <w:r>
        <w:rPr>
          <w:rFonts w:ascii="Times New Roman" w:hAnsi="Times New Roman" w:cs="Times New Roman"/>
          <w:bCs w:val="1"/>
          <w:sz w:val="28"/>
          <w:szCs w:val="28"/>
        </w:rPr>
        <w:t>В качестве значения бюджетного ограничения принято B=12,5 млрд долл. Оно определено нами на основе анализа инвестиционных возможностей экономики Кот-д’Ивуара, параметров Национального плана развития и сопоставления с аналогичными инфраструктурно-индустриальными проектами развивающихся стран. Указанный объем инвестиций соответствует примерно 13 % текущего ВВП страны и находится в диапазоне типичных бюджетов крупных портово-индустриальных мегапроектов. Введение данного ограничения позволяет моделировать реалистичный сценарий реализации проекта «Берег Восхода» в условиях ограниченности инвестиционных ресурсов.</w:t>
      </w:r>
    </w:p>
    <w:p>
      <w:pPr>
        <w:widowControl w:val="0"/>
        <w:spacing w:lineRule="auto" w:line="360" w:after="0" w:beforeAutospacing="0" w:afterAutospacing="0"/>
        <w:ind w:firstLine="709"/>
        <w:jc w:val="both"/>
        <w:rPr>
          <w:rFonts w:ascii="Times New Roman" w:hAnsi="Times New Roman" w:cs="Times New Roman"/>
          <w:bCs w:val="1"/>
          <w:sz w:val="28"/>
          <w:szCs w:val="28"/>
        </w:rPr>
      </w:pPr>
      <w:r>
        <w:rPr>
          <w:rFonts w:ascii="Times New Roman" w:hAnsi="Times New Roman" w:cs="Times New Roman"/>
          <w:bCs w:val="1"/>
          <w:sz w:val="28"/>
          <w:szCs w:val="28"/>
        </w:rPr>
        <w:t>Часть кластеров носит критический характер для функционирования всей платформы (энергетический кластер VI, цифровой кластер IV, образовательный кластер V). Для них вводятся нижние границы степени реализации x</w:t>
      </w:r>
      <w:r>
        <w:rPr>
          <w:rFonts w:ascii="Times New Roman" w:hAnsi="Times New Roman" w:cs="Times New Roman"/>
          <w:bCs w:val="1"/>
          <w:sz w:val="28"/>
          <w:szCs w:val="28"/>
          <w:vertAlign w:val="subscript"/>
          <w:lang w:val="en-US"/>
        </w:rPr>
        <w:t>i</w:t>
      </w:r>
      <w:r>
        <w:rPr>
          <w:rFonts w:ascii="Times New Roman" w:hAnsi="Times New Roman" w:cs="Times New Roman"/>
          <w:bCs w:val="1"/>
          <w:sz w:val="28"/>
          <w:szCs w:val="28"/>
        </w:rPr>
        <w:t xml:space="preserve"> ≥ x</w:t>
      </w:r>
      <w:r>
        <w:rPr>
          <w:rFonts w:ascii="Times New Roman" w:hAnsi="Times New Roman" w:cs="Times New Roman"/>
          <w:bCs w:val="1"/>
          <w:sz w:val="28"/>
          <w:szCs w:val="28"/>
          <w:vertAlign w:val="subscript"/>
          <w:lang w:val="en-US"/>
        </w:rPr>
        <w:t>i</w:t>
      </w:r>
      <w:r>
        <w:rPr>
          <w:rFonts w:ascii="Times New Roman" w:hAnsi="Times New Roman" w:cs="Times New Roman"/>
          <w:bCs w:val="1"/>
          <w:sz w:val="28"/>
          <w:szCs w:val="28"/>
          <w:vertAlign w:val="superscript"/>
        </w:rPr>
        <w:t>min</w:t>
      </w:r>
      <w:r>
        <w:rPr>
          <w:rFonts w:ascii="Times New Roman" w:hAnsi="Times New Roman" w:cs="Times New Roman"/>
          <w:bCs w:val="1"/>
          <w:sz w:val="28"/>
          <w:szCs w:val="28"/>
        </w:rPr>
        <w:t>, отражающие необходимость достижения минимально допустимого уровня развития инфраструктуры и институтов:</w:t>
      </w:r>
    </w:p>
    <w:p>
      <w:pPr>
        <w:widowControl w:val="0"/>
        <w:spacing w:lineRule="auto" w:line="360" w:after="0" w:beforeAutospacing="0" w:afterAutospacing="0"/>
        <w:ind w:firstLine="709"/>
        <w:jc w:val="both"/>
        <w:rPr>
          <w:rFonts w:ascii="Times New Roman" w:hAnsi="Times New Roman" w:cs="Times New Roman"/>
          <w:bCs w:val="1"/>
          <w:sz w:val="28"/>
          <w:szCs w:val="28"/>
        </w:rPr>
      </w:pPr>
    </w:p>
    <w:p>
      <w:pPr>
        <w:widowControl w:val="0"/>
        <w:tabs>
          <w:tab w:val="center" w:pos="5315" w:leader="none"/>
          <w:tab w:val="right" w:pos="9922" w:leader="none"/>
        </w:tabs>
        <w:spacing w:lineRule="auto" w:line="360" w:after="0" w:beforeAutospacing="0" w:afterAutospacing="0"/>
        <w:ind w:firstLine="709"/>
        <w:rPr>
          <w:rFonts w:ascii="Times New Roman" w:hAnsi="Times New Roman" w:cs="Times New Roman"/>
          <w:bCs w:val="1"/>
          <w:sz w:val="28"/>
          <w:szCs w:val="28"/>
          <w:lang w:val="en-US"/>
        </w:rPr>
      </w:pPr>
      <w:r>
        <w:rPr>
          <w:rFonts w:ascii="Times New Roman" w:hAnsi="Times New Roman" w:cs="Times New Roman"/>
          <w:bCs w:val="1"/>
          <w:sz w:val="28"/>
          <w:szCs w:val="28"/>
        </w:rPr>
        <w:tab/>
      </w:r>
      <w:r>
        <w:rPr>
          <w:rFonts w:ascii="Times New Roman" w:hAnsi="Times New Roman" w:cs="Times New Roman"/>
          <w:i w:val="1"/>
          <w:bCs w:val="1"/>
          <w:sz w:val="28"/>
          <w:szCs w:val="28"/>
          <w:lang w:val="en-US"/>
        </w:rPr>
        <w:t>x</w:t>
      </w:r>
      <w:r>
        <w:rPr>
          <w:rFonts w:ascii="Times New Roman" w:hAnsi="Times New Roman" w:cs="Times New Roman"/>
          <w:i w:val="1"/>
          <w:bCs w:val="1"/>
          <w:sz w:val="28"/>
          <w:szCs w:val="28"/>
          <w:vertAlign w:val="subscript"/>
          <w:lang w:val="en-US"/>
        </w:rPr>
        <w:t>4</w:t>
      </w:r>
      <w:r>
        <w:rPr>
          <w:rFonts w:ascii="Times New Roman" w:hAnsi="Times New Roman" w:cs="Times New Roman"/>
          <w:i w:val="1"/>
          <w:bCs w:val="1"/>
          <w:sz w:val="28"/>
          <w:szCs w:val="28"/>
          <w:lang w:val="en-US"/>
        </w:rPr>
        <w:t xml:space="preserve"> ≥ x</w:t>
      </w:r>
      <w:r>
        <w:rPr>
          <w:rFonts w:ascii="Times New Roman" w:hAnsi="Times New Roman" w:cs="Times New Roman"/>
          <w:i w:val="1"/>
          <w:bCs w:val="1"/>
          <w:sz w:val="28"/>
          <w:szCs w:val="28"/>
          <w:vertAlign w:val="subscript"/>
          <w:lang w:val="en-US"/>
        </w:rPr>
        <w:t>4</w:t>
      </w:r>
      <w:r>
        <w:rPr>
          <w:rFonts w:ascii="Times New Roman" w:hAnsi="Times New Roman" w:cs="Times New Roman"/>
          <w:i w:val="1"/>
          <w:bCs w:val="1"/>
          <w:sz w:val="28"/>
          <w:szCs w:val="28"/>
          <w:vertAlign w:val="superscript"/>
          <w:lang w:val="en-US"/>
        </w:rPr>
        <w:t>min</w:t>
      </w:r>
      <w:r>
        <w:rPr>
          <w:rFonts w:ascii="Times New Roman" w:hAnsi="Times New Roman" w:cs="Times New Roman"/>
          <w:bCs w:val="1"/>
          <w:sz w:val="28"/>
          <w:szCs w:val="28"/>
          <w:lang w:val="en-US"/>
        </w:rPr>
        <w:t>,</w:t>
        <w:tab/>
      </w:r>
      <w:r>
        <w:rPr>
          <w:rFonts w:ascii="Times New Roman" w:hAnsi="Times New Roman" w:cs="Times New Roman"/>
          <w:bCs w:val="1"/>
          <w:sz w:val="28"/>
          <w:szCs w:val="28"/>
          <w:highlight w:val="yellow"/>
          <w:lang w:val="en-US"/>
        </w:rPr>
        <w:t>(??)</w:t>
      </w:r>
    </w:p>
    <w:p>
      <w:pPr>
        <w:widowControl w:val="0"/>
        <w:tabs>
          <w:tab w:val="center" w:pos="5315" w:leader="none"/>
          <w:tab w:val="right" w:pos="9922" w:leader="none"/>
        </w:tabs>
        <w:spacing w:lineRule="auto" w:line="360" w:after="0" w:beforeAutospacing="0" w:afterAutospacing="0"/>
        <w:ind w:firstLine="709"/>
        <w:rPr>
          <w:rFonts w:ascii="Times New Roman" w:hAnsi="Times New Roman" w:cs="Times New Roman"/>
          <w:bCs w:val="1"/>
          <w:sz w:val="28"/>
          <w:szCs w:val="28"/>
          <w:lang w:val="en-US"/>
        </w:rPr>
      </w:pPr>
      <w:r>
        <w:rPr>
          <w:rFonts w:ascii="Times New Roman" w:hAnsi="Times New Roman" w:cs="Times New Roman"/>
          <w:bCs w:val="1"/>
          <w:sz w:val="28"/>
          <w:szCs w:val="28"/>
          <w:lang w:val="en-US"/>
        </w:rPr>
        <w:tab/>
      </w:r>
      <w:r>
        <w:rPr>
          <w:rFonts w:ascii="Times New Roman" w:hAnsi="Times New Roman" w:cs="Times New Roman"/>
          <w:i w:val="1"/>
          <w:bCs w:val="1"/>
          <w:sz w:val="28"/>
          <w:szCs w:val="28"/>
          <w:lang w:val="en-US"/>
        </w:rPr>
        <w:t>x</w:t>
      </w:r>
      <w:r>
        <w:rPr>
          <w:rFonts w:ascii="Times New Roman" w:hAnsi="Times New Roman" w:cs="Times New Roman"/>
          <w:i w:val="1"/>
          <w:bCs w:val="1"/>
          <w:sz w:val="28"/>
          <w:szCs w:val="28"/>
          <w:vertAlign w:val="subscript"/>
          <w:lang w:val="en-US"/>
        </w:rPr>
        <w:t>5</w:t>
      </w:r>
      <w:r>
        <w:rPr>
          <w:rFonts w:ascii="Times New Roman" w:hAnsi="Times New Roman" w:cs="Times New Roman"/>
          <w:i w:val="1"/>
          <w:bCs w:val="1"/>
          <w:sz w:val="28"/>
          <w:szCs w:val="28"/>
          <w:lang w:val="en-US"/>
        </w:rPr>
        <w:t xml:space="preserve"> ≥ x</w:t>
      </w:r>
      <w:r>
        <w:rPr>
          <w:rFonts w:ascii="Times New Roman" w:hAnsi="Times New Roman" w:cs="Times New Roman"/>
          <w:i w:val="1"/>
          <w:bCs w:val="1"/>
          <w:sz w:val="28"/>
          <w:szCs w:val="28"/>
          <w:vertAlign w:val="subscript"/>
          <w:lang w:val="en-US"/>
        </w:rPr>
        <w:t>5</w:t>
      </w:r>
      <w:r>
        <w:rPr>
          <w:rFonts w:ascii="Times New Roman" w:hAnsi="Times New Roman" w:cs="Times New Roman"/>
          <w:i w:val="1"/>
          <w:bCs w:val="1"/>
          <w:sz w:val="28"/>
          <w:szCs w:val="28"/>
          <w:vertAlign w:val="superscript"/>
          <w:lang w:val="en-US"/>
        </w:rPr>
        <w:t>min</w:t>
      </w:r>
      <w:r>
        <w:rPr>
          <w:rFonts w:ascii="Times New Roman" w:hAnsi="Times New Roman" w:cs="Times New Roman"/>
          <w:bCs w:val="1"/>
          <w:sz w:val="28"/>
          <w:szCs w:val="28"/>
          <w:lang w:val="en-US"/>
        </w:rPr>
        <w:t>,</w:t>
        <w:tab/>
      </w:r>
      <w:r>
        <w:rPr>
          <w:rFonts w:ascii="Times New Roman" w:hAnsi="Times New Roman" w:cs="Times New Roman"/>
          <w:bCs w:val="1"/>
          <w:sz w:val="28"/>
          <w:szCs w:val="28"/>
          <w:highlight w:val="yellow"/>
          <w:lang w:val="en-US"/>
        </w:rPr>
        <w:t>(??)</w:t>
      </w:r>
    </w:p>
    <w:p>
      <w:pPr>
        <w:widowControl w:val="0"/>
        <w:tabs>
          <w:tab w:val="center" w:pos="5315" w:leader="none"/>
          <w:tab w:val="right" w:pos="9922" w:leader="none"/>
        </w:tabs>
        <w:spacing w:lineRule="auto" w:line="360" w:after="0" w:beforeAutospacing="0" w:afterAutospacing="0"/>
        <w:ind w:firstLine="709"/>
        <w:rPr>
          <w:rFonts w:ascii="Times New Roman" w:hAnsi="Times New Roman" w:cs="Times New Roman"/>
          <w:bCs w:val="1"/>
          <w:sz w:val="28"/>
          <w:szCs w:val="28"/>
        </w:rPr>
      </w:pPr>
      <w:r>
        <w:rPr>
          <w:rFonts w:ascii="Times New Roman" w:hAnsi="Times New Roman" w:cs="Times New Roman"/>
          <w:bCs w:val="1"/>
          <w:sz w:val="28"/>
          <w:szCs w:val="28"/>
          <w:lang w:val="en-US"/>
        </w:rPr>
        <w:tab/>
      </w:r>
      <w:r>
        <w:rPr>
          <w:rFonts w:ascii="Times New Roman" w:hAnsi="Times New Roman" w:cs="Times New Roman"/>
          <w:i w:val="1"/>
          <w:bCs w:val="1"/>
          <w:sz w:val="28"/>
          <w:szCs w:val="28"/>
          <w:lang w:val="en-US"/>
        </w:rPr>
        <w:t>x</w:t>
      </w:r>
      <w:r>
        <w:rPr>
          <w:rFonts w:ascii="Times New Roman" w:hAnsi="Times New Roman" w:cs="Times New Roman"/>
          <w:i w:val="1"/>
          <w:bCs w:val="1"/>
          <w:sz w:val="28"/>
          <w:szCs w:val="28"/>
          <w:vertAlign w:val="subscript"/>
          <w:lang w:val="en-US"/>
        </w:rPr>
        <w:t>6</w:t>
      </w:r>
      <w:r>
        <w:rPr>
          <w:rFonts w:ascii="Times New Roman" w:hAnsi="Times New Roman" w:cs="Times New Roman"/>
          <w:i w:val="1"/>
          <w:bCs w:val="1"/>
          <w:sz w:val="28"/>
          <w:szCs w:val="28"/>
          <w:lang w:val="en-US"/>
        </w:rPr>
        <w:t xml:space="preserve"> ≥ x</w:t>
      </w:r>
      <w:r>
        <w:rPr>
          <w:rFonts w:ascii="Times New Roman" w:hAnsi="Times New Roman" w:cs="Times New Roman"/>
          <w:i w:val="1"/>
          <w:bCs w:val="1"/>
          <w:sz w:val="28"/>
          <w:szCs w:val="28"/>
          <w:vertAlign w:val="subscript"/>
          <w:lang w:val="en-US"/>
        </w:rPr>
        <w:t>6</w:t>
      </w:r>
      <w:r>
        <w:rPr>
          <w:rFonts w:ascii="Times New Roman" w:hAnsi="Times New Roman" w:cs="Times New Roman"/>
          <w:i w:val="1"/>
          <w:bCs w:val="1"/>
          <w:sz w:val="28"/>
          <w:szCs w:val="28"/>
          <w:vertAlign w:val="superscript"/>
          <w:lang w:val="en-US"/>
        </w:rPr>
        <w:t>min</w:t>
      </w:r>
      <w:r>
        <w:rPr>
          <w:rFonts w:ascii="Times New Roman" w:hAnsi="Times New Roman" w:cs="Times New Roman"/>
          <w:bCs w:val="1"/>
          <w:sz w:val="28"/>
          <w:szCs w:val="28"/>
          <w:lang w:val="en-US"/>
        </w:rPr>
        <w:t>.</w:t>
        <w:tab/>
      </w:r>
      <w:r>
        <w:rPr>
          <w:rFonts w:ascii="Times New Roman" w:hAnsi="Times New Roman" w:cs="Times New Roman"/>
          <w:bCs w:val="1"/>
          <w:sz w:val="28"/>
          <w:szCs w:val="28"/>
          <w:highlight w:val="yellow"/>
        </w:rPr>
        <w:t>(??)</w:t>
      </w:r>
    </w:p>
    <w:p>
      <w:pPr>
        <w:widowControl w:val="0"/>
        <w:spacing w:lineRule="auto" w:line="360" w:after="0" w:beforeAutospacing="0" w:afterAutospacing="0"/>
        <w:ind w:firstLine="709"/>
        <w:jc w:val="both"/>
        <w:rPr>
          <w:rFonts w:ascii="Times New Roman" w:hAnsi="Times New Roman" w:cs="Times New Roman"/>
          <w:bCs w:val="1"/>
          <w:sz w:val="28"/>
          <w:szCs w:val="28"/>
        </w:rPr>
      </w:pPr>
    </w:p>
    <w:p>
      <w:pPr>
        <w:widowControl w:val="0"/>
        <w:spacing w:lineRule="auto" w:line="360" w:after="0" w:beforeAutospacing="0" w:afterAutospacing="0"/>
        <w:ind w:firstLine="709"/>
        <w:jc w:val="both"/>
        <w:rPr>
          <w:rFonts w:ascii="Times New Roman" w:hAnsi="Times New Roman" w:cs="Times New Roman"/>
          <w:bCs w:val="1"/>
          <w:sz w:val="28"/>
          <w:szCs w:val="28"/>
        </w:rPr>
      </w:pPr>
      <w:r>
        <w:rPr>
          <w:rFonts w:ascii="Times New Roman" w:hAnsi="Times New Roman" w:cs="Times New Roman"/>
          <w:bCs w:val="1"/>
          <w:sz w:val="28"/>
          <w:szCs w:val="28"/>
        </w:rPr>
        <w:t>Кроме ресурсных ограничений важны логические и технологические зависимости между кластерами. Они могут быть формализованы через матрицу технологической предшествующей зависимости A=(a</w:t>
      </w:r>
      <w:r>
        <w:rPr>
          <w:rFonts w:ascii="Times New Roman" w:hAnsi="Times New Roman" w:cs="Times New Roman"/>
          <w:bCs w:val="1"/>
          <w:sz w:val="28"/>
          <w:szCs w:val="28"/>
          <w:vertAlign w:val="subscript"/>
          <w:lang w:val="en-US"/>
        </w:rPr>
        <w:t>i</w:t>
      </w:r>
      <w:r>
        <w:rPr>
          <w:rFonts w:ascii="Times New Roman" w:hAnsi="Times New Roman" w:cs="Times New Roman"/>
          <w:bCs w:val="1"/>
          <w:sz w:val="28"/>
          <w:szCs w:val="28"/>
          <w:vertAlign w:val="subscript"/>
        </w:rPr>
        <w:t>j</w:t>
      </w:r>
      <w:r>
        <w:rPr>
          <w:rFonts w:ascii="Times New Roman" w:hAnsi="Times New Roman" w:cs="Times New Roman"/>
          <w:bCs w:val="1"/>
          <w:sz w:val="28"/>
          <w:szCs w:val="28"/>
        </w:rPr>
        <w:t>), где a</w:t>
      </w:r>
      <w:r>
        <w:rPr>
          <w:rFonts w:ascii="Times New Roman" w:hAnsi="Times New Roman" w:cs="Times New Roman"/>
          <w:bCs w:val="1"/>
          <w:sz w:val="28"/>
          <w:szCs w:val="28"/>
          <w:vertAlign w:val="subscript"/>
          <w:lang w:val="en-US"/>
        </w:rPr>
        <w:t>i</w:t>
      </w:r>
      <w:r>
        <w:rPr>
          <w:rFonts w:ascii="Times New Roman" w:hAnsi="Times New Roman" w:cs="Times New Roman"/>
          <w:bCs w:val="1"/>
          <w:sz w:val="28"/>
          <w:szCs w:val="28"/>
          <w:vertAlign w:val="subscript"/>
        </w:rPr>
        <w:t>j</w:t>
      </w:r>
      <w:r>
        <w:rPr>
          <w:rFonts w:ascii="Times New Roman" w:hAnsi="Times New Roman" w:cs="Times New Roman"/>
          <w:bCs w:val="1"/>
          <w:sz w:val="28"/>
          <w:szCs w:val="28"/>
        </w:rPr>
        <w:t xml:space="preserve">=1 означает, что реализация кластера </w:t>
      </w:r>
      <w:r>
        <w:rPr>
          <w:rFonts w:ascii="Times New Roman" w:hAnsi="Times New Roman" w:cs="Times New Roman"/>
          <w:bCs w:val="1"/>
          <w:sz w:val="28"/>
          <w:szCs w:val="28"/>
          <w:lang w:val="en-US"/>
        </w:rPr>
        <w:t>i</w:t>
      </w:r>
      <w:r>
        <w:rPr>
          <w:rFonts w:ascii="Times New Roman" w:hAnsi="Times New Roman" w:cs="Times New Roman"/>
          <w:bCs w:val="1"/>
          <w:sz w:val="28"/>
          <w:szCs w:val="28"/>
        </w:rPr>
        <w:t xml:space="preserve"> невозможна выше определенного уровня без достижения минимального уровня развития кластера j (например, агропереработка не может развиваться без логистического и энергетического обеспечения). Тогда вводятся ограничения вида:</w:t>
      </w:r>
    </w:p>
    <w:p>
      <w:pPr>
        <w:widowControl w:val="0"/>
        <w:spacing w:lineRule="auto" w:line="360" w:after="0" w:beforeAutospacing="0" w:afterAutospacing="0"/>
        <w:ind w:firstLine="709"/>
        <w:jc w:val="both"/>
        <w:rPr>
          <w:rFonts w:ascii="Times New Roman" w:hAnsi="Times New Roman" w:cs="Times New Roman"/>
          <w:bCs w:val="1"/>
          <w:sz w:val="28"/>
          <w:szCs w:val="28"/>
        </w:rPr>
      </w:pPr>
    </w:p>
    <w:p>
      <w:pPr>
        <w:widowControl w:val="0"/>
        <w:tabs>
          <w:tab w:val="center" w:pos="5315" w:leader="none"/>
          <w:tab w:val="right" w:pos="9922" w:leader="none"/>
        </w:tabs>
        <w:spacing w:lineRule="auto" w:line="360" w:after="0" w:beforeAutospacing="0" w:afterAutospacing="0"/>
        <w:ind w:firstLine="709"/>
        <w:rPr>
          <w:rFonts w:ascii="Times New Roman" w:hAnsi="Times New Roman" w:cs="Times New Roman"/>
          <w:bCs w:val="1"/>
          <w:sz w:val="28"/>
          <w:szCs w:val="28"/>
        </w:rPr>
      </w:pPr>
      <w:r>
        <w:rPr>
          <w:rFonts w:ascii="Times New Roman" w:hAnsi="Times New Roman" w:cs="Times New Roman"/>
          <w:bCs w:val="1"/>
          <w:sz w:val="28"/>
          <w:szCs w:val="28"/>
        </w:rPr>
        <w:tab/>
      </w:r>
      <w:r>
        <w:rPr>
          <w:rFonts w:ascii="Times New Roman" w:hAnsi="Times New Roman" w:cs="Times New Roman"/>
          <w:i w:val="1"/>
          <w:bCs w:val="1"/>
          <w:sz w:val="28"/>
          <w:szCs w:val="28"/>
          <w:lang w:val="en-US"/>
        </w:rPr>
        <w:t>x</w:t>
      </w:r>
      <w:r>
        <w:rPr>
          <w:rFonts w:ascii="Times New Roman" w:hAnsi="Times New Roman" w:cs="Times New Roman"/>
          <w:i w:val="1"/>
          <w:bCs w:val="1"/>
          <w:sz w:val="28"/>
          <w:szCs w:val="28"/>
          <w:vertAlign w:val="subscript"/>
          <w:lang w:val="en-US"/>
        </w:rPr>
        <w:t>i</w:t>
      </w:r>
      <w:r>
        <w:rPr>
          <w:rFonts w:ascii="Times New Roman" w:hAnsi="Times New Roman" w:cs="Times New Roman"/>
          <w:i w:val="1"/>
          <w:bCs w:val="1"/>
          <w:sz w:val="28"/>
          <w:szCs w:val="28"/>
        </w:rPr>
        <w:t xml:space="preserve"> ≤ </w:t>
      </w:r>
      <w:r>
        <w:rPr>
          <w:rFonts w:ascii="Times New Roman" w:hAnsi="Times New Roman" w:cs="Times New Roman"/>
          <w:i w:val="1"/>
          <w:bCs w:val="1"/>
          <w:sz w:val="28"/>
          <w:szCs w:val="28"/>
          <w:lang w:val="en-US"/>
        </w:rPr>
        <w:t>x</w:t>
      </w:r>
      <w:r>
        <w:rPr>
          <w:rFonts w:ascii="Times New Roman" w:hAnsi="Times New Roman" w:cs="Times New Roman"/>
          <w:i w:val="1"/>
          <w:bCs w:val="1"/>
          <w:sz w:val="28"/>
          <w:szCs w:val="28"/>
          <w:vertAlign w:val="subscript"/>
          <w:lang w:val="en-US"/>
        </w:rPr>
        <w:t>j</w:t>
      </w:r>
      <w:r>
        <w:rPr>
          <w:rFonts w:ascii="Times New Roman" w:hAnsi="Times New Roman" w:cs="Times New Roman"/>
          <w:i w:val="1"/>
          <w:bCs w:val="1"/>
          <w:sz w:val="28"/>
          <w:szCs w:val="28"/>
        </w:rPr>
        <w:t xml:space="preserve"> + (1 − </w:t>
      </w:r>
      <w:r>
        <w:rPr>
          <w:rFonts w:ascii="Times New Roman" w:hAnsi="Times New Roman" w:cs="Times New Roman"/>
          <w:i w:val="1"/>
          <w:bCs w:val="1"/>
          <w:sz w:val="28"/>
          <w:szCs w:val="28"/>
          <w:lang w:val="en-US"/>
        </w:rPr>
        <w:t>a</w:t>
      </w:r>
      <w:r>
        <w:rPr>
          <w:rFonts w:ascii="Times New Roman" w:hAnsi="Times New Roman" w:cs="Times New Roman"/>
          <w:i w:val="1"/>
          <w:bCs w:val="1"/>
          <w:sz w:val="28"/>
          <w:szCs w:val="28"/>
          <w:vertAlign w:val="subscript"/>
          <w:lang w:val="en-US"/>
        </w:rPr>
        <w:t>ij</w:t>
      </w:r>
      <w:r>
        <w:rPr>
          <w:rFonts w:ascii="Times New Roman" w:hAnsi="Times New Roman" w:cs="Times New Roman"/>
          <w:i w:val="1"/>
          <w:bCs w:val="1"/>
          <w:sz w:val="28"/>
          <w:szCs w:val="28"/>
        </w:rPr>
        <w:t xml:space="preserve">),   </w:t>
      </w:r>
      <w:r>
        <w:rPr>
          <w:rFonts w:ascii="Cambria Math" w:hAnsi="Cambria Math" w:cs="Cambria Math"/>
          <w:i w:val="1"/>
          <w:bCs w:val="1"/>
          <w:sz w:val="28"/>
          <w:szCs w:val="28"/>
        </w:rPr>
        <w:t>∀</w:t>
      </w:r>
      <w:r>
        <w:rPr>
          <w:rFonts w:ascii="Times New Roman" w:hAnsi="Times New Roman" w:cs="Times New Roman"/>
          <w:i w:val="1"/>
          <w:bCs w:val="1"/>
          <w:sz w:val="28"/>
          <w:szCs w:val="28"/>
        </w:rPr>
        <w:t xml:space="preserve"> </w:t>
      </w:r>
      <w:r>
        <w:rPr>
          <w:rFonts w:ascii="Times New Roman" w:hAnsi="Times New Roman" w:cs="Times New Roman"/>
          <w:i w:val="1"/>
          <w:bCs w:val="1"/>
          <w:sz w:val="28"/>
          <w:szCs w:val="28"/>
          <w:lang w:val="en-US"/>
        </w:rPr>
        <w:t>i</w:t>
      </w:r>
      <w:r>
        <w:rPr>
          <w:rFonts w:ascii="Times New Roman" w:hAnsi="Times New Roman" w:cs="Times New Roman"/>
          <w:i w:val="1"/>
          <w:bCs w:val="1"/>
          <w:sz w:val="28"/>
          <w:szCs w:val="28"/>
        </w:rPr>
        <w:t>,</w:t>
      </w:r>
      <w:r>
        <w:rPr>
          <w:rFonts w:ascii="Times New Roman" w:hAnsi="Times New Roman" w:cs="Times New Roman"/>
          <w:i w:val="1"/>
          <w:bCs w:val="1"/>
          <w:sz w:val="28"/>
          <w:szCs w:val="28"/>
          <w:lang w:val="en-US"/>
        </w:rPr>
        <w:t>j</w:t>
      </w:r>
      <w:r>
        <w:rPr>
          <w:rFonts w:ascii="Cambria Math" w:hAnsi="Cambria Math" w:cs="Cambria Math"/>
          <w:i w:val="1"/>
          <w:bCs w:val="1"/>
          <w:sz w:val="28"/>
          <w:szCs w:val="28"/>
        </w:rPr>
        <w:t>∈</w:t>
      </w:r>
      <w:r>
        <w:rPr>
          <w:rFonts w:ascii="Times New Roman" w:hAnsi="Times New Roman" w:cs="Times New Roman"/>
          <w:i w:val="1"/>
          <w:bCs w:val="1"/>
          <w:sz w:val="28"/>
          <w:szCs w:val="28"/>
        </w:rPr>
        <w:t xml:space="preserve"> </w:t>
      </w:r>
      <w:r>
        <w:rPr>
          <w:rFonts w:ascii="Times New Roman" w:hAnsi="Times New Roman" w:cs="Times New Roman"/>
          <w:i w:val="1"/>
          <w:bCs w:val="1"/>
          <w:sz w:val="28"/>
          <w:szCs w:val="28"/>
          <w:lang w:val="en-US"/>
        </w:rPr>
        <w:t>I</w:t>
      </w:r>
      <w:r>
        <w:rPr>
          <w:rFonts w:ascii="Times New Roman" w:hAnsi="Times New Roman" w:cs="Times New Roman"/>
          <w:i w:val="1"/>
          <w:bCs w:val="1"/>
          <w:sz w:val="28"/>
          <w:szCs w:val="28"/>
        </w:rPr>
        <w:t>.</w:t>
      </w:r>
      <w:r>
        <w:rPr>
          <w:rFonts w:ascii="Times New Roman" w:hAnsi="Times New Roman" w:cs="Times New Roman"/>
          <w:bCs w:val="1"/>
          <w:sz w:val="28"/>
          <w:szCs w:val="28"/>
        </w:rPr>
        <w:tab/>
      </w:r>
      <w:r>
        <w:rPr>
          <w:rFonts w:ascii="Times New Roman" w:hAnsi="Times New Roman" w:cs="Times New Roman"/>
          <w:bCs w:val="1"/>
          <w:sz w:val="28"/>
          <w:szCs w:val="28"/>
          <w:highlight w:val="yellow"/>
        </w:rPr>
        <w:t>(??)</w:t>
      </w:r>
    </w:p>
    <w:p>
      <w:pPr>
        <w:widowControl w:val="0"/>
        <w:spacing w:lineRule="auto" w:line="360" w:after="0" w:beforeAutospacing="0" w:afterAutospacing="0"/>
        <w:ind w:firstLine="709"/>
        <w:jc w:val="both"/>
        <w:rPr>
          <w:rFonts w:ascii="Times New Roman" w:hAnsi="Times New Roman" w:cs="Times New Roman"/>
          <w:bCs w:val="1"/>
          <w:sz w:val="28"/>
          <w:szCs w:val="28"/>
        </w:rPr>
      </w:pPr>
    </w:p>
    <w:p>
      <w:pPr>
        <w:widowControl w:val="0"/>
        <w:spacing w:lineRule="auto" w:line="360" w:after="0" w:beforeAutospacing="0" w:afterAutospacing="0"/>
        <w:ind w:firstLine="709"/>
        <w:jc w:val="both"/>
        <w:rPr>
          <w:rFonts w:ascii="Times New Roman" w:hAnsi="Times New Roman" w:cs="Times New Roman"/>
          <w:bCs w:val="1"/>
          <w:sz w:val="28"/>
          <w:szCs w:val="28"/>
        </w:rPr>
      </w:pPr>
      <w:r>
        <w:rPr>
          <w:rFonts w:ascii="Times New Roman" w:hAnsi="Times New Roman" w:cs="Times New Roman"/>
          <w:bCs w:val="1"/>
          <w:sz w:val="28"/>
          <w:szCs w:val="28"/>
        </w:rPr>
        <w:t>В простейшем случае можно явно задать часть ключевых технологических связей, значимых для проекта «Берег Восхода»:</w:t>
      </w:r>
    </w:p>
    <w:p>
      <w:pPr>
        <w:widowControl w:val="0"/>
        <w:spacing w:lineRule="auto" w:line="360" w:after="0" w:beforeAutospacing="0" w:afterAutospacing="0"/>
        <w:ind w:firstLine="709"/>
        <w:jc w:val="both"/>
        <w:rPr>
          <w:rFonts w:ascii="Times New Roman" w:hAnsi="Times New Roman" w:cs="Times New Roman"/>
          <w:bCs w:val="1"/>
          <w:sz w:val="28"/>
          <w:szCs w:val="28"/>
        </w:rPr>
      </w:pPr>
      <w:r>
        <w:rPr>
          <w:rFonts w:ascii="Times New Roman" w:hAnsi="Times New Roman" w:cs="Times New Roman"/>
          <w:bCs w:val="1"/>
          <w:sz w:val="28"/>
          <w:szCs w:val="28"/>
        </w:rPr>
        <w:t xml:space="preserve">1) </w:t>
      </w:r>
      <w:r>
        <w:rPr>
          <w:rFonts w:ascii="Times New Roman" w:hAnsi="Times New Roman" w:cs="Times New Roman"/>
          <w:i w:val="1"/>
          <w:bCs w:val="1"/>
          <w:sz w:val="28"/>
          <w:szCs w:val="28"/>
        </w:rPr>
        <w:t>x</w:t>
      </w:r>
      <w:r>
        <w:rPr>
          <w:rFonts w:ascii="Times New Roman" w:hAnsi="Times New Roman" w:cs="Times New Roman"/>
          <w:i w:val="1"/>
          <w:bCs w:val="1"/>
          <w:sz w:val="28"/>
          <w:szCs w:val="28"/>
          <w:vertAlign w:val="subscript"/>
        </w:rPr>
        <w:t>1</w:t>
      </w:r>
      <w:r>
        <w:rPr>
          <w:rFonts w:ascii="Times New Roman" w:hAnsi="Times New Roman" w:cs="Times New Roman"/>
          <w:i w:val="1"/>
          <w:bCs w:val="1"/>
          <w:sz w:val="28"/>
          <w:szCs w:val="28"/>
        </w:rPr>
        <w:t xml:space="preserve"> ≤ x</w:t>
      </w:r>
      <w:r>
        <w:rPr>
          <w:rFonts w:ascii="Times New Roman" w:hAnsi="Times New Roman" w:cs="Times New Roman"/>
          <w:i w:val="1"/>
          <w:bCs w:val="1"/>
          <w:sz w:val="28"/>
          <w:szCs w:val="28"/>
          <w:vertAlign w:val="subscript"/>
        </w:rPr>
        <w:t>2</w:t>
      </w:r>
      <w:r>
        <w:rPr>
          <w:rFonts w:ascii="Times New Roman" w:hAnsi="Times New Roman" w:cs="Times New Roman"/>
          <w:i w:val="1"/>
          <w:bCs w:val="1"/>
          <w:sz w:val="28"/>
          <w:szCs w:val="28"/>
        </w:rPr>
        <w:t xml:space="preserve">,   x</w:t>
      </w:r>
      <w:r>
        <w:rPr>
          <w:rFonts w:ascii="Times New Roman" w:hAnsi="Times New Roman" w:cs="Times New Roman"/>
          <w:i w:val="1"/>
          <w:bCs w:val="1"/>
          <w:sz w:val="28"/>
          <w:szCs w:val="28"/>
          <w:vertAlign w:val="subscript"/>
        </w:rPr>
        <w:t>1</w:t>
      </w:r>
      <w:r>
        <w:rPr>
          <w:rFonts w:ascii="Times New Roman" w:hAnsi="Times New Roman" w:cs="Times New Roman"/>
          <w:i w:val="1"/>
          <w:bCs w:val="1"/>
          <w:sz w:val="28"/>
          <w:szCs w:val="28"/>
        </w:rPr>
        <w:t xml:space="preserve"> ≤ x</w:t>
      </w:r>
      <w:r>
        <w:rPr>
          <w:rFonts w:ascii="Times New Roman" w:hAnsi="Times New Roman" w:cs="Times New Roman"/>
          <w:i w:val="1"/>
          <w:bCs w:val="1"/>
          <w:sz w:val="28"/>
          <w:szCs w:val="28"/>
          <w:vertAlign w:val="subscript"/>
        </w:rPr>
        <w:t>6</w:t>
      </w:r>
      <w:r>
        <w:rPr>
          <w:rFonts w:ascii="Times New Roman" w:hAnsi="Times New Roman" w:cs="Times New Roman"/>
          <w:i w:val="1"/>
          <w:bCs w:val="1"/>
          <w:sz w:val="28"/>
          <w:szCs w:val="28"/>
        </w:rPr>
        <w:t xml:space="preserve">,   x</w:t>
      </w:r>
      <w:r>
        <w:rPr>
          <w:rFonts w:ascii="Times New Roman" w:hAnsi="Times New Roman" w:cs="Times New Roman"/>
          <w:i w:val="1"/>
          <w:bCs w:val="1"/>
          <w:sz w:val="28"/>
          <w:szCs w:val="28"/>
          <w:vertAlign w:val="subscript"/>
        </w:rPr>
        <w:t>1</w:t>
      </w:r>
      <w:r>
        <w:rPr>
          <w:rFonts w:ascii="Times New Roman" w:hAnsi="Times New Roman" w:cs="Times New Roman"/>
          <w:i w:val="1"/>
          <w:bCs w:val="1"/>
          <w:sz w:val="28"/>
          <w:szCs w:val="28"/>
        </w:rPr>
        <w:t xml:space="preserve"> ≤ x</w:t>
      </w:r>
      <w:r>
        <w:rPr>
          <w:rFonts w:ascii="Times New Roman" w:hAnsi="Times New Roman" w:cs="Times New Roman"/>
          <w:i w:val="1"/>
          <w:bCs w:val="1"/>
          <w:sz w:val="28"/>
          <w:szCs w:val="28"/>
          <w:vertAlign w:val="subscript"/>
        </w:rPr>
        <w:t>4</w:t>
      </w:r>
      <w:r>
        <w:rPr>
          <w:rFonts w:ascii="Times New Roman" w:hAnsi="Times New Roman" w:cs="Times New Roman"/>
          <w:bCs w:val="1"/>
          <w:sz w:val="28"/>
          <w:szCs w:val="28"/>
        </w:rPr>
        <w:t xml:space="preserve">  (агропереработка опирается на порт, энергию и цифровую платформу);</w:t>
      </w:r>
    </w:p>
    <w:p>
      <w:pPr>
        <w:widowControl w:val="0"/>
        <w:spacing w:lineRule="auto" w:line="360" w:after="0" w:beforeAutospacing="0" w:afterAutospacing="0"/>
        <w:ind w:firstLine="709"/>
        <w:jc w:val="both"/>
        <w:rPr>
          <w:rFonts w:ascii="Times New Roman" w:hAnsi="Times New Roman" w:cs="Times New Roman"/>
          <w:bCs w:val="1"/>
          <w:sz w:val="28"/>
          <w:szCs w:val="28"/>
        </w:rPr>
      </w:pPr>
      <w:r>
        <w:rPr>
          <w:rFonts w:ascii="Times New Roman" w:hAnsi="Times New Roman" w:cs="Times New Roman"/>
          <w:bCs w:val="1"/>
          <w:sz w:val="28"/>
          <w:szCs w:val="28"/>
        </w:rPr>
        <w:t xml:space="preserve">2) </w:t>
      </w:r>
      <w:r>
        <w:rPr>
          <w:rFonts w:ascii="Times New Roman" w:hAnsi="Times New Roman" w:cs="Times New Roman"/>
          <w:i w:val="1"/>
          <w:bCs w:val="1"/>
          <w:sz w:val="28"/>
          <w:szCs w:val="28"/>
        </w:rPr>
        <w:t>x</w:t>
      </w:r>
      <w:r>
        <w:rPr>
          <w:rFonts w:ascii="Times New Roman" w:hAnsi="Times New Roman" w:cs="Times New Roman"/>
          <w:i w:val="1"/>
          <w:bCs w:val="1"/>
          <w:sz w:val="28"/>
          <w:szCs w:val="28"/>
          <w:vertAlign w:val="subscript"/>
        </w:rPr>
        <w:t>3</w:t>
      </w:r>
      <w:r>
        <w:rPr>
          <w:rFonts w:ascii="Times New Roman" w:hAnsi="Times New Roman" w:cs="Times New Roman"/>
          <w:i w:val="1"/>
          <w:bCs w:val="1"/>
          <w:sz w:val="28"/>
          <w:szCs w:val="28"/>
        </w:rPr>
        <w:t xml:space="preserve"> ≤ x</w:t>
      </w:r>
      <w:r>
        <w:rPr>
          <w:rFonts w:ascii="Times New Roman" w:hAnsi="Times New Roman" w:cs="Times New Roman"/>
          <w:i w:val="1"/>
          <w:bCs w:val="1"/>
          <w:sz w:val="28"/>
          <w:szCs w:val="28"/>
          <w:vertAlign w:val="subscript"/>
        </w:rPr>
        <w:t>2</w:t>
      </w:r>
      <w:r>
        <w:rPr>
          <w:rFonts w:ascii="Times New Roman" w:hAnsi="Times New Roman" w:cs="Times New Roman"/>
          <w:i w:val="1"/>
          <w:bCs w:val="1"/>
          <w:sz w:val="28"/>
          <w:szCs w:val="28"/>
        </w:rPr>
        <w:t xml:space="preserve">,   x</w:t>
      </w:r>
      <w:r>
        <w:rPr>
          <w:rFonts w:ascii="Times New Roman" w:hAnsi="Times New Roman" w:cs="Times New Roman"/>
          <w:i w:val="1"/>
          <w:bCs w:val="1"/>
          <w:sz w:val="28"/>
          <w:szCs w:val="28"/>
          <w:vertAlign w:val="subscript"/>
        </w:rPr>
        <w:t>3</w:t>
      </w:r>
      <w:r>
        <w:rPr>
          <w:rFonts w:ascii="Times New Roman" w:hAnsi="Times New Roman" w:cs="Times New Roman"/>
          <w:i w:val="1"/>
          <w:bCs w:val="1"/>
          <w:sz w:val="28"/>
          <w:szCs w:val="28"/>
        </w:rPr>
        <w:t xml:space="preserve"> ≤ x</w:t>
      </w:r>
      <w:r>
        <w:rPr>
          <w:rFonts w:ascii="Times New Roman" w:hAnsi="Times New Roman" w:cs="Times New Roman"/>
          <w:i w:val="1"/>
          <w:bCs w:val="1"/>
          <w:sz w:val="28"/>
          <w:szCs w:val="28"/>
          <w:vertAlign w:val="subscript"/>
        </w:rPr>
        <w:t>6</w:t>
      </w:r>
      <w:r>
        <w:rPr>
          <w:rFonts w:ascii="Times New Roman" w:hAnsi="Times New Roman" w:cs="Times New Roman"/>
          <w:bCs w:val="1"/>
          <w:sz w:val="28"/>
          <w:szCs w:val="28"/>
        </w:rPr>
        <w:t xml:space="preserve">  (индустриальные СЭЗ требуют порта и энергетического обеспечения);</w:t>
      </w:r>
    </w:p>
    <w:p>
      <w:pPr>
        <w:widowControl w:val="0"/>
        <w:spacing w:lineRule="auto" w:line="360" w:after="0" w:beforeAutospacing="0" w:afterAutospacing="0"/>
        <w:ind w:firstLine="709"/>
        <w:jc w:val="both"/>
        <w:rPr>
          <w:rFonts w:ascii="Times New Roman" w:hAnsi="Times New Roman" w:cs="Times New Roman"/>
          <w:bCs w:val="1"/>
          <w:sz w:val="28"/>
          <w:szCs w:val="28"/>
        </w:rPr>
      </w:pPr>
      <w:r>
        <w:rPr>
          <w:rFonts w:ascii="Times New Roman" w:hAnsi="Times New Roman" w:cs="Times New Roman"/>
          <w:bCs w:val="1"/>
          <w:sz w:val="28"/>
          <w:szCs w:val="28"/>
        </w:rPr>
        <w:t xml:space="preserve">4) </w:t>
      </w:r>
      <w:r>
        <w:rPr>
          <w:rFonts w:ascii="Times New Roman" w:hAnsi="Times New Roman" w:cs="Times New Roman"/>
          <w:i w:val="1"/>
          <w:bCs w:val="1"/>
          <w:sz w:val="28"/>
          <w:szCs w:val="28"/>
        </w:rPr>
        <w:t>x</w:t>
      </w:r>
      <w:r>
        <w:rPr>
          <w:rFonts w:ascii="Times New Roman" w:hAnsi="Times New Roman" w:cs="Times New Roman"/>
          <w:i w:val="1"/>
          <w:bCs w:val="1"/>
          <w:sz w:val="28"/>
          <w:szCs w:val="28"/>
          <w:vertAlign w:val="subscript"/>
        </w:rPr>
        <w:t>2</w:t>
      </w:r>
      <w:r>
        <w:rPr>
          <w:rFonts w:ascii="Times New Roman" w:hAnsi="Times New Roman" w:cs="Times New Roman"/>
          <w:i w:val="1"/>
          <w:bCs w:val="1"/>
          <w:sz w:val="28"/>
          <w:szCs w:val="28"/>
        </w:rPr>
        <w:t xml:space="preserve"> ≤ x</w:t>
      </w:r>
      <w:r>
        <w:rPr>
          <w:rFonts w:ascii="Times New Roman" w:hAnsi="Times New Roman" w:cs="Times New Roman"/>
          <w:i w:val="1"/>
          <w:bCs w:val="1"/>
          <w:sz w:val="28"/>
          <w:szCs w:val="28"/>
          <w:vertAlign w:val="subscript"/>
        </w:rPr>
        <w:t>6</w:t>
      </w:r>
      <w:r>
        <w:rPr>
          <w:rFonts w:ascii="Times New Roman" w:hAnsi="Times New Roman" w:cs="Times New Roman"/>
          <w:i w:val="1"/>
          <w:bCs w:val="1"/>
          <w:sz w:val="28"/>
          <w:szCs w:val="28"/>
        </w:rPr>
        <w:t xml:space="preserve">,   x</w:t>
      </w:r>
      <w:r>
        <w:rPr>
          <w:rFonts w:ascii="Times New Roman" w:hAnsi="Times New Roman" w:cs="Times New Roman"/>
          <w:i w:val="1"/>
          <w:bCs w:val="1"/>
          <w:sz w:val="28"/>
          <w:szCs w:val="28"/>
          <w:vertAlign w:val="subscript"/>
        </w:rPr>
        <w:t>2</w:t>
      </w:r>
      <w:r>
        <w:rPr>
          <w:rFonts w:ascii="Times New Roman" w:hAnsi="Times New Roman" w:cs="Times New Roman"/>
          <w:i w:val="1"/>
          <w:bCs w:val="1"/>
          <w:sz w:val="28"/>
          <w:szCs w:val="28"/>
        </w:rPr>
        <w:t xml:space="preserve"> ≤ x</w:t>
      </w:r>
      <w:r>
        <w:rPr>
          <w:rFonts w:ascii="Times New Roman" w:hAnsi="Times New Roman" w:cs="Times New Roman"/>
          <w:i w:val="1"/>
          <w:bCs w:val="1"/>
          <w:sz w:val="28"/>
          <w:szCs w:val="28"/>
          <w:vertAlign w:val="subscript"/>
        </w:rPr>
        <w:t>4</w:t>
      </w:r>
      <w:r>
        <w:rPr>
          <w:rFonts w:ascii="Times New Roman" w:hAnsi="Times New Roman" w:cs="Times New Roman"/>
          <w:bCs w:val="1"/>
          <w:sz w:val="28"/>
          <w:szCs w:val="28"/>
        </w:rPr>
        <w:t xml:space="preserve">  (портово-логистический кластер зависит от энергетики и цифровой платформы);</w:t>
      </w:r>
    </w:p>
    <w:p>
      <w:pPr>
        <w:widowControl w:val="0"/>
        <w:spacing w:lineRule="auto" w:line="360" w:after="0" w:beforeAutospacing="0" w:afterAutospacing="0"/>
        <w:ind w:firstLine="709"/>
        <w:jc w:val="both"/>
        <w:rPr>
          <w:rFonts w:ascii="Times New Roman" w:hAnsi="Times New Roman" w:cs="Times New Roman"/>
          <w:bCs w:val="1"/>
          <w:sz w:val="28"/>
          <w:szCs w:val="28"/>
        </w:rPr>
      </w:pPr>
      <w:r>
        <w:rPr>
          <w:rFonts w:ascii="Times New Roman" w:hAnsi="Times New Roman" w:cs="Times New Roman"/>
          <w:bCs w:val="1"/>
          <w:sz w:val="28"/>
          <w:szCs w:val="28"/>
        </w:rPr>
        <w:t xml:space="preserve">5) </w:t>
      </w:r>
      <w:r>
        <w:rPr>
          <w:rFonts w:ascii="Times New Roman" w:hAnsi="Times New Roman" w:cs="Times New Roman"/>
          <w:i w:val="1"/>
          <w:bCs w:val="1"/>
          <w:sz w:val="28"/>
          <w:szCs w:val="28"/>
        </w:rPr>
        <w:t>x</w:t>
      </w:r>
      <w:r>
        <w:rPr>
          <w:rFonts w:ascii="Times New Roman" w:hAnsi="Times New Roman" w:cs="Times New Roman"/>
          <w:i w:val="1"/>
          <w:bCs w:val="1"/>
          <w:sz w:val="28"/>
          <w:szCs w:val="28"/>
          <w:vertAlign w:val="subscript"/>
        </w:rPr>
        <w:t>8</w:t>
      </w:r>
      <w:r>
        <w:rPr>
          <w:rFonts w:ascii="Times New Roman" w:hAnsi="Times New Roman" w:cs="Times New Roman"/>
          <w:i w:val="1"/>
          <w:bCs w:val="1"/>
          <w:sz w:val="28"/>
          <w:szCs w:val="28"/>
        </w:rPr>
        <w:t xml:space="preserve"> ≤ (x</w:t>
      </w:r>
      <w:r>
        <w:rPr>
          <w:rFonts w:ascii="Times New Roman" w:hAnsi="Times New Roman" w:cs="Times New Roman"/>
          <w:i w:val="1"/>
          <w:bCs w:val="1"/>
          <w:sz w:val="28"/>
          <w:szCs w:val="28"/>
          <w:vertAlign w:val="subscript"/>
        </w:rPr>
        <w:t>1</w:t>
      </w:r>
      <w:r>
        <w:rPr>
          <w:rFonts w:ascii="Times New Roman" w:hAnsi="Times New Roman" w:cs="Times New Roman"/>
          <w:i w:val="1"/>
          <w:bCs w:val="1"/>
          <w:sz w:val="28"/>
          <w:szCs w:val="28"/>
        </w:rPr>
        <w:t xml:space="preserve"> + x</w:t>
      </w:r>
      <w:r>
        <w:rPr>
          <w:rFonts w:ascii="Times New Roman" w:hAnsi="Times New Roman" w:cs="Times New Roman"/>
          <w:i w:val="1"/>
          <w:bCs w:val="1"/>
          <w:sz w:val="28"/>
          <w:szCs w:val="28"/>
          <w:vertAlign w:val="subscript"/>
        </w:rPr>
        <w:t>2</w:t>
      </w:r>
      <w:r>
        <w:rPr>
          <w:rFonts w:ascii="Times New Roman" w:hAnsi="Times New Roman" w:cs="Times New Roman"/>
          <w:i w:val="1"/>
          <w:bCs w:val="1"/>
          <w:sz w:val="28"/>
          <w:szCs w:val="28"/>
        </w:rPr>
        <w:t xml:space="preserve"> + x</w:t>
      </w:r>
      <w:r>
        <w:rPr>
          <w:rFonts w:ascii="Times New Roman" w:hAnsi="Times New Roman" w:cs="Times New Roman"/>
          <w:i w:val="1"/>
          <w:bCs w:val="1"/>
          <w:sz w:val="28"/>
          <w:szCs w:val="28"/>
          <w:vertAlign w:val="subscript"/>
        </w:rPr>
        <w:t>3</w:t>
      </w:r>
      <w:r>
        <w:rPr>
          <w:rFonts w:ascii="Times New Roman" w:hAnsi="Times New Roman" w:cs="Times New Roman"/>
          <w:i w:val="1"/>
          <w:bCs w:val="1"/>
          <w:sz w:val="28"/>
          <w:szCs w:val="28"/>
        </w:rPr>
        <w:t>)/3</w:t>
      </w:r>
      <w:r>
        <w:rPr>
          <w:rFonts w:ascii="Times New Roman" w:hAnsi="Times New Roman" w:cs="Times New Roman"/>
          <w:bCs w:val="1"/>
          <w:sz w:val="28"/>
          <w:szCs w:val="28"/>
        </w:rPr>
        <w:t xml:space="preserve">  (масштаб социально-урбанистического кластера соотносится с масштабом экономической активности);</w:t>
      </w:r>
    </w:p>
    <w:p>
      <w:pPr>
        <w:widowControl w:val="0"/>
        <w:spacing w:lineRule="auto" w:line="360" w:after="0" w:beforeAutospacing="0" w:afterAutospacing="0"/>
        <w:ind w:firstLine="709"/>
        <w:jc w:val="both"/>
        <w:rPr>
          <w:rFonts w:ascii="Times New Roman" w:hAnsi="Times New Roman" w:cs="Times New Roman"/>
          <w:bCs w:val="1"/>
          <w:sz w:val="28"/>
          <w:szCs w:val="28"/>
        </w:rPr>
      </w:pPr>
      <w:r>
        <w:rPr>
          <w:rFonts w:ascii="Times New Roman" w:hAnsi="Times New Roman" w:cs="Times New Roman"/>
          <w:bCs w:val="1"/>
          <w:sz w:val="28"/>
          <w:szCs w:val="28"/>
        </w:rPr>
        <w:t xml:space="preserve">6) </w:t>
      </w:r>
      <w:r>
        <w:rPr>
          <w:rFonts w:ascii="Times New Roman" w:hAnsi="Times New Roman" w:cs="Times New Roman"/>
          <w:i w:val="1"/>
          <w:bCs w:val="1"/>
          <w:sz w:val="28"/>
          <w:szCs w:val="28"/>
        </w:rPr>
        <w:t>x</w:t>
      </w:r>
      <w:r>
        <w:rPr>
          <w:rFonts w:ascii="Times New Roman" w:hAnsi="Times New Roman" w:cs="Times New Roman"/>
          <w:i w:val="1"/>
          <w:bCs w:val="1"/>
          <w:sz w:val="28"/>
          <w:szCs w:val="28"/>
          <w:vertAlign w:val="subscript"/>
        </w:rPr>
        <w:t>9</w:t>
      </w:r>
      <w:r>
        <w:rPr>
          <w:rFonts w:ascii="Times New Roman" w:hAnsi="Times New Roman" w:cs="Times New Roman"/>
          <w:i w:val="1"/>
          <w:bCs w:val="1"/>
          <w:sz w:val="28"/>
          <w:szCs w:val="28"/>
        </w:rPr>
        <w:t xml:space="preserve"> ≥ 0,1* (x</w:t>
      </w:r>
      <w:r>
        <w:rPr>
          <w:rFonts w:ascii="Times New Roman" w:hAnsi="Times New Roman" w:cs="Times New Roman"/>
          <w:i w:val="1"/>
          <w:bCs w:val="1"/>
          <w:sz w:val="28"/>
          <w:szCs w:val="28"/>
          <w:vertAlign w:val="subscript"/>
        </w:rPr>
        <w:t>1</w:t>
      </w:r>
      <w:r>
        <w:rPr>
          <w:rFonts w:ascii="Times New Roman" w:hAnsi="Times New Roman" w:cs="Times New Roman"/>
          <w:i w:val="1"/>
          <w:bCs w:val="1"/>
          <w:sz w:val="28"/>
          <w:szCs w:val="28"/>
        </w:rPr>
        <w:t>+x</w:t>
      </w:r>
      <w:r>
        <w:rPr>
          <w:rFonts w:ascii="Times New Roman" w:hAnsi="Times New Roman" w:cs="Times New Roman"/>
          <w:i w:val="1"/>
          <w:bCs w:val="1"/>
          <w:sz w:val="28"/>
          <w:szCs w:val="28"/>
          <w:vertAlign w:val="subscript"/>
        </w:rPr>
        <w:t>2</w:t>
      </w:r>
      <w:r>
        <w:rPr>
          <w:rFonts w:ascii="Times New Roman" w:hAnsi="Times New Roman" w:cs="Times New Roman"/>
          <w:i w:val="1"/>
          <w:bCs w:val="1"/>
          <w:sz w:val="28"/>
          <w:szCs w:val="28"/>
        </w:rPr>
        <w:t>+x</w:t>
      </w:r>
      <w:r>
        <w:rPr>
          <w:rFonts w:ascii="Times New Roman" w:hAnsi="Times New Roman" w:cs="Times New Roman"/>
          <w:i w:val="1"/>
          <w:bCs w:val="1"/>
          <w:sz w:val="28"/>
          <w:szCs w:val="28"/>
          <w:vertAlign w:val="subscript"/>
        </w:rPr>
        <w:t>3</w:t>
      </w:r>
      <w:r>
        <w:rPr>
          <w:rFonts w:ascii="Times New Roman" w:hAnsi="Times New Roman" w:cs="Times New Roman"/>
          <w:i w:val="1"/>
          <w:bCs w:val="1"/>
          <w:sz w:val="28"/>
          <w:szCs w:val="28"/>
        </w:rPr>
        <w:t>+x</w:t>
      </w:r>
      <w:r>
        <w:rPr>
          <w:rFonts w:ascii="Times New Roman" w:hAnsi="Times New Roman" w:cs="Times New Roman"/>
          <w:i w:val="1"/>
          <w:bCs w:val="1"/>
          <w:sz w:val="28"/>
          <w:szCs w:val="28"/>
          <w:vertAlign w:val="subscript"/>
        </w:rPr>
        <w:t>8</w:t>
      </w:r>
      <w:r>
        <w:rPr>
          <w:rFonts w:ascii="Times New Roman" w:hAnsi="Times New Roman" w:cs="Times New Roman"/>
          <w:i w:val="1"/>
          <w:bCs w:val="1"/>
          <w:sz w:val="28"/>
          <w:szCs w:val="28"/>
        </w:rPr>
        <w:t>)</w:t>
      </w:r>
      <w:r>
        <w:rPr>
          <w:rFonts w:ascii="Times New Roman" w:hAnsi="Times New Roman" w:cs="Times New Roman"/>
          <w:bCs w:val="1"/>
          <w:sz w:val="28"/>
          <w:szCs w:val="28"/>
        </w:rPr>
        <w:t xml:space="preserve">  (экологический кластер должен усиливаться по мере роста нагрузки на прибрежные экосистемы).</w:t>
      </w:r>
    </w:p>
    <w:p>
      <w:pPr>
        <w:widowControl w:val="0"/>
        <w:spacing w:lineRule="auto" w:line="360" w:after="0" w:beforeAutospacing="0" w:afterAutospacing="0"/>
        <w:ind w:firstLine="709"/>
        <w:jc w:val="both"/>
        <w:rPr>
          <w:rFonts w:ascii="Times New Roman" w:hAnsi="Times New Roman" w:cs="Times New Roman"/>
          <w:bCs w:val="1"/>
          <w:sz w:val="28"/>
          <w:szCs w:val="28"/>
        </w:rPr>
      </w:pPr>
      <w:r>
        <w:rPr>
          <w:rFonts w:ascii="Times New Roman" w:hAnsi="Times New Roman" w:cs="Times New Roman"/>
          <w:bCs w:val="1"/>
          <w:sz w:val="28"/>
          <w:szCs w:val="28"/>
        </w:rPr>
        <w:t>Последнее соотношение имеет функциональный характер и отражает необходимость опережающего развития экологического кластера при ускоренном промышленном и урбанистическом росте. В прикладных расчетах оно может быть задано в виде линейной или кусочно-линейной зависимости между x</w:t>
      </w:r>
      <w:r>
        <w:rPr>
          <w:rFonts w:ascii="Times New Roman" w:hAnsi="Times New Roman" w:cs="Times New Roman"/>
          <w:bCs w:val="1"/>
          <w:sz w:val="28"/>
          <w:szCs w:val="28"/>
          <w:vertAlign w:val="subscript"/>
        </w:rPr>
        <w:t>9</w:t>
      </w:r>
      <w:r>
        <w:rPr>
          <w:rFonts w:ascii="Times New Roman" w:hAnsi="Times New Roman" w:cs="Times New Roman"/>
          <w:bCs w:val="1"/>
          <w:sz w:val="28"/>
          <w:szCs w:val="28"/>
        </w:rPr>
        <w:t xml:space="preserve"> и агрегированным индексом нагрузки на экосистемы, сформированным на основе показателей кластеров I–III и VIII.</w:t>
      </w:r>
    </w:p>
    <w:p>
      <w:pPr>
        <w:widowControl w:val="0"/>
        <w:spacing w:lineRule="auto" w:line="360" w:after="0" w:beforeAutospacing="0" w:afterAutospacing="0"/>
        <w:ind w:firstLine="709"/>
        <w:jc w:val="both"/>
        <w:rPr>
          <w:rFonts w:ascii="Times New Roman" w:hAnsi="Times New Roman" w:cs="Times New Roman"/>
          <w:bCs w:val="1"/>
          <w:sz w:val="28"/>
          <w:szCs w:val="28"/>
        </w:rPr>
      </w:pPr>
      <w:r>
        <w:rPr>
          <w:rFonts w:ascii="Times New Roman" w:hAnsi="Times New Roman" w:cs="Times New Roman"/>
          <w:bCs w:val="1"/>
          <w:sz w:val="28"/>
          <w:szCs w:val="28"/>
        </w:rPr>
        <w:t xml:space="preserve">С учетом введенных ограничений основная задача ПСВЯ инновационного проекта «Берега Восхода» сводится к поиску такого вектора </w:t>
      </w:r>
      <w:r>
        <w:rPr>
          <w:rFonts w:ascii="Times New Roman" w:hAnsi="Times New Roman" w:cs="Times New Roman"/>
          <w:i w:val="1"/>
          <w:bCs w:val="1"/>
          <w:sz w:val="28"/>
          <w:szCs w:val="28"/>
        </w:rPr>
        <w:t>x* = (x</w:t>
      </w:r>
      <w:r>
        <w:rPr>
          <w:rFonts w:ascii="Times New Roman" w:hAnsi="Times New Roman" w:cs="Times New Roman"/>
          <w:i w:val="1"/>
          <w:bCs w:val="1"/>
          <w:sz w:val="28"/>
          <w:szCs w:val="28"/>
          <w:vertAlign w:val="subscript"/>
        </w:rPr>
        <w:t>1</w:t>
      </w:r>
      <w:r>
        <w:rPr>
          <w:rFonts w:ascii="Times New Roman" w:hAnsi="Times New Roman" w:cs="Times New Roman"/>
          <w:i w:val="1"/>
          <w:bCs w:val="1"/>
          <w:sz w:val="28"/>
          <w:szCs w:val="28"/>
        </w:rPr>
        <w:t>*,…,x</w:t>
      </w:r>
      <w:r>
        <w:rPr>
          <w:rFonts w:ascii="Times New Roman" w:hAnsi="Times New Roman" w:cs="Times New Roman"/>
          <w:i w:val="1"/>
          <w:bCs w:val="1"/>
          <w:sz w:val="28"/>
          <w:szCs w:val="28"/>
          <w:vertAlign w:val="subscript"/>
        </w:rPr>
        <w:t>9</w:t>
      </w:r>
      <w:r>
        <w:rPr>
          <w:rFonts w:ascii="Times New Roman" w:hAnsi="Times New Roman" w:cs="Times New Roman"/>
          <w:i w:val="1"/>
          <w:bCs w:val="1"/>
          <w:sz w:val="28"/>
          <w:szCs w:val="28"/>
        </w:rPr>
        <w:t>*)</w:t>
      </w:r>
      <w:r>
        <w:rPr>
          <w:rFonts w:ascii="Times New Roman" w:hAnsi="Times New Roman" w:cs="Times New Roman"/>
          <w:bCs w:val="1"/>
          <w:sz w:val="28"/>
          <w:szCs w:val="28"/>
        </w:rPr>
        <w:t xml:space="preserve">, который максимизирует </w:t>
      </w:r>
      <w:r>
        <w:rPr>
          <w:rFonts w:ascii="Times New Roman" w:hAnsi="Times New Roman" w:cs="Times New Roman"/>
          <w:i w:val="1"/>
          <w:bCs w:val="1"/>
          <w:sz w:val="28"/>
          <w:szCs w:val="28"/>
        </w:rPr>
        <w:t>F(x)</w:t>
      </w:r>
      <w:r>
        <w:rPr>
          <w:rFonts w:ascii="Times New Roman" w:hAnsi="Times New Roman" w:cs="Times New Roman"/>
          <w:bCs w:val="1"/>
          <w:sz w:val="28"/>
          <w:szCs w:val="28"/>
        </w:rPr>
        <w:t xml:space="preserve"> при соблюдении ресурсных, технологических, социальных и экологических ограничений. В этом смысле кластерный подход выступает не только как качественная концепция, но и как количественно формализуемый инструмент поддержки принятия решений в рамках платформенной модели инновационно-инклюзивного развития экономики страны</w:t>
      </w:r>
    </w:p>
    <w:p>
      <w:pPr>
        <w:widowControl w:val="0"/>
        <w:spacing w:lineRule="auto" w:line="360" w:after="0" w:beforeAutospacing="0" w:afterAutospacing="0"/>
        <w:ind w:firstLine="709"/>
        <w:jc w:val="both"/>
        <w:rPr>
          <w:rFonts w:ascii="Times New Roman" w:hAnsi="Times New Roman" w:cs="Times New Roman"/>
          <w:bCs w:val="1"/>
          <w:sz w:val="28"/>
          <w:szCs w:val="28"/>
        </w:rPr>
      </w:pPr>
      <w:r>
        <w:rPr>
          <w:rFonts w:ascii="Times New Roman" w:hAnsi="Times New Roman" w:cs="Times New Roman"/>
          <w:bCs w:val="1"/>
          <w:sz w:val="28"/>
          <w:szCs w:val="28"/>
        </w:rPr>
        <w:t xml:space="preserve">На рисунке </w:t>
      </w:r>
      <w:r>
        <w:rPr>
          <w:rFonts w:ascii="Times New Roman" w:hAnsi="Times New Roman" w:cs="Times New Roman"/>
          <w:bCs w:val="1"/>
          <w:sz w:val="28"/>
          <w:szCs w:val="28"/>
          <w:highlight w:val="yellow"/>
        </w:rPr>
        <w:t>3.3.1</w:t>
      </w:r>
      <w:r>
        <w:rPr>
          <w:rFonts w:ascii="Times New Roman" w:hAnsi="Times New Roman" w:cs="Times New Roman"/>
          <w:bCs w:val="1"/>
          <w:sz w:val="28"/>
          <w:szCs w:val="28"/>
        </w:rPr>
        <w:t xml:space="preserve"> представлена платформенная архитектура девяти кластеров проекта «Берег Восхода», в рамках которой суммарный прирост валовой добавленной стоимости (ВДС, ВВП прибрежной зоны) описывается вектором показателей ΔY</w:t>
      </w:r>
      <w:r>
        <w:rPr>
          <w:rFonts w:ascii="Times New Roman" w:hAnsi="Times New Roman" w:cs="Times New Roman"/>
          <w:bCs w:val="1"/>
          <w:sz w:val="28"/>
          <w:szCs w:val="28"/>
          <w:vertAlign w:val="subscript"/>
          <w:lang w:val="en-US"/>
        </w:rPr>
        <w:t>i</w:t>
      </w:r>
      <w:r>
        <w:rPr>
          <w:rFonts w:ascii="Times New Roman" w:hAnsi="Times New Roman" w:cs="Times New Roman"/>
          <w:bCs w:val="1"/>
          <w:sz w:val="28"/>
          <w:szCs w:val="28"/>
        </w:rPr>
        <w:t>. Величина ΔY</w:t>
      </w:r>
      <w:r>
        <w:rPr>
          <w:rFonts w:ascii="Times New Roman" w:hAnsi="Times New Roman" w:cs="Times New Roman"/>
          <w:bCs w:val="1"/>
          <w:sz w:val="28"/>
          <w:szCs w:val="28"/>
          <w:vertAlign w:val="subscript"/>
          <w:lang w:val="en-US"/>
        </w:rPr>
        <w:t>i</w:t>
      </w:r>
      <w:r>
        <w:rPr>
          <w:rFonts w:ascii="Times New Roman" w:hAnsi="Times New Roman" w:cs="Times New Roman"/>
          <w:bCs w:val="1"/>
          <w:sz w:val="28"/>
          <w:szCs w:val="28"/>
        </w:rPr>
        <w:t xml:space="preserve"> отражает прямой вклад </w:t>
      </w:r>
      <w:r>
        <w:rPr>
          <w:rFonts w:ascii="Times New Roman" w:hAnsi="Times New Roman" w:cs="Times New Roman"/>
          <w:bCs w:val="1"/>
          <w:sz w:val="28"/>
          <w:szCs w:val="28"/>
          <w:lang w:val="en-US"/>
        </w:rPr>
        <w:t>i</w:t>
      </w:r>
      <w:r>
        <w:rPr>
          <w:rFonts w:ascii="Times New Roman" w:hAnsi="Times New Roman" w:cs="Times New Roman"/>
          <w:bCs w:val="1"/>
          <w:sz w:val="28"/>
          <w:szCs w:val="28"/>
        </w:rPr>
        <w:t>-го кластера в прирост выпуска и ВДС в постоянных ценах базового года, с учетом структурных сдвигов в занятости, производительности и глубине переработки. Суммарный эффект ΔY формируется как сумма кластерных вкладов и синергетических эффектов взаимодействия между кластерами.</w:t>
      </w:r>
    </w:p>
    <w:p>
      <w:pPr>
        <w:widowControl w:val="0"/>
        <w:spacing w:lineRule="auto" w:line="360" w:after="0" w:beforeAutospacing="0" w:afterAutospacing="0"/>
        <w:ind w:firstLine="709"/>
        <w:jc w:val="both"/>
        <w:rPr>
          <w:rFonts w:ascii="Times New Roman" w:hAnsi="Times New Roman" w:cs="Times New Roman"/>
          <w:bCs w:val="1"/>
          <w:sz w:val="28"/>
          <w:szCs w:val="28"/>
        </w:rPr>
      </w:pPr>
    </w:p>
    <w:p>
      <w:pPr>
        <w:widowControl w:val="0"/>
        <w:spacing w:lineRule="auto" w:line="360" w:after="0" w:beforeAutospacing="0" w:afterAutospacing="0"/>
        <w:jc w:val="center"/>
        <w:rPr>
          <w:rFonts w:ascii="Times New Roman" w:hAnsi="Times New Roman" w:cs="Times New Roman"/>
          <w:bCs w:val="1"/>
          <w:sz w:val="28"/>
          <w:szCs w:val="28"/>
        </w:rPr>
      </w:pPr>
      <w:r>
        <w:rPr>
          <w:noProof w:val="1"/>
          <w:lang w:eastAsia="ru-RU"/>
        </w:rPr>
        <w:drawing>
          <wp:inline xmlns:wp="http://schemas.openxmlformats.org/drawingml/2006/wordprocessingDrawing" distT="0" distB="0" distL="0" distR="0">
            <wp:extent cx="6130925" cy="3324225"/>
            <wp:effectExtent l="0" t="0" r="3175"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66"/>
                    <pic:cNvPicPr/>
                  </pic:nvPicPr>
                  <pic:blipFill dpi="0">
                    <a:blip xmlns:r="http://schemas.openxmlformats.org/officeDocument/2006/relationships" r:embed="Relimage7"/>
                    <a:srcRect l="21770" t="21782" r="15491" b="17712"/>
                    <a:stretch>
                      <a:fillRect/>
                    </a:stretch>
                  </pic:blipFill>
                  <pic:spPr bwMode="auto">
                    <a:xfrm>
                      <a:off x="0" y="0"/>
                      <a:ext cx="6146616" cy="3332503"/>
                    </a:xfrm>
                    <a:prstGeom prst="rect"/>
                    <a:ln>
                      <a:noFill/>
                    </a:ln>
                  </pic:spPr>
                </pic:pic>
              </a:graphicData>
            </a:graphic>
          </wp:inline>
        </w:drawing>
      </w:r>
    </w:p>
    <w:p>
      <w:pPr>
        <w:widowControl w:val="0"/>
        <w:spacing w:lineRule="auto" w:line="360" w:after="0" w:beforeAutospacing="0" w:afterAutospacing="0"/>
        <w:ind w:firstLine="709"/>
        <w:jc w:val="center"/>
        <w:rPr>
          <w:rFonts w:ascii="Times New Roman" w:hAnsi="Times New Roman" w:cs="Times New Roman"/>
          <w:bCs w:val="1"/>
          <w:sz w:val="28"/>
          <w:szCs w:val="28"/>
        </w:rPr>
      </w:pPr>
      <w:r>
        <w:rPr>
          <w:rFonts w:ascii="Times New Roman" w:hAnsi="Times New Roman" w:cs="Times New Roman"/>
          <w:bCs w:val="1"/>
          <w:sz w:val="28"/>
          <w:szCs w:val="28"/>
        </w:rPr>
        <w:t xml:space="preserve">Рисунок </w:t>
      </w:r>
      <w:r>
        <w:rPr>
          <w:rFonts w:ascii="Times New Roman" w:hAnsi="Times New Roman" w:cs="Times New Roman"/>
          <w:bCs w:val="1"/>
          <w:sz w:val="28"/>
          <w:szCs w:val="28"/>
          <w:highlight w:val="yellow"/>
        </w:rPr>
        <w:t>3.3.1</w:t>
      </w:r>
      <w:r>
        <w:rPr>
          <w:rFonts w:ascii="Times New Roman" w:hAnsi="Times New Roman" w:cs="Times New Roman"/>
          <w:bCs w:val="1"/>
          <w:sz w:val="28"/>
          <w:szCs w:val="28"/>
        </w:rPr>
        <w:t xml:space="preserve"> Цифровая платформа «Берег Восхода» в вербально математическом выражении (составлено автором)</w:t>
      </w:r>
    </w:p>
    <w:p>
      <w:pPr>
        <w:widowControl w:val="0"/>
        <w:spacing w:lineRule="auto" w:line="360" w:after="0" w:beforeAutospacing="0" w:afterAutospacing="0"/>
        <w:jc w:val="center"/>
        <w:rPr>
          <w:rFonts w:ascii="Times New Roman" w:hAnsi="Times New Roman" w:cs="Times New Roman"/>
          <w:bCs w:val="1"/>
          <w:sz w:val="28"/>
          <w:szCs w:val="28"/>
        </w:rPr>
      </w:pPr>
    </w:p>
    <w:p>
      <w:pPr>
        <w:widowControl w:val="0"/>
        <w:spacing w:lineRule="auto" w:line="360" w:after="0" w:beforeAutospacing="0" w:afterAutospacing="0"/>
        <w:ind w:firstLine="709"/>
        <w:jc w:val="both"/>
        <w:rPr>
          <w:rFonts w:ascii="Times New Roman" w:hAnsi="Times New Roman" w:cs="Times New Roman"/>
          <w:bCs w:val="1"/>
          <w:sz w:val="28"/>
          <w:szCs w:val="28"/>
        </w:rPr>
      </w:pPr>
      <w:r>
        <w:rPr>
          <w:rFonts w:ascii="Times New Roman" w:hAnsi="Times New Roman" w:cs="Times New Roman"/>
          <w:bCs w:val="1"/>
          <w:sz w:val="28"/>
          <w:szCs w:val="28"/>
        </w:rPr>
        <w:t>Экономическое содержание отдельных компонентов ΔY</w:t>
      </w:r>
      <w:r>
        <w:rPr>
          <w:rFonts w:ascii="Times New Roman" w:hAnsi="Times New Roman" w:cs="Times New Roman"/>
          <w:bCs w:val="1"/>
          <w:sz w:val="28"/>
          <w:szCs w:val="28"/>
          <w:vertAlign w:val="subscript"/>
          <w:lang w:val="en-US"/>
        </w:rPr>
        <w:t>i</w:t>
      </w:r>
      <w:r>
        <w:rPr>
          <w:rFonts w:ascii="Times New Roman" w:hAnsi="Times New Roman" w:cs="Times New Roman"/>
          <w:bCs w:val="1"/>
          <w:sz w:val="28"/>
          <w:szCs w:val="28"/>
        </w:rPr>
        <w:t xml:space="preserve"> может быть раскрыто следующим образом.</w:t>
      </w:r>
    </w:p>
    <w:p>
      <w:pPr>
        <w:widowControl w:val="0"/>
        <w:spacing w:lineRule="auto" w:line="360" w:after="0" w:beforeAutospacing="0" w:afterAutospacing="0"/>
        <w:ind w:firstLine="709"/>
        <w:jc w:val="both"/>
        <w:rPr>
          <w:rFonts w:ascii="Times New Roman" w:hAnsi="Times New Roman" w:cs="Times New Roman"/>
          <w:bCs w:val="1"/>
          <w:sz w:val="28"/>
          <w:szCs w:val="28"/>
        </w:rPr>
      </w:pPr>
      <w:r>
        <w:rPr>
          <w:rFonts w:ascii="Times New Roman" w:hAnsi="Times New Roman" w:cs="Times New Roman"/>
          <w:bCs w:val="1"/>
          <w:sz w:val="28"/>
          <w:szCs w:val="28"/>
        </w:rPr>
        <w:t>1. ΔY₁ – прирост добавленной стоимости кластера I (агропереработка и какао-индустрия) – характеризует увеличение ВДС в сегментах переработки какао-бобов и других агрокультур за счет:</w:t>
      </w:r>
    </w:p>
    <w:p>
      <w:pPr>
        <w:pStyle w:val="P15"/>
        <w:numPr>
          <w:ilvl w:val="0"/>
          <w:numId w:val="37"/>
        </w:numPr>
        <w:spacing w:lineRule="auto" w:line="360" w:beforeAutospacing="0" w:afterAutospacing="0"/>
        <w:ind w:firstLine="1134" w:left="0"/>
        <w:jc w:val="both"/>
        <w:rPr>
          <w:bCs w:val="1"/>
          <w:sz w:val="28"/>
          <w:szCs w:val="28"/>
          <w:lang w:val="ru-RU"/>
        </w:rPr>
      </w:pPr>
      <w:r>
        <w:rPr>
          <w:bCs w:val="1"/>
          <w:sz w:val="28"/>
          <w:szCs w:val="28"/>
          <w:lang w:val="ru-RU"/>
        </w:rPr>
        <w:t>роста объемов переработки сырья внутри страны вместо экспорта необработанных бобов;</w:t>
      </w:r>
    </w:p>
    <w:p>
      <w:pPr>
        <w:pStyle w:val="P15"/>
        <w:numPr>
          <w:ilvl w:val="0"/>
          <w:numId w:val="37"/>
        </w:numPr>
        <w:spacing w:lineRule="auto" w:line="360" w:beforeAutospacing="0" w:afterAutospacing="0"/>
        <w:ind w:firstLine="1134" w:left="0"/>
        <w:jc w:val="both"/>
        <w:rPr>
          <w:bCs w:val="1"/>
          <w:sz w:val="28"/>
          <w:szCs w:val="28"/>
          <w:lang w:val="ru-RU"/>
        </w:rPr>
      </w:pPr>
      <w:r>
        <w:rPr>
          <w:bCs w:val="1"/>
          <w:sz w:val="28"/>
          <w:szCs w:val="28"/>
          <w:lang w:val="ru-RU"/>
        </w:rPr>
        <w:t>повышения степени глубокой переработки (масло, порошок, полуфабрикаты для пищевой промышленности и косметики);</w:t>
      </w:r>
    </w:p>
    <w:p>
      <w:pPr>
        <w:pStyle w:val="P15"/>
        <w:numPr>
          <w:ilvl w:val="0"/>
          <w:numId w:val="37"/>
        </w:numPr>
        <w:spacing w:lineRule="auto" w:line="360" w:beforeAutospacing="0" w:afterAutospacing="0"/>
        <w:ind w:firstLine="1134" w:left="0"/>
        <w:jc w:val="both"/>
        <w:rPr>
          <w:bCs w:val="1"/>
          <w:sz w:val="28"/>
          <w:szCs w:val="28"/>
          <w:lang w:val="ru-RU"/>
        </w:rPr>
      </w:pPr>
      <w:r>
        <w:rPr>
          <w:bCs w:val="1"/>
          <w:sz w:val="28"/>
          <w:szCs w:val="28"/>
          <w:lang w:val="ru-RU"/>
        </w:rPr>
        <w:t>внедрения более производительных технологий и снижения потерь на стадиях хранения, транспортировки и переработки;</w:t>
      </w:r>
    </w:p>
    <w:p>
      <w:pPr>
        <w:pStyle w:val="P15"/>
        <w:numPr>
          <w:ilvl w:val="0"/>
          <w:numId w:val="37"/>
        </w:numPr>
        <w:spacing w:lineRule="auto" w:line="360" w:beforeAutospacing="0" w:afterAutospacing="0"/>
        <w:ind w:firstLine="1134" w:left="0"/>
        <w:jc w:val="both"/>
        <w:rPr>
          <w:bCs w:val="1"/>
          <w:sz w:val="28"/>
          <w:szCs w:val="28"/>
          <w:lang w:val="ru-RU"/>
        </w:rPr>
      </w:pPr>
      <w:r>
        <w:rPr>
          <w:bCs w:val="1"/>
          <w:sz w:val="28"/>
          <w:szCs w:val="28"/>
          <w:lang w:val="ru-RU"/>
        </w:rPr>
        <w:t>расширения экспортных рынков готовой продукции.</w:t>
      </w:r>
    </w:p>
    <w:p>
      <w:pPr>
        <w:widowControl w:val="0"/>
        <w:spacing w:lineRule="auto" w:line="360" w:after="0" w:beforeAutospacing="0" w:afterAutospacing="0"/>
        <w:ind w:firstLine="709"/>
        <w:jc w:val="both"/>
        <w:rPr>
          <w:rFonts w:ascii="Times New Roman" w:hAnsi="Times New Roman" w:cs="Times New Roman"/>
          <w:bCs w:val="1"/>
          <w:sz w:val="28"/>
          <w:szCs w:val="28"/>
        </w:rPr>
      </w:pPr>
      <w:r>
        <w:rPr>
          <w:rFonts w:ascii="Times New Roman" w:hAnsi="Times New Roman" w:cs="Times New Roman"/>
          <w:bCs w:val="1"/>
          <w:sz w:val="28"/>
          <w:szCs w:val="28"/>
        </w:rPr>
        <w:t>Таким образом, ΔY₁ отражает переход от сырьевой модели к экспортно-ориентированной цепочке с высокой добавленной стоимостью.</w:t>
      </w:r>
    </w:p>
    <w:p>
      <w:pPr>
        <w:widowControl w:val="0"/>
        <w:spacing w:lineRule="auto" w:line="360" w:after="0" w:beforeAutospacing="0" w:afterAutospacing="0"/>
        <w:ind w:firstLine="709"/>
        <w:jc w:val="both"/>
        <w:rPr>
          <w:rFonts w:ascii="Times New Roman" w:hAnsi="Times New Roman" w:cs="Times New Roman"/>
          <w:bCs w:val="1"/>
          <w:sz w:val="28"/>
          <w:szCs w:val="28"/>
        </w:rPr>
      </w:pPr>
      <w:r>
        <w:rPr>
          <w:rFonts w:ascii="Times New Roman" w:hAnsi="Times New Roman" w:cs="Times New Roman"/>
          <w:bCs w:val="1"/>
          <w:sz w:val="28"/>
          <w:szCs w:val="28"/>
        </w:rPr>
        <w:t>2. ΔY₂ – прирост добавленной стоимости кластера II (портово-логистический кластер) – описывает вклад модернизированного порта и логистической инфраструктуры в выпуск и ВДС за счет:</w:t>
      </w:r>
    </w:p>
    <w:p>
      <w:pPr>
        <w:pStyle w:val="P15"/>
        <w:numPr>
          <w:ilvl w:val="0"/>
          <w:numId w:val="38"/>
        </w:numPr>
        <w:spacing w:lineRule="auto" w:line="360" w:beforeAutospacing="0" w:afterAutospacing="0"/>
        <w:ind w:firstLine="993" w:left="0"/>
        <w:jc w:val="both"/>
        <w:rPr>
          <w:bCs w:val="1"/>
          <w:sz w:val="28"/>
          <w:szCs w:val="28"/>
          <w:lang w:val="ru-RU"/>
        </w:rPr>
      </w:pPr>
      <w:r>
        <w:rPr>
          <w:bCs w:val="1"/>
          <w:sz w:val="28"/>
          <w:szCs w:val="28"/>
          <w:lang w:val="ru-RU"/>
        </w:rPr>
        <w:t>увеличения пропускной способности порта и терминалов;</w:t>
      </w:r>
    </w:p>
    <w:p>
      <w:pPr>
        <w:pStyle w:val="P15"/>
        <w:numPr>
          <w:ilvl w:val="0"/>
          <w:numId w:val="38"/>
        </w:numPr>
        <w:spacing w:lineRule="auto" w:line="360" w:beforeAutospacing="0" w:afterAutospacing="0"/>
        <w:ind w:firstLine="993" w:left="0"/>
        <w:jc w:val="both"/>
        <w:rPr>
          <w:bCs w:val="1"/>
          <w:sz w:val="28"/>
          <w:szCs w:val="28"/>
          <w:lang w:val="ru-RU"/>
        </w:rPr>
      </w:pPr>
      <w:r>
        <w:rPr>
          <w:bCs w:val="1"/>
          <w:sz w:val="28"/>
          <w:szCs w:val="28"/>
          <w:lang w:val="ru-RU"/>
        </w:rPr>
        <w:t>роста транзитного потока и экспортно-импортных операций;</w:t>
      </w:r>
    </w:p>
    <w:p>
      <w:pPr>
        <w:pStyle w:val="P15"/>
        <w:numPr>
          <w:ilvl w:val="0"/>
          <w:numId w:val="38"/>
        </w:numPr>
        <w:spacing w:lineRule="auto" w:line="360" w:beforeAutospacing="0" w:afterAutospacing="0"/>
        <w:ind w:firstLine="993" w:left="0"/>
        <w:jc w:val="both"/>
        <w:rPr>
          <w:bCs w:val="1"/>
          <w:sz w:val="28"/>
          <w:szCs w:val="28"/>
          <w:lang w:val="ru-RU"/>
        </w:rPr>
      </w:pPr>
      <w:r>
        <w:rPr>
          <w:bCs w:val="1"/>
          <w:sz w:val="28"/>
          <w:szCs w:val="28"/>
          <w:lang w:val="ru-RU"/>
        </w:rPr>
        <w:t>развития складской, мультимодальной и «холодовой» логистики для агропродукции и промышленных товаров;</w:t>
      </w:r>
    </w:p>
    <w:p>
      <w:pPr>
        <w:pStyle w:val="P15"/>
        <w:numPr>
          <w:ilvl w:val="0"/>
          <w:numId w:val="38"/>
        </w:numPr>
        <w:spacing w:lineRule="auto" w:line="360" w:beforeAutospacing="0" w:afterAutospacing="0"/>
        <w:ind w:firstLine="993" w:left="0"/>
        <w:jc w:val="both"/>
        <w:rPr>
          <w:bCs w:val="1"/>
          <w:sz w:val="28"/>
          <w:szCs w:val="28"/>
          <w:lang w:val="ru-RU"/>
        </w:rPr>
      </w:pPr>
      <w:r>
        <w:rPr>
          <w:bCs w:val="1"/>
          <w:sz w:val="28"/>
          <w:szCs w:val="28"/>
          <w:lang w:val="ru-RU"/>
        </w:rPr>
        <w:t>снижения логистических издержек для всех остальных кластеров.</w:t>
      </w:r>
    </w:p>
    <w:p>
      <w:pPr>
        <w:widowControl w:val="0"/>
        <w:spacing w:lineRule="auto" w:line="360" w:after="0" w:beforeAutospacing="0" w:afterAutospacing="0"/>
        <w:ind w:firstLine="709"/>
        <w:jc w:val="both"/>
        <w:rPr>
          <w:rFonts w:ascii="Times New Roman" w:hAnsi="Times New Roman" w:cs="Times New Roman"/>
          <w:bCs w:val="1"/>
          <w:sz w:val="28"/>
          <w:szCs w:val="28"/>
        </w:rPr>
      </w:pPr>
      <w:r>
        <w:rPr>
          <w:rFonts w:ascii="Times New Roman" w:hAnsi="Times New Roman" w:cs="Times New Roman"/>
          <w:bCs w:val="1"/>
          <w:sz w:val="28"/>
          <w:szCs w:val="28"/>
        </w:rPr>
        <w:t>Часть эффекта ΔY₂ реализуется как собственная добавленная стоимость логистических услуг, другая часть – через удешевление внешней торговли и рост оборота в других отраслях.</w:t>
      </w:r>
    </w:p>
    <w:p>
      <w:pPr>
        <w:widowControl w:val="0"/>
        <w:spacing w:lineRule="auto" w:line="360" w:after="0" w:beforeAutospacing="0" w:afterAutospacing="0"/>
        <w:ind w:firstLine="709"/>
        <w:jc w:val="both"/>
        <w:rPr>
          <w:rFonts w:ascii="Times New Roman" w:hAnsi="Times New Roman" w:cs="Times New Roman"/>
          <w:bCs w:val="1"/>
          <w:sz w:val="28"/>
          <w:szCs w:val="28"/>
        </w:rPr>
      </w:pPr>
      <w:r>
        <w:rPr>
          <w:rFonts w:ascii="Times New Roman" w:hAnsi="Times New Roman" w:cs="Times New Roman"/>
          <w:bCs w:val="1"/>
          <w:sz w:val="28"/>
          <w:szCs w:val="28"/>
        </w:rPr>
        <w:t>3. ΔY₃ – прирост добавленной стоимости кластера III (индустриальный кластер и СЭЗ) – отражает расширение ВДС в обрабатывающей промышленности на территории специальных экономических зон за счет:</w:t>
      </w:r>
    </w:p>
    <w:p>
      <w:pPr>
        <w:pStyle w:val="P15"/>
        <w:numPr>
          <w:ilvl w:val="0"/>
          <w:numId w:val="39"/>
        </w:numPr>
        <w:spacing w:lineRule="auto" w:line="360" w:beforeAutospacing="0" w:afterAutospacing="0"/>
        <w:ind w:firstLine="1134" w:left="0"/>
        <w:jc w:val="both"/>
        <w:rPr>
          <w:bCs w:val="1"/>
          <w:sz w:val="28"/>
          <w:szCs w:val="28"/>
          <w:lang w:val="ru-RU"/>
        </w:rPr>
      </w:pPr>
      <w:r>
        <w:rPr>
          <w:bCs w:val="1"/>
          <w:sz w:val="28"/>
          <w:szCs w:val="28"/>
          <w:lang w:val="ru-RU"/>
        </w:rPr>
        <w:t>ввода новых производственных мощностей (переработка агросырья, легкая промышленность, сборочные производства);</w:t>
      </w:r>
    </w:p>
    <w:p>
      <w:pPr>
        <w:pStyle w:val="P15"/>
        <w:numPr>
          <w:ilvl w:val="0"/>
          <w:numId w:val="39"/>
        </w:numPr>
        <w:spacing w:lineRule="auto" w:line="360" w:beforeAutospacing="0" w:afterAutospacing="0"/>
        <w:ind w:firstLine="1134" w:left="0"/>
        <w:jc w:val="both"/>
        <w:rPr>
          <w:bCs w:val="1"/>
          <w:sz w:val="28"/>
          <w:szCs w:val="28"/>
          <w:lang w:val="ru-RU"/>
        </w:rPr>
      </w:pPr>
      <w:r>
        <w:rPr>
          <w:bCs w:val="1"/>
          <w:sz w:val="28"/>
          <w:szCs w:val="28"/>
          <w:lang w:val="ru-RU"/>
        </w:rPr>
        <w:t>локализации производственных цепочек, ранее размещенных за рубежом;</w:t>
      </w:r>
    </w:p>
    <w:p>
      <w:pPr>
        <w:pStyle w:val="P15"/>
        <w:numPr>
          <w:ilvl w:val="0"/>
          <w:numId w:val="39"/>
        </w:numPr>
        <w:spacing w:lineRule="auto" w:line="360" w:beforeAutospacing="0" w:afterAutospacing="0"/>
        <w:ind w:firstLine="1134" w:left="0"/>
        <w:jc w:val="both"/>
        <w:rPr>
          <w:bCs w:val="1"/>
          <w:sz w:val="28"/>
          <w:szCs w:val="28"/>
          <w:lang w:val="ru-RU"/>
        </w:rPr>
      </w:pPr>
      <w:r>
        <w:rPr>
          <w:bCs w:val="1"/>
          <w:sz w:val="28"/>
          <w:szCs w:val="28"/>
          <w:lang w:val="ru-RU"/>
        </w:rPr>
        <w:t>роста производительности труда за счет инвестиций в оборудование и организацию производства;</w:t>
      </w:r>
    </w:p>
    <w:p>
      <w:pPr>
        <w:pStyle w:val="P15"/>
        <w:numPr>
          <w:ilvl w:val="0"/>
          <w:numId w:val="39"/>
        </w:numPr>
        <w:spacing w:lineRule="auto" w:line="360" w:beforeAutospacing="0" w:afterAutospacing="0"/>
        <w:ind w:firstLine="1134" w:left="0"/>
        <w:jc w:val="both"/>
        <w:rPr>
          <w:bCs w:val="1"/>
          <w:sz w:val="28"/>
          <w:szCs w:val="28"/>
          <w:lang w:val="ru-RU"/>
        </w:rPr>
      </w:pPr>
      <w:r>
        <w:rPr>
          <w:bCs w:val="1"/>
          <w:sz w:val="28"/>
          <w:szCs w:val="28"/>
          <w:lang w:val="ru-RU"/>
        </w:rPr>
        <w:t>интеграции СЭЗ в глобальные цепочки поставок через порт и логистику.</w:t>
      </w:r>
    </w:p>
    <w:p>
      <w:pPr>
        <w:widowControl w:val="0"/>
        <w:spacing w:lineRule="auto" w:line="360" w:after="0" w:beforeAutospacing="0" w:afterAutospacing="0"/>
        <w:ind w:firstLine="709"/>
        <w:jc w:val="both"/>
        <w:rPr>
          <w:rFonts w:ascii="Times New Roman" w:hAnsi="Times New Roman" w:cs="Times New Roman"/>
          <w:bCs w:val="1"/>
          <w:sz w:val="28"/>
          <w:szCs w:val="28"/>
        </w:rPr>
      </w:pPr>
      <w:r>
        <w:rPr>
          <w:rFonts w:ascii="Times New Roman" w:hAnsi="Times New Roman" w:cs="Times New Roman"/>
          <w:bCs w:val="1"/>
          <w:sz w:val="28"/>
          <w:szCs w:val="28"/>
        </w:rPr>
        <w:t>Тем самым ΔY₃ характеризует индустриальный компонент структурного сдвига в экономике.</w:t>
      </w:r>
    </w:p>
    <w:p>
      <w:pPr>
        <w:widowControl w:val="0"/>
        <w:spacing w:lineRule="auto" w:line="360" w:after="0" w:beforeAutospacing="0" w:afterAutospacing="0"/>
        <w:ind w:firstLine="709"/>
        <w:jc w:val="both"/>
        <w:rPr>
          <w:rFonts w:ascii="Times New Roman" w:hAnsi="Times New Roman" w:cs="Times New Roman"/>
          <w:bCs w:val="1"/>
          <w:sz w:val="28"/>
          <w:szCs w:val="28"/>
        </w:rPr>
      </w:pPr>
      <w:r>
        <w:rPr>
          <w:rFonts w:ascii="Times New Roman" w:hAnsi="Times New Roman" w:cs="Times New Roman"/>
          <w:bCs w:val="1"/>
          <w:sz w:val="28"/>
          <w:szCs w:val="28"/>
        </w:rPr>
        <w:t>4. ΔY₄ – прирост добавленной стоимости кластера IV (цифровая платформа) – представляет собой совокупный цифровой эффект, включающий:</w:t>
      </w:r>
    </w:p>
    <w:p>
      <w:pPr>
        <w:pStyle w:val="P15"/>
        <w:numPr>
          <w:ilvl w:val="0"/>
          <w:numId w:val="40"/>
        </w:numPr>
        <w:spacing w:lineRule="auto" w:line="360" w:beforeAutospacing="0" w:afterAutospacing="0"/>
        <w:ind w:firstLine="993" w:left="0"/>
        <w:jc w:val="both"/>
        <w:rPr>
          <w:bCs w:val="1"/>
          <w:sz w:val="28"/>
          <w:szCs w:val="28"/>
          <w:lang w:val="ru-RU"/>
        </w:rPr>
      </w:pPr>
      <w:r>
        <w:rPr>
          <w:bCs w:val="1"/>
          <w:sz w:val="28"/>
          <w:szCs w:val="28"/>
          <w:lang w:val="ru-RU"/>
        </w:rPr>
        <w:t xml:space="preserve">появление новых видов цифровых услуг и бизнес-моделей (маркетплейсы, финтех, </w:t>
      </w:r>
      <w:r>
        <w:rPr>
          <w:bCs w:val="1"/>
          <w:sz w:val="28"/>
          <w:szCs w:val="28"/>
        </w:rPr>
        <w:t>GovTech</w:t>
      </w:r>
      <w:r>
        <w:rPr>
          <w:bCs w:val="1"/>
          <w:sz w:val="28"/>
          <w:szCs w:val="28"/>
          <w:lang w:val="ru-RU"/>
        </w:rPr>
        <w:t>, платформы данных);</w:t>
      </w:r>
    </w:p>
    <w:p>
      <w:pPr>
        <w:pStyle w:val="P15"/>
        <w:numPr>
          <w:ilvl w:val="0"/>
          <w:numId w:val="40"/>
        </w:numPr>
        <w:spacing w:lineRule="auto" w:line="360" w:beforeAutospacing="0" w:afterAutospacing="0"/>
        <w:ind w:firstLine="993" w:left="0"/>
        <w:jc w:val="both"/>
        <w:rPr>
          <w:bCs w:val="1"/>
          <w:sz w:val="28"/>
          <w:szCs w:val="28"/>
          <w:lang w:val="ru-RU"/>
        </w:rPr>
      </w:pPr>
      <w:r>
        <w:rPr>
          <w:bCs w:val="1"/>
          <w:sz w:val="28"/>
          <w:szCs w:val="28"/>
          <w:lang w:val="ru-RU"/>
        </w:rPr>
        <w:t>снижение транзакционных издержек во всех кластерах (электронные контракты, отслеживание грузов, цифровая сертификация);</w:t>
      </w:r>
    </w:p>
    <w:p>
      <w:pPr>
        <w:pStyle w:val="P15"/>
        <w:numPr>
          <w:ilvl w:val="0"/>
          <w:numId w:val="40"/>
        </w:numPr>
        <w:spacing w:lineRule="auto" w:line="360" w:beforeAutospacing="0" w:afterAutospacing="0"/>
        <w:ind w:firstLine="993" w:left="0"/>
        <w:jc w:val="both"/>
        <w:rPr>
          <w:bCs w:val="1"/>
          <w:sz w:val="28"/>
          <w:szCs w:val="28"/>
          <w:lang w:val="ru-RU"/>
        </w:rPr>
      </w:pPr>
      <w:r>
        <w:rPr>
          <w:bCs w:val="1"/>
          <w:sz w:val="28"/>
          <w:szCs w:val="28"/>
          <w:lang w:val="ru-RU"/>
        </w:rPr>
        <w:t>рост производительности труда за счет автоматизации и аналитики данных;</w:t>
      </w:r>
    </w:p>
    <w:p>
      <w:pPr>
        <w:pStyle w:val="P15"/>
        <w:numPr>
          <w:ilvl w:val="0"/>
          <w:numId w:val="40"/>
        </w:numPr>
        <w:spacing w:lineRule="auto" w:line="360" w:beforeAutospacing="0" w:afterAutospacing="0"/>
        <w:ind w:firstLine="993" w:left="0"/>
        <w:jc w:val="both"/>
        <w:rPr>
          <w:bCs w:val="1"/>
          <w:sz w:val="28"/>
          <w:szCs w:val="28"/>
          <w:lang w:val="ru-RU"/>
        </w:rPr>
      </w:pPr>
      <w:r>
        <w:rPr>
          <w:bCs w:val="1"/>
          <w:sz w:val="28"/>
          <w:szCs w:val="28"/>
          <w:lang w:val="ru-RU"/>
        </w:rPr>
        <w:t>монетизацию данных и цифровых сервисов как самостоятельного источника ВДС.</w:t>
      </w:r>
    </w:p>
    <w:p>
      <w:pPr>
        <w:widowControl w:val="0"/>
        <w:spacing w:lineRule="auto" w:line="360" w:after="0" w:beforeAutospacing="0" w:afterAutospacing="0"/>
        <w:ind w:firstLine="709"/>
        <w:jc w:val="both"/>
        <w:rPr>
          <w:rFonts w:ascii="Times New Roman" w:hAnsi="Times New Roman" w:cs="Times New Roman"/>
          <w:bCs w:val="1"/>
          <w:sz w:val="28"/>
          <w:szCs w:val="28"/>
        </w:rPr>
      </w:pPr>
      <w:r>
        <w:rPr>
          <w:rFonts w:ascii="Times New Roman" w:hAnsi="Times New Roman" w:cs="Times New Roman"/>
          <w:bCs w:val="1"/>
          <w:sz w:val="28"/>
          <w:szCs w:val="28"/>
        </w:rPr>
        <w:t>В результирующем ΔY цифровой эффект учитывается как прямой вклад ΔY₄ и как усиление синергии между другими ΔYₖ.</w:t>
      </w:r>
    </w:p>
    <w:p>
      <w:pPr>
        <w:widowControl w:val="0"/>
        <w:spacing w:lineRule="auto" w:line="360" w:after="0" w:beforeAutospacing="0" w:afterAutospacing="0"/>
        <w:ind w:firstLine="709"/>
        <w:jc w:val="both"/>
        <w:rPr>
          <w:rFonts w:ascii="Times New Roman" w:hAnsi="Times New Roman" w:cs="Times New Roman"/>
          <w:bCs w:val="1"/>
          <w:sz w:val="28"/>
          <w:szCs w:val="28"/>
        </w:rPr>
      </w:pPr>
      <w:r>
        <w:rPr>
          <w:rFonts w:ascii="Times New Roman" w:hAnsi="Times New Roman" w:cs="Times New Roman"/>
          <w:bCs w:val="1"/>
          <w:sz w:val="28"/>
          <w:szCs w:val="28"/>
        </w:rPr>
        <w:t>5. ΔY₅ – прирост добавленной стоимости кластера V (образование и R&amp;D) – отражает долгосрочный эффект инвестиций в человеческий капитал и исследования за счет:</w:t>
      </w:r>
    </w:p>
    <w:p>
      <w:pPr>
        <w:pStyle w:val="P15"/>
        <w:numPr>
          <w:ilvl w:val="0"/>
          <w:numId w:val="41"/>
        </w:numPr>
        <w:spacing w:lineRule="auto" w:line="360" w:beforeAutospacing="0" w:afterAutospacing="0"/>
        <w:ind w:firstLine="993" w:left="0"/>
        <w:jc w:val="both"/>
        <w:rPr>
          <w:bCs w:val="1"/>
          <w:sz w:val="28"/>
          <w:szCs w:val="28"/>
          <w:lang w:val="ru-RU"/>
        </w:rPr>
      </w:pPr>
      <w:r>
        <w:rPr>
          <w:bCs w:val="1"/>
          <w:sz w:val="28"/>
          <w:szCs w:val="28"/>
          <w:lang w:val="ru-RU"/>
        </w:rPr>
        <w:t>повышения квалификации кадров для всех производственных и сервисных кластеров;</w:t>
      </w:r>
    </w:p>
    <w:p>
      <w:pPr>
        <w:pStyle w:val="P15"/>
        <w:numPr>
          <w:ilvl w:val="0"/>
          <w:numId w:val="41"/>
        </w:numPr>
        <w:spacing w:lineRule="auto" w:line="360" w:beforeAutospacing="0" w:afterAutospacing="0"/>
        <w:ind w:firstLine="993" w:left="0"/>
        <w:jc w:val="both"/>
        <w:rPr>
          <w:bCs w:val="1"/>
          <w:sz w:val="28"/>
          <w:szCs w:val="28"/>
          <w:lang w:val="ru-RU"/>
        </w:rPr>
      </w:pPr>
      <w:r>
        <w:rPr>
          <w:bCs w:val="1"/>
          <w:sz w:val="28"/>
          <w:szCs w:val="28"/>
          <w:lang w:val="ru-RU"/>
        </w:rPr>
        <w:t>внедрения результатов НИОКР в технологии переработки, логистики, энергетики, цифровых сервисов;</w:t>
      </w:r>
    </w:p>
    <w:p>
      <w:pPr>
        <w:pStyle w:val="P15"/>
        <w:numPr>
          <w:ilvl w:val="0"/>
          <w:numId w:val="41"/>
        </w:numPr>
        <w:spacing w:lineRule="auto" w:line="360" w:beforeAutospacing="0" w:afterAutospacing="0"/>
        <w:ind w:firstLine="993" w:left="0"/>
        <w:jc w:val="both"/>
        <w:rPr>
          <w:bCs w:val="1"/>
          <w:sz w:val="28"/>
          <w:szCs w:val="28"/>
          <w:lang w:val="ru-RU"/>
        </w:rPr>
      </w:pPr>
      <w:r>
        <w:rPr>
          <w:bCs w:val="1"/>
          <w:sz w:val="28"/>
          <w:szCs w:val="28"/>
          <w:lang w:val="ru-RU"/>
        </w:rPr>
        <w:t>появления новых высокотехнологичных предприятий-спин-офф внутри СЭЗ и вокруг университетских центров.</w:t>
      </w:r>
    </w:p>
    <w:p>
      <w:pPr>
        <w:widowControl w:val="0"/>
        <w:spacing w:lineRule="auto" w:line="360" w:after="0" w:beforeAutospacing="0" w:afterAutospacing="0"/>
        <w:ind w:firstLine="709"/>
        <w:jc w:val="both"/>
        <w:rPr>
          <w:rFonts w:ascii="Times New Roman" w:hAnsi="Times New Roman" w:cs="Times New Roman"/>
          <w:bCs w:val="1"/>
          <w:sz w:val="28"/>
          <w:szCs w:val="28"/>
        </w:rPr>
      </w:pPr>
      <w:r>
        <w:rPr>
          <w:rFonts w:ascii="Times New Roman" w:hAnsi="Times New Roman" w:cs="Times New Roman"/>
          <w:bCs w:val="1"/>
          <w:sz w:val="28"/>
          <w:szCs w:val="28"/>
        </w:rPr>
        <w:t>Фактически ΔY₅ может быть интерпретирован как прирост ВДС, обусловленный ростом совокупной факторной производительности (TFP) вследствие улучшения образования и инноваций.</w:t>
      </w:r>
    </w:p>
    <w:p>
      <w:pPr>
        <w:widowControl w:val="0"/>
        <w:spacing w:lineRule="auto" w:line="360" w:after="0" w:beforeAutospacing="0" w:afterAutospacing="0"/>
        <w:ind w:firstLine="709"/>
        <w:jc w:val="both"/>
        <w:rPr>
          <w:rFonts w:ascii="Times New Roman" w:hAnsi="Times New Roman" w:cs="Times New Roman"/>
          <w:bCs w:val="1"/>
          <w:sz w:val="28"/>
          <w:szCs w:val="28"/>
        </w:rPr>
      </w:pPr>
      <w:r>
        <w:rPr>
          <w:rFonts w:ascii="Times New Roman" w:hAnsi="Times New Roman" w:cs="Times New Roman"/>
          <w:bCs w:val="1"/>
          <w:sz w:val="28"/>
          <w:szCs w:val="28"/>
        </w:rPr>
        <w:t>6. ΔY₆ – прирост добавленной стоимости кластера VI (энергетика и ESG-инфраструктура) – характеризует вклад энергетического и «зеленого» кластера в выпуск за счет:</w:t>
      </w:r>
    </w:p>
    <w:p>
      <w:pPr>
        <w:pStyle w:val="P15"/>
        <w:numPr>
          <w:ilvl w:val="0"/>
          <w:numId w:val="42"/>
        </w:numPr>
        <w:spacing w:lineRule="auto" w:line="360" w:beforeAutospacing="0" w:afterAutospacing="0"/>
        <w:ind w:firstLine="993" w:left="0"/>
        <w:jc w:val="both"/>
        <w:rPr>
          <w:bCs w:val="1"/>
          <w:sz w:val="28"/>
          <w:szCs w:val="28"/>
          <w:lang w:val="ru-RU"/>
        </w:rPr>
      </w:pPr>
      <w:r>
        <w:rPr>
          <w:bCs w:val="1"/>
          <w:sz w:val="28"/>
          <w:szCs w:val="28"/>
          <w:lang w:val="ru-RU"/>
        </w:rPr>
        <w:t>ввода новых генерирующих мощностей и сетевой инфраструктуры, снижения дефицита и перебоев питания;</w:t>
      </w:r>
    </w:p>
    <w:p>
      <w:pPr>
        <w:pStyle w:val="P15"/>
        <w:numPr>
          <w:ilvl w:val="0"/>
          <w:numId w:val="42"/>
        </w:numPr>
        <w:spacing w:lineRule="auto" w:line="360" w:beforeAutospacing="0" w:afterAutospacing="0"/>
        <w:ind w:firstLine="993" w:left="0"/>
        <w:jc w:val="both"/>
        <w:rPr>
          <w:bCs w:val="1"/>
          <w:sz w:val="28"/>
          <w:szCs w:val="28"/>
          <w:lang w:val="ru-RU"/>
        </w:rPr>
      </w:pPr>
      <w:r>
        <w:rPr>
          <w:bCs w:val="1"/>
          <w:sz w:val="28"/>
          <w:szCs w:val="28"/>
          <w:lang w:val="ru-RU"/>
        </w:rPr>
        <w:t>удешевления и повышения надежности энергоснабжения для промышленных, логистических и городских объектов;</w:t>
      </w:r>
    </w:p>
    <w:p>
      <w:pPr>
        <w:pStyle w:val="P15"/>
        <w:numPr>
          <w:ilvl w:val="0"/>
          <w:numId w:val="42"/>
        </w:numPr>
        <w:spacing w:lineRule="auto" w:line="360" w:beforeAutospacing="0" w:afterAutospacing="0"/>
        <w:ind w:firstLine="993" w:left="0"/>
        <w:jc w:val="both"/>
        <w:rPr>
          <w:bCs w:val="1"/>
          <w:sz w:val="28"/>
          <w:szCs w:val="28"/>
          <w:lang w:val="ru-RU"/>
        </w:rPr>
      </w:pPr>
      <w:r>
        <w:rPr>
          <w:bCs w:val="1"/>
          <w:sz w:val="28"/>
          <w:szCs w:val="28"/>
          <w:lang w:val="ru-RU"/>
        </w:rPr>
        <w:t>внедрения возобновляемых источников энергии и энергоэффективных технологий, снижающих операционные издержки;</w:t>
      </w:r>
    </w:p>
    <w:p>
      <w:pPr>
        <w:pStyle w:val="P15"/>
        <w:numPr>
          <w:ilvl w:val="0"/>
          <w:numId w:val="42"/>
        </w:numPr>
        <w:spacing w:lineRule="auto" w:line="360" w:beforeAutospacing="0" w:afterAutospacing="0"/>
        <w:ind w:firstLine="993" w:left="0"/>
        <w:jc w:val="both"/>
        <w:rPr>
          <w:bCs w:val="1"/>
          <w:sz w:val="28"/>
          <w:szCs w:val="28"/>
          <w:lang w:val="ru-RU"/>
        </w:rPr>
      </w:pPr>
      <w:r>
        <w:rPr>
          <w:bCs w:val="1"/>
          <w:sz w:val="28"/>
          <w:szCs w:val="28"/>
          <w:lang w:val="ru-RU"/>
        </w:rPr>
        <w:t xml:space="preserve">развития сопутствующих сервисов в сфере </w:t>
      </w:r>
      <w:r>
        <w:rPr>
          <w:bCs w:val="1"/>
          <w:sz w:val="28"/>
          <w:szCs w:val="28"/>
        </w:rPr>
        <w:t>ESG</w:t>
      </w:r>
      <w:r>
        <w:rPr>
          <w:bCs w:val="1"/>
          <w:sz w:val="28"/>
          <w:szCs w:val="28"/>
          <w:lang w:val="ru-RU"/>
        </w:rPr>
        <w:t xml:space="preserve"> и климатических проектов.</w:t>
      </w:r>
    </w:p>
    <w:p>
      <w:pPr>
        <w:widowControl w:val="0"/>
        <w:spacing w:lineRule="auto" w:line="360" w:after="0" w:beforeAutospacing="0" w:afterAutospacing="0"/>
        <w:ind w:firstLine="709"/>
        <w:jc w:val="both"/>
        <w:rPr>
          <w:rFonts w:ascii="Times New Roman" w:hAnsi="Times New Roman" w:cs="Times New Roman"/>
          <w:bCs w:val="1"/>
          <w:sz w:val="28"/>
          <w:szCs w:val="28"/>
        </w:rPr>
      </w:pPr>
      <w:r>
        <w:rPr>
          <w:rFonts w:ascii="Times New Roman" w:hAnsi="Times New Roman" w:cs="Times New Roman"/>
          <w:bCs w:val="1"/>
          <w:sz w:val="28"/>
          <w:szCs w:val="28"/>
        </w:rPr>
        <w:t>Таким образом, ΔY₆ аккумулирует как прямую ВДС энергетики, так и косвенный рост выпуска в других кластерах за счет улучшения энергетического баланса.</w:t>
      </w:r>
    </w:p>
    <w:p>
      <w:pPr>
        <w:widowControl w:val="0"/>
        <w:spacing w:lineRule="auto" w:line="360" w:after="0" w:beforeAutospacing="0" w:afterAutospacing="0"/>
        <w:ind w:firstLine="709"/>
        <w:jc w:val="both"/>
        <w:rPr>
          <w:rFonts w:ascii="Times New Roman" w:hAnsi="Times New Roman" w:cs="Times New Roman"/>
          <w:bCs w:val="1"/>
          <w:sz w:val="28"/>
          <w:szCs w:val="28"/>
        </w:rPr>
      </w:pPr>
      <w:r>
        <w:rPr>
          <w:rFonts w:ascii="Times New Roman" w:hAnsi="Times New Roman" w:cs="Times New Roman"/>
          <w:bCs w:val="1"/>
          <w:sz w:val="28"/>
          <w:szCs w:val="28"/>
        </w:rPr>
        <w:t>7. ΔY₇ – прирост добавленной стоимости кластера VII (финансово-инвестиционный кластер) – отражает эффект развития финансовой инфраструктуры и механизмов привлечения капитала:</w:t>
      </w:r>
    </w:p>
    <w:p>
      <w:pPr>
        <w:pStyle w:val="P15"/>
        <w:numPr>
          <w:ilvl w:val="0"/>
          <w:numId w:val="43"/>
        </w:numPr>
        <w:spacing w:lineRule="auto" w:line="360" w:beforeAutospacing="0" w:afterAutospacing="0"/>
        <w:ind w:firstLine="993" w:left="0"/>
        <w:jc w:val="both"/>
        <w:rPr>
          <w:bCs w:val="1"/>
          <w:sz w:val="28"/>
          <w:szCs w:val="28"/>
          <w:lang w:val="ru-RU"/>
        </w:rPr>
      </w:pPr>
      <w:r>
        <w:rPr>
          <w:bCs w:val="1"/>
          <w:sz w:val="28"/>
          <w:szCs w:val="28"/>
          <w:lang w:val="ru-RU"/>
        </w:rPr>
        <w:t>расширение доступа предприятий и домохозяйств к кредитам, лизингу, проектному финансированию;</w:t>
      </w:r>
    </w:p>
    <w:p>
      <w:pPr>
        <w:pStyle w:val="P15"/>
        <w:numPr>
          <w:ilvl w:val="0"/>
          <w:numId w:val="43"/>
        </w:numPr>
        <w:spacing w:lineRule="auto" w:line="360" w:beforeAutospacing="0" w:afterAutospacing="0"/>
        <w:ind w:firstLine="993" w:left="0"/>
        <w:jc w:val="both"/>
        <w:rPr>
          <w:bCs w:val="1"/>
          <w:sz w:val="28"/>
          <w:szCs w:val="28"/>
          <w:lang w:val="ru-RU"/>
        </w:rPr>
      </w:pPr>
      <w:r>
        <w:rPr>
          <w:bCs w:val="1"/>
          <w:sz w:val="28"/>
          <w:szCs w:val="28"/>
          <w:lang w:val="ru-RU"/>
        </w:rPr>
        <w:t xml:space="preserve">снижение стоимости капитала для инвестиционных проектов в кластерах </w:t>
      </w:r>
      <w:r>
        <w:rPr>
          <w:bCs w:val="1"/>
          <w:sz w:val="28"/>
          <w:szCs w:val="28"/>
        </w:rPr>
        <w:t>I</w:t>
      </w:r>
      <w:r>
        <w:rPr>
          <w:bCs w:val="1"/>
          <w:sz w:val="28"/>
          <w:szCs w:val="28"/>
          <w:lang w:val="ru-RU"/>
        </w:rPr>
        <w:t>–</w:t>
      </w:r>
      <w:r>
        <w:rPr>
          <w:bCs w:val="1"/>
          <w:sz w:val="28"/>
          <w:szCs w:val="28"/>
        </w:rPr>
        <w:t>III</w:t>
      </w:r>
      <w:r>
        <w:rPr>
          <w:bCs w:val="1"/>
          <w:sz w:val="28"/>
          <w:szCs w:val="28"/>
          <w:lang w:val="ru-RU"/>
        </w:rPr>
        <w:t xml:space="preserve"> и </w:t>
      </w:r>
      <w:r>
        <w:rPr>
          <w:bCs w:val="1"/>
          <w:sz w:val="28"/>
          <w:szCs w:val="28"/>
        </w:rPr>
        <w:t>VIII</w:t>
      </w:r>
      <w:r>
        <w:rPr>
          <w:bCs w:val="1"/>
          <w:sz w:val="28"/>
          <w:szCs w:val="28"/>
          <w:lang w:val="ru-RU"/>
        </w:rPr>
        <w:t>;</w:t>
      </w:r>
    </w:p>
    <w:p>
      <w:pPr>
        <w:pStyle w:val="P15"/>
        <w:numPr>
          <w:ilvl w:val="0"/>
          <w:numId w:val="43"/>
        </w:numPr>
        <w:spacing w:lineRule="auto" w:line="360" w:beforeAutospacing="0" w:afterAutospacing="0"/>
        <w:ind w:firstLine="993" w:left="0"/>
        <w:jc w:val="both"/>
        <w:rPr>
          <w:bCs w:val="1"/>
          <w:sz w:val="28"/>
          <w:szCs w:val="28"/>
          <w:lang w:val="ru-RU"/>
        </w:rPr>
      </w:pPr>
      <w:r>
        <w:rPr>
          <w:bCs w:val="1"/>
          <w:sz w:val="28"/>
          <w:szCs w:val="28"/>
          <w:lang w:val="ru-RU"/>
        </w:rPr>
        <w:t>развитие страховых, гарантийных и деривативных инструментов, уменьшающих риски и стимулирующих инвестиционную активность;</w:t>
      </w:r>
    </w:p>
    <w:p>
      <w:pPr>
        <w:pStyle w:val="P15"/>
        <w:numPr>
          <w:ilvl w:val="0"/>
          <w:numId w:val="43"/>
        </w:numPr>
        <w:spacing w:lineRule="auto" w:line="360" w:beforeAutospacing="0" w:afterAutospacing="0"/>
        <w:ind w:firstLine="993" w:left="0"/>
        <w:jc w:val="both"/>
        <w:rPr>
          <w:bCs w:val="1"/>
          <w:sz w:val="28"/>
          <w:szCs w:val="28"/>
          <w:lang w:val="ru-RU"/>
        </w:rPr>
      </w:pPr>
      <w:r>
        <w:rPr>
          <w:bCs w:val="1"/>
          <w:sz w:val="28"/>
          <w:szCs w:val="28"/>
          <w:lang w:val="ru-RU"/>
        </w:rPr>
        <w:t>рост ВДС в финансовом секторе за счет увеличения объема и сложности предоставляемых услуг.</w:t>
      </w:r>
    </w:p>
    <w:p>
      <w:pPr>
        <w:widowControl w:val="0"/>
        <w:spacing w:lineRule="auto" w:line="360" w:after="0" w:beforeAutospacing="0" w:afterAutospacing="0"/>
        <w:ind w:firstLine="709"/>
        <w:jc w:val="both"/>
        <w:rPr>
          <w:rFonts w:ascii="Times New Roman" w:hAnsi="Times New Roman" w:cs="Times New Roman"/>
          <w:bCs w:val="1"/>
          <w:sz w:val="28"/>
          <w:szCs w:val="28"/>
        </w:rPr>
      </w:pPr>
      <w:r>
        <w:rPr>
          <w:rFonts w:ascii="Times New Roman" w:hAnsi="Times New Roman" w:cs="Times New Roman"/>
          <w:bCs w:val="1"/>
          <w:sz w:val="28"/>
          <w:szCs w:val="28"/>
        </w:rPr>
        <w:t>ΔY₇ фиксирует переход от фрагментированной финансовой системы к платформенно-ориентированному финансовому центру прибрежной зоны.</w:t>
      </w:r>
    </w:p>
    <w:p>
      <w:pPr>
        <w:widowControl w:val="0"/>
        <w:spacing w:lineRule="auto" w:line="360" w:after="0" w:beforeAutospacing="0" w:afterAutospacing="0"/>
        <w:ind w:firstLine="709"/>
        <w:jc w:val="both"/>
        <w:rPr>
          <w:rFonts w:ascii="Times New Roman" w:hAnsi="Times New Roman" w:cs="Times New Roman"/>
          <w:bCs w:val="1"/>
          <w:sz w:val="28"/>
          <w:szCs w:val="28"/>
        </w:rPr>
      </w:pPr>
      <w:r>
        <w:rPr>
          <w:rFonts w:ascii="Times New Roman" w:hAnsi="Times New Roman" w:cs="Times New Roman"/>
          <w:bCs w:val="1"/>
          <w:sz w:val="28"/>
          <w:szCs w:val="28"/>
        </w:rPr>
        <w:t>8. ΔY₈ –</w:t>
      </w:r>
      <w:r>
        <w:t xml:space="preserve"> </w:t>
      </w:r>
      <w:r>
        <w:rPr>
          <w:rFonts w:ascii="Times New Roman" w:hAnsi="Times New Roman" w:cs="Times New Roman"/>
          <w:bCs w:val="1"/>
          <w:sz w:val="28"/>
          <w:szCs w:val="28"/>
        </w:rPr>
        <w:t>прирост добавленной стоимости кластера VIII (социально-инклюзивный и урбанистический кластер) – описывает вклад развития городской среды и социальной инфраструктуры за счет:</w:t>
      </w:r>
    </w:p>
    <w:p>
      <w:pPr>
        <w:pStyle w:val="P15"/>
        <w:numPr>
          <w:ilvl w:val="0"/>
          <w:numId w:val="44"/>
        </w:numPr>
        <w:spacing w:lineRule="auto" w:line="360" w:beforeAutospacing="0" w:afterAutospacing="0"/>
        <w:ind w:firstLine="1134" w:left="0"/>
        <w:jc w:val="both"/>
        <w:rPr>
          <w:bCs w:val="1"/>
          <w:sz w:val="28"/>
          <w:szCs w:val="28"/>
          <w:lang w:val="ru-RU"/>
        </w:rPr>
      </w:pPr>
      <w:r>
        <w:rPr>
          <w:bCs w:val="1"/>
          <w:sz w:val="28"/>
          <w:szCs w:val="28"/>
          <w:lang w:val="ru-RU"/>
        </w:rPr>
        <w:t>строительства и модернизации жилья, коммунальной инфраструктуры, транспорта, объектов здравоохранения и образования;</w:t>
      </w:r>
    </w:p>
    <w:p>
      <w:pPr>
        <w:pStyle w:val="P15"/>
        <w:numPr>
          <w:ilvl w:val="0"/>
          <w:numId w:val="44"/>
        </w:numPr>
        <w:spacing w:lineRule="auto" w:line="360" w:beforeAutospacing="0" w:afterAutospacing="0"/>
        <w:ind w:firstLine="1134" w:left="0"/>
        <w:jc w:val="both"/>
        <w:rPr>
          <w:bCs w:val="1"/>
          <w:sz w:val="28"/>
          <w:szCs w:val="28"/>
          <w:lang w:val="ru-RU"/>
        </w:rPr>
      </w:pPr>
      <w:r>
        <w:rPr>
          <w:bCs w:val="1"/>
          <w:sz w:val="28"/>
          <w:szCs w:val="28"/>
          <w:lang w:val="ru-RU"/>
        </w:rPr>
        <w:t>роста занятости в строительстве, коммунальном секторе, городских услугах;</w:t>
      </w:r>
    </w:p>
    <w:p>
      <w:pPr>
        <w:pStyle w:val="P15"/>
        <w:numPr>
          <w:ilvl w:val="0"/>
          <w:numId w:val="44"/>
        </w:numPr>
        <w:spacing w:lineRule="auto" w:line="360" w:beforeAutospacing="0" w:afterAutospacing="0"/>
        <w:ind w:firstLine="1134" w:left="0"/>
        <w:jc w:val="both"/>
        <w:rPr>
          <w:bCs w:val="1"/>
          <w:sz w:val="28"/>
          <w:szCs w:val="28"/>
          <w:lang w:val="ru-RU"/>
        </w:rPr>
      </w:pPr>
      <w:r>
        <w:rPr>
          <w:bCs w:val="1"/>
          <w:sz w:val="28"/>
          <w:szCs w:val="28"/>
          <w:lang w:val="ru-RU"/>
        </w:rPr>
        <w:t>повышения деловой активности в результате улучшения качества жизни и снижения социального напряжения.</w:t>
      </w:r>
    </w:p>
    <w:p>
      <w:pPr>
        <w:widowControl w:val="0"/>
        <w:spacing w:lineRule="auto" w:line="360" w:after="0" w:beforeAutospacing="0" w:afterAutospacing="0"/>
        <w:ind w:firstLine="709"/>
        <w:jc w:val="both"/>
        <w:rPr>
          <w:rFonts w:ascii="Times New Roman" w:hAnsi="Times New Roman" w:cs="Times New Roman"/>
          <w:bCs w:val="1"/>
          <w:sz w:val="28"/>
          <w:szCs w:val="28"/>
        </w:rPr>
      </w:pPr>
      <w:r>
        <w:rPr>
          <w:rFonts w:ascii="Times New Roman" w:hAnsi="Times New Roman" w:cs="Times New Roman"/>
          <w:bCs w:val="1"/>
          <w:sz w:val="28"/>
          <w:szCs w:val="28"/>
        </w:rPr>
        <w:t>Часть ΔY₈ формируется как разовый инвестиционный эффект (строительство), а часть – как устойчивое увеличение ВДС в сфере услуг и городской экономики.</w:t>
      </w:r>
    </w:p>
    <w:p>
      <w:pPr>
        <w:widowControl w:val="0"/>
        <w:spacing w:lineRule="auto" w:line="360" w:after="0" w:beforeAutospacing="0" w:afterAutospacing="0"/>
        <w:ind w:firstLine="709"/>
        <w:jc w:val="both"/>
        <w:rPr>
          <w:rFonts w:ascii="Times New Roman" w:hAnsi="Times New Roman" w:cs="Times New Roman"/>
          <w:bCs w:val="1"/>
          <w:sz w:val="28"/>
          <w:szCs w:val="28"/>
        </w:rPr>
      </w:pPr>
      <w:r>
        <w:rPr>
          <w:rFonts w:ascii="Times New Roman" w:hAnsi="Times New Roman" w:cs="Times New Roman"/>
          <w:bCs w:val="1"/>
          <w:sz w:val="28"/>
          <w:szCs w:val="28"/>
        </w:rPr>
        <w:t>9. ΔY₉ – прирост добавленной стоимости кластера IX (экологический и климатический кластер) – отражает экономический эффект от сохранения и восстановления природного капитала прибрежной зоны:</w:t>
      </w:r>
    </w:p>
    <w:p>
      <w:pPr>
        <w:pStyle w:val="P15"/>
        <w:numPr>
          <w:ilvl w:val="0"/>
          <w:numId w:val="45"/>
        </w:numPr>
        <w:spacing w:lineRule="auto" w:line="360" w:beforeAutospacing="0" w:afterAutospacing="0"/>
        <w:ind w:firstLine="1134" w:left="0"/>
        <w:jc w:val="both"/>
        <w:rPr>
          <w:bCs w:val="1"/>
          <w:sz w:val="28"/>
          <w:szCs w:val="28"/>
          <w:lang w:val="ru-RU"/>
        </w:rPr>
      </w:pPr>
      <w:r>
        <w:rPr>
          <w:bCs w:val="1"/>
          <w:sz w:val="28"/>
          <w:szCs w:val="28"/>
          <w:lang w:val="ru-RU"/>
        </w:rPr>
        <w:t>снижение ущерба от наводнений, эрозии побережья и климатически обусловленных катастроф;</w:t>
      </w:r>
    </w:p>
    <w:p>
      <w:pPr>
        <w:pStyle w:val="P15"/>
        <w:numPr>
          <w:ilvl w:val="0"/>
          <w:numId w:val="45"/>
        </w:numPr>
        <w:spacing w:lineRule="auto" w:line="360" w:beforeAutospacing="0" w:afterAutospacing="0"/>
        <w:ind w:firstLine="1134" w:left="0"/>
        <w:jc w:val="both"/>
        <w:rPr>
          <w:bCs w:val="1"/>
          <w:sz w:val="28"/>
          <w:szCs w:val="28"/>
          <w:lang w:val="ru-RU"/>
        </w:rPr>
      </w:pPr>
      <w:r>
        <w:rPr>
          <w:bCs w:val="1"/>
          <w:sz w:val="28"/>
          <w:szCs w:val="28"/>
          <w:lang w:val="ru-RU"/>
        </w:rPr>
        <w:t>улучшение состояния экосистем (мангровые леса, прибрежные воды), поддерживающих рыболовство, туризм и смежные виды деятельности;</w:t>
      </w:r>
    </w:p>
    <w:p>
      <w:pPr>
        <w:pStyle w:val="P15"/>
        <w:numPr>
          <w:ilvl w:val="0"/>
          <w:numId w:val="45"/>
        </w:numPr>
        <w:spacing w:lineRule="auto" w:line="360" w:beforeAutospacing="0" w:afterAutospacing="0"/>
        <w:ind w:firstLine="1134" w:left="0"/>
        <w:jc w:val="both"/>
        <w:rPr>
          <w:bCs w:val="1"/>
          <w:sz w:val="28"/>
          <w:szCs w:val="28"/>
          <w:lang w:val="ru-RU"/>
        </w:rPr>
      </w:pPr>
      <w:r>
        <w:rPr>
          <w:bCs w:val="1"/>
          <w:sz w:val="28"/>
          <w:szCs w:val="28"/>
          <w:lang w:val="ru-RU"/>
        </w:rPr>
        <w:t>рост доходов от экосистемных услуг и климатических механизмов (карбоновые кредиты, зеленые проекты);</w:t>
      </w:r>
    </w:p>
    <w:p>
      <w:pPr>
        <w:pStyle w:val="P15"/>
        <w:numPr>
          <w:ilvl w:val="0"/>
          <w:numId w:val="45"/>
        </w:numPr>
        <w:spacing w:lineRule="auto" w:line="360" w:beforeAutospacing="0" w:afterAutospacing="0"/>
        <w:ind w:firstLine="1134" w:left="0"/>
        <w:jc w:val="both"/>
        <w:rPr>
          <w:bCs w:val="1"/>
          <w:sz w:val="28"/>
          <w:szCs w:val="28"/>
          <w:lang w:val="ru-RU"/>
        </w:rPr>
      </w:pPr>
      <w:r>
        <w:rPr>
          <w:bCs w:val="1"/>
          <w:sz w:val="28"/>
          <w:szCs w:val="28"/>
          <w:lang w:val="ru-RU"/>
        </w:rPr>
        <w:t>снижение экологических штрафов и трансакционных издержек, связанных с несоблюдением стандартов.</w:t>
      </w:r>
    </w:p>
    <w:p>
      <w:pPr>
        <w:widowControl w:val="0"/>
        <w:spacing w:lineRule="auto" w:line="360" w:after="0" w:beforeAutospacing="0" w:afterAutospacing="0"/>
        <w:ind w:firstLine="709"/>
        <w:jc w:val="both"/>
        <w:rPr>
          <w:rFonts w:ascii="Times New Roman" w:hAnsi="Times New Roman" w:cs="Times New Roman"/>
          <w:bCs w:val="1"/>
          <w:sz w:val="28"/>
          <w:szCs w:val="28"/>
        </w:rPr>
      </w:pPr>
      <w:r>
        <w:rPr>
          <w:rFonts w:ascii="Times New Roman" w:hAnsi="Times New Roman" w:cs="Times New Roman"/>
          <w:bCs w:val="1"/>
          <w:sz w:val="28"/>
          <w:szCs w:val="28"/>
        </w:rPr>
        <w:t>В этом смысле ΔY₉ описывает не только дополнительный выпуск в «зеленых» отраслях, но и избежание потерь ВДС в других кластерах.</w:t>
      </w:r>
    </w:p>
    <w:p>
      <w:pPr>
        <w:widowControl w:val="0"/>
        <w:spacing w:lineRule="auto" w:line="360" w:after="0" w:beforeAutospacing="0" w:afterAutospacing="0"/>
        <w:ind w:firstLine="709"/>
        <w:jc w:val="both"/>
        <w:rPr>
          <w:rFonts w:ascii="Times New Roman" w:hAnsi="Times New Roman" w:cs="Times New Roman"/>
          <w:bCs w:val="1"/>
          <w:sz w:val="28"/>
          <w:szCs w:val="28"/>
        </w:rPr>
      </w:pPr>
      <w:r>
        <w:rPr>
          <w:rFonts w:ascii="Times New Roman" w:hAnsi="Times New Roman" w:cs="Times New Roman"/>
          <w:bCs w:val="1"/>
          <w:sz w:val="28"/>
          <w:szCs w:val="28"/>
        </w:rPr>
        <w:t>В совокупности вектор (ΔY₁,…,ΔY₉) в интегральной модели F(x) характеризует структурно-кластерный профиль прироста ВВП прибрежной зоны в результате реализации инновационного проекта «Берег Восхода». Это позволяет переходить от абстрактного показателя ΔY к содержательно интерпретируемым источникам роста по каждому кластеру платформы.</w:t>
      </w:r>
    </w:p>
    <w:p>
      <w:pPr>
        <w:widowControl w:val="0"/>
        <w:spacing w:lineRule="auto" w:line="360" w:after="0" w:beforeAutospacing="0" w:afterAutospacing="0"/>
        <w:ind w:firstLine="709"/>
        <w:jc w:val="both"/>
        <w:rPr>
          <w:rFonts w:ascii="Times New Roman" w:hAnsi="Times New Roman" w:cs="Times New Roman"/>
          <w:bCs w:val="1"/>
          <w:sz w:val="28"/>
          <w:szCs w:val="28"/>
        </w:rPr>
      </w:pPr>
      <w:r>
        <w:rPr>
          <w:rFonts w:ascii="Times New Roman" w:hAnsi="Times New Roman" w:cs="Times New Roman"/>
          <w:bCs w:val="1"/>
          <w:sz w:val="28"/>
          <w:szCs w:val="28"/>
        </w:rPr>
        <w:t xml:space="preserve">Паспорта по каждому из девяти кластеру платформы инновационного проекта «Берег Восхода» представлены в </w:t>
      </w:r>
      <w:r>
        <w:rPr>
          <w:rFonts w:ascii="Times New Roman" w:hAnsi="Times New Roman" w:cs="Times New Roman"/>
          <w:bCs w:val="1"/>
          <w:sz w:val="28"/>
          <w:szCs w:val="28"/>
          <w:highlight w:val="yellow"/>
        </w:rPr>
        <w:t>Приложении Б.</w:t>
      </w:r>
      <w:r>
        <w:rPr>
          <w:rFonts w:ascii="Times New Roman" w:hAnsi="Times New Roman" w:cs="Times New Roman"/>
          <w:bCs w:val="1"/>
          <w:sz w:val="28"/>
          <w:szCs w:val="28"/>
        </w:rPr>
        <w:t xml:space="preserve"> Их детальный анализ показывает, что кластерная архитектура представляет собой не набор отдельных инвестиционных инициатив, а целостную платформенную систему мультисекторального роста. Каждый кластер имеет собственную экономическую логику, набор целей и показателей, но их совместная реализация формирует интегральный эффект, существенно превосходящий сумму автономных эффектов.</w:t>
      </w:r>
    </w:p>
    <w:p>
      <w:pPr>
        <w:widowControl w:val="0"/>
        <w:spacing w:lineRule="auto" w:line="360" w:after="0" w:beforeAutospacing="0" w:afterAutospacing="0"/>
        <w:ind w:firstLine="709"/>
        <w:jc w:val="both"/>
        <w:rPr>
          <w:rFonts w:ascii="Times New Roman" w:hAnsi="Times New Roman" w:cs="Times New Roman"/>
          <w:bCs w:val="1"/>
          <w:sz w:val="28"/>
          <w:szCs w:val="28"/>
        </w:rPr>
      </w:pPr>
      <w:r>
        <w:rPr>
          <w:rFonts w:ascii="Times New Roman" w:hAnsi="Times New Roman" w:cs="Times New Roman"/>
          <w:bCs w:val="1"/>
          <w:sz w:val="28"/>
          <w:szCs w:val="28"/>
        </w:rPr>
        <w:t>Во-первых, формируется новая структура создания добавленной стоимости. Агропереработка (кластер I) и индустриальный кластер (кластер III) переводят экономику от экспорта сырья к экспорту продукции с высокой добавленной стоимостью, опираясь на портово-логистический хаб (кластер II), энергетический кластер (VI), цифровую платформу (IV) и финансовый кластер (VII). В совокупности это позволяет сформировать устойчивую траекторию роста ВВП и экспорта, согласованную с целями платформенной модели инновационно-инклюзивного развития экономики страны.</w:t>
      </w:r>
    </w:p>
    <w:p>
      <w:pPr>
        <w:widowControl w:val="0"/>
        <w:spacing w:lineRule="auto" w:line="360" w:after="0" w:beforeAutospacing="0" w:afterAutospacing="0"/>
        <w:ind w:firstLine="709"/>
        <w:jc w:val="both"/>
        <w:rPr>
          <w:rFonts w:ascii="Times New Roman" w:hAnsi="Times New Roman" w:cs="Times New Roman"/>
          <w:bCs w:val="1"/>
          <w:sz w:val="28"/>
          <w:szCs w:val="28"/>
        </w:rPr>
      </w:pPr>
      <w:r>
        <w:rPr>
          <w:rFonts w:ascii="Times New Roman" w:hAnsi="Times New Roman" w:cs="Times New Roman"/>
          <w:bCs w:val="1"/>
          <w:sz w:val="28"/>
          <w:szCs w:val="28"/>
        </w:rPr>
        <w:t>Во-вторых, кластеры цифровой платформы (IV), образования и R&amp;D (V), энергетики и ESG (VI) и финансов (VII) образуют функциональный «каркас» проекта, обеспечивающий инфраструктурную, кадровую, энергетическую и финансовую устойчивость мультисекторального роста. Без минимально допустимого уровня их развития (что отражено в ограничениях x</w:t>
      </w:r>
      <w:r>
        <w:rPr>
          <w:rFonts w:ascii="Times New Roman" w:hAnsi="Times New Roman" w:cs="Times New Roman"/>
          <w:bCs w:val="1"/>
          <w:sz w:val="28"/>
          <w:szCs w:val="28"/>
          <w:vertAlign w:val="subscript"/>
        </w:rPr>
        <w:t>4</w:t>
      </w:r>
      <w:r>
        <w:rPr>
          <w:rFonts w:ascii="Times New Roman" w:hAnsi="Times New Roman" w:cs="Times New Roman"/>
          <w:bCs w:val="1"/>
          <w:sz w:val="28"/>
          <w:szCs w:val="28"/>
          <w:vertAlign w:val="superscript"/>
        </w:rPr>
        <w:t>min</w:t>
      </w:r>
      <w:r>
        <w:rPr>
          <w:rFonts w:ascii="Times New Roman" w:hAnsi="Times New Roman" w:cs="Times New Roman"/>
          <w:bCs w:val="1"/>
          <w:sz w:val="28"/>
          <w:szCs w:val="28"/>
        </w:rPr>
        <w:t>, x</w:t>
      </w:r>
      <w:r>
        <w:rPr>
          <w:rFonts w:ascii="Times New Roman" w:hAnsi="Times New Roman" w:cs="Times New Roman"/>
          <w:bCs w:val="1"/>
          <w:sz w:val="28"/>
          <w:szCs w:val="28"/>
          <w:vertAlign w:val="subscript"/>
        </w:rPr>
        <w:t>5</w:t>
      </w:r>
      <w:r>
        <w:rPr>
          <w:rFonts w:ascii="Times New Roman" w:hAnsi="Times New Roman" w:cs="Times New Roman"/>
          <w:bCs w:val="1"/>
          <w:sz w:val="28"/>
          <w:szCs w:val="28"/>
          <w:vertAlign w:val="superscript"/>
        </w:rPr>
        <w:t>min</w:t>
      </w:r>
      <w:r>
        <w:rPr>
          <w:rFonts w:ascii="Times New Roman" w:hAnsi="Times New Roman" w:cs="Times New Roman"/>
          <w:bCs w:val="1"/>
          <w:sz w:val="28"/>
          <w:szCs w:val="28"/>
        </w:rPr>
        <w:t>, x</w:t>
      </w:r>
      <w:r>
        <w:rPr>
          <w:rFonts w:ascii="Times New Roman" w:hAnsi="Times New Roman" w:cs="Times New Roman"/>
          <w:bCs w:val="1"/>
          <w:sz w:val="28"/>
          <w:szCs w:val="28"/>
          <w:vertAlign w:val="subscript"/>
        </w:rPr>
        <w:t>6</w:t>
      </w:r>
      <w:r>
        <w:rPr>
          <w:rFonts w:ascii="Times New Roman" w:hAnsi="Times New Roman" w:cs="Times New Roman"/>
          <w:bCs w:val="1"/>
          <w:sz w:val="28"/>
          <w:szCs w:val="28"/>
          <w:vertAlign w:val="superscript"/>
        </w:rPr>
        <w:t>min</w:t>
      </w:r>
      <w:r>
        <w:rPr>
          <w:rFonts w:ascii="Times New Roman" w:hAnsi="Times New Roman" w:cs="Times New Roman"/>
          <w:bCs w:val="1"/>
          <w:sz w:val="28"/>
          <w:szCs w:val="28"/>
        </w:rPr>
        <w:t>) реализация отраслевых кластеров становится либо невозможной, либо неустойчивой.</w:t>
      </w:r>
    </w:p>
    <w:p>
      <w:pPr>
        <w:widowControl w:val="0"/>
        <w:spacing w:lineRule="auto" w:line="360" w:after="0" w:beforeAutospacing="0" w:afterAutospacing="0"/>
        <w:ind w:firstLine="709"/>
        <w:jc w:val="both"/>
        <w:rPr>
          <w:rFonts w:ascii="Times New Roman" w:hAnsi="Times New Roman" w:cs="Times New Roman"/>
          <w:bCs w:val="1"/>
          <w:sz w:val="28"/>
          <w:szCs w:val="28"/>
        </w:rPr>
      </w:pPr>
      <w:r>
        <w:rPr>
          <w:rFonts w:ascii="Times New Roman" w:hAnsi="Times New Roman" w:cs="Times New Roman"/>
          <w:bCs w:val="1"/>
          <w:sz w:val="28"/>
          <w:szCs w:val="28"/>
        </w:rPr>
        <w:t>В-третьих, социально-инклюзивный и урбанистический кластер (VIII) и экологический и климатический кластер (IX) обеспечивают качество роста: снижение социального и пространственного неравенства, улучшение доступа к базовым услугам, сохранение и восстановление природного капитала прибрежной зоны. Введенные в модели ограничения по земельным ресурсам, экологическим нагрузкам и социальной инфраструктуре позволяют учесть эти аспекты наравне с экономическими показателями.</w:t>
      </w:r>
    </w:p>
    <w:p>
      <w:pPr>
        <w:widowControl w:val="0"/>
        <w:spacing w:lineRule="auto" w:line="360" w:after="0" w:beforeAutospacing="0" w:afterAutospacing="0"/>
        <w:ind w:firstLine="709"/>
        <w:jc w:val="both"/>
        <w:rPr>
          <w:rFonts w:ascii="Times New Roman" w:hAnsi="Times New Roman" w:cs="Times New Roman"/>
          <w:bCs w:val="1"/>
          <w:sz w:val="28"/>
          <w:szCs w:val="28"/>
        </w:rPr>
      </w:pPr>
      <w:r>
        <w:rPr>
          <w:rFonts w:ascii="Times New Roman" w:hAnsi="Times New Roman" w:cs="Times New Roman"/>
          <w:bCs w:val="1"/>
          <w:sz w:val="28"/>
          <w:szCs w:val="28"/>
        </w:rPr>
        <w:t xml:space="preserve">В-четвертых, интегральная целевая функция </w:t>
      </w:r>
      <w:r>
        <w:rPr>
          <w:rFonts w:ascii="Times New Roman" w:hAnsi="Times New Roman" w:cs="Times New Roman"/>
          <w:i w:val="1"/>
          <w:bCs w:val="1"/>
          <w:sz w:val="28"/>
          <w:szCs w:val="28"/>
        </w:rPr>
        <w:t>F(x)</w:t>
      </w:r>
      <w:r>
        <w:rPr>
          <w:rFonts w:ascii="Times New Roman" w:hAnsi="Times New Roman" w:cs="Times New Roman"/>
          <w:bCs w:val="1"/>
          <w:sz w:val="28"/>
          <w:szCs w:val="28"/>
        </w:rPr>
        <w:t xml:space="preserve"> и система кластер-специфических ограничений позволяют перейти от качественного описания кластеров к количественной оценке альтернативных сценариев их развертывания. Это создает основу для сценарного анализа: сравнения «инерционного» сценария, сценария приоритетной поддержки отдельных кластеров (например, агропереработки и логистики) и балансированного сценария, где приоритеты распределяются с учетом мультипликативных эффектов и ограничений по ресурсам и устойчивости.</w:t>
      </w:r>
    </w:p>
    <w:p>
      <w:pPr>
        <w:widowControl w:val="0"/>
        <w:spacing w:lineRule="auto" w:line="360" w:after="0" w:beforeAutospacing="0" w:afterAutospacing="0"/>
        <w:ind w:firstLine="709"/>
        <w:jc w:val="both"/>
        <w:rPr>
          <w:rFonts w:ascii="Times New Roman" w:hAnsi="Times New Roman" w:cs="Times New Roman"/>
          <w:bCs w:val="1"/>
          <w:sz w:val="28"/>
          <w:szCs w:val="28"/>
        </w:rPr>
      </w:pPr>
      <w:r>
        <w:rPr>
          <w:rFonts w:ascii="Times New Roman" w:hAnsi="Times New Roman" w:cs="Times New Roman"/>
          <w:bCs w:val="1"/>
          <w:sz w:val="28"/>
          <w:szCs w:val="28"/>
        </w:rPr>
        <w:t>В-пятых, кластерная архитектура инновационного проекта «Берега Восхода» демонстрирует, что стимулирование роста ВВП не может рассматриваться в отрыве от развития человеческого капитала, качества институтов, состояния инфраструктуры и природного капитала. В этом смысле представленные кластеры являются не просто «бенефициарами» макроэкономической динамики, но активными драйверами структурной трансформации, задающими новые траектории инновационно-инклюзивного развития прибрежной зоны Республики Кот-д’Ивуар.</w:t>
      </w:r>
    </w:p>
    <w:p>
      <w:pPr>
        <w:widowControl w:val="0"/>
        <w:spacing w:lineRule="auto" w:line="360" w:after="0" w:beforeAutospacing="0" w:afterAutospacing="0"/>
        <w:ind w:firstLine="709"/>
        <w:jc w:val="both"/>
        <w:rPr>
          <w:rFonts w:ascii="Times New Roman" w:hAnsi="Times New Roman" w:cs="Times New Roman"/>
          <w:bCs w:val="1"/>
          <w:sz w:val="28"/>
          <w:szCs w:val="28"/>
        </w:rPr>
      </w:pPr>
      <w:r>
        <w:rPr>
          <w:rFonts w:ascii="Times New Roman" w:hAnsi="Times New Roman" w:cs="Times New Roman"/>
          <w:bCs w:val="1"/>
          <w:sz w:val="28"/>
          <w:szCs w:val="28"/>
        </w:rPr>
        <w:t xml:space="preserve">Интеграция результатов по девяти кластерам позволяет сформулировать целевую матрицу показателей инновационного проекта «Берег Восхода» к 2035 году по пяти измерениям: ВВП, занятость, экспорт, энергетика и цифровизация (таблица </w:t>
      </w:r>
      <w:r>
        <w:rPr>
          <w:rFonts w:ascii="Times New Roman" w:hAnsi="Times New Roman" w:cs="Times New Roman"/>
          <w:bCs w:val="1"/>
          <w:sz w:val="28"/>
          <w:szCs w:val="28"/>
          <w:highlight w:val="yellow"/>
        </w:rPr>
        <w:t>6</w:t>
      </w:r>
      <w:r>
        <w:rPr>
          <w:rFonts w:ascii="Times New Roman" w:hAnsi="Times New Roman" w:cs="Times New Roman"/>
          <w:bCs w:val="1"/>
          <w:sz w:val="28"/>
          <w:szCs w:val="28"/>
        </w:rPr>
        <w:t xml:space="preserve">). </w:t>
      </w:r>
    </w:p>
    <w:p>
      <w:pPr>
        <w:widowControl w:val="0"/>
        <w:spacing w:lineRule="auto" w:line="360" w:after="0" w:beforeAutospacing="0" w:afterAutospacing="0"/>
        <w:ind w:firstLine="709"/>
        <w:jc w:val="both"/>
        <w:rPr>
          <w:rFonts w:ascii="Times New Roman" w:hAnsi="Times New Roman" w:cs="Times New Roman"/>
          <w:bCs w:val="1"/>
          <w:sz w:val="28"/>
          <w:szCs w:val="28"/>
        </w:rPr>
      </w:pPr>
    </w:p>
    <w:p>
      <w:pPr>
        <w:widowControl w:val="0"/>
        <w:spacing w:lineRule="auto" w:line="360" w:after="0" w:beforeAutospacing="0" w:afterAutospacing="0"/>
        <w:jc w:val="both"/>
        <w:rPr>
          <w:rFonts w:ascii="Times New Roman" w:hAnsi="Times New Roman" w:cs="Times New Roman"/>
          <w:bCs w:val="1"/>
          <w:sz w:val="28"/>
          <w:szCs w:val="28"/>
        </w:rPr>
      </w:pPr>
      <w:r>
        <w:rPr>
          <w:rFonts w:ascii="Times New Roman" w:hAnsi="Times New Roman" w:cs="Times New Roman"/>
          <w:bCs w:val="1"/>
          <w:sz w:val="28"/>
          <w:szCs w:val="28"/>
        </w:rPr>
        <w:t xml:space="preserve">Таблица </w:t>
      </w:r>
      <w:r>
        <w:rPr>
          <w:rFonts w:ascii="Times New Roman" w:hAnsi="Times New Roman" w:cs="Times New Roman"/>
          <w:bCs w:val="1"/>
          <w:sz w:val="28"/>
          <w:szCs w:val="28"/>
          <w:highlight w:val="yellow"/>
        </w:rPr>
        <w:t>6</w:t>
      </w:r>
      <w:r>
        <w:rPr>
          <w:rFonts w:ascii="Times New Roman" w:hAnsi="Times New Roman" w:cs="Times New Roman"/>
          <w:bCs w:val="1"/>
          <w:sz w:val="28"/>
          <w:szCs w:val="28"/>
        </w:rPr>
        <w:t xml:space="preserve"> – Целевые показатели инновационного проекта «Берег Восхода» по стратегическим альтернативам развития к 2035 г.</w:t>
      </w:r>
      <w:r>
        <w:rPr>
          <w:rStyle w:val="C42"/>
          <w:rFonts w:ascii="Times New Roman" w:hAnsi="Times New Roman" w:cs="Times New Roman"/>
          <w:bCs w:val="1"/>
          <w:sz w:val="28"/>
          <w:szCs w:val="28"/>
        </w:rPr>
        <w:footnoteReference w:id="117"/>
      </w:r>
    </w:p>
    <w:tbl>
      <w:tblPr>
        <w:tblStyle w:val="T3"/>
        <w:tblW w:w="0" w:type="auto"/>
        <w:tblLayout w:type="fixed"/>
        <w:tblLook w:val="04A0"/>
      </w:tblPr>
      <w:tblGrid>
        <w:gridCol w:w="2830"/>
        <w:gridCol w:w="1094"/>
        <w:gridCol w:w="1454"/>
        <w:gridCol w:w="1746"/>
        <w:gridCol w:w="1600"/>
        <w:gridCol w:w="1157"/>
      </w:tblGrid>
      <w:tr>
        <w:trPr>
          <w:trHeight w:hRule="atLeast" w:val="265"/>
        </w:trPr>
        <w:tc>
          <w:tcPr>
            <w:tcW w:w="2830" w:type="dxa"/>
            <w:vMerge w:val="restart"/>
            <w:hideMark/>
          </w:tcPr>
          <w:p>
            <w:pPr>
              <w:jc w:val="center"/>
              <w:rPr>
                <w:rFonts w:ascii="Times New Roman" w:hAnsi="Times New Roman" w:cs="Times New Roman" w:eastAsia="Times New Roman"/>
                <w:bCs w:val="1"/>
                <w:sz w:val="24"/>
                <w:szCs w:val="24"/>
                <w:lang w:eastAsia="ru-RU"/>
              </w:rPr>
            </w:pPr>
            <w:r>
              <w:rPr>
                <w:rFonts w:ascii="Times New Roman" w:hAnsi="Times New Roman" w:cs="Times New Roman" w:eastAsia="Times New Roman"/>
                <w:bCs w:val="1"/>
                <w:sz w:val="24"/>
                <w:szCs w:val="24"/>
                <w:lang w:eastAsia="ru-RU"/>
              </w:rPr>
              <w:t>Показатель</w:t>
            </w:r>
          </w:p>
        </w:tc>
        <w:tc>
          <w:tcPr>
            <w:tcW w:w="1094" w:type="dxa"/>
            <w:vMerge w:val="restart"/>
            <w:hideMark/>
          </w:tcPr>
          <w:p>
            <w:pPr>
              <w:jc w:val="center"/>
              <w:rPr>
                <w:rFonts w:ascii="Times New Roman" w:hAnsi="Times New Roman" w:cs="Times New Roman" w:eastAsia="Times New Roman"/>
                <w:bCs w:val="1"/>
                <w:sz w:val="24"/>
                <w:szCs w:val="24"/>
                <w:lang w:eastAsia="ru-RU"/>
              </w:rPr>
            </w:pPr>
            <w:r>
              <w:rPr>
                <w:rFonts w:ascii="Times New Roman" w:hAnsi="Times New Roman" w:cs="Times New Roman" w:eastAsia="Times New Roman"/>
                <w:bCs w:val="1"/>
                <w:sz w:val="24"/>
                <w:szCs w:val="24"/>
                <w:lang w:eastAsia="ru-RU"/>
              </w:rPr>
              <w:t>Базовый период (2025 г.)</w:t>
            </w:r>
          </w:p>
        </w:tc>
        <w:tc>
          <w:tcPr>
            <w:tcW w:w="4800" w:type="dxa"/>
            <w:gridSpan w:val="3"/>
          </w:tcPr>
          <w:p>
            <w:pPr>
              <w:jc w:val="center"/>
              <w:rPr>
                <w:rFonts w:ascii="Times New Roman" w:hAnsi="Times New Roman" w:cs="Times New Roman" w:eastAsia="Times New Roman"/>
                <w:bCs w:val="1"/>
                <w:sz w:val="24"/>
                <w:szCs w:val="24"/>
                <w:lang w:eastAsia="ru-RU"/>
              </w:rPr>
            </w:pPr>
            <w:r>
              <w:rPr>
                <w:rFonts w:ascii="Times New Roman" w:hAnsi="Times New Roman" w:cs="Times New Roman"/>
                <w:sz w:val="24"/>
                <w:szCs w:val="24"/>
              </w:rPr>
              <w:t>Стратегия развития к 2035 г.</w:t>
            </w:r>
          </w:p>
        </w:tc>
        <w:tc>
          <w:tcPr>
            <w:tcW w:w="1157" w:type="dxa"/>
            <w:vMerge w:val="restart"/>
            <w:hideMark/>
          </w:tcPr>
          <w:p>
            <w:pPr>
              <w:ind w:left="-108" w:right="-114"/>
              <w:jc w:val="center"/>
              <w:rPr>
                <w:rFonts w:ascii="Times New Roman" w:hAnsi="Times New Roman" w:cs="Times New Roman" w:eastAsia="Times New Roman"/>
                <w:bCs w:val="1"/>
                <w:sz w:val="24"/>
                <w:szCs w:val="24"/>
                <w:lang w:eastAsia="ru-RU"/>
              </w:rPr>
            </w:pPr>
            <w:r>
              <w:rPr>
                <w:rFonts w:ascii="Times New Roman" w:hAnsi="Times New Roman" w:cs="Times New Roman" w:eastAsia="Times New Roman"/>
                <w:bCs w:val="1"/>
                <w:sz w:val="24"/>
                <w:szCs w:val="24"/>
                <w:lang w:eastAsia="ru-RU"/>
              </w:rPr>
              <w:t xml:space="preserve">Изменение </w:t>
            </w:r>
          </w:p>
          <w:p>
            <w:pPr>
              <w:jc w:val="center"/>
              <w:rPr>
                <w:rFonts w:ascii="Times New Roman" w:hAnsi="Times New Roman" w:cs="Times New Roman" w:eastAsia="Times New Roman"/>
                <w:bCs w:val="1"/>
                <w:sz w:val="24"/>
                <w:szCs w:val="24"/>
                <w:lang w:eastAsia="ru-RU"/>
              </w:rPr>
            </w:pPr>
          </w:p>
        </w:tc>
      </w:tr>
      <w:tr>
        <w:trPr>
          <w:trHeight w:hRule="atLeast" w:val="825"/>
        </w:trPr>
        <w:tc>
          <w:tcPr>
            <w:tcW w:w="2830" w:type="dxa"/>
            <w:vMerge w:val="continue"/>
          </w:tcPr>
          <w:p>
            <w:pPr>
              <w:jc w:val="center"/>
              <w:rPr>
                <w:rFonts w:ascii="Times New Roman" w:hAnsi="Times New Roman" w:cs="Times New Roman" w:eastAsia="Times New Roman"/>
                <w:bCs w:val="1"/>
                <w:sz w:val="24"/>
                <w:szCs w:val="24"/>
                <w:lang w:eastAsia="ru-RU"/>
              </w:rPr>
            </w:pPr>
          </w:p>
        </w:tc>
        <w:tc>
          <w:tcPr>
            <w:tcW w:w="1094" w:type="dxa"/>
            <w:vMerge w:val="continue"/>
          </w:tcPr>
          <w:p>
            <w:pPr>
              <w:jc w:val="center"/>
              <w:rPr>
                <w:rFonts w:ascii="Times New Roman" w:hAnsi="Times New Roman" w:cs="Times New Roman" w:eastAsia="Times New Roman"/>
                <w:bCs w:val="1"/>
                <w:sz w:val="24"/>
                <w:szCs w:val="24"/>
                <w:lang w:eastAsia="ru-RU"/>
              </w:rPr>
            </w:pPr>
          </w:p>
        </w:tc>
        <w:tc>
          <w:tcPr>
            <w:tcW w:w="1454" w:type="dxa"/>
          </w:tcPr>
          <w:p>
            <w:pPr>
              <w:jc w:val="center"/>
              <w:rPr>
                <w:rFonts w:ascii="Times New Roman" w:hAnsi="Times New Roman" w:cs="Times New Roman" w:eastAsia="Times New Roman"/>
                <w:bCs w:val="1"/>
                <w:sz w:val="24"/>
                <w:szCs w:val="24"/>
                <w:lang w:eastAsia="ru-RU"/>
              </w:rPr>
            </w:pPr>
            <w:r>
              <w:rPr>
                <w:rFonts w:ascii="Times New Roman" w:hAnsi="Times New Roman" w:cs="Times New Roman" w:eastAsia="Times New Roman"/>
                <w:bCs w:val="1"/>
                <w:sz w:val="24"/>
                <w:szCs w:val="24"/>
                <w:lang w:eastAsia="ru-RU"/>
              </w:rPr>
              <w:t>Экстенсив-ная</w:t>
            </w:r>
          </w:p>
        </w:tc>
        <w:tc>
          <w:tcPr>
            <w:tcW w:w="1746" w:type="dxa"/>
          </w:tcPr>
          <w:p>
            <w:pPr>
              <w:jc w:val="center"/>
              <w:rPr>
                <w:rFonts w:ascii="Times New Roman" w:hAnsi="Times New Roman" w:cs="Times New Roman" w:eastAsia="Times New Roman"/>
                <w:bCs w:val="1"/>
                <w:sz w:val="24"/>
                <w:szCs w:val="24"/>
                <w:lang w:eastAsia="ru-RU"/>
              </w:rPr>
            </w:pPr>
            <w:r>
              <w:rPr>
                <w:rFonts w:ascii="Times New Roman" w:hAnsi="Times New Roman" w:cs="Times New Roman" w:eastAsia="Times New Roman"/>
                <w:bCs w:val="1"/>
                <w:sz w:val="24"/>
                <w:szCs w:val="24"/>
                <w:lang w:eastAsia="ru-RU"/>
              </w:rPr>
              <w:t>Частичная кластери-зация</w:t>
            </w:r>
          </w:p>
        </w:tc>
        <w:tc>
          <w:tcPr>
            <w:tcW w:w="1600" w:type="dxa"/>
          </w:tcPr>
          <w:p>
            <w:pPr>
              <w:ind w:right="-108"/>
              <w:jc w:val="center"/>
              <w:rPr>
                <w:rFonts w:ascii="Times New Roman" w:hAnsi="Times New Roman" w:cs="Times New Roman" w:eastAsia="Times New Roman"/>
                <w:bCs w:val="1"/>
                <w:sz w:val="24"/>
                <w:szCs w:val="24"/>
                <w:lang w:eastAsia="ru-RU"/>
              </w:rPr>
            </w:pPr>
            <w:r>
              <w:rPr>
                <w:rFonts w:ascii="Times New Roman" w:hAnsi="Times New Roman" w:cs="Times New Roman" w:eastAsia="Times New Roman"/>
                <w:bCs w:val="1"/>
                <w:sz w:val="24"/>
                <w:szCs w:val="24"/>
                <w:lang w:eastAsia="ru-RU"/>
              </w:rPr>
              <w:t>Платформен-</w:t>
            </w:r>
          </w:p>
          <w:p>
            <w:pPr>
              <w:ind w:right="-108"/>
              <w:jc w:val="center"/>
              <w:rPr>
                <w:rFonts w:ascii="Times New Roman" w:hAnsi="Times New Roman" w:cs="Times New Roman" w:eastAsia="Times New Roman"/>
                <w:bCs w:val="1"/>
                <w:sz w:val="24"/>
                <w:szCs w:val="24"/>
                <w:lang w:eastAsia="ru-RU"/>
              </w:rPr>
            </w:pPr>
            <w:r>
              <w:rPr>
                <w:rFonts w:ascii="Times New Roman" w:hAnsi="Times New Roman" w:cs="Times New Roman" w:eastAsia="Times New Roman"/>
                <w:bCs w:val="1"/>
                <w:sz w:val="24"/>
                <w:szCs w:val="24"/>
                <w:lang w:eastAsia="ru-RU"/>
              </w:rPr>
              <w:t>ная экосистема</w:t>
            </w:r>
          </w:p>
        </w:tc>
        <w:tc>
          <w:tcPr>
            <w:tcW w:w="1157" w:type="dxa"/>
            <w:vMerge w:val="continue"/>
          </w:tcPr>
          <w:p>
            <w:pPr>
              <w:jc w:val="center"/>
              <w:rPr>
                <w:rFonts w:ascii="Times New Roman" w:hAnsi="Times New Roman" w:cs="Times New Roman" w:eastAsia="Times New Roman"/>
                <w:bCs w:val="1"/>
                <w:sz w:val="24"/>
                <w:szCs w:val="24"/>
                <w:lang w:eastAsia="ru-RU"/>
              </w:rPr>
            </w:pPr>
          </w:p>
        </w:tc>
      </w:tr>
      <w:tr>
        <w:trPr>
          <w:trHeight w:hRule="atLeast" w:val="265"/>
        </w:trPr>
        <w:tc>
          <w:tcPr>
            <w:tcW w:w="2830"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bCs w:val="1"/>
                <w:sz w:val="24"/>
                <w:szCs w:val="24"/>
                <w:lang w:eastAsia="ru-RU"/>
              </w:rPr>
              <w:t>ВВП, млрд долл.</w:t>
            </w:r>
          </w:p>
        </w:tc>
        <w:tc>
          <w:tcPr>
            <w:tcW w:w="1094" w:type="dxa"/>
            <w:hideMark/>
          </w:tcPr>
          <w:p>
            <w:pPr>
              <w:jc w:val="cente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96</w:t>
            </w:r>
          </w:p>
        </w:tc>
        <w:tc>
          <w:tcPr>
            <w:tcW w:w="1454" w:type="dxa"/>
            <w:hideMark/>
          </w:tcPr>
          <w:p>
            <w:pPr>
              <w:jc w:val="cente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178,5</w:t>
            </w:r>
          </w:p>
        </w:tc>
        <w:tc>
          <w:tcPr>
            <w:tcW w:w="1746" w:type="dxa"/>
            <w:hideMark/>
          </w:tcPr>
          <w:p>
            <w:pPr>
              <w:jc w:val="cente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188,0</w:t>
            </w:r>
          </w:p>
        </w:tc>
        <w:tc>
          <w:tcPr>
            <w:tcW w:w="1600" w:type="dxa"/>
            <w:hideMark/>
          </w:tcPr>
          <w:p>
            <w:pPr>
              <w:jc w:val="center"/>
              <w:rPr>
                <w:rFonts w:ascii="Times New Roman" w:hAnsi="Times New Roman" w:cs="Times New Roman" w:eastAsia="Times New Roman"/>
                <w:sz w:val="24"/>
                <w:szCs w:val="24"/>
                <w:lang w:eastAsia="ru-RU"/>
              </w:rPr>
            </w:pPr>
            <w:r>
              <w:rPr>
                <w:rFonts w:ascii="Times New Roman" w:hAnsi="Times New Roman" w:cs="Times New Roman" w:eastAsia="Times New Roman"/>
                <w:bCs w:val="1"/>
                <w:sz w:val="24"/>
                <w:szCs w:val="24"/>
                <w:lang w:eastAsia="ru-RU"/>
              </w:rPr>
              <w:t>234,8</w:t>
            </w:r>
          </w:p>
        </w:tc>
        <w:tc>
          <w:tcPr>
            <w:tcW w:w="1157" w:type="dxa"/>
            <w:hideMark/>
          </w:tcPr>
          <w:p>
            <w:pPr>
              <w:jc w:val="cente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+144,6%</w:t>
            </w:r>
          </w:p>
        </w:tc>
      </w:tr>
      <w:tr>
        <w:trPr>
          <w:trHeight w:hRule="atLeast" w:val="1076"/>
        </w:trPr>
        <w:tc>
          <w:tcPr>
            <w:tcW w:w="2830"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Дополнительная добавленная стоимость от платформы, млрд долл.</w:t>
            </w:r>
          </w:p>
        </w:tc>
        <w:tc>
          <w:tcPr>
            <w:tcW w:w="1094" w:type="dxa"/>
            <w:hideMark/>
          </w:tcPr>
          <w:p>
            <w:pPr>
              <w:jc w:val="cente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w:t>
            </w:r>
          </w:p>
        </w:tc>
        <w:tc>
          <w:tcPr>
            <w:tcW w:w="1454" w:type="dxa"/>
            <w:hideMark/>
          </w:tcPr>
          <w:p>
            <w:pPr>
              <w:jc w:val="cente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w:t>
            </w:r>
          </w:p>
        </w:tc>
        <w:tc>
          <w:tcPr>
            <w:tcW w:w="1746" w:type="dxa"/>
            <w:hideMark/>
          </w:tcPr>
          <w:p>
            <w:pPr>
              <w:jc w:val="cente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9,5</w:t>
            </w:r>
          </w:p>
        </w:tc>
        <w:tc>
          <w:tcPr>
            <w:tcW w:w="1600" w:type="dxa"/>
            <w:hideMark/>
          </w:tcPr>
          <w:p>
            <w:pPr>
              <w:jc w:val="center"/>
              <w:rPr>
                <w:rFonts w:ascii="Times New Roman" w:hAnsi="Times New Roman" w:cs="Times New Roman" w:eastAsia="Times New Roman"/>
                <w:sz w:val="24"/>
                <w:szCs w:val="24"/>
                <w:lang w:eastAsia="ru-RU"/>
              </w:rPr>
            </w:pPr>
            <w:r>
              <w:rPr>
                <w:rFonts w:ascii="Times New Roman" w:hAnsi="Times New Roman" w:cs="Times New Roman" w:eastAsia="Times New Roman"/>
                <w:bCs w:val="1"/>
                <w:sz w:val="24"/>
                <w:szCs w:val="24"/>
                <w:lang w:eastAsia="ru-RU"/>
              </w:rPr>
              <w:t>56,3</w:t>
            </w:r>
          </w:p>
        </w:tc>
        <w:tc>
          <w:tcPr>
            <w:tcW w:w="1157" w:type="dxa"/>
            <w:hideMark/>
          </w:tcPr>
          <w:p>
            <w:pPr>
              <w:jc w:val="center"/>
              <w:rPr>
                <w:rFonts w:ascii="Times New Roman" w:hAnsi="Times New Roman" w:cs="Times New Roman" w:eastAsia="Times New Roman"/>
                <w:sz w:val="24"/>
                <w:szCs w:val="24"/>
                <w:lang w:eastAsia="ru-RU"/>
              </w:rPr>
            </w:pPr>
            <w:r>
              <w:rPr>
                <w:rFonts w:ascii="Times New Roman" w:hAnsi="Times New Roman" w:cs="Times New Roman" w:eastAsia="Times New Roman"/>
                <w:bCs w:val="1"/>
                <w:sz w:val="24"/>
                <w:szCs w:val="24"/>
                <w:lang w:eastAsia="ru-RU"/>
              </w:rPr>
              <w:t xml:space="preserve">+56,3 </w:t>
            </w:r>
            <w:r>
              <w:rPr>
                <w:rFonts w:ascii="Times New Roman" w:hAnsi="Times New Roman" w:cs="Times New Roman" w:eastAsia="Times New Roman"/>
                <w:sz w:val="24"/>
                <w:szCs w:val="24"/>
                <w:lang w:eastAsia="ru-RU"/>
              </w:rPr>
              <w:t>млрд долл.</w:t>
            </w:r>
          </w:p>
        </w:tc>
      </w:tr>
      <w:tr>
        <w:trPr>
          <w:trHeight w:hRule="atLeast" w:val="328"/>
        </w:trPr>
        <w:tc>
          <w:tcPr>
            <w:tcW w:w="2830" w:type="dxa"/>
            <w:hideMark/>
          </w:tcPr>
          <w:p>
            <w:pPr>
              <w:ind w:left="-113" w:right="-250"/>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Доля переработки какао, %</w:t>
            </w:r>
          </w:p>
        </w:tc>
        <w:tc>
          <w:tcPr>
            <w:tcW w:w="1094" w:type="dxa"/>
            <w:hideMark/>
          </w:tcPr>
          <w:p>
            <w:pPr>
              <w:jc w:val="cente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35</w:t>
            </w:r>
          </w:p>
        </w:tc>
        <w:tc>
          <w:tcPr>
            <w:tcW w:w="1454" w:type="dxa"/>
            <w:hideMark/>
          </w:tcPr>
          <w:p>
            <w:pPr>
              <w:jc w:val="cente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40</w:t>
            </w:r>
          </w:p>
        </w:tc>
        <w:tc>
          <w:tcPr>
            <w:tcW w:w="1746" w:type="dxa"/>
            <w:hideMark/>
          </w:tcPr>
          <w:p>
            <w:pPr>
              <w:jc w:val="cente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55</w:t>
            </w:r>
          </w:p>
        </w:tc>
        <w:tc>
          <w:tcPr>
            <w:tcW w:w="1600" w:type="dxa"/>
            <w:hideMark/>
          </w:tcPr>
          <w:p>
            <w:pPr>
              <w:jc w:val="center"/>
              <w:rPr>
                <w:rFonts w:ascii="Times New Roman" w:hAnsi="Times New Roman" w:cs="Times New Roman" w:eastAsia="Times New Roman"/>
                <w:sz w:val="24"/>
                <w:szCs w:val="24"/>
                <w:lang w:eastAsia="ru-RU"/>
              </w:rPr>
            </w:pPr>
            <w:r>
              <w:rPr>
                <w:rFonts w:ascii="Times New Roman" w:hAnsi="Times New Roman" w:cs="Times New Roman" w:eastAsia="Times New Roman"/>
                <w:bCs w:val="1"/>
                <w:sz w:val="24"/>
                <w:szCs w:val="24"/>
                <w:lang w:eastAsia="ru-RU"/>
              </w:rPr>
              <w:t>75</w:t>
            </w:r>
          </w:p>
        </w:tc>
        <w:tc>
          <w:tcPr>
            <w:tcW w:w="1157" w:type="dxa"/>
            <w:hideMark/>
          </w:tcPr>
          <w:p>
            <w:pPr>
              <w:jc w:val="cente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+40 п.п.</w:t>
            </w:r>
          </w:p>
        </w:tc>
      </w:tr>
      <w:tr>
        <w:trPr>
          <w:trHeight w:hRule="atLeast" w:val="321"/>
        </w:trPr>
        <w:tc>
          <w:tcPr>
            <w:tcW w:w="2830" w:type="dxa"/>
            <w:hideMark/>
          </w:tcPr>
          <w:p>
            <w:pPr>
              <w:ind w:right="-320"/>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Грузооборот порта, млн т.</w:t>
            </w:r>
          </w:p>
        </w:tc>
        <w:tc>
          <w:tcPr>
            <w:tcW w:w="1094" w:type="dxa"/>
            <w:hideMark/>
          </w:tcPr>
          <w:p>
            <w:pPr>
              <w:jc w:val="cente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31</w:t>
            </w:r>
          </w:p>
        </w:tc>
        <w:tc>
          <w:tcPr>
            <w:tcW w:w="1454" w:type="dxa"/>
            <w:hideMark/>
          </w:tcPr>
          <w:p>
            <w:pPr>
              <w:jc w:val="cente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35</w:t>
            </w:r>
          </w:p>
        </w:tc>
        <w:tc>
          <w:tcPr>
            <w:tcW w:w="1746" w:type="dxa"/>
            <w:hideMark/>
          </w:tcPr>
          <w:p>
            <w:pPr>
              <w:jc w:val="cente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40</w:t>
            </w:r>
          </w:p>
        </w:tc>
        <w:tc>
          <w:tcPr>
            <w:tcW w:w="1600" w:type="dxa"/>
            <w:hideMark/>
          </w:tcPr>
          <w:p>
            <w:pPr>
              <w:jc w:val="center"/>
              <w:rPr>
                <w:rFonts w:ascii="Times New Roman" w:hAnsi="Times New Roman" w:cs="Times New Roman" w:eastAsia="Times New Roman"/>
                <w:sz w:val="24"/>
                <w:szCs w:val="24"/>
                <w:lang w:eastAsia="ru-RU"/>
              </w:rPr>
            </w:pPr>
            <w:r>
              <w:rPr>
                <w:rFonts w:ascii="Times New Roman" w:hAnsi="Times New Roman" w:cs="Times New Roman" w:eastAsia="Times New Roman"/>
                <w:bCs w:val="1"/>
                <w:sz w:val="24"/>
                <w:szCs w:val="24"/>
                <w:lang w:eastAsia="ru-RU"/>
              </w:rPr>
              <w:t>52</w:t>
            </w:r>
          </w:p>
        </w:tc>
        <w:tc>
          <w:tcPr>
            <w:tcW w:w="1157" w:type="dxa"/>
            <w:hideMark/>
          </w:tcPr>
          <w:p>
            <w:pPr>
              <w:jc w:val="cente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+68%</w:t>
            </w:r>
          </w:p>
        </w:tc>
      </w:tr>
      <w:tr>
        <w:trPr>
          <w:trHeight w:hRule="atLeast" w:val="545"/>
        </w:trPr>
        <w:tc>
          <w:tcPr>
            <w:tcW w:w="2830"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Экспорт готовой продукции, млрд долл.</w:t>
            </w:r>
          </w:p>
        </w:tc>
        <w:tc>
          <w:tcPr>
            <w:tcW w:w="1094" w:type="dxa"/>
            <w:hideMark/>
          </w:tcPr>
          <w:p>
            <w:pPr>
              <w:jc w:val="cente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1,5</w:t>
            </w:r>
          </w:p>
        </w:tc>
        <w:tc>
          <w:tcPr>
            <w:tcW w:w="1454" w:type="dxa"/>
            <w:hideMark/>
          </w:tcPr>
          <w:p>
            <w:pPr>
              <w:jc w:val="cente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2,0</w:t>
            </w:r>
          </w:p>
        </w:tc>
        <w:tc>
          <w:tcPr>
            <w:tcW w:w="1746" w:type="dxa"/>
            <w:hideMark/>
          </w:tcPr>
          <w:p>
            <w:pPr>
              <w:jc w:val="cente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4,0</w:t>
            </w:r>
          </w:p>
        </w:tc>
        <w:tc>
          <w:tcPr>
            <w:tcW w:w="1600" w:type="dxa"/>
            <w:hideMark/>
          </w:tcPr>
          <w:p>
            <w:pPr>
              <w:jc w:val="center"/>
              <w:rPr>
                <w:rFonts w:ascii="Times New Roman" w:hAnsi="Times New Roman" w:cs="Times New Roman" w:eastAsia="Times New Roman"/>
                <w:sz w:val="24"/>
                <w:szCs w:val="24"/>
                <w:lang w:eastAsia="ru-RU"/>
              </w:rPr>
            </w:pPr>
            <w:r>
              <w:rPr>
                <w:rFonts w:ascii="Times New Roman" w:hAnsi="Times New Roman" w:cs="Times New Roman" w:eastAsia="Times New Roman"/>
                <w:bCs w:val="1"/>
                <w:sz w:val="24"/>
                <w:szCs w:val="24"/>
                <w:lang w:eastAsia="ru-RU"/>
              </w:rPr>
              <w:t>6,0</w:t>
            </w:r>
          </w:p>
        </w:tc>
        <w:tc>
          <w:tcPr>
            <w:tcW w:w="1157" w:type="dxa"/>
            <w:hideMark/>
          </w:tcPr>
          <w:p>
            <w:pPr>
              <w:jc w:val="cente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4 р.</w:t>
            </w:r>
          </w:p>
        </w:tc>
      </w:tr>
      <w:tr>
        <w:trPr>
          <w:trHeight w:hRule="atLeast" w:val="530"/>
        </w:trPr>
        <w:tc>
          <w:tcPr>
            <w:tcW w:w="2830"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Цифровые услуги в экспорте, млрд долл.</w:t>
            </w:r>
          </w:p>
        </w:tc>
        <w:tc>
          <w:tcPr>
            <w:tcW w:w="1094" w:type="dxa"/>
            <w:hideMark/>
          </w:tcPr>
          <w:p>
            <w:pPr>
              <w:jc w:val="cente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0,4</w:t>
            </w:r>
          </w:p>
        </w:tc>
        <w:tc>
          <w:tcPr>
            <w:tcW w:w="1454" w:type="dxa"/>
            <w:hideMark/>
          </w:tcPr>
          <w:p>
            <w:pPr>
              <w:jc w:val="cente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0,5</w:t>
            </w:r>
          </w:p>
        </w:tc>
        <w:tc>
          <w:tcPr>
            <w:tcW w:w="1746" w:type="dxa"/>
            <w:hideMark/>
          </w:tcPr>
          <w:p>
            <w:pPr>
              <w:jc w:val="cente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2,0</w:t>
            </w:r>
          </w:p>
        </w:tc>
        <w:tc>
          <w:tcPr>
            <w:tcW w:w="1600" w:type="dxa"/>
            <w:hideMark/>
          </w:tcPr>
          <w:p>
            <w:pPr>
              <w:jc w:val="center"/>
              <w:rPr>
                <w:rFonts w:ascii="Times New Roman" w:hAnsi="Times New Roman" w:cs="Times New Roman" w:eastAsia="Times New Roman"/>
                <w:sz w:val="24"/>
                <w:szCs w:val="24"/>
                <w:lang w:eastAsia="ru-RU"/>
              </w:rPr>
            </w:pPr>
            <w:r>
              <w:rPr>
                <w:rFonts w:ascii="Times New Roman" w:hAnsi="Times New Roman" w:cs="Times New Roman" w:eastAsia="Times New Roman"/>
                <w:bCs w:val="1"/>
                <w:sz w:val="24"/>
                <w:szCs w:val="24"/>
                <w:lang w:eastAsia="ru-RU"/>
              </w:rPr>
              <w:t>3,5</w:t>
            </w:r>
          </w:p>
        </w:tc>
        <w:tc>
          <w:tcPr>
            <w:tcW w:w="1157" w:type="dxa"/>
            <w:hideMark/>
          </w:tcPr>
          <w:p>
            <w:pPr>
              <w:jc w:val="cente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8,8 р.</w:t>
            </w:r>
          </w:p>
        </w:tc>
      </w:tr>
      <w:tr>
        <w:trPr>
          <w:trHeight w:hRule="atLeast" w:val="545"/>
        </w:trPr>
        <w:tc>
          <w:tcPr>
            <w:tcW w:w="2830"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Дополнительные рабочие места, тыс.чел.</w:t>
            </w:r>
          </w:p>
        </w:tc>
        <w:tc>
          <w:tcPr>
            <w:tcW w:w="1094" w:type="dxa"/>
            <w:hideMark/>
          </w:tcPr>
          <w:p>
            <w:pPr>
              <w:jc w:val="cente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w:t>
            </w:r>
          </w:p>
        </w:tc>
        <w:tc>
          <w:tcPr>
            <w:tcW w:w="1454" w:type="dxa"/>
            <w:hideMark/>
          </w:tcPr>
          <w:p>
            <w:pPr>
              <w:jc w:val="cente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50</w:t>
            </w:r>
          </w:p>
        </w:tc>
        <w:tc>
          <w:tcPr>
            <w:tcW w:w="1746" w:type="dxa"/>
            <w:hideMark/>
          </w:tcPr>
          <w:p>
            <w:pPr>
              <w:jc w:val="cente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120</w:t>
            </w:r>
          </w:p>
        </w:tc>
        <w:tc>
          <w:tcPr>
            <w:tcW w:w="1600" w:type="dxa"/>
            <w:hideMark/>
          </w:tcPr>
          <w:p>
            <w:pPr>
              <w:jc w:val="center"/>
              <w:rPr>
                <w:rFonts w:ascii="Times New Roman" w:hAnsi="Times New Roman" w:cs="Times New Roman" w:eastAsia="Times New Roman"/>
                <w:sz w:val="24"/>
                <w:szCs w:val="24"/>
                <w:lang w:eastAsia="ru-RU"/>
              </w:rPr>
            </w:pPr>
            <w:r>
              <w:rPr>
                <w:rFonts w:ascii="Times New Roman" w:hAnsi="Times New Roman" w:cs="Times New Roman" w:eastAsia="Times New Roman"/>
                <w:bCs w:val="1"/>
                <w:sz w:val="24"/>
                <w:szCs w:val="24"/>
                <w:lang w:eastAsia="ru-RU"/>
              </w:rPr>
              <w:t>152</w:t>
            </w:r>
          </w:p>
        </w:tc>
        <w:tc>
          <w:tcPr>
            <w:tcW w:w="1157" w:type="dxa"/>
            <w:hideMark/>
          </w:tcPr>
          <w:p>
            <w:pPr>
              <w:jc w:val="cente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+152 тыс.чел.</w:t>
            </w:r>
          </w:p>
        </w:tc>
      </w:tr>
      <w:tr>
        <w:trPr>
          <w:trHeight w:hRule="atLeast" w:val="265"/>
        </w:trPr>
        <w:tc>
          <w:tcPr>
            <w:tcW w:w="2830"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Мощность ВИЭ, ГВт</w:t>
            </w:r>
          </w:p>
        </w:tc>
        <w:tc>
          <w:tcPr>
            <w:tcW w:w="1094" w:type="dxa"/>
            <w:hideMark/>
          </w:tcPr>
          <w:p>
            <w:pPr>
              <w:jc w:val="cente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0,5</w:t>
            </w:r>
          </w:p>
        </w:tc>
        <w:tc>
          <w:tcPr>
            <w:tcW w:w="1454" w:type="dxa"/>
            <w:hideMark/>
          </w:tcPr>
          <w:p>
            <w:pPr>
              <w:jc w:val="cente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0,7</w:t>
            </w:r>
          </w:p>
        </w:tc>
        <w:tc>
          <w:tcPr>
            <w:tcW w:w="1746" w:type="dxa"/>
            <w:hideMark/>
          </w:tcPr>
          <w:p>
            <w:pPr>
              <w:jc w:val="cente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4,2</w:t>
            </w:r>
          </w:p>
        </w:tc>
        <w:tc>
          <w:tcPr>
            <w:tcW w:w="1600" w:type="dxa"/>
            <w:hideMark/>
          </w:tcPr>
          <w:p>
            <w:pPr>
              <w:jc w:val="center"/>
              <w:rPr>
                <w:rFonts w:ascii="Times New Roman" w:hAnsi="Times New Roman" w:cs="Times New Roman" w:eastAsia="Times New Roman"/>
                <w:sz w:val="24"/>
                <w:szCs w:val="24"/>
                <w:lang w:eastAsia="ru-RU"/>
              </w:rPr>
            </w:pPr>
            <w:r>
              <w:rPr>
                <w:rFonts w:ascii="Times New Roman" w:hAnsi="Times New Roman" w:cs="Times New Roman" w:eastAsia="Times New Roman"/>
                <w:bCs w:val="1"/>
                <w:sz w:val="24"/>
                <w:szCs w:val="24"/>
                <w:lang w:eastAsia="ru-RU"/>
              </w:rPr>
              <w:t>8,7</w:t>
            </w:r>
          </w:p>
        </w:tc>
        <w:tc>
          <w:tcPr>
            <w:tcW w:w="1157" w:type="dxa"/>
            <w:hideMark/>
          </w:tcPr>
          <w:p>
            <w:pPr>
              <w:jc w:val="cente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17 р.</w:t>
            </w:r>
          </w:p>
        </w:tc>
      </w:tr>
      <w:tr>
        <w:trPr>
          <w:trHeight w:hRule="atLeast" w:val="509"/>
        </w:trPr>
        <w:tc>
          <w:tcPr>
            <w:tcW w:w="2830"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Доходы от углеродных кредитов, млрд долл.</w:t>
            </w:r>
          </w:p>
        </w:tc>
        <w:tc>
          <w:tcPr>
            <w:tcW w:w="1094" w:type="dxa"/>
            <w:hideMark/>
          </w:tcPr>
          <w:p>
            <w:pPr>
              <w:jc w:val="cente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&lt;0,1</w:t>
            </w:r>
          </w:p>
        </w:tc>
        <w:tc>
          <w:tcPr>
            <w:tcW w:w="1454" w:type="dxa"/>
            <w:hideMark/>
          </w:tcPr>
          <w:p>
            <w:pPr>
              <w:jc w:val="cente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&lt;0,1</w:t>
            </w:r>
          </w:p>
        </w:tc>
        <w:tc>
          <w:tcPr>
            <w:tcW w:w="1746" w:type="dxa"/>
            <w:hideMark/>
          </w:tcPr>
          <w:p>
            <w:pPr>
              <w:jc w:val="cente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0,6</w:t>
            </w:r>
          </w:p>
        </w:tc>
        <w:tc>
          <w:tcPr>
            <w:tcW w:w="1600" w:type="dxa"/>
            <w:hideMark/>
          </w:tcPr>
          <w:p>
            <w:pPr>
              <w:jc w:val="center"/>
              <w:rPr>
                <w:rFonts w:ascii="Times New Roman" w:hAnsi="Times New Roman" w:cs="Times New Roman" w:eastAsia="Times New Roman"/>
                <w:sz w:val="24"/>
                <w:szCs w:val="24"/>
                <w:lang w:eastAsia="ru-RU"/>
              </w:rPr>
            </w:pPr>
            <w:r>
              <w:rPr>
                <w:rFonts w:ascii="Times New Roman" w:hAnsi="Times New Roman" w:cs="Times New Roman" w:eastAsia="Times New Roman"/>
                <w:bCs w:val="1"/>
                <w:sz w:val="24"/>
                <w:szCs w:val="24"/>
                <w:lang w:eastAsia="ru-RU"/>
              </w:rPr>
              <w:t>1,45</w:t>
            </w:r>
          </w:p>
        </w:tc>
        <w:tc>
          <w:tcPr>
            <w:tcW w:w="1157" w:type="dxa"/>
            <w:hideMark/>
          </w:tcPr>
          <w:p>
            <w:pPr>
              <w:ind w:left="-48" w:right="-145"/>
              <w:jc w:val="cente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более чем в 14 р.</w:t>
            </w:r>
          </w:p>
        </w:tc>
      </w:tr>
      <w:tr>
        <w:trPr>
          <w:trHeight w:hRule="atLeast" w:val="560"/>
        </w:trPr>
        <w:tc>
          <w:tcPr>
            <w:tcW w:w="2830"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Участники платформы, тыс.</w:t>
            </w:r>
          </w:p>
        </w:tc>
        <w:tc>
          <w:tcPr>
            <w:tcW w:w="1094" w:type="dxa"/>
            <w:hideMark/>
          </w:tcPr>
          <w:p>
            <w:pPr>
              <w:jc w:val="cente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w:t>
            </w:r>
          </w:p>
        </w:tc>
        <w:tc>
          <w:tcPr>
            <w:tcW w:w="1454" w:type="dxa"/>
            <w:hideMark/>
          </w:tcPr>
          <w:p>
            <w:pPr>
              <w:jc w:val="cente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w:t>
            </w:r>
          </w:p>
        </w:tc>
        <w:tc>
          <w:tcPr>
            <w:tcW w:w="1746" w:type="dxa"/>
            <w:hideMark/>
          </w:tcPr>
          <w:p>
            <w:pPr>
              <w:jc w:val="cente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5</w:t>
            </w:r>
          </w:p>
        </w:tc>
        <w:tc>
          <w:tcPr>
            <w:tcW w:w="1600" w:type="dxa"/>
            <w:hideMark/>
          </w:tcPr>
          <w:p>
            <w:pPr>
              <w:jc w:val="center"/>
              <w:rPr>
                <w:rFonts w:ascii="Times New Roman" w:hAnsi="Times New Roman" w:cs="Times New Roman" w:eastAsia="Times New Roman"/>
                <w:sz w:val="24"/>
                <w:szCs w:val="24"/>
                <w:lang w:eastAsia="ru-RU"/>
              </w:rPr>
            </w:pPr>
            <w:r>
              <w:rPr>
                <w:rFonts w:ascii="Times New Roman" w:hAnsi="Times New Roman" w:cs="Times New Roman" w:eastAsia="Times New Roman"/>
                <w:bCs w:val="1"/>
                <w:sz w:val="24"/>
                <w:szCs w:val="24"/>
                <w:lang w:eastAsia="ru-RU"/>
              </w:rPr>
              <w:t>не менее 12</w:t>
            </w:r>
          </w:p>
        </w:tc>
        <w:tc>
          <w:tcPr>
            <w:tcW w:w="1157" w:type="dxa"/>
            <w:hideMark/>
          </w:tcPr>
          <w:p>
            <w:pPr>
              <w:jc w:val="center"/>
              <w:rPr>
                <w:rFonts w:ascii="Times New Roman" w:hAnsi="Times New Roman" w:cs="Times New Roman" w:eastAsia="Times New Roman"/>
                <w:sz w:val="24"/>
                <w:szCs w:val="24"/>
                <w:lang w:eastAsia="ru-RU"/>
              </w:rPr>
            </w:pPr>
            <w:r>
              <w:rPr>
                <w:rFonts w:ascii="Times New Roman" w:hAnsi="Times New Roman" w:cs="Times New Roman" w:eastAsia="Times New Roman"/>
                <w:bCs w:val="1"/>
                <w:sz w:val="24"/>
                <w:szCs w:val="24"/>
                <w:lang w:eastAsia="ru-RU"/>
              </w:rPr>
              <w:t>-</w:t>
            </w:r>
          </w:p>
        </w:tc>
      </w:tr>
      <w:tr>
        <w:trPr>
          <w:trHeight w:hRule="atLeast" w:val="530"/>
        </w:trPr>
        <w:tc>
          <w:tcPr>
            <w:tcW w:w="2830"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Доля сырьевого экспорта, %</w:t>
            </w:r>
          </w:p>
        </w:tc>
        <w:tc>
          <w:tcPr>
            <w:tcW w:w="1094" w:type="dxa"/>
            <w:hideMark/>
          </w:tcPr>
          <w:p>
            <w:pPr>
              <w:jc w:val="cente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65</w:t>
            </w:r>
          </w:p>
        </w:tc>
        <w:tc>
          <w:tcPr>
            <w:tcW w:w="1454" w:type="dxa"/>
            <w:hideMark/>
          </w:tcPr>
          <w:p>
            <w:pPr>
              <w:jc w:val="cente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42</w:t>
            </w:r>
          </w:p>
        </w:tc>
        <w:tc>
          <w:tcPr>
            <w:tcW w:w="1746" w:type="dxa"/>
            <w:hideMark/>
          </w:tcPr>
          <w:p>
            <w:pPr>
              <w:jc w:val="cente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33</w:t>
            </w:r>
          </w:p>
        </w:tc>
        <w:tc>
          <w:tcPr>
            <w:tcW w:w="1600" w:type="dxa"/>
            <w:hideMark/>
          </w:tcPr>
          <w:p>
            <w:pPr>
              <w:jc w:val="center"/>
              <w:rPr>
                <w:rFonts w:ascii="Times New Roman" w:hAnsi="Times New Roman" w:cs="Times New Roman" w:eastAsia="Times New Roman"/>
                <w:sz w:val="24"/>
                <w:szCs w:val="24"/>
                <w:lang w:eastAsia="ru-RU"/>
              </w:rPr>
            </w:pPr>
            <w:r>
              <w:rPr>
                <w:rFonts w:ascii="Times New Roman" w:hAnsi="Times New Roman" w:cs="Times New Roman" w:eastAsia="Times New Roman"/>
                <w:bCs w:val="1"/>
                <w:sz w:val="24"/>
                <w:szCs w:val="24"/>
                <w:lang w:eastAsia="ru-RU"/>
              </w:rPr>
              <w:t>20</w:t>
            </w:r>
          </w:p>
        </w:tc>
        <w:tc>
          <w:tcPr>
            <w:tcW w:w="1157" w:type="dxa"/>
            <w:hideMark/>
          </w:tcPr>
          <w:p>
            <w:pPr>
              <w:jc w:val="cente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−45 п.п.</w:t>
            </w:r>
          </w:p>
        </w:tc>
      </w:tr>
      <w:tr>
        <w:trPr>
          <w:trHeight w:hRule="atLeast" w:val="545"/>
        </w:trPr>
        <w:tc>
          <w:tcPr>
            <w:tcW w:w="2830"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Безработица прибрежной зоны, %</w:t>
            </w:r>
          </w:p>
        </w:tc>
        <w:tc>
          <w:tcPr>
            <w:tcW w:w="1094" w:type="dxa"/>
            <w:hideMark/>
          </w:tcPr>
          <w:p>
            <w:pPr>
              <w:jc w:val="cente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12,5</w:t>
            </w:r>
          </w:p>
        </w:tc>
        <w:tc>
          <w:tcPr>
            <w:tcW w:w="1454" w:type="dxa"/>
            <w:hideMark/>
          </w:tcPr>
          <w:p>
            <w:pPr>
              <w:jc w:val="cente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12,5</w:t>
            </w:r>
          </w:p>
        </w:tc>
        <w:tc>
          <w:tcPr>
            <w:tcW w:w="1746" w:type="dxa"/>
            <w:hideMark/>
          </w:tcPr>
          <w:p>
            <w:pPr>
              <w:jc w:val="cente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9,0</w:t>
            </w:r>
          </w:p>
        </w:tc>
        <w:tc>
          <w:tcPr>
            <w:tcW w:w="1600" w:type="dxa"/>
            <w:hideMark/>
          </w:tcPr>
          <w:p>
            <w:pPr>
              <w:jc w:val="center"/>
              <w:rPr>
                <w:rFonts w:ascii="Times New Roman" w:hAnsi="Times New Roman" w:cs="Times New Roman" w:eastAsia="Times New Roman"/>
                <w:sz w:val="24"/>
                <w:szCs w:val="24"/>
                <w:lang w:eastAsia="ru-RU"/>
              </w:rPr>
            </w:pPr>
            <w:r>
              <w:rPr>
                <w:rFonts w:ascii="Times New Roman" w:hAnsi="Times New Roman" w:cs="Times New Roman" w:eastAsia="Times New Roman"/>
                <w:bCs w:val="1"/>
                <w:sz w:val="24"/>
                <w:szCs w:val="24"/>
                <w:lang w:eastAsia="ru-RU"/>
              </w:rPr>
              <w:t>6,0</w:t>
            </w:r>
          </w:p>
        </w:tc>
        <w:tc>
          <w:tcPr>
            <w:tcW w:w="1157" w:type="dxa"/>
            <w:hideMark/>
          </w:tcPr>
          <w:p>
            <w:pPr>
              <w:jc w:val="cente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−6,5 п.п.</w:t>
            </w:r>
          </w:p>
        </w:tc>
      </w:tr>
    </w:tbl>
    <w:p>
      <w:pPr>
        <w:widowControl w:val="0"/>
        <w:spacing w:lineRule="auto" w:line="360" w:after="0" w:beforeAutospacing="0" w:afterAutospacing="0"/>
        <w:ind w:firstLine="709"/>
        <w:jc w:val="both"/>
        <w:rPr>
          <w:rFonts w:ascii="Times New Roman" w:hAnsi="Times New Roman" w:cs="Times New Roman"/>
          <w:bCs w:val="1"/>
          <w:sz w:val="28"/>
          <w:szCs w:val="28"/>
        </w:rPr>
      </w:pPr>
    </w:p>
    <w:p>
      <w:pPr>
        <w:widowControl w:val="0"/>
        <w:spacing w:lineRule="auto" w:line="360" w:after="0" w:beforeAutospacing="0" w:afterAutospacing="0"/>
        <w:ind w:firstLine="709"/>
        <w:jc w:val="both"/>
        <w:rPr>
          <w:rFonts w:ascii="Times New Roman" w:hAnsi="Times New Roman" w:cs="Times New Roman"/>
          <w:bCs w:val="1"/>
          <w:sz w:val="28"/>
          <w:szCs w:val="28"/>
        </w:rPr>
      </w:pPr>
      <w:r>
        <w:rPr>
          <w:rFonts w:ascii="Times New Roman" w:hAnsi="Times New Roman" w:cs="Times New Roman"/>
          <w:bCs w:val="1"/>
          <w:sz w:val="28"/>
          <w:szCs w:val="28"/>
        </w:rPr>
        <w:t>Результаты моделирования показывают, что стратегия экстенсивного роста формирует наиболее ограниченный экономический результат. В ней сохраняется зависимость от линейного расширения выпуска, а прирост добавленной стоимости остается относительно низким, поскольку не сопровождается ни существенным усилением переработки, ни заметным сокращением транзакционных издержек, ни развитием плотных межкластерных связей. Стратегия частичной кластеризации обеспечивает более высокий результат, поскольку локальное развитие переработки, логистики и инфраструктуры уже создает дополнительную добавленную стоимость и повышает адаптационный потенциал экономики. Однако его пределы также очевидны, поскольку при неполной интеграции через цифровую платформу значительная часть возможного синергетического эффекта остается нереализованной. С практической точки зрения это означает, что даже успешные отраслевые проекты не всегда переходят в устойчивую модель инновационно-инклюзивного развития, если между ними отсутствует координационное ядро, способное связывать их в общую систему.</w:t>
      </w:r>
    </w:p>
    <w:p>
      <w:pPr>
        <w:widowControl w:val="0"/>
        <w:spacing w:lineRule="auto" w:line="360" w:after="0" w:beforeAutospacing="0" w:afterAutospacing="0"/>
        <w:ind w:firstLine="709"/>
        <w:jc w:val="both"/>
        <w:rPr>
          <w:rFonts w:ascii="Times New Roman" w:hAnsi="Times New Roman" w:cs="Times New Roman"/>
          <w:bCs w:val="1"/>
          <w:sz w:val="28"/>
          <w:szCs w:val="28"/>
        </w:rPr>
      </w:pPr>
      <w:r>
        <w:rPr>
          <w:rFonts w:ascii="Times New Roman" w:hAnsi="Times New Roman" w:cs="Times New Roman"/>
          <w:bCs w:val="1"/>
          <w:sz w:val="28"/>
          <w:szCs w:val="28"/>
        </w:rPr>
        <w:t xml:space="preserve"> Наибольший эффект, согласно модели, формируется в экосистемной платформенной стратегии. Ее преимущество заключается в одновременном действии трех факторов: цифрового усиления кластеров, межкластерной синергии и снижения транзакционных издержек. От базового ВВП 96 млрд долл. последовательное добавление вкладов девяти кластеров и синергетического эффекта формирует суммарный прирост в размере 56,3 млрд долл., что при реализации соответствует переходу экономики на качественно иную траекторию. Данные по занятости показывают создание 152 тыс. рабочих мест. Сдвиг в структуре экспорта отражает ключевую трансформацию, при которой доля сырья в экспорте падает с 65% до 20%, тогда как готовая продукция и цифровые услуги наращивают свои объемы. Иными словами, реализация инновационного проекта именно в рамках стратегии платформенной экосистемы обеспечивает структурную трансформацию экспортной модели страны. </w:t>
      </w:r>
    </w:p>
    <w:p>
      <w:pPr>
        <w:widowControl w:val="0"/>
        <w:spacing w:lineRule="auto" w:line="360" w:after="0" w:beforeAutospacing="0" w:afterAutospacing="0"/>
        <w:ind w:firstLine="709"/>
        <w:jc w:val="both"/>
        <w:rPr>
          <w:rFonts w:ascii="Times New Roman" w:hAnsi="Times New Roman" w:cs="Times New Roman"/>
          <w:bCs w:val="1"/>
          <w:sz w:val="28"/>
          <w:szCs w:val="28"/>
        </w:rPr>
      </w:pPr>
      <w:r>
        <w:rPr>
          <w:rFonts w:ascii="Times New Roman" w:hAnsi="Times New Roman" w:cs="Times New Roman"/>
          <w:bCs w:val="1"/>
          <w:sz w:val="28"/>
          <w:szCs w:val="28"/>
        </w:rPr>
        <w:t>В результате цифровая платформа перестает быть внешним сервисом и превращается в активный фактор роста. Это особенно важно для Кот-д’Ивуара, где уже сложилась база для расширения цифровой торговли и цифровых сервисов, но для извлечения устойчивого эффекта необходимы более глубокая институциональная связанность, платформенные решения и развитие сервисной среды для бизнеса. Вместе с тем, с точки зрения устойчивости внешних доходов, поскольку диверсифицированный экспорт в три-четыре раза менее уязвим к ценовым шокам на товарных рынках, чем моносырьевая модель. Тем самым инновационный проект «Берег Восхода» решает не только задачу количественного роста ВВП, но и задачу снижения макроэкономической волатильности, что является необходимым условием для долгосрочных прямых иностранных инвестиций.</w:t>
      </w:r>
    </w:p>
    <w:p>
      <w:pPr>
        <w:widowControl w:val="0"/>
        <w:spacing w:lineRule="auto" w:line="360" w:after="0" w:beforeAutospacing="0" w:afterAutospacing="0"/>
        <w:ind w:firstLine="709"/>
        <w:jc w:val="both"/>
        <w:rPr>
          <w:rFonts w:ascii="Times New Roman" w:hAnsi="Times New Roman" w:cs="Times New Roman"/>
          <w:bCs w:val="1"/>
          <w:sz w:val="28"/>
          <w:szCs w:val="28"/>
        </w:rPr>
      </w:pPr>
    </w:p>
    <w:p>
      <w:pPr>
        <w:widowControl w:val="0"/>
        <w:spacing w:lineRule="auto" w:line="360" w:after="0" w:beforeAutospacing="0" w:afterAutospacing="0"/>
        <w:ind w:firstLine="709"/>
        <w:jc w:val="both"/>
        <w:rPr>
          <w:rFonts w:ascii="Times New Roman" w:hAnsi="Times New Roman" w:cs="Times New Roman"/>
          <w:bCs w:val="1"/>
          <w:sz w:val="28"/>
          <w:szCs w:val="28"/>
        </w:rPr>
      </w:pPr>
      <w:r>
        <w:rPr>
          <w:rFonts w:ascii="Times New Roman" w:hAnsi="Times New Roman" w:cs="Times New Roman"/>
          <w:bCs w:val="1"/>
          <w:sz w:val="28"/>
          <w:szCs w:val="28"/>
        </w:rPr>
        <w:t xml:space="preserve"> </w:t>
      </w:r>
    </w:p>
    <w:p>
      <w:pPr>
        <w:widowControl w:val="0"/>
        <w:spacing w:lineRule="auto" w:line="360" w:after="0" w:beforeAutospacing="0" w:afterAutospacing="0"/>
        <w:ind w:firstLine="709"/>
        <w:jc w:val="both"/>
        <w:rPr>
          <w:rFonts w:ascii="Times New Roman" w:hAnsi="Times New Roman" w:cs="Times New Roman"/>
          <w:bCs w:val="1"/>
          <w:sz w:val="28"/>
          <w:szCs w:val="28"/>
        </w:rPr>
      </w:pPr>
    </w:p>
    <w:p>
      <w:pPr>
        <w:widowControl w:val="0"/>
        <w:spacing w:lineRule="auto" w:line="360" w:after="0" w:beforeAutospacing="0" w:afterAutospacing="0"/>
        <w:ind w:firstLine="709"/>
        <w:jc w:val="both"/>
        <w:rPr>
          <w:rFonts w:ascii="Times New Roman" w:hAnsi="Times New Roman" w:cs="Times New Roman"/>
          <w:b w:val="1"/>
          <w:bCs w:val="1"/>
          <w:sz w:val="28"/>
          <w:szCs w:val="28"/>
        </w:rPr>
      </w:pPr>
      <w:r>
        <w:rPr>
          <w:rFonts w:ascii="Times New Roman" w:hAnsi="Times New Roman" w:cs="Times New Roman"/>
          <w:b w:val="1"/>
          <w:bCs w:val="1"/>
          <w:sz w:val="28"/>
          <w:szCs w:val="28"/>
        </w:rPr>
        <w:t>3.3 Сценарное моделирование развития платфоменной экономики Республики Кот-д’Ивуар</w:t>
      </w:r>
    </w:p>
    <w:p>
      <w:pPr>
        <w:widowControl w:val="0"/>
        <w:spacing w:lineRule="auto" w:line="360" w:after="0" w:beforeAutospacing="0" w:afterAutospacing="0"/>
        <w:ind w:firstLine="709"/>
        <w:jc w:val="both"/>
        <w:rPr>
          <w:rFonts w:ascii="Times New Roman" w:hAnsi="Times New Roman" w:cs="Times New Roman"/>
          <w:bCs w:val="1"/>
          <w:sz w:val="28"/>
          <w:szCs w:val="28"/>
        </w:rPr>
      </w:pPr>
    </w:p>
    <w:p>
      <w:pPr>
        <w:widowControl w:val="0"/>
        <w:spacing w:lineRule="auto" w:line="360" w:after="0" w:beforeAutospacing="0" w:afterAutospacing="0"/>
        <w:ind w:firstLine="709"/>
        <w:jc w:val="both"/>
        <w:rPr>
          <w:rFonts w:ascii="Times New Roman" w:hAnsi="Times New Roman" w:cs="Times New Roman"/>
          <w:bCs w:val="1"/>
          <w:sz w:val="28"/>
          <w:szCs w:val="28"/>
        </w:rPr>
      </w:pPr>
    </w:p>
    <w:p>
      <w:pPr>
        <w:widowControl w:val="0"/>
        <w:spacing w:lineRule="auto" w:line="360" w:after="0" w:beforeAutospacing="0" w:afterAutospacing="0"/>
        <w:ind w:firstLine="709"/>
        <w:jc w:val="both"/>
        <w:rPr>
          <w:rFonts w:ascii="Times New Roman" w:hAnsi="Times New Roman" w:cs="Times New Roman"/>
          <w:bCs w:val="1"/>
          <w:sz w:val="28"/>
          <w:szCs w:val="28"/>
        </w:rPr>
      </w:pPr>
    </w:p>
    <w:p>
      <w:pPr>
        <w:widowControl w:val="0"/>
        <w:spacing w:lineRule="auto" w:line="360" w:after="0" w:beforeAutospacing="0" w:afterAutospacing="0"/>
        <w:ind w:firstLine="709"/>
        <w:jc w:val="both"/>
        <w:rPr>
          <w:rFonts w:ascii="Times New Roman" w:hAnsi="Times New Roman" w:cs="Times New Roman"/>
          <w:bCs w:val="1"/>
          <w:sz w:val="28"/>
          <w:szCs w:val="28"/>
        </w:rPr>
      </w:pPr>
      <w:r>
        <w:rPr>
          <w:rFonts w:ascii="Times New Roman" w:hAnsi="Times New Roman" w:cs="Times New Roman"/>
          <w:bCs w:val="1"/>
          <w:sz w:val="28"/>
          <w:szCs w:val="28"/>
        </w:rPr>
        <w:t>Разработка инновационного проекта «Берег Восхода» предполагает одновременную реализацию девяти взаимосвязанных кластеров, функционирование которых формирует сложную систему экономических взаимодействий. Для оценки в реальном времени влияния изменения параметров функционирования кластеров на ключевые показатели развития платформенной экономики в рамках настоящего исследования нами разработан симулятор потоков инновационной платформы «Берег Восхода», представляющий собой интерактивный инструмент цифрового моделирования, реализующий полиструктурное сценарно-симуляционное вычислительное ядро (ПСВЯ).</w:t>
      </w:r>
    </w:p>
    <w:p>
      <w:pPr>
        <w:widowControl w:val="0"/>
        <w:spacing w:lineRule="auto" w:line="360" w:after="0" w:beforeAutospacing="0" w:afterAutospacing="0"/>
        <w:ind w:firstLine="709"/>
        <w:jc w:val="both"/>
        <w:rPr>
          <w:rFonts w:ascii="Times New Roman" w:hAnsi="Times New Roman" w:cs="Times New Roman"/>
          <w:bCs w:val="1"/>
          <w:sz w:val="28"/>
          <w:szCs w:val="28"/>
        </w:rPr>
      </w:pPr>
      <w:r>
        <w:rPr>
          <w:rFonts w:ascii="Times New Roman" w:hAnsi="Times New Roman" w:cs="Times New Roman"/>
          <w:bCs w:val="1"/>
          <w:sz w:val="28"/>
          <w:szCs w:val="28"/>
        </w:rPr>
        <w:t>Симулятор выполняет функцию цифрового двойника платформенной экономики, позволяя моделировать различные траектории развития проекта в зависимости от параметров реализации отдельных кластеров (</w:t>
      </w:r>
      <w:r>
        <w:rPr>
          <w:rFonts w:ascii="Times New Roman" w:hAnsi="Times New Roman" w:cs="Times New Roman"/>
          <w:bCs w:val="1"/>
          <w:sz w:val="28"/>
          <w:szCs w:val="28"/>
          <w:highlight w:val="yellow"/>
        </w:rPr>
        <w:t>рисунок ??).</w:t>
      </w:r>
      <w:r>
        <w:rPr>
          <w:rFonts w:ascii="Times New Roman" w:hAnsi="Times New Roman" w:cs="Times New Roman"/>
          <w:bCs w:val="1"/>
          <w:sz w:val="28"/>
          <w:szCs w:val="28"/>
        </w:rPr>
        <w:t xml:space="preserve"> Использование подобного инструмента позволяет перейти от статической оценки инвестиционных проектов к динамическому анализу платформенной системы, в рамках которого изменение любого управляющего параметра немедленно отражается на ключевых показателях экономического развития. Основной задачей симулятора является анализ влияния различных сценариев развития платформенной экономики на такие показатели, как прирост валовой добавленной стоимости, занятость, инвестиционная эффективность, уровень системных рисков, степень инклюзивности экономического роста.</w:t>
      </w:r>
    </w:p>
    <w:p>
      <w:pPr>
        <w:widowControl w:val="0"/>
        <w:spacing w:lineRule="auto" w:line="360" w:after="0" w:beforeAutospacing="0" w:afterAutospacing="0"/>
        <w:ind w:firstLine="709"/>
        <w:jc w:val="both"/>
        <w:rPr>
          <w:rFonts w:ascii="Times New Roman" w:hAnsi="Times New Roman" w:cs="Times New Roman"/>
          <w:bCs w:val="1"/>
          <w:sz w:val="28"/>
          <w:szCs w:val="28"/>
        </w:rPr>
      </w:pPr>
    </w:p>
    <w:p>
      <w:pPr>
        <w:spacing w:lineRule="auto" w:line="240" w:after="0" w:beforeAutospacing="0" w:afterAutospacing="0"/>
        <w:ind w:firstLine="851"/>
        <w:jc w:val="center"/>
        <w:rPr>
          <w:rFonts w:ascii="Times New Roman" w:hAnsi="Times New Roman" w:eastAsia="Times New Roman"/>
          <w:sz w:val="24"/>
          <w:szCs w:val="24"/>
          <w:kern w:val="36"/>
        </w:rPr>
      </w:pPr>
      <w:r>
        <w:rPr>
          <w:noProof w:val="1"/>
          <w:lang w:eastAsia="ru-RU"/>
        </w:rPr>
        <w:drawing>
          <wp:inline xmlns:wp="http://schemas.openxmlformats.org/drawingml/2006/wordprocessingDrawing" distT="0" distB="0" distL="0" distR="0">
            <wp:extent cx="5727700" cy="2852420"/>
            <wp:effectExtent l="0" t="0" r="6350" b="5080"/>
            <wp:docPr id="2147159936" name="Рисунок 21471599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67"/>
                    <pic:cNvPicPr/>
                  </pic:nvPicPr>
                  <pic:blipFill dpi="0">
                    <a:blip xmlns:r="http://schemas.openxmlformats.org/officeDocument/2006/relationships" r:embed="Relimage8"/>
                    <a:srcRect l="3944" t="10842" r="2457" b="6242"/>
                    <a:stretch>
                      <a:fillRect/>
                    </a:stretch>
                  </pic:blipFill>
                  <pic:spPr bwMode="auto">
                    <a:xfrm>
                      <a:off x="0" y="0"/>
                      <a:ext cx="5728371" cy="2853212"/>
                    </a:xfrm>
                    <a:prstGeom prst="rect"/>
                    <a:ln>
                      <a:noFill/>
                    </a:ln>
                  </pic:spPr>
                </pic:pic>
              </a:graphicData>
            </a:graphic>
          </wp:inline>
        </w:drawing>
      </w:r>
    </w:p>
    <w:p>
      <w:pPr>
        <w:spacing w:lineRule="auto" w:line="360" w:after="0" w:beforeAutospacing="0" w:afterAutospacing="0"/>
        <w:ind w:firstLine="709"/>
        <w:jc w:val="center"/>
        <w:rPr>
          <w:rFonts w:ascii="Times New Roman" w:hAnsi="Times New Roman" w:eastAsia="Times New Roman"/>
          <w:sz w:val="28"/>
          <w:szCs w:val="28"/>
          <w:kern w:val="36"/>
        </w:rPr>
      </w:pPr>
      <w:r>
        <w:rPr>
          <w:rFonts w:ascii="Times New Roman" w:hAnsi="Times New Roman" w:eastAsia="Times New Roman"/>
          <w:sz w:val="28"/>
          <w:szCs w:val="28"/>
          <w:kern w:val="36"/>
        </w:rPr>
        <w:t>Рисунок ?? – Скриншот симулятора потоков цифровой платформы «Берег Восхода» на базе полиструктурного сценарно-вычислительного ядра (разработано автором)</w:t>
      </w:r>
    </w:p>
    <w:p>
      <w:pPr>
        <w:widowControl w:val="0"/>
        <w:spacing w:lineRule="auto" w:line="360" w:after="0" w:beforeAutospacing="0" w:afterAutospacing="0"/>
        <w:ind w:firstLine="709"/>
        <w:jc w:val="both"/>
        <w:rPr>
          <w:rFonts w:ascii="Times New Roman" w:hAnsi="Times New Roman" w:cs="Times New Roman"/>
          <w:bCs w:val="1"/>
          <w:sz w:val="28"/>
          <w:szCs w:val="28"/>
        </w:rPr>
      </w:pPr>
    </w:p>
    <w:p>
      <w:pPr>
        <w:widowControl w:val="0"/>
        <w:spacing w:lineRule="auto" w:line="360" w:after="0" w:beforeAutospacing="0" w:afterAutospacing="0"/>
        <w:ind w:firstLine="709"/>
        <w:jc w:val="both"/>
        <w:rPr>
          <w:rFonts w:ascii="Times New Roman" w:hAnsi="Times New Roman" w:cs="Times New Roman"/>
          <w:bCs w:val="1"/>
          <w:sz w:val="28"/>
          <w:szCs w:val="28"/>
        </w:rPr>
      </w:pPr>
      <w:r>
        <w:rPr>
          <w:rFonts w:ascii="Times New Roman" w:hAnsi="Times New Roman" w:cs="Times New Roman"/>
          <w:bCs w:val="1"/>
          <w:sz w:val="28"/>
          <w:szCs w:val="28"/>
        </w:rPr>
        <w:t>В отличие от традиционных моделей стратегического планирования, симулятор потоков позволяет учитывать сложные нелинейные эффекты взаимодействия между кластерами, а также влияние институциональных и инфраструктурных ограничений. Таким образом, данный инструмент может рассматриваться не только как средство научного анализа, но и как потенциальный механизм поддержки управленческих решений при реализации крупных инфраструктурных проектов.</w:t>
      </w:r>
    </w:p>
    <w:p>
      <w:pPr>
        <w:widowControl w:val="0"/>
        <w:spacing w:lineRule="auto" w:line="360" w:after="0" w:beforeAutospacing="0" w:afterAutospacing="0"/>
        <w:ind w:firstLine="709"/>
        <w:jc w:val="both"/>
        <w:rPr>
          <w:rFonts w:ascii="Times New Roman" w:hAnsi="Times New Roman" w:cs="Times New Roman"/>
          <w:bCs w:val="1"/>
          <w:sz w:val="28"/>
          <w:szCs w:val="28"/>
        </w:rPr>
      </w:pPr>
      <w:r>
        <w:rPr>
          <w:rFonts w:ascii="Times New Roman" w:hAnsi="Times New Roman" w:cs="Times New Roman"/>
          <w:bCs w:val="1"/>
          <w:sz w:val="28"/>
          <w:szCs w:val="28"/>
        </w:rPr>
        <w:t>Симулятор потоков инновационной платформы «Берег Восхода» представляет собой программно-аналитическую систему, состоящую из нескольких функциональных модулей, обеспечивающих моделирование взаимодействия кластеров платформенной экономики. Архитектура симулятора включает четыре основных уровня.</w:t>
      </w:r>
    </w:p>
    <w:p>
      <w:pPr>
        <w:widowControl w:val="0"/>
        <w:spacing w:lineRule="auto" w:line="360" w:after="0" w:beforeAutospacing="0" w:afterAutospacing="0"/>
        <w:ind w:firstLine="709"/>
        <w:jc w:val="both"/>
        <w:rPr>
          <w:rFonts w:ascii="Times New Roman" w:hAnsi="Times New Roman" w:cs="Times New Roman"/>
          <w:bCs w:val="1"/>
          <w:sz w:val="28"/>
          <w:szCs w:val="28"/>
        </w:rPr>
      </w:pPr>
      <w:r>
        <w:rPr>
          <w:rFonts w:ascii="Times New Roman" w:hAnsi="Times New Roman" w:cs="Times New Roman"/>
          <w:bCs w:val="1"/>
          <w:sz w:val="28"/>
          <w:szCs w:val="28"/>
        </w:rPr>
        <w:t xml:space="preserve">Первый уровень – пользовательский интерфейс управления моделью. На данном уровне осуществляется взаимодействие пользователя с моделью посредством изменения параметров реализации кластеров. Каждый кластер представлен отдельным управляющим параметром </w:t>
      </w:r>
      <w:r>
        <w:rPr>
          <w:rFonts w:ascii="Times New Roman" w:hAnsi="Times New Roman" w:cs="Times New Roman"/>
          <w:i w:val="1"/>
          <w:bCs w:val="1"/>
          <w:sz w:val="28"/>
          <w:szCs w:val="28"/>
        </w:rPr>
        <w:t>xi</w:t>
      </w:r>
      <w:r>
        <w:rPr>
          <w:rFonts w:ascii="Times New Roman" w:hAnsi="Times New Roman" w:cs="Times New Roman"/>
          <w:bCs w:val="1"/>
          <w:sz w:val="28"/>
          <w:szCs w:val="28"/>
        </w:rPr>
        <w:t>, принимающим значения в диапазоне от 0 до 1 и отражающим степень реализации соответствующего направления проекта. Изменение данных параметров позволяет моделировать различные траектории развития платформенной системы.</w:t>
      </w:r>
    </w:p>
    <w:p>
      <w:pPr>
        <w:widowControl w:val="0"/>
        <w:spacing w:lineRule="auto" w:line="360" w:after="0" w:beforeAutospacing="0" w:afterAutospacing="0"/>
        <w:ind w:firstLine="709"/>
        <w:jc w:val="both"/>
        <w:rPr>
          <w:rFonts w:ascii="Times New Roman" w:hAnsi="Times New Roman" w:cs="Times New Roman"/>
          <w:bCs w:val="1"/>
          <w:sz w:val="28"/>
          <w:szCs w:val="28"/>
        </w:rPr>
      </w:pPr>
      <w:r>
        <w:rPr>
          <w:rFonts w:ascii="Times New Roman" w:hAnsi="Times New Roman" w:cs="Times New Roman"/>
          <w:bCs w:val="1"/>
          <w:sz w:val="28"/>
          <w:szCs w:val="28"/>
        </w:rPr>
        <w:t>Второй уровень – вычислительное ядро модели (ПСВЯ). Данный уровень реализует математическую модель, описанную в подразделе 3.2. На основе заданного вектора параметров X (</w:t>
      </w:r>
      <w:r>
        <w:rPr>
          <w:rFonts w:ascii="Times New Roman" w:hAnsi="Times New Roman" w:cs="Times New Roman"/>
          <w:bCs w:val="1"/>
          <w:sz w:val="28"/>
          <w:szCs w:val="28"/>
          <w:highlight w:val="yellow"/>
        </w:rPr>
        <w:t>формула ??)</w:t>
      </w:r>
      <w:r>
        <w:rPr>
          <w:rFonts w:ascii="Times New Roman" w:hAnsi="Times New Roman" w:cs="Times New Roman"/>
          <w:bCs w:val="1"/>
          <w:sz w:val="28"/>
          <w:szCs w:val="28"/>
        </w:rPr>
        <w:t xml:space="preserve"> вычислительное ядро рассчитывает значения ключевых экономических показателей системы, включая суммарный прирост добавленной стоимости, синергетические эффекты межкластерного взаимодействия, эффект снижения трансакционных издержек, влияние цифровой платформы на мультипликаторы кластеров. Вычисления выполняются в соответствии с целевой функцией модели ΔY (</w:t>
      </w:r>
      <w:r>
        <w:rPr>
          <w:rFonts w:ascii="Times New Roman" w:hAnsi="Times New Roman" w:cs="Times New Roman"/>
          <w:bCs w:val="1"/>
          <w:sz w:val="28"/>
          <w:szCs w:val="28"/>
          <w:highlight w:val="yellow"/>
        </w:rPr>
        <w:t>формула ??).</w:t>
      </w:r>
    </w:p>
    <w:p>
      <w:pPr>
        <w:widowControl w:val="0"/>
        <w:spacing w:lineRule="auto" w:line="360" w:after="0" w:beforeAutospacing="0" w:afterAutospacing="0"/>
        <w:ind w:firstLine="709"/>
        <w:jc w:val="both"/>
        <w:rPr>
          <w:rFonts w:ascii="Times New Roman" w:hAnsi="Times New Roman" w:cs="Times New Roman"/>
          <w:bCs w:val="1"/>
          <w:sz w:val="28"/>
          <w:szCs w:val="28"/>
        </w:rPr>
      </w:pPr>
      <w:r>
        <w:rPr>
          <w:rFonts w:ascii="Times New Roman" w:hAnsi="Times New Roman" w:cs="Times New Roman"/>
          <w:bCs w:val="1"/>
          <w:sz w:val="28"/>
          <w:szCs w:val="28"/>
        </w:rPr>
        <w:t>Третий уровень – система ограничений и ресурсных зависимостей. Функционирование платформенной системы ограничено рядом инфраструктурных, институциональных и ресурсных факторов. В симуляторе реализована система ограничений, контролирующая выполнение минимальных условий реализации кластеров (</w:t>
      </w:r>
      <w:r>
        <w:rPr>
          <w:rFonts w:ascii="Times New Roman" w:hAnsi="Times New Roman" w:cs="Times New Roman"/>
          <w:bCs w:val="1"/>
          <w:sz w:val="28"/>
          <w:szCs w:val="28"/>
          <w:highlight w:val="yellow"/>
        </w:rPr>
        <w:t>формулы ??</w:t>
      </w:r>
      <w:r>
        <w:rPr>
          <w:rFonts w:ascii="Times New Roman" w:hAnsi="Times New Roman" w:cs="Times New Roman"/>
          <w:bCs w:val="1"/>
          <w:sz w:val="28"/>
          <w:szCs w:val="28"/>
        </w:rPr>
        <w:t>). Например, недостаточный уровень развития цифровой платформы или энергетической инфраструктуры может ограничивать развитие других направлений проекта. Система ограничений позволяет выявлять так называемые критические точки зависимости, при которых дальнейшее развитие платформы становится невозможным без устранения соответствующих инфраструктурных ограничений.</w:t>
      </w:r>
    </w:p>
    <w:p>
      <w:pPr>
        <w:widowControl w:val="0"/>
        <w:spacing w:lineRule="auto" w:line="360" w:after="0" w:beforeAutospacing="0" w:afterAutospacing="0"/>
        <w:ind w:firstLine="709"/>
        <w:jc w:val="both"/>
        <w:rPr>
          <w:rFonts w:ascii="Times New Roman" w:hAnsi="Times New Roman" w:cs="Times New Roman"/>
          <w:bCs w:val="1"/>
          <w:sz w:val="28"/>
          <w:szCs w:val="28"/>
        </w:rPr>
      </w:pPr>
      <w:r>
        <w:rPr>
          <w:rFonts w:ascii="Times New Roman" w:hAnsi="Times New Roman" w:cs="Times New Roman"/>
          <w:bCs w:val="1"/>
          <w:sz w:val="28"/>
          <w:szCs w:val="28"/>
        </w:rPr>
        <w:t>Четвертый уровень – модуль визуализации потоков. На данном уровне формируется графическая модель взаимодействия кластеров, отображающая основные потоки ресурсов и экономических эффектов внутри платформенной системы. Визуализация включает несколько типов потоков: производственные потоки добавленной стоимости, цифровые информационные потоки, финансовые потоки инвестиций и платежей, трудовые потоки занятости.</w:t>
      </w:r>
    </w:p>
    <w:p>
      <w:pPr>
        <w:widowControl w:val="0"/>
        <w:spacing w:lineRule="auto" w:line="360" w:after="0" w:beforeAutospacing="0" w:afterAutospacing="0"/>
        <w:ind w:firstLine="709"/>
        <w:jc w:val="both"/>
        <w:rPr>
          <w:rFonts w:ascii="Times New Roman" w:hAnsi="Times New Roman" w:cs="Times New Roman"/>
          <w:bCs w:val="1"/>
          <w:sz w:val="28"/>
          <w:szCs w:val="28"/>
        </w:rPr>
      </w:pPr>
      <w:r>
        <w:rPr>
          <w:rFonts w:ascii="Times New Roman" w:hAnsi="Times New Roman" w:cs="Times New Roman"/>
          <w:bCs w:val="1"/>
          <w:sz w:val="28"/>
          <w:szCs w:val="28"/>
        </w:rPr>
        <w:t>Таким образом, архитектура симулятора обеспечивает интеграцию экономико-математической модели платформенной экономики с интерактивным инструментом анализа сценариев развития проекта.</w:t>
      </w:r>
    </w:p>
    <w:p>
      <w:pPr>
        <w:widowControl w:val="0"/>
        <w:spacing w:lineRule="auto" w:line="360" w:after="0" w:beforeAutospacing="0" w:afterAutospacing="0"/>
        <w:ind w:firstLine="709"/>
        <w:jc w:val="both"/>
        <w:rPr>
          <w:rFonts w:ascii="Times New Roman" w:hAnsi="Times New Roman" w:cs="Times New Roman"/>
          <w:bCs w:val="1"/>
          <w:sz w:val="28"/>
          <w:szCs w:val="28"/>
        </w:rPr>
      </w:pPr>
      <w:r>
        <w:rPr>
          <w:rFonts w:ascii="Times New Roman" w:hAnsi="Times New Roman" w:cs="Times New Roman"/>
          <w:bCs w:val="1"/>
          <w:sz w:val="28"/>
          <w:szCs w:val="28"/>
        </w:rPr>
        <w:t xml:space="preserve">Использование симулятора потоков позволяет проводить сценарный анализ развития платформенной экономики, оценивая влияние различных стратегий реализации проекта на ключевые показатели социально-экономического развития. Для выбора сценарного контекста необходимо активировать одну из пяти кнопок в симуляторе (Инерционный / Сбалансированный / Цифровой / Индустриальный / Оптимальный).  В рамках настоящего исследования были рассмотрены три базовых сценария развития платформы «Берег Восхода» (</w:t>
      </w:r>
      <w:r>
        <w:rPr>
          <w:rFonts w:ascii="Times New Roman" w:hAnsi="Times New Roman" w:cs="Times New Roman"/>
          <w:bCs w:val="1"/>
          <w:sz w:val="28"/>
          <w:szCs w:val="28"/>
          <w:highlight w:val="yellow"/>
        </w:rPr>
        <w:t>таблица ??).</w:t>
      </w:r>
    </w:p>
    <w:p>
      <w:pPr>
        <w:pStyle w:val="P3"/>
        <w:ind w:firstLine="0" w:left="110"/>
        <w:rPr>
          <w:lang w:val="ru-RU"/>
        </w:rPr>
      </w:pPr>
    </w:p>
    <w:p>
      <w:pPr>
        <w:pStyle w:val="P3"/>
        <w:spacing w:lineRule="auto" w:line="360" w:beforeAutospacing="0" w:afterAutospacing="0"/>
        <w:ind w:firstLine="0" w:left="110"/>
        <w:rPr>
          <w:rStyle w:val="C52"/>
          <w:b w:val="0"/>
          <w:i w:val="0"/>
          <w:sz w:val="28"/>
          <w:szCs w:val="28"/>
          <w:lang w:val="ru-RU"/>
        </w:rPr>
      </w:pPr>
      <w:r>
        <w:rPr>
          <w:b w:val="0"/>
          <w:sz w:val="28"/>
          <w:szCs w:val="28"/>
          <w:lang w:val="ru-RU"/>
        </w:rPr>
        <w:t xml:space="preserve">Таблица </w:t>
      </w:r>
      <w:r>
        <w:rPr>
          <w:b w:val="0"/>
          <w:sz w:val="28"/>
          <w:szCs w:val="28"/>
          <w:highlight w:val="yellow"/>
          <w:lang w:val="ru-RU"/>
        </w:rPr>
        <w:t>??</w:t>
      </w:r>
      <w:r>
        <w:rPr>
          <w:sz w:val="28"/>
          <w:szCs w:val="28"/>
          <w:lang w:val="ru-RU"/>
        </w:rPr>
        <w:t xml:space="preserve"> – </w:t>
      </w:r>
      <w:r>
        <w:rPr>
          <w:rStyle w:val="C47"/>
          <w:sz w:val="28"/>
          <w:szCs w:val="28"/>
          <w:lang w:val="ru-RU"/>
        </w:rPr>
        <w:t>Сценарии развития инновационной платформы «Берег Восхода» по результатам моделирования ПСВЯ</w:t>
      </w:r>
      <w:r>
        <w:rPr>
          <w:sz w:val="28"/>
          <w:szCs w:val="28"/>
          <w:lang w:val="ru-RU"/>
        </w:rPr>
        <w:t xml:space="preserve"> </w:t>
      </w:r>
      <w:r>
        <w:rPr>
          <w:rStyle w:val="C52"/>
          <w:b w:val="0"/>
          <w:i w:val="0"/>
          <w:sz w:val="28"/>
          <w:szCs w:val="28"/>
          <w:lang w:val="ru-RU"/>
        </w:rPr>
        <w:t>(составлено автором)</w:t>
      </w:r>
    </w:p>
    <w:tbl>
      <w:tblPr>
        <w:tblStyle w:val="T3"/>
        <w:tblW w:w="0" w:type="auto"/>
        <w:tblLayout w:type="fixed"/>
        <w:tblLook w:val="04A0"/>
      </w:tblPr>
      <w:tblGrid>
        <w:gridCol w:w="3823"/>
        <w:gridCol w:w="1984"/>
        <w:gridCol w:w="2126"/>
        <w:gridCol w:w="1979"/>
      </w:tblGrid>
      <w:tr>
        <w:tc>
          <w:tcPr>
            <w:tcW w:w="3823" w:type="dxa"/>
            <w:hideMark/>
          </w:tcPr>
          <w:p>
            <w:pPr>
              <w:jc w:val="center"/>
              <w:rPr>
                <w:rFonts w:ascii="Times New Roman" w:hAnsi="Times New Roman" w:cs="Times New Roman" w:eastAsia="Times New Roman"/>
                <w:bCs w:val="1"/>
                <w:sz w:val="24"/>
                <w:szCs w:val="24"/>
                <w:lang w:eastAsia="ru-RU"/>
              </w:rPr>
            </w:pPr>
            <w:r>
              <w:rPr>
                <w:rFonts w:ascii="Times New Roman" w:hAnsi="Times New Roman" w:cs="Times New Roman" w:eastAsia="Times New Roman"/>
                <w:bCs w:val="1"/>
                <w:sz w:val="24"/>
                <w:szCs w:val="24"/>
                <w:lang w:eastAsia="ru-RU"/>
              </w:rPr>
              <w:t>Показатель</w:t>
            </w:r>
          </w:p>
        </w:tc>
        <w:tc>
          <w:tcPr>
            <w:tcW w:w="1984" w:type="dxa"/>
            <w:hideMark/>
          </w:tcPr>
          <w:p>
            <w:pPr>
              <w:jc w:val="center"/>
              <w:rPr>
                <w:rFonts w:ascii="Times New Roman" w:hAnsi="Times New Roman" w:cs="Times New Roman" w:eastAsia="Times New Roman"/>
                <w:bCs w:val="1"/>
                <w:sz w:val="24"/>
                <w:szCs w:val="24"/>
                <w:lang w:eastAsia="ru-RU"/>
              </w:rPr>
            </w:pPr>
            <w:r>
              <w:rPr>
                <w:rFonts w:ascii="Times New Roman" w:hAnsi="Times New Roman" w:cs="Times New Roman" w:eastAsia="Times New Roman"/>
                <w:bCs w:val="1"/>
                <w:sz w:val="24"/>
                <w:szCs w:val="24"/>
                <w:lang w:eastAsia="ru-RU"/>
              </w:rPr>
              <w:t>Инерционный сценарий</w:t>
            </w:r>
          </w:p>
        </w:tc>
        <w:tc>
          <w:tcPr>
            <w:tcW w:w="2126" w:type="dxa"/>
            <w:hideMark/>
          </w:tcPr>
          <w:p>
            <w:pPr>
              <w:ind w:left="-108" w:right="-108"/>
              <w:jc w:val="center"/>
              <w:rPr>
                <w:rFonts w:ascii="Times New Roman" w:hAnsi="Times New Roman" w:cs="Times New Roman" w:eastAsia="Times New Roman"/>
                <w:bCs w:val="1"/>
                <w:sz w:val="24"/>
                <w:szCs w:val="24"/>
                <w:lang w:eastAsia="ru-RU"/>
              </w:rPr>
            </w:pPr>
            <w:r>
              <w:rPr>
                <w:rFonts w:ascii="Times New Roman" w:hAnsi="Times New Roman" w:cs="Times New Roman" w:eastAsia="Times New Roman"/>
                <w:bCs w:val="1"/>
                <w:sz w:val="24"/>
                <w:szCs w:val="24"/>
                <w:lang w:eastAsia="ru-RU"/>
              </w:rPr>
              <w:t>Сбалансированный сценарий</w:t>
            </w:r>
          </w:p>
        </w:tc>
        <w:tc>
          <w:tcPr>
            <w:tcW w:w="1979" w:type="dxa"/>
            <w:hideMark/>
          </w:tcPr>
          <w:p>
            <w:pPr>
              <w:jc w:val="center"/>
              <w:rPr>
                <w:rFonts w:ascii="Times New Roman" w:hAnsi="Times New Roman" w:cs="Times New Roman" w:eastAsia="Times New Roman"/>
                <w:bCs w:val="1"/>
                <w:sz w:val="24"/>
                <w:szCs w:val="24"/>
                <w:lang w:eastAsia="ru-RU"/>
              </w:rPr>
            </w:pPr>
            <w:r>
              <w:rPr>
                <w:rFonts w:ascii="Times New Roman" w:hAnsi="Times New Roman" w:cs="Times New Roman" w:eastAsia="Times New Roman"/>
                <w:bCs w:val="1"/>
                <w:sz w:val="24"/>
                <w:szCs w:val="24"/>
                <w:lang w:eastAsia="ru-RU"/>
              </w:rPr>
              <w:t>Оптимальный сценарий</w:t>
            </w:r>
          </w:p>
        </w:tc>
      </w:tr>
      <w:tr>
        <w:tc>
          <w:tcPr>
            <w:tcW w:w="3823"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bCs w:val="1"/>
                <w:sz w:val="24"/>
                <w:szCs w:val="24"/>
                <w:lang w:eastAsia="ru-RU"/>
              </w:rPr>
              <w:t>Сценарный вектор (X)</w:t>
            </w:r>
          </w:p>
        </w:tc>
        <w:tc>
          <w:tcPr>
            <w:tcW w:w="1984" w:type="dxa"/>
            <w:hideMark/>
          </w:tcPr>
          <w:p>
            <w:pPr>
              <w:jc w:val="cente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(0,40; 0,35; 0,30; 0,25; 0,20; 0,30; 0,20; 0,25; 0,20)</w:t>
            </w:r>
          </w:p>
        </w:tc>
        <w:tc>
          <w:tcPr>
            <w:tcW w:w="2126" w:type="dxa"/>
            <w:hideMark/>
          </w:tcPr>
          <w:p>
            <w:pPr>
              <w:jc w:val="cente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(0,70; 0,70; 0,65; 0,75; 0,65; 0,75; 0,60; 0,55; 0,50)</w:t>
            </w:r>
          </w:p>
        </w:tc>
        <w:tc>
          <w:tcPr>
            <w:tcW w:w="1979" w:type="dxa"/>
            <w:hideMark/>
          </w:tcPr>
          <w:p>
            <w:pPr>
              <w:jc w:val="cente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(0,82; 0,85; 0,80; 0,88; 0,78; 0,90; 0,72; 0,68; 0,62)</w:t>
            </w:r>
          </w:p>
        </w:tc>
      </w:tr>
      <w:tr>
        <w:tc>
          <w:tcPr>
            <w:tcW w:w="3823"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bCs w:val="1"/>
                <w:sz w:val="24"/>
                <w:szCs w:val="24"/>
                <w:lang w:eastAsia="ru-RU"/>
              </w:rPr>
              <w:t>Уровень развития цифровой платформы (x</w:t>
            </w:r>
            <w:r>
              <w:rPr>
                <w:rFonts w:ascii="Times New Roman" w:hAnsi="Times New Roman" w:cs="Times New Roman" w:eastAsia="Times New Roman"/>
                <w:bCs w:val="1"/>
                <w:sz w:val="24"/>
                <w:szCs w:val="24"/>
                <w:vertAlign w:val="subscript"/>
                <w:lang w:eastAsia="ru-RU"/>
              </w:rPr>
              <w:t>4</w:t>
            </w:r>
            <w:r>
              <w:rPr>
                <w:rFonts w:ascii="Times New Roman" w:hAnsi="Times New Roman" w:cs="Times New Roman" w:eastAsia="Times New Roman"/>
                <w:bCs w:val="1"/>
                <w:sz w:val="24"/>
                <w:szCs w:val="24"/>
                <w:lang w:eastAsia="ru-RU"/>
              </w:rPr>
              <w:t>)</w:t>
            </w:r>
          </w:p>
        </w:tc>
        <w:tc>
          <w:tcPr>
            <w:tcW w:w="1984" w:type="dxa"/>
            <w:hideMark/>
          </w:tcPr>
          <w:p>
            <w:pPr>
              <w:jc w:val="center"/>
              <w:rPr>
                <w:rFonts w:ascii="Times New Roman" w:hAnsi="Times New Roman" w:cs="Times New Roman" w:eastAsia="Times New Roman"/>
                <w:sz w:val="24"/>
                <w:szCs w:val="24"/>
                <w:lang w:eastAsia="ru-RU"/>
              </w:rPr>
            </w:pPr>
            <w:r>
              <w:rPr>
                <w:rFonts w:ascii="Times New Roman" w:hAnsi="Times New Roman" w:cs="Times New Roman" w:eastAsia="Times New Roman"/>
                <w:bCs w:val="1"/>
                <w:sz w:val="24"/>
                <w:szCs w:val="24"/>
                <w:lang w:eastAsia="ru-RU"/>
              </w:rPr>
              <w:t>0,25</w:t>
            </w:r>
          </w:p>
        </w:tc>
        <w:tc>
          <w:tcPr>
            <w:tcW w:w="2126" w:type="dxa"/>
            <w:hideMark/>
          </w:tcPr>
          <w:p>
            <w:pPr>
              <w:jc w:val="center"/>
              <w:rPr>
                <w:rFonts w:ascii="Times New Roman" w:hAnsi="Times New Roman" w:cs="Times New Roman" w:eastAsia="Times New Roman"/>
                <w:sz w:val="24"/>
                <w:szCs w:val="24"/>
                <w:lang w:eastAsia="ru-RU"/>
              </w:rPr>
            </w:pPr>
            <w:r>
              <w:rPr>
                <w:rFonts w:ascii="Times New Roman" w:hAnsi="Times New Roman" w:cs="Times New Roman" w:eastAsia="Times New Roman"/>
                <w:bCs w:val="1"/>
                <w:sz w:val="24"/>
                <w:szCs w:val="24"/>
                <w:lang w:eastAsia="ru-RU"/>
              </w:rPr>
              <w:t>0,75</w:t>
            </w:r>
          </w:p>
        </w:tc>
        <w:tc>
          <w:tcPr>
            <w:tcW w:w="1979" w:type="dxa"/>
            <w:hideMark/>
          </w:tcPr>
          <w:p>
            <w:pPr>
              <w:jc w:val="center"/>
              <w:rPr>
                <w:rFonts w:ascii="Times New Roman" w:hAnsi="Times New Roman" w:cs="Times New Roman" w:eastAsia="Times New Roman"/>
                <w:sz w:val="24"/>
                <w:szCs w:val="24"/>
                <w:lang w:eastAsia="ru-RU"/>
              </w:rPr>
            </w:pPr>
            <w:r>
              <w:rPr>
                <w:rFonts w:ascii="Times New Roman" w:hAnsi="Times New Roman" w:cs="Times New Roman" w:eastAsia="Times New Roman"/>
                <w:bCs w:val="1"/>
                <w:sz w:val="24"/>
                <w:szCs w:val="24"/>
                <w:lang w:eastAsia="ru-RU"/>
              </w:rPr>
              <w:t>0,88</w:t>
            </w:r>
          </w:p>
        </w:tc>
      </w:tr>
      <w:tr>
        <w:tc>
          <w:tcPr>
            <w:tcW w:w="3823"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bCs w:val="1"/>
                <w:sz w:val="24"/>
                <w:szCs w:val="24"/>
                <w:lang w:eastAsia="ru-RU"/>
              </w:rPr>
              <w:t>Общий объем инвестиций (CAPEX), млрд долл.</w:t>
            </w:r>
          </w:p>
        </w:tc>
        <w:tc>
          <w:tcPr>
            <w:tcW w:w="1984" w:type="dxa"/>
            <w:hideMark/>
          </w:tcPr>
          <w:p>
            <w:pPr>
              <w:jc w:val="center"/>
              <w:rPr>
                <w:rFonts w:ascii="Times New Roman" w:hAnsi="Times New Roman" w:cs="Times New Roman" w:eastAsia="Times New Roman"/>
                <w:sz w:val="24"/>
                <w:szCs w:val="24"/>
                <w:lang w:eastAsia="ru-RU"/>
              </w:rPr>
            </w:pPr>
            <w:r>
              <w:rPr>
                <w:rFonts w:ascii="Times New Roman" w:hAnsi="Times New Roman" w:cs="Times New Roman" w:eastAsia="Times New Roman"/>
                <w:bCs w:val="1"/>
                <w:sz w:val="24"/>
                <w:szCs w:val="24"/>
                <w:lang w:eastAsia="ru-RU"/>
              </w:rPr>
              <w:t>4,72</w:t>
            </w:r>
          </w:p>
        </w:tc>
        <w:tc>
          <w:tcPr>
            <w:tcW w:w="2126" w:type="dxa"/>
            <w:hideMark/>
          </w:tcPr>
          <w:p>
            <w:pPr>
              <w:jc w:val="center"/>
              <w:rPr>
                <w:rFonts w:ascii="Times New Roman" w:hAnsi="Times New Roman" w:cs="Times New Roman" w:eastAsia="Times New Roman"/>
                <w:sz w:val="24"/>
                <w:szCs w:val="24"/>
                <w:lang w:eastAsia="ru-RU"/>
              </w:rPr>
            </w:pPr>
            <w:r>
              <w:rPr>
                <w:rFonts w:ascii="Times New Roman" w:hAnsi="Times New Roman" w:cs="Times New Roman" w:eastAsia="Times New Roman"/>
                <w:bCs w:val="1"/>
                <w:sz w:val="24"/>
                <w:szCs w:val="24"/>
                <w:lang w:eastAsia="ru-RU"/>
              </w:rPr>
              <w:t>10,53</w:t>
            </w:r>
          </w:p>
        </w:tc>
        <w:tc>
          <w:tcPr>
            <w:tcW w:w="1979" w:type="dxa"/>
            <w:hideMark/>
          </w:tcPr>
          <w:p>
            <w:pPr>
              <w:jc w:val="center"/>
              <w:rPr>
                <w:rFonts w:ascii="Times New Roman" w:hAnsi="Times New Roman" w:cs="Times New Roman" w:eastAsia="Times New Roman"/>
                <w:sz w:val="24"/>
                <w:szCs w:val="24"/>
                <w:lang w:eastAsia="ru-RU"/>
              </w:rPr>
            </w:pPr>
            <w:r>
              <w:rPr>
                <w:rFonts w:ascii="Times New Roman" w:hAnsi="Times New Roman" w:cs="Times New Roman" w:eastAsia="Times New Roman"/>
                <w:bCs w:val="1"/>
                <w:sz w:val="24"/>
                <w:szCs w:val="24"/>
                <w:lang w:eastAsia="ru-RU"/>
              </w:rPr>
              <w:t>12,68</w:t>
            </w:r>
          </w:p>
        </w:tc>
      </w:tr>
      <w:tr>
        <w:tc>
          <w:tcPr>
            <w:tcW w:w="3823"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bCs w:val="1"/>
                <w:sz w:val="24"/>
                <w:szCs w:val="24"/>
                <w:lang w:eastAsia="ru-RU"/>
              </w:rPr>
              <w:t>Совокупный прирост добавленной стоимости (</w:t>
            </w:r>
            <w:r>
              <w:rPr>
                <w:rFonts w:ascii="Times New Roman" w:hAnsi="Times New Roman" w:cs="Times New Roman"/>
                <w:bCs w:val="1"/>
                <w:sz w:val="28"/>
                <w:szCs w:val="28"/>
              </w:rPr>
              <w:t>ΔY</w:t>
            </w:r>
            <w:r>
              <w:rPr>
                <w:rFonts w:ascii="Times New Roman" w:hAnsi="Times New Roman" w:cs="Times New Roman" w:eastAsia="Times New Roman"/>
                <w:bCs w:val="1"/>
                <w:sz w:val="24"/>
                <w:szCs w:val="24"/>
                <w:lang w:eastAsia="ru-RU"/>
              </w:rPr>
              <w:t>), млрд долл./год</w:t>
            </w:r>
          </w:p>
        </w:tc>
        <w:tc>
          <w:tcPr>
            <w:tcW w:w="1984" w:type="dxa"/>
            <w:hideMark/>
          </w:tcPr>
          <w:p>
            <w:pPr>
              <w:jc w:val="center"/>
              <w:rPr>
                <w:rFonts w:ascii="Times New Roman" w:hAnsi="Times New Roman" w:cs="Times New Roman" w:eastAsia="Times New Roman"/>
                <w:sz w:val="24"/>
                <w:szCs w:val="24"/>
                <w:lang w:eastAsia="ru-RU"/>
              </w:rPr>
            </w:pPr>
            <w:r>
              <w:rPr>
                <w:rFonts w:ascii="Times New Roman" w:hAnsi="Times New Roman" w:cs="Times New Roman" w:eastAsia="Times New Roman"/>
                <w:bCs w:val="1"/>
                <w:sz w:val="24"/>
                <w:szCs w:val="24"/>
                <w:lang w:eastAsia="ru-RU"/>
              </w:rPr>
              <w:t>13,98</w:t>
            </w:r>
          </w:p>
        </w:tc>
        <w:tc>
          <w:tcPr>
            <w:tcW w:w="2126" w:type="dxa"/>
            <w:hideMark/>
          </w:tcPr>
          <w:p>
            <w:pPr>
              <w:jc w:val="center"/>
              <w:rPr>
                <w:rFonts w:ascii="Times New Roman" w:hAnsi="Times New Roman" w:cs="Times New Roman" w:eastAsia="Times New Roman"/>
                <w:sz w:val="24"/>
                <w:szCs w:val="24"/>
                <w:lang w:eastAsia="ru-RU"/>
              </w:rPr>
            </w:pPr>
            <w:r>
              <w:rPr>
                <w:rFonts w:ascii="Times New Roman" w:hAnsi="Times New Roman" w:cs="Times New Roman" w:eastAsia="Times New Roman"/>
                <w:bCs w:val="1"/>
                <w:sz w:val="24"/>
                <w:szCs w:val="24"/>
                <w:lang w:eastAsia="ru-RU"/>
              </w:rPr>
              <w:t>43,15</w:t>
            </w:r>
          </w:p>
        </w:tc>
        <w:tc>
          <w:tcPr>
            <w:tcW w:w="1979" w:type="dxa"/>
            <w:hideMark/>
          </w:tcPr>
          <w:p>
            <w:pPr>
              <w:jc w:val="center"/>
              <w:rPr>
                <w:rFonts w:ascii="Times New Roman" w:hAnsi="Times New Roman" w:cs="Times New Roman" w:eastAsia="Times New Roman"/>
                <w:sz w:val="24"/>
                <w:szCs w:val="24"/>
                <w:lang w:eastAsia="ru-RU"/>
              </w:rPr>
            </w:pPr>
            <w:r>
              <w:rPr>
                <w:rFonts w:ascii="Times New Roman" w:hAnsi="Times New Roman" w:cs="Times New Roman" w:eastAsia="Times New Roman"/>
                <w:bCs w:val="1"/>
                <w:sz w:val="24"/>
                <w:szCs w:val="24"/>
                <w:lang w:eastAsia="ru-RU"/>
              </w:rPr>
              <w:t>56,30</w:t>
            </w:r>
          </w:p>
        </w:tc>
      </w:tr>
      <w:tr>
        <w:tc>
          <w:tcPr>
            <w:tcW w:w="3823"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bCs w:val="1"/>
                <w:sz w:val="24"/>
                <w:szCs w:val="24"/>
                <w:lang w:eastAsia="ru-RU"/>
              </w:rPr>
              <w:t>Синергетический эффект межкластерных взаимодействий, млрд долл./год</w:t>
            </w:r>
          </w:p>
        </w:tc>
        <w:tc>
          <w:tcPr>
            <w:tcW w:w="1984" w:type="dxa"/>
            <w:hideMark/>
          </w:tcPr>
          <w:p>
            <w:pPr>
              <w:jc w:val="center"/>
              <w:rPr>
                <w:rFonts w:ascii="Times New Roman" w:hAnsi="Times New Roman" w:cs="Times New Roman" w:eastAsia="Times New Roman"/>
                <w:sz w:val="24"/>
                <w:szCs w:val="24"/>
                <w:lang w:eastAsia="ru-RU"/>
              </w:rPr>
            </w:pPr>
            <w:r>
              <w:rPr>
                <w:rFonts w:ascii="Times New Roman" w:hAnsi="Times New Roman" w:cs="Times New Roman" w:eastAsia="Times New Roman"/>
                <w:bCs w:val="1"/>
                <w:sz w:val="24"/>
                <w:szCs w:val="24"/>
                <w:lang w:eastAsia="ru-RU"/>
              </w:rPr>
              <w:t>≈ 2,16</w:t>
            </w:r>
          </w:p>
        </w:tc>
        <w:tc>
          <w:tcPr>
            <w:tcW w:w="2126" w:type="dxa"/>
            <w:hideMark/>
          </w:tcPr>
          <w:p>
            <w:pPr>
              <w:jc w:val="center"/>
              <w:rPr>
                <w:rFonts w:ascii="Times New Roman" w:hAnsi="Times New Roman" w:cs="Times New Roman" w:eastAsia="Times New Roman"/>
                <w:sz w:val="24"/>
                <w:szCs w:val="24"/>
                <w:lang w:eastAsia="ru-RU"/>
              </w:rPr>
            </w:pPr>
            <w:r>
              <w:rPr>
                <w:rFonts w:ascii="Times New Roman" w:hAnsi="Times New Roman" w:cs="Times New Roman" w:eastAsia="Times New Roman"/>
                <w:bCs w:val="1"/>
                <w:sz w:val="24"/>
                <w:szCs w:val="24"/>
                <w:lang w:eastAsia="ru-RU"/>
              </w:rPr>
              <w:t>≈ 15,19</w:t>
            </w:r>
          </w:p>
        </w:tc>
        <w:tc>
          <w:tcPr>
            <w:tcW w:w="1979" w:type="dxa"/>
            <w:hideMark/>
          </w:tcPr>
          <w:p>
            <w:pPr>
              <w:jc w:val="center"/>
              <w:rPr>
                <w:rFonts w:ascii="Times New Roman" w:hAnsi="Times New Roman" w:cs="Times New Roman" w:eastAsia="Times New Roman"/>
                <w:sz w:val="24"/>
                <w:szCs w:val="24"/>
                <w:lang w:eastAsia="ru-RU"/>
              </w:rPr>
            </w:pPr>
            <w:r>
              <w:rPr>
                <w:rFonts w:ascii="Times New Roman" w:hAnsi="Times New Roman" w:cs="Times New Roman" w:eastAsia="Times New Roman"/>
                <w:bCs w:val="1"/>
                <w:sz w:val="24"/>
                <w:szCs w:val="24"/>
                <w:lang w:eastAsia="ru-RU"/>
              </w:rPr>
              <w:t>≈ 19,43</w:t>
            </w:r>
          </w:p>
        </w:tc>
      </w:tr>
      <w:tr>
        <w:tc>
          <w:tcPr>
            <w:tcW w:w="3823"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bCs w:val="1"/>
                <w:sz w:val="24"/>
                <w:szCs w:val="24"/>
                <w:lang w:eastAsia="ru-RU"/>
              </w:rPr>
              <w:t>Создание рабочих мест, тыс.</w:t>
            </w:r>
          </w:p>
        </w:tc>
        <w:tc>
          <w:tcPr>
            <w:tcW w:w="1984" w:type="dxa"/>
            <w:hideMark/>
          </w:tcPr>
          <w:p>
            <w:pPr>
              <w:jc w:val="center"/>
              <w:rPr>
                <w:rFonts w:ascii="Times New Roman" w:hAnsi="Times New Roman" w:cs="Times New Roman" w:eastAsia="Times New Roman"/>
                <w:sz w:val="24"/>
                <w:szCs w:val="24"/>
                <w:lang w:eastAsia="ru-RU"/>
              </w:rPr>
            </w:pPr>
            <w:r>
              <w:rPr>
                <w:rFonts w:ascii="Times New Roman" w:hAnsi="Times New Roman" w:cs="Times New Roman" w:eastAsia="Times New Roman"/>
                <w:bCs w:val="1"/>
                <w:sz w:val="24"/>
                <w:szCs w:val="24"/>
                <w:lang w:eastAsia="ru-RU"/>
              </w:rPr>
              <w:t>43</w:t>
            </w:r>
          </w:p>
        </w:tc>
        <w:tc>
          <w:tcPr>
            <w:tcW w:w="2126" w:type="dxa"/>
            <w:hideMark/>
          </w:tcPr>
          <w:p>
            <w:pPr>
              <w:jc w:val="center"/>
              <w:rPr>
                <w:rFonts w:ascii="Times New Roman" w:hAnsi="Times New Roman" w:cs="Times New Roman" w:eastAsia="Times New Roman"/>
                <w:sz w:val="24"/>
                <w:szCs w:val="24"/>
                <w:lang w:eastAsia="ru-RU"/>
              </w:rPr>
            </w:pPr>
            <w:r>
              <w:rPr>
                <w:rFonts w:ascii="Times New Roman" w:hAnsi="Times New Roman" w:cs="Times New Roman" w:eastAsia="Times New Roman"/>
                <w:bCs w:val="1"/>
                <w:sz w:val="24"/>
                <w:szCs w:val="24"/>
                <w:lang w:eastAsia="ru-RU"/>
              </w:rPr>
              <w:t>98</w:t>
            </w:r>
          </w:p>
        </w:tc>
        <w:tc>
          <w:tcPr>
            <w:tcW w:w="1979" w:type="dxa"/>
            <w:hideMark/>
          </w:tcPr>
          <w:p>
            <w:pPr>
              <w:jc w:val="center"/>
              <w:rPr>
                <w:rFonts w:ascii="Times New Roman" w:hAnsi="Times New Roman" w:cs="Times New Roman" w:eastAsia="Times New Roman"/>
                <w:sz w:val="24"/>
                <w:szCs w:val="24"/>
                <w:lang w:eastAsia="ru-RU"/>
              </w:rPr>
            </w:pPr>
            <w:r>
              <w:rPr>
                <w:rFonts w:ascii="Times New Roman" w:hAnsi="Times New Roman" w:cs="Times New Roman" w:eastAsia="Times New Roman"/>
                <w:bCs w:val="1"/>
                <w:sz w:val="24"/>
                <w:szCs w:val="24"/>
                <w:lang w:eastAsia="ru-RU"/>
              </w:rPr>
              <w:t>118</w:t>
            </w:r>
          </w:p>
        </w:tc>
      </w:tr>
      <w:tr>
        <w:tc>
          <w:tcPr>
            <w:tcW w:w="3823"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bCs w:val="1"/>
                <w:sz w:val="24"/>
                <w:szCs w:val="24"/>
                <w:lang w:eastAsia="ru-RU"/>
              </w:rPr>
              <w:t>Интегральный индекс эффективности платформы (F(х))</w:t>
            </w:r>
          </w:p>
        </w:tc>
        <w:tc>
          <w:tcPr>
            <w:tcW w:w="1984" w:type="dxa"/>
            <w:hideMark/>
          </w:tcPr>
          <w:p>
            <w:pPr>
              <w:jc w:val="center"/>
              <w:rPr>
                <w:rFonts w:ascii="Times New Roman" w:hAnsi="Times New Roman" w:cs="Times New Roman" w:eastAsia="Times New Roman"/>
                <w:sz w:val="24"/>
                <w:szCs w:val="24"/>
                <w:lang w:eastAsia="ru-RU"/>
              </w:rPr>
            </w:pPr>
            <w:r>
              <w:rPr>
                <w:rFonts w:ascii="Times New Roman" w:hAnsi="Times New Roman" w:cs="Times New Roman" w:eastAsia="Times New Roman"/>
                <w:bCs w:val="1"/>
                <w:sz w:val="24"/>
                <w:szCs w:val="24"/>
                <w:lang w:eastAsia="ru-RU"/>
              </w:rPr>
              <w:t>0,07</w:t>
            </w:r>
          </w:p>
        </w:tc>
        <w:tc>
          <w:tcPr>
            <w:tcW w:w="2126" w:type="dxa"/>
            <w:hideMark/>
          </w:tcPr>
          <w:p>
            <w:pPr>
              <w:jc w:val="center"/>
              <w:rPr>
                <w:rFonts w:ascii="Times New Roman" w:hAnsi="Times New Roman" w:cs="Times New Roman" w:eastAsia="Times New Roman"/>
                <w:sz w:val="24"/>
                <w:szCs w:val="24"/>
                <w:lang w:eastAsia="ru-RU"/>
              </w:rPr>
            </w:pPr>
            <w:r>
              <w:rPr>
                <w:rFonts w:ascii="Times New Roman" w:hAnsi="Times New Roman" w:cs="Times New Roman" w:eastAsia="Times New Roman"/>
                <w:bCs w:val="1"/>
                <w:sz w:val="24"/>
                <w:szCs w:val="24"/>
                <w:lang w:eastAsia="ru-RU"/>
              </w:rPr>
              <w:t>0,25</w:t>
            </w:r>
          </w:p>
        </w:tc>
        <w:tc>
          <w:tcPr>
            <w:tcW w:w="1979" w:type="dxa"/>
            <w:hideMark/>
          </w:tcPr>
          <w:p>
            <w:pPr>
              <w:jc w:val="center"/>
              <w:rPr>
                <w:rFonts w:ascii="Times New Roman" w:hAnsi="Times New Roman" w:cs="Times New Roman" w:eastAsia="Times New Roman"/>
                <w:sz w:val="24"/>
                <w:szCs w:val="24"/>
                <w:lang w:eastAsia="ru-RU"/>
              </w:rPr>
            </w:pPr>
            <w:r>
              <w:rPr>
                <w:rFonts w:ascii="Times New Roman" w:hAnsi="Times New Roman" w:cs="Times New Roman" w:eastAsia="Times New Roman"/>
                <w:bCs w:val="1"/>
                <w:sz w:val="24"/>
                <w:szCs w:val="24"/>
                <w:lang w:eastAsia="ru-RU"/>
              </w:rPr>
              <w:t>0,36</w:t>
            </w:r>
          </w:p>
        </w:tc>
      </w:tr>
      <w:tr>
        <w:tc>
          <w:tcPr>
            <w:tcW w:w="3823"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bCs w:val="1"/>
                <w:sz w:val="24"/>
                <w:szCs w:val="24"/>
                <w:lang w:eastAsia="ru-RU"/>
              </w:rPr>
              <w:t>Чистая приведенная стоимость (NPV), млрд долл.</w:t>
            </w:r>
          </w:p>
        </w:tc>
        <w:tc>
          <w:tcPr>
            <w:tcW w:w="1984" w:type="dxa"/>
            <w:hideMark/>
          </w:tcPr>
          <w:p>
            <w:pPr>
              <w:jc w:val="center"/>
              <w:rPr>
                <w:rFonts w:ascii="Times New Roman" w:hAnsi="Times New Roman" w:cs="Times New Roman" w:eastAsia="Times New Roman"/>
                <w:sz w:val="24"/>
                <w:szCs w:val="24"/>
                <w:lang w:eastAsia="ru-RU"/>
              </w:rPr>
            </w:pPr>
            <w:r>
              <w:rPr>
                <w:rFonts w:ascii="Times New Roman" w:hAnsi="Times New Roman" w:cs="Times New Roman" w:eastAsia="Times New Roman"/>
                <w:bCs w:val="1"/>
                <w:sz w:val="24"/>
                <w:szCs w:val="24"/>
                <w:lang w:eastAsia="ru-RU"/>
              </w:rPr>
              <w:t>60,23</w:t>
            </w:r>
          </w:p>
        </w:tc>
        <w:tc>
          <w:tcPr>
            <w:tcW w:w="2126" w:type="dxa"/>
            <w:hideMark/>
          </w:tcPr>
          <w:p>
            <w:pPr>
              <w:jc w:val="center"/>
              <w:rPr>
                <w:rFonts w:ascii="Times New Roman" w:hAnsi="Times New Roman" w:cs="Times New Roman" w:eastAsia="Times New Roman"/>
                <w:sz w:val="24"/>
                <w:szCs w:val="24"/>
                <w:lang w:eastAsia="ru-RU"/>
              </w:rPr>
            </w:pPr>
            <w:r>
              <w:rPr>
                <w:rFonts w:ascii="Times New Roman" w:hAnsi="Times New Roman" w:cs="Times New Roman" w:eastAsia="Times New Roman"/>
                <w:bCs w:val="1"/>
                <w:sz w:val="24"/>
                <w:szCs w:val="24"/>
                <w:lang w:eastAsia="ru-RU"/>
              </w:rPr>
              <w:t>194,45</w:t>
            </w:r>
          </w:p>
        </w:tc>
        <w:tc>
          <w:tcPr>
            <w:tcW w:w="1979" w:type="dxa"/>
            <w:hideMark/>
          </w:tcPr>
          <w:p>
            <w:pPr>
              <w:jc w:val="center"/>
              <w:rPr>
                <w:rFonts w:ascii="Times New Roman" w:hAnsi="Times New Roman" w:cs="Times New Roman" w:eastAsia="Times New Roman"/>
                <w:sz w:val="24"/>
                <w:szCs w:val="24"/>
                <w:lang w:eastAsia="ru-RU"/>
              </w:rPr>
            </w:pPr>
            <w:r>
              <w:rPr>
                <w:rFonts w:ascii="Times New Roman" w:hAnsi="Times New Roman" w:cs="Times New Roman" w:eastAsia="Times New Roman"/>
                <w:bCs w:val="1"/>
                <w:sz w:val="24"/>
                <w:szCs w:val="24"/>
                <w:lang w:eastAsia="ru-RU"/>
              </w:rPr>
              <w:t>254,35</w:t>
            </w:r>
          </w:p>
        </w:tc>
      </w:tr>
      <w:tr>
        <w:tc>
          <w:tcPr>
            <w:tcW w:w="3823"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bCs w:val="1"/>
                <w:sz w:val="24"/>
                <w:szCs w:val="24"/>
                <w:lang w:eastAsia="ru-RU"/>
              </w:rPr>
              <w:t>Бюджетный статус сценария</w:t>
            </w:r>
          </w:p>
        </w:tc>
        <w:tc>
          <w:tcPr>
            <w:tcW w:w="1984" w:type="dxa"/>
            <w:hideMark/>
          </w:tcPr>
          <w:p>
            <w:pPr>
              <w:jc w:val="cente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В пределах лимита</w:t>
            </w:r>
          </w:p>
        </w:tc>
        <w:tc>
          <w:tcPr>
            <w:tcW w:w="2126" w:type="dxa"/>
            <w:hideMark/>
          </w:tcPr>
          <w:p>
            <w:pPr>
              <w:jc w:val="cente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В пределах лимита</w:t>
            </w:r>
          </w:p>
        </w:tc>
        <w:tc>
          <w:tcPr>
            <w:tcW w:w="1979" w:type="dxa"/>
            <w:hideMark/>
          </w:tcPr>
          <w:p>
            <w:pPr>
              <w:jc w:val="center"/>
              <w:rPr>
                <w:rFonts w:ascii="Times New Roman" w:hAnsi="Times New Roman" w:cs="Times New Roman" w:eastAsia="Times New Roman"/>
                <w:sz w:val="24"/>
                <w:szCs w:val="24"/>
                <w:lang w:eastAsia="ru-RU"/>
              </w:rPr>
            </w:pPr>
            <w:r>
              <w:rPr>
                <w:rFonts w:ascii="Times New Roman" w:hAnsi="Times New Roman" w:cs="Times New Roman" w:eastAsia="Times New Roman"/>
                <w:bCs w:val="1"/>
                <w:sz w:val="24"/>
                <w:szCs w:val="24"/>
                <w:lang w:eastAsia="ru-RU"/>
              </w:rPr>
              <w:t xml:space="preserve">Превышает лимит </w:t>
            </w:r>
          </w:p>
        </w:tc>
      </w:tr>
      <w:tr>
        <w:tc>
          <w:tcPr>
            <w:tcW w:w="3823"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bCs w:val="1"/>
                <w:sz w:val="24"/>
                <w:szCs w:val="24"/>
                <w:lang w:eastAsia="ru-RU"/>
              </w:rPr>
              <w:t>Уровень системных рисков</w:t>
            </w:r>
          </w:p>
        </w:tc>
        <w:tc>
          <w:tcPr>
            <w:tcW w:w="1984" w:type="dxa"/>
            <w:hideMark/>
          </w:tcPr>
          <w:p>
            <w:pPr>
              <w:jc w:val="cente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Высокий</w:t>
            </w:r>
          </w:p>
        </w:tc>
        <w:tc>
          <w:tcPr>
            <w:tcW w:w="2126" w:type="dxa"/>
            <w:hideMark/>
          </w:tcPr>
          <w:p>
            <w:pPr>
              <w:jc w:val="cente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Умеренный</w:t>
            </w:r>
          </w:p>
        </w:tc>
        <w:tc>
          <w:tcPr>
            <w:tcW w:w="1979" w:type="dxa"/>
            <w:hideMark/>
          </w:tcPr>
          <w:p>
            <w:pPr>
              <w:jc w:val="cente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Умеренный/повышенный по бюджету</w:t>
            </w:r>
          </w:p>
        </w:tc>
      </w:tr>
      <w:tr>
        <w:tc>
          <w:tcPr>
            <w:tcW w:w="3823" w:type="dxa"/>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bCs w:val="1"/>
                <w:sz w:val="24"/>
                <w:szCs w:val="24"/>
                <w:lang w:eastAsia="ru-RU"/>
              </w:rPr>
              <w:t>Степень участия в глобальных цепочках стоимости</w:t>
            </w:r>
          </w:p>
        </w:tc>
        <w:tc>
          <w:tcPr>
            <w:tcW w:w="1984" w:type="dxa"/>
            <w:hideMark/>
          </w:tcPr>
          <w:p>
            <w:pPr>
              <w:jc w:val="cente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Ограниченная</w:t>
            </w:r>
          </w:p>
        </w:tc>
        <w:tc>
          <w:tcPr>
            <w:tcW w:w="2126" w:type="dxa"/>
            <w:hideMark/>
          </w:tcPr>
          <w:p>
            <w:pPr>
              <w:jc w:val="cente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Расширяющаяся</w:t>
            </w:r>
          </w:p>
        </w:tc>
        <w:tc>
          <w:tcPr>
            <w:tcW w:w="1979" w:type="dxa"/>
            <w:hideMark/>
          </w:tcPr>
          <w:p>
            <w:pPr>
              <w:jc w:val="cente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Высокая</w:t>
            </w:r>
          </w:p>
        </w:tc>
      </w:tr>
    </w:tbl>
    <w:p>
      <w:pPr>
        <w:widowControl w:val="0"/>
        <w:spacing w:lineRule="auto" w:line="360" w:after="0" w:beforeAutospacing="0" w:afterAutospacing="0"/>
        <w:ind w:firstLine="709"/>
        <w:jc w:val="both"/>
        <w:rPr>
          <w:rFonts w:ascii="Times New Roman" w:hAnsi="Times New Roman" w:cs="Times New Roman"/>
          <w:bCs w:val="1"/>
          <w:sz w:val="28"/>
          <w:szCs w:val="28"/>
        </w:rPr>
      </w:pPr>
    </w:p>
    <w:p>
      <w:pPr>
        <w:widowControl w:val="0"/>
        <w:spacing w:lineRule="auto" w:line="360" w:after="0" w:beforeAutospacing="0" w:afterAutospacing="0"/>
        <w:ind w:firstLine="709"/>
        <w:jc w:val="both"/>
        <w:rPr>
          <w:rFonts w:ascii="Times New Roman" w:hAnsi="Times New Roman" w:cs="Times New Roman"/>
          <w:bCs w:val="1"/>
          <w:sz w:val="28"/>
          <w:szCs w:val="28"/>
        </w:rPr>
      </w:pPr>
      <w:r>
        <w:rPr>
          <w:rFonts w:ascii="Times New Roman" w:hAnsi="Times New Roman" w:cs="Times New Roman"/>
          <w:bCs w:val="1"/>
          <w:sz w:val="28"/>
          <w:szCs w:val="28"/>
        </w:rPr>
        <w:t>Инерционный сценарий предполагает сохранение существующих темпов развития экономики без существенного ускорения инвестиционной активности. В этом случае реализация кластеров осуществляется неравномерно, а цифровая платформа не достигает критического уровня развития, необходимого для эффективной координации экономических процессов. Результаты моделирования показывают, что при реализации данного сценария синергетические эффекты платформенной экономики оказываются минимальными, а совокупный прирост добавленной стоимости значительно ниже потенциальных возможностей проекта.</w:t>
      </w:r>
    </w:p>
    <w:p>
      <w:pPr>
        <w:widowControl w:val="0"/>
        <w:spacing w:lineRule="auto" w:line="360" w:after="0" w:beforeAutospacing="0" w:afterAutospacing="0"/>
        <w:ind w:firstLine="709"/>
        <w:jc w:val="both"/>
        <w:rPr>
          <w:rFonts w:ascii="Times New Roman" w:hAnsi="Times New Roman" w:cs="Times New Roman"/>
          <w:bCs w:val="1"/>
          <w:sz w:val="28"/>
          <w:szCs w:val="28"/>
        </w:rPr>
      </w:pPr>
      <w:r>
        <w:rPr>
          <w:rFonts w:ascii="Times New Roman" w:hAnsi="Times New Roman" w:cs="Times New Roman"/>
          <w:bCs w:val="1"/>
          <w:sz w:val="28"/>
          <w:szCs w:val="28"/>
        </w:rPr>
        <w:t>В сбалансированного сценария предполагается постепенное развитие всех ключевых кластеров при одновременном укреплении цифровой инфраструктуры. Данный подход позволяет сформировать устойчивые межкластерные связи и обеспечить рост синергетических эффектов платформенной экономики. Моделирование показывает, что сбалансированный сценарий обеспечивает значительный рост добавленной стоимости и занятости, а также способствует расширению участия национальных предприятий в глобальных цепочках создания стоимости.</w:t>
      </w:r>
    </w:p>
    <w:p>
      <w:pPr>
        <w:widowControl w:val="0"/>
        <w:spacing w:lineRule="auto" w:line="360" w:after="0" w:beforeAutospacing="0" w:afterAutospacing="0"/>
        <w:ind w:firstLine="709"/>
        <w:jc w:val="both"/>
        <w:rPr>
          <w:rFonts w:ascii="Times New Roman" w:hAnsi="Times New Roman" w:cs="Times New Roman"/>
          <w:bCs w:val="1"/>
          <w:sz w:val="28"/>
          <w:szCs w:val="28"/>
        </w:rPr>
      </w:pPr>
      <w:r>
        <w:rPr>
          <w:rFonts w:ascii="Times New Roman" w:hAnsi="Times New Roman" w:cs="Times New Roman"/>
          <w:bCs w:val="1"/>
          <w:sz w:val="28"/>
          <w:szCs w:val="28"/>
        </w:rPr>
        <w:t>Оптимальный сценарий развития платформы предполагает ускоренное развитие ключевых инфраструктурных кластеров, прежде всего, цифровой платформы, энергетической инфраструктуры и системы подготовки кадров. В этом случае достигается максимальный эффект цифровой координации экономических процессов и формируется наиболее высокая степень межкластерной синергии. Результаты моделирования показывают, что при реализации оптимального сценария платформенная экономика способна обеспечить значительный прирост валовой добавленной стоимости, а также создать существенное количество новых рабочих мест.</w:t>
      </w:r>
    </w:p>
    <w:p>
      <w:pPr>
        <w:widowControl w:val="0"/>
        <w:spacing w:lineRule="auto" w:line="360" w:after="0" w:beforeAutospacing="0" w:afterAutospacing="0"/>
        <w:ind w:firstLine="709"/>
        <w:jc w:val="both"/>
        <w:rPr>
          <w:rFonts w:ascii="Times New Roman" w:hAnsi="Times New Roman" w:cs="Times New Roman"/>
          <w:bCs w:val="1"/>
          <w:sz w:val="28"/>
          <w:szCs w:val="28"/>
        </w:rPr>
      </w:pPr>
      <w:r>
        <w:rPr>
          <w:rFonts w:ascii="Times New Roman" w:hAnsi="Times New Roman" w:cs="Times New Roman"/>
          <w:bCs w:val="1"/>
          <w:sz w:val="28"/>
          <w:szCs w:val="28"/>
        </w:rPr>
        <w:t>Таким образом, проведенный сценарный анализ подтверждает, что ключевым фактором успешной реализации проекта «Берег Восхода» является развитие цифровой платформы как интеграционного механизма платформенной экономики. Именно данный элемент обеспечивает координацию экономических взаимодействий между кластерами и формирует сетевые эффекты, позволяющие существенно повысить эффективность функционирования всей системы.</w:t>
      </w:r>
    </w:p>
    <w:p>
      <w:pPr>
        <w:widowControl w:val="0"/>
        <w:spacing w:lineRule="auto" w:line="360" w:after="0" w:beforeAutospacing="0" w:afterAutospacing="0"/>
        <w:ind w:firstLine="709"/>
        <w:jc w:val="both"/>
        <w:rPr>
          <w:rFonts w:ascii="Times New Roman" w:hAnsi="Times New Roman" w:cs="Times New Roman"/>
          <w:bCs w:val="1"/>
          <w:sz w:val="28"/>
          <w:szCs w:val="28"/>
        </w:rPr>
      </w:pPr>
      <w:r>
        <w:rPr>
          <w:rFonts w:ascii="Times New Roman" w:hAnsi="Times New Roman" w:cs="Times New Roman"/>
          <w:bCs w:val="1"/>
          <w:sz w:val="28"/>
          <w:szCs w:val="28"/>
        </w:rPr>
        <w:t>Полученные результаты позволяют рассматривать симулятор потоков платформы как эффективный инструмент анализа стратегий развития национальной инновационной системы и оценки последствий различных вариантов экономической политики.</w:t>
      </w:r>
    </w:p>
    <w:p>
      <w:pPr>
        <w:widowControl w:val="0"/>
        <w:spacing w:lineRule="auto" w:line="360" w:after="0" w:beforeAutospacing="0" w:afterAutospacing="0"/>
        <w:ind w:firstLine="709"/>
        <w:jc w:val="both"/>
        <w:rPr>
          <w:rFonts w:ascii="Times New Roman" w:hAnsi="Times New Roman" w:cs="Times New Roman"/>
          <w:bCs w:val="1"/>
          <w:sz w:val="28"/>
          <w:szCs w:val="28"/>
        </w:rPr>
      </w:pPr>
      <w:r>
        <w:rPr>
          <w:rFonts w:ascii="Times New Roman" w:hAnsi="Times New Roman" w:cs="Times New Roman"/>
          <w:bCs w:val="1"/>
          <w:sz w:val="28"/>
          <w:szCs w:val="28"/>
        </w:rPr>
        <w:t>В процессе сценарного моделирования, проведенного с использованием симулятора потоков платформы, было установлено, что развитие платформенной экономики ограничивается рядом критических ресурсных зависимостей, которые могут существенно влиять на траекторию экономического роста и устойчивость функционирования всей системы. Под критическими ресурсными зависимостями понимаются такие ограничения инфраструктурного, институционального или экономического характера, при достижении которых дальнейшее развитие отдельных кластеров становится невозможным без устранения соответствующих барьеров.</w:t>
      </w:r>
    </w:p>
    <w:p>
      <w:pPr>
        <w:widowControl w:val="0"/>
        <w:spacing w:lineRule="auto" w:line="360" w:after="0" w:beforeAutospacing="0" w:afterAutospacing="0"/>
        <w:ind w:firstLine="709"/>
        <w:jc w:val="both"/>
        <w:rPr>
          <w:rFonts w:ascii="Times New Roman" w:hAnsi="Times New Roman" w:cs="Times New Roman"/>
          <w:bCs w:val="1"/>
          <w:sz w:val="28"/>
          <w:szCs w:val="28"/>
        </w:rPr>
      </w:pPr>
      <w:r>
        <w:rPr>
          <w:rFonts w:ascii="Times New Roman" w:hAnsi="Times New Roman" w:cs="Times New Roman"/>
          <w:bCs w:val="1"/>
          <w:sz w:val="28"/>
          <w:szCs w:val="28"/>
        </w:rPr>
        <w:t>В рамках настоящего исследования для обозначения подобных ограничений используется понятие «рейперов» (от англ. raper – ограничитель), представляющих собой пороговые значения ключевых параметров системы, при достижении которых происходит изменение режима функционирования платформенной экономики. Рейперы выполняют роль механизма контроля устойчивости системы и позволяют выявлять критические точки развития, требующие принятия управленческих решений.</w:t>
      </w:r>
    </w:p>
    <w:p>
      <w:pPr>
        <w:widowControl w:val="0"/>
        <w:spacing w:lineRule="auto" w:line="360" w:after="0" w:beforeAutospacing="0" w:afterAutospacing="0"/>
        <w:ind w:firstLine="709"/>
        <w:jc w:val="both"/>
        <w:rPr>
          <w:rFonts w:ascii="Times New Roman" w:hAnsi="Times New Roman" w:cs="Times New Roman"/>
          <w:bCs w:val="1"/>
          <w:sz w:val="28"/>
          <w:szCs w:val="28"/>
        </w:rPr>
      </w:pPr>
      <w:r>
        <w:rPr>
          <w:rFonts w:ascii="Times New Roman" w:hAnsi="Times New Roman" w:cs="Times New Roman"/>
          <w:bCs w:val="1"/>
          <w:sz w:val="28"/>
          <w:szCs w:val="28"/>
        </w:rPr>
        <w:t>Использование механизма рейперов позволяет интегрировать в математическую модель платформенной экономики систему ресурсных ограничений, отражающих реальные условия функционирования национальной экономики. В частности, к числу таких ограничений относятся энергетическая инфраструктура, транспортно-логистические мощности, доступ к финансовым ресурсам, уровень цифровизации экономики и кадровый потенциал.</w:t>
      </w:r>
    </w:p>
    <w:p>
      <w:pPr>
        <w:widowControl w:val="0"/>
        <w:spacing w:lineRule="auto" w:line="360" w:after="0" w:beforeAutospacing="0" w:afterAutospacing="0"/>
        <w:ind w:firstLine="709"/>
        <w:jc w:val="both"/>
        <w:rPr>
          <w:rFonts w:ascii="Times New Roman" w:hAnsi="Times New Roman" w:cs="Times New Roman"/>
          <w:bCs w:val="1"/>
          <w:sz w:val="28"/>
          <w:szCs w:val="28"/>
        </w:rPr>
      </w:pPr>
      <w:r>
        <w:rPr>
          <w:rFonts w:ascii="Times New Roman" w:hAnsi="Times New Roman" w:cs="Times New Roman"/>
          <w:bCs w:val="1"/>
          <w:sz w:val="28"/>
          <w:szCs w:val="28"/>
        </w:rPr>
        <w:t>С методологической точки зрения введение рейперов позволяет перейти от упрощенной модели экономического роста к более реалистичной системе, учитывающей институциональные и инфраструктурные ограничения развития. Это особенно важно для стран с развивающейся экономикой, где именно инфраструктурные ограничения часто становятся ключевым фактором, сдерживающим экономическое развитие.</w:t>
      </w:r>
    </w:p>
    <w:p>
      <w:pPr>
        <w:widowControl w:val="0"/>
        <w:spacing w:lineRule="auto" w:line="360" w:after="0" w:beforeAutospacing="0" w:afterAutospacing="0"/>
        <w:ind w:firstLine="709"/>
        <w:jc w:val="both"/>
        <w:rPr>
          <w:rFonts w:ascii="Times New Roman" w:hAnsi="Times New Roman" w:cs="Times New Roman"/>
          <w:bCs w:val="1"/>
          <w:sz w:val="28"/>
          <w:szCs w:val="28"/>
        </w:rPr>
      </w:pPr>
      <w:r>
        <w:rPr>
          <w:rFonts w:ascii="Times New Roman" w:hAnsi="Times New Roman" w:cs="Times New Roman"/>
          <w:bCs w:val="1"/>
          <w:sz w:val="28"/>
          <w:szCs w:val="28"/>
        </w:rPr>
        <w:t xml:space="preserve">В рамках симулятора потоков инновационной платформы «Берег Восхода» контроль рейперов осуществляется посредством введения минимально допустимых значений параметров реализации кластеров  x</w:t>
      </w:r>
      <w:r>
        <w:rPr>
          <w:rFonts w:ascii="Times New Roman" w:hAnsi="Times New Roman" w:cs="Times New Roman"/>
          <w:bCs w:val="1"/>
          <w:sz w:val="28"/>
          <w:szCs w:val="28"/>
          <w:vertAlign w:val="subscript"/>
        </w:rPr>
        <w:t>i</w:t>
      </w:r>
      <w:r>
        <w:rPr>
          <w:rFonts w:ascii="Times New Roman" w:hAnsi="Times New Roman" w:cs="Times New Roman"/>
          <w:bCs w:val="1"/>
          <w:sz w:val="28"/>
          <w:szCs w:val="28"/>
          <w:vertAlign w:val="superscript"/>
        </w:rPr>
        <w:t>min</w:t>
      </w:r>
      <w:r>
        <w:rPr>
          <w:rFonts w:ascii="Times New Roman" w:hAnsi="Times New Roman" w:cs="Times New Roman"/>
          <w:bCs w:val="1"/>
          <w:sz w:val="28"/>
          <w:szCs w:val="28"/>
        </w:rPr>
        <w:t>. Если значение переменной xi оказывается ниже соответствующего порогового уровня, система сигнализирует о возникновении критической зависимости, ограничивающей дальнейшее развитие платформенной экономики.</w:t>
      </w:r>
    </w:p>
    <w:p>
      <w:pPr>
        <w:widowControl w:val="0"/>
        <w:spacing w:lineRule="auto" w:line="360" w:after="0" w:beforeAutospacing="0" w:afterAutospacing="0"/>
        <w:ind w:firstLine="709"/>
        <w:jc w:val="both"/>
        <w:rPr>
          <w:rFonts w:ascii="Times New Roman" w:hAnsi="Times New Roman" w:cs="Times New Roman"/>
          <w:bCs w:val="1"/>
          <w:sz w:val="28"/>
          <w:szCs w:val="28"/>
        </w:rPr>
      </w:pPr>
      <w:r>
        <w:rPr>
          <w:rFonts w:ascii="Times New Roman" w:hAnsi="Times New Roman" w:cs="Times New Roman"/>
          <w:bCs w:val="1"/>
          <w:sz w:val="28"/>
          <w:szCs w:val="28"/>
        </w:rPr>
        <w:t>С учетом проведенного анализа были выделены несколько ключевых типов критических ресурсных зависимостей.</w:t>
      </w:r>
    </w:p>
    <w:p>
      <w:pPr>
        <w:widowControl w:val="0"/>
        <w:spacing w:lineRule="auto" w:line="360" w:after="0" w:beforeAutospacing="0" w:afterAutospacing="0"/>
        <w:ind w:firstLine="709"/>
        <w:jc w:val="both"/>
        <w:rPr>
          <w:rFonts w:ascii="Times New Roman" w:hAnsi="Times New Roman" w:cs="Times New Roman"/>
          <w:bCs w:val="1"/>
          <w:sz w:val="28"/>
          <w:szCs w:val="28"/>
        </w:rPr>
      </w:pPr>
      <w:r>
        <w:rPr>
          <w:rFonts w:ascii="Times New Roman" w:hAnsi="Times New Roman" w:cs="Times New Roman"/>
          <w:bCs w:val="1"/>
          <w:sz w:val="28"/>
          <w:szCs w:val="28"/>
        </w:rPr>
        <w:t>Первый тип – инфраструктурные ограничения. К данной группе относятся ограничения, связанные с развитием транспортной, энергетической и цифровой инфраструктуры. Недостаточная пропускная способность портов, энергетических систем или сетей передачи данных может существенно ограничивать развитие производственных и логистических кластеров.</w:t>
      </w:r>
    </w:p>
    <w:p>
      <w:pPr>
        <w:widowControl w:val="0"/>
        <w:spacing w:lineRule="auto" w:line="360" w:after="0" w:beforeAutospacing="0" w:afterAutospacing="0"/>
        <w:ind w:firstLine="709"/>
        <w:jc w:val="both"/>
        <w:rPr>
          <w:rFonts w:ascii="Times New Roman" w:hAnsi="Times New Roman" w:cs="Times New Roman"/>
          <w:bCs w:val="1"/>
          <w:sz w:val="28"/>
          <w:szCs w:val="28"/>
        </w:rPr>
      </w:pPr>
      <w:r>
        <w:rPr>
          <w:rFonts w:ascii="Times New Roman" w:hAnsi="Times New Roman" w:cs="Times New Roman"/>
          <w:bCs w:val="1"/>
          <w:sz w:val="28"/>
          <w:szCs w:val="28"/>
        </w:rPr>
        <w:t>Второй тип – финансовые ограничения. Ограниченный доступ предприятий к финансовым ресурсам может замедлять реализацию инвестиционных проектов и препятствовать развитию малого и среднего бизнеса. Данный тип зависимостей особенно характерен для развивающихся экономик, где финансовая инфраструктура часто оказывается недостаточно развитой.</w:t>
      </w:r>
    </w:p>
    <w:p>
      <w:pPr>
        <w:widowControl w:val="0"/>
        <w:spacing w:lineRule="auto" w:line="360" w:after="0" w:beforeAutospacing="0" w:afterAutospacing="0"/>
        <w:ind w:firstLine="709"/>
        <w:jc w:val="both"/>
        <w:rPr>
          <w:rFonts w:ascii="Times New Roman" w:hAnsi="Times New Roman" w:cs="Times New Roman"/>
          <w:bCs w:val="1"/>
          <w:sz w:val="28"/>
          <w:szCs w:val="28"/>
        </w:rPr>
      </w:pPr>
      <w:r>
        <w:rPr>
          <w:rFonts w:ascii="Times New Roman" w:hAnsi="Times New Roman" w:cs="Times New Roman"/>
          <w:bCs w:val="1"/>
          <w:sz w:val="28"/>
          <w:szCs w:val="28"/>
        </w:rPr>
        <w:t>Третий тип – кадровые ограничения. Недостаток квалифицированных специалистов может существенно замедлять развитие высокотехнологичных отраслей и ограничивать внедрение инновационных технологий.</w:t>
      </w:r>
    </w:p>
    <w:p>
      <w:pPr>
        <w:widowControl w:val="0"/>
        <w:spacing w:lineRule="auto" w:line="360" w:after="0" w:beforeAutospacing="0" w:afterAutospacing="0"/>
        <w:ind w:firstLine="709"/>
        <w:jc w:val="both"/>
        <w:rPr>
          <w:rFonts w:ascii="Times New Roman" w:hAnsi="Times New Roman" w:cs="Times New Roman"/>
          <w:bCs w:val="1"/>
          <w:sz w:val="28"/>
          <w:szCs w:val="28"/>
        </w:rPr>
      </w:pPr>
      <w:r>
        <w:rPr>
          <w:rFonts w:ascii="Times New Roman" w:hAnsi="Times New Roman" w:cs="Times New Roman"/>
          <w:bCs w:val="1"/>
          <w:sz w:val="28"/>
          <w:szCs w:val="28"/>
        </w:rPr>
        <w:t>Четвертый тип – институциональные ограничения. К данной группе относятся барьеры, связанные с несовершенством нормативно-правовой среды, административными барьерами и недостаточной координацией между государственными институтами.</w:t>
      </w:r>
    </w:p>
    <w:p>
      <w:pPr>
        <w:widowControl w:val="0"/>
        <w:spacing w:lineRule="auto" w:line="360" w:after="0" w:beforeAutospacing="0" w:afterAutospacing="0"/>
        <w:ind w:firstLine="709"/>
        <w:jc w:val="both"/>
        <w:rPr>
          <w:rFonts w:ascii="Times New Roman" w:hAnsi="Times New Roman" w:cs="Times New Roman"/>
          <w:bCs w:val="1"/>
          <w:sz w:val="28"/>
          <w:szCs w:val="28"/>
        </w:rPr>
      </w:pPr>
      <w:r>
        <w:rPr>
          <w:rFonts w:ascii="Times New Roman" w:hAnsi="Times New Roman" w:cs="Times New Roman"/>
          <w:bCs w:val="1"/>
          <w:sz w:val="28"/>
          <w:szCs w:val="28"/>
        </w:rPr>
        <w:t xml:space="preserve">Пятый тип – экологические ограничения. Экологические и климатические факторы могут оказывать значительное влияние на устойчивость экономического развития, особенно в прибрежных регионах, подверженных воздействию климатических изменений. </w:t>
      </w:r>
    </w:p>
    <w:p>
      <w:pPr>
        <w:widowControl w:val="0"/>
        <w:spacing w:lineRule="auto" w:line="360" w:after="0" w:beforeAutospacing="0" w:afterAutospacing="0"/>
        <w:ind w:firstLine="709"/>
        <w:jc w:val="both"/>
        <w:rPr>
          <w:rFonts w:ascii="Times New Roman" w:hAnsi="Times New Roman" w:cs="Times New Roman"/>
          <w:bCs w:val="1"/>
          <w:sz w:val="28"/>
          <w:szCs w:val="28"/>
        </w:rPr>
      </w:pPr>
      <w:r>
        <w:rPr>
          <w:rFonts w:ascii="Times New Roman" w:hAnsi="Times New Roman" w:cs="Times New Roman"/>
          <w:bCs w:val="1"/>
          <w:sz w:val="28"/>
          <w:szCs w:val="28"/>
        </w:rPr>
        <w:t>Для систематизации выявленных ограничений в рамках исследования была сформирована матрица критических ресурсных зависимостей платформенной экономики (таблица ??).</w:t>
      </w:r>
    </w:p>
    <w:p>
      <w:pPr>
        <w:widowControl w:val="0"/>
        <w:spacing w:lineRule="auto" w:line="360" w:after="0" w:beforeAutospacing="0" w:afterAutospacing="0"/>
        <w:ind w:firstLine="709"/>
        <w:jc w:val="both"/>
        <w:rPr>
          <w:rFonts w:ascii="Times New Roman" w:hAnsi="Times New Roman" w:cs="Times New Roman"/>
          <w:bCs w:val="1"/>
          <w:sz w:val="28"/>
          <w:szCs w:val="28"/>
        </w:rPr>
      </w:pPr>
    </w:p>
    <w:p>
      <w:pPr>
        <w:widowControl w:val="0"/>
        <w:spacing w:lineRule="auto" w:line="360" w:after="0" w:beforeAutospacing="0" w:afterAutospacing="0"/>
        <w:jc w:val="both"/>
        <w:rPr>
          <w:rFonts w:ascii="Times New Roman" w:hAnsi="Times New Roman" w:cs="Times New Roman"/>
          <w:bCs w:val="1"/>
          <w:sz w:val="28"/>
          <w:szCs w:val="28"/>
        </w:rPr>
      </w:pPr>
      <w:r>
        <w:rPr>
          <w:rFonts w:ascii="Times New Roman" w:hAnsi="Times New Roman" w:cs="Times New Roman"/>
          <w:bCs w:val="1"/>
          <w:sz w:val="28"/>
          <w:szCs w:val="28"/>
        </w:rPr>
        <w:t>Таблица ?? – Критические ресурсные зависимости платформенной системы «Берег Восхода»</w:t>
      </w:r>
    </w:p>
    <w:tbl>
      <w:tblPr>
        <w:tblStyle w:val="T3"/>
        <w:tblW w:w="0" w:type="auto"/>
        <w:tblLook w:val="04A0"/>
      </w:tblPr>
      <w:tblGrid>
        <w:gridCol w:w="2317"/>
        <w:gridCol w:w="1527"/>
        <w:gridCol w:w="3354"/>
        <w:gridCol w:w="2714"/>
      </w:tblGrid>
      <w:tr>
        <w:tc>
          <w:tcPr>
            <w:tcW w:w="0" w:type="auto"/>
            <w:hideMark/>
          </w:tcPr>
          <w:p>
            <w:pPr>
              <w:jc w:val="center"/>
              <w:rPr>
                <w:rFonts w:ascii="Times New Roman" w:hAnsi="Times New Roman" w:cs="Times New Roman" w:eastAsia="Times New Roman"/>
                <w:bCs w:val="1"/>
                <w:sz w:val="24"/>
                <w:szCs w:val="24"/>
                <w:lang w:eastAsia="ru-RU"/>
              </w:rPr>
            </w:pPr>
            <w:r>
              <w:rPr>
                <w:rFonts w:ascii="Times New Roman" w:hAnsi="Times New Roman" w:cs="Times New Roman" w:eastAsia="Times New Roman"/>
                <w:bCs w:val="1"/>
                <w:sz w:val="24"/>
                <w:szCs w:val="24"/>
                <w:lang w:eastAsia="ru-RU"/>
              </w:rPr>
              <w:t>Тип ограничения</w:t>
            </w:r>
          </w:p>
        </w:tc>
        <w:tc>
          <w:tcPr>
            <w:tcW w:w="0" w:type="auto"/>
            <w:hideMark/>
          </w:tcPr>
          <w:p>
            <w:pPr>
              <w:jc w:val="center"/>
              <w:rPr>
                <w:rFonts w:ascii="Times New Roman" w:hAnsi="Times New Roman" w:cs="Times New Roman" w:eastAsia="Times New Roman"/>
                <w:bCs w:val="1"/>
                <w:sz w:val="24"/>
                <w:szCs w:val="24"/>
                <w:lang w:eastAsia="ru-RU"/>
              </w:rPr>
            </w:pPr>
            <w:r>
              <w:rPr>
                <w:rFonts w:ascii="Times New Roman" w:hAnsi="Times New Roman" w:cs="Times New Roman" w:eastAsia="Times New Roman"/>
                <w:bCs w:val="1"/>
                <w:sz w:val="24"/>
                <w:szCs w:val="24"/>
                <w:lang w:eastAsia="ru-RU"/>
              </w:rPr>
              <w:t>Связанные кластеры</w:t>
            </w:r>
          </w:p>
        </w:tc>
        <w:tc>
          <w:tcPr>
            <w:tcW w:w="0" w:type="auto"/>
            <w:hideMark/>
          </w:tcPr>
          <w:p>
            <w:pPr>
              <w:jc w:val="center"/>
              <w:rPr>
                <w:rFonts w:ascii="Times New Roman" w:hAnsi="Times New Roman" w:cs="Times New Roman" w:eastAsia="Times New Roman"/>
                <w:bCs w:val="1"/>
                <w:sz w:val="24"/>
                <w:szCs w:val="24"/>
                <w:lang w:eastAsia="ru-RU"/>
              </w:rPr>
            </w:pPr>
            <w:r>
              <w:rPr>
                <w:rFonts w:ascii="Times New Roman" w:hAnsi="Times New Roman" w:cs="Times New Roman" w:eastAsia="Times New Roman"/>
                <w:bCs w:val="1"/>
                <w:sz w:val="24"/>
                <w:szCs w:val="24"/>
                <w:lang w:eastAsia="ru-RU"/>
              </w:rPr>
              <w:t>Содержание ограничения</w:t>
            </w:r>
          </w:p>
        </w:tc>
        <w:tc>
          <w:tcPr>
            <w:tcW w:w="0" w:type="auto"/>
            <w:hideMark/>
          </w:tcPr>
          <w:p>
            <w:pPr>
              <w:jc w:val="center"/>
              <w:rPr>
                <w:rFonts w:ascii="Times New Roman" w:hAnsi="Times New Roman" w:cs="Times New Roman" w:eastAsia="Times New Roman"/>
                <w:bCs w:val="1"/>
                <w:sz w:val="24"/>
                <w:szCs w:val="24"/>
                <w:lang w:eastAsia="ru-RU"/>
              </w:rPr>
            </w:pPr>
            <w:r>
              <w:rPr>
                <w:rFonts w:ascii="Times New Roman" w:hAnsi="Times New Roman" w:cs="Times New Roman" w:eastAsia="Times New Roman"/>
                <w:bCs w:val="1"/>
                <w:sz w:val="24"/>
                <w:szCs w:val="24"/>
                <w:lang w:eastAsia="ru-RU"/>
              </w:rPr>
              <w:t>Потенциальные последствия</w:t>
            </w:r>
          </w:p>
        </w:tc>
      </w:tr>
      <w:tr>
        <w:tc>
          <w:tcPr>
            <w:tcW w:w="0" w:type="auto"/>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Инфраструктурные</w:t>
            </w:r>
          </w:p>
        </w:tc>
        <w:tc>
          <w:tcPr>
            <w:tcW w:w="0" w:type="auto"/>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II, III, VI</w:t>
            </w:r>
          </w:p>
        </w:tc>
        <w:tc>
          <w:tcPr>
            <w:tcW w:w="0" w:type="auto"/>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Недостаточная мощность портов, энергетики и транспортных систем</w:t>
            </w:r>
          </w:p>
        </w:tc>
        <w:tc>
          <w:tcPr>
            <w:tcW w:w="0" w:type="auto"/>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Ограничение роста промышленности и экспорта</w:t>
            </w:r>
          </w:p>
        </w:tc>
      </w:tr>
      <w:tr>
        <w:tc>
          <w:tcPr>
            <w:tcW w:w="0" w:type="auto"/>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Финансовые</w:t>
            </w:r>
          </w:p>
        </w:tc>
        <w:tc>
          <w:tcPr>
            <w:tcW w:w="0" w:type="auto"/>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VII, I, III</w:t>
            </w:r>
          </w:p>
        </w:tc>
        <w:tc>
          <w:tcPr>
            <w:tcW w:w="0" w:type="auto"/>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Ограниченный доступ предприятий к финансированию</w:t>
            </w:r>
          </w:p>
        </w:tc>
        <w:tc>
          <w:tcPr>
            <w:tcW w:w="0" w:type="auto"/>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Замедление инвестиционной активности</w:t>
            </w:r>
          </w:p>
        </w:tc>
      </w:tr>
      <w:tr>
        <w:tc>
          <w:tcPr>
            <w:tcW w:w="0" w:type="auto"/>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Кадровые</w:t>
            </w:r>
          </w:p>
        </w:tc>
        <w:tc>
          <w:tcPr>
            <w:tcW w:w="0" w:type="auto"/>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V, III, I</w:t>
            </w:r>
          </w:p>
        </w:tc>
        <w:tc>
          <w:tcPr>
            <w:tcW w:w="0" w:type="auto"/>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Дефицит квалифицированных специалистов</w:t>
            </w:r>
          </w:p>
        </w:tc>
        <w:tc>
          <w:tcPr>
            <w:tcW w:w="0" w:type="auto"/>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Снижение инновационной активности</w:t>
            </w:r>
          </w:p>
        </w:tc>
      </w:tr>
      <w:tr>
        <w:tc>
          <w:tcPr>
            <w:tcW w:w="0" w:type="auto"/>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Институциональные</w:t>
            </w:r>
          </w:p>
        </w:tc>
        <w:tc>
          <w:tcPr>
            <w:tcW w:w="0" w:type="auto"/>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IV, VII, VIII</w:t>
            </w:r>
          </w:p>
        </w:tc>
        <w:tc>
          <w:tcPr>
            <w:tcW w:w="0" w:type="auto"/>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Административные барьеры и недостаточная координация</w:t>
            </w:r>
          </w:p>
        </w:tc>
        <w:tc>
          <w:tcPr>
            <w:tcW w:w="0" w:type="auto"/>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Повышение транзакционных издержек</w:t>
            </w:r>
          </w:p>
        </w:tc>
      </w:tr>
      <w:tr>
        <w:tc>
          <w:tcPr>
            <w:tcW w:w="0" w:type="auto"/>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Экологические</w:t>
            </w:r>
          </w:p>
        </w:tc>
        <w:tc>
          <w:tcPr>
            <w:tcW w:w="0" w:type="auto"/>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IX, I, VI</w:t>
            </w:r>
          </w:p>
        </w:tc>
        <w:tc>
          <w:tcPr>
            <w:tcW w:w="0" w:type="auto"/>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Климатические риски и экологические ограничения</w:t>
            </w:r>
          </w:p>
        </w:tc>
        <w:tc>
          <w:tcPr>
            <w:tcW w:w="0" w:type="auto"/>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Снижение устойчивости экономического развития</w:t>
            </w:r>
          </w:p>
        </w:tc>
      </w:tr>
    </w:tbl>
    <w:p>
      <w:pPr>
        <w:widowControl w:val="0"/>
        <w:spacing w:lineRule="auto" w:line="360" w:after="0" w:beforeAutospacing="0" w:afterAutospacing="0"/>
        <w:ind w:firstLine="709"/>
        <w:jc w:val="both"/>
        <w:rPr>
          <w:rFonts w:ascii="Times New Roman" w:hAnsi="Times New Roman" w:cs="Times New Roman"/>
          <w:bCs w:val="1"/>
          <w:sz w:val="28"/>
          <w:szCs w:val="28"/>
        </w:rPr>
      </w:pPr>
    </w:p>
    <w:p>
      <w:pPr>
        <w:widowControl w:val="0"/>
        <w:spacing w:lineRule="auto" w:line="360" w:after="0" w:beforeAutospacing="0" w:afterAutospacing="0"/>
        <w:ind w:firstLine="709"/>
        <w:jc w:val="both"/>
        <w:rPr>
          <w:rFonts w:ascii="Times New Roman" w:hAnsi="Times New Roman" w:cs="Times New Roman"/>
          <w:bCs w:val="1"/>
          <w:sz w:val="28"/>
          <w:szCs w:val="28"/>
        </w:rPr>
      </w:pPr>
      <w:r>
        <w:rPr>
          <w:rFonts w:ascii="Times New Roman" w:hAnsi="Times New Roman" w:cs="Times New Roman"/>
          <w:bCs w:val="1"/>
          <w:sz w:val="28"/>
          <w:szCs w:val="28"/>
        </w:rPr>
        <w:t>Включение системы рейперов в модель платформенной экономики позволяет осуществлять мониторинг критических параметров развития и своевременно выявлять потенциальные угрозы устойчивости системы. Благодаря этому симулятор потоков платформы может использоваться как инструмент стратегического управления развитием инновационной экономики.</w:t>
      </w:r>
    </w:p>
    <w:p>
      <w:pPr>
        <w:widowControl w:val="0"/>
        <w:spacing w:lineRule="auto" w:line="360" w:after="0" w:beforeAutospacing="0" w:afterAutospacing="0"/>
        <w:ind w:firstLine="709"/>
        <w:jc w:val="both"/>
        <w:rPr>
          <w:rFonts w:ascii="Times New Roman" w:hAnsi="Times New Roman" w:cs="Times New Roman"/>
          <w:bCs w:val="1"/>
          <w:sz w:val="28"/>
          <w:szCs w:val="28"/>
        </w:rPr>
      </w:pPr>
      <w:r>
        <w:rPr>
          <w:rFonts w:ascii="Times New Roman" w:hAnsi="Times New Roman" w:cs="Times New Roman"/>
          <w:bCs w:val="1"/>
          <w:sz w:val="28"/>
          <w:szCs w:val="28"/>
        </w:rPr>
        <w:t>В более широком контексте использование подобного подхода позволяет формировать адаптивную систему экономического управления, в которой решения принимаются на основе анализа взаимосвязей между различными элементами экономической системы. Это особенно важно для стран с развивающейся экономикой, где устойчивость экономического роста во многом зависит от способности эффективно управлять ограниченными ресурсами.</w:t>
      </w:r>
    </w:p>
    <w:p>
      <w:pPr>
        <w:widowControl w:val="0"/>
        <w:spacing w:lineRule="auto" w:line="360" w:after="0" w:beforeAutospacing="0" w:afterAutospacing="0"/>
        <w:ind w:firstLine="709"/>
        <w:jc w:val="both"/>
        <w:rPr>
          <w:rFonts w:ascii="Times New Roman" w:hAnsi="Times New Roman" w:cs="Times New Roman"/>
          <w:bCs w:val="1"/>
          <w:sz w:val="28"/>
          <w:szCs w:val="28"/>
        </w:rPr>
      </w:pPr>
      <w:r>
        <w:rPr>
          <w:rFonts w:ascii="Times New Roman" w:hAnsi="Times New Roman" w:cs="Times New Roman"/>
          <w:bCs w:val="1"/>
          <w:sz w:val="28"/>
          <w:szCs w:val="28"/>
        </w:rPr>
        <w:t>Таким образом, введение механизма контроля рейперов позволяет дополнить платформенную модель инновационно-инклюзивного развития инструментами управления рисками и ресурсными ограничениями. Это делает предложенный платформенный механизм не только инструментом экономического роста, но и системой обеспечения устойчивости социально-экономического развития Республики Кот-д’Ивуар.</w:t>
      </w:r>
    </w:p>
    <w:p>
      <w:pPr>
        <w:widowControl w:val="0"/>
        <w:spacing w:lineRule="auto" w:line="360" w:after="0" w:beforeAutospacing="0" w:afterAutospacing="0"/>
        <w:ind w:firstLine="709"/>
        <w:jc w:val="both"/>
        <w:rPr>
          <w:rFonts w:ascii="Times New Roman" w:hAnsi="Times New Roman" w:cs="Times New Roman"/>
          <w:bCs w:val="1"/>
          <w:sz w:val="28"/>
          <w:szCs w:val="28"/>
        </w:rPr>
      </w:pPr>
      <w:r>
        <w:rPr>
          <w:rFonts w:ascii="Times New Roman" w:hAnsi="Times New Roman" w:cs="Times New Roman"/>
          <w:bCs w:val="1"/>
          <w:sz w:val="28"/>
          <w:szCs w:val="28"/>
        </w:rPr>
        <w:t xml:space="preserve">Важно отметить, что одной из ключевых возмозностей  использования симулятора на базе ПСВЯ является моделирование нелинейности роста в условиях платформенной координации. В данной модели общий результат превышает сумму изолированных вкладов отдельных кластеров. Для Республики Кот-д’Ивуара это особенно значимо, поскольку сама проблема национальной экономики заключается не в полном отсутствии ресурсов или отраслей роста, а в слабой плотности связей между ними. Платформенная координация, следовательно, выступает механизмом, который переводит экономику из режима накопления разрозненных преимуществ в режим их взаимного усиления.</w:t>
      </w:r>
    </w:p>
    <w:p>
      <w:pPr>
        <w:widowControl w:val="0"/>
        <w:spacing w:lineRule="auto" w:line="360" w:after="0" w:beforeAutospacing="0" w:afterAutospacing="0"/>
        <w:ind w:firstLine="709"/>
        <w:jc w:val="both"/>
        <w:rPr>
          <w:rFonts w:ascii="Times New Roman" w:hAnsi="Times New Roman" w:cs="Times New Roman"/>
          <w:bCs w:val="1"/>
          <w:sz w:val="28"/>
          <w:szCs w:val="28"/>
        </w:rPr>
      </w:pPr>
      <w:r>
        <w:rPr>
          <w:rFonts w:ascii="Times New Roman" w:hAnsi="Times New Roman" w:cs="Times New Roman"/>
          <w:bCs w:val="1"/>
          <w:sz w:val="28"/>
          <w:szCs w:val="28"/>
        </w:rPr>
        <w:t xml:space="preserve">С точки зрения практической интерпретации нелинейный эффект проявляется в нескольких измерениях. Во-первых, усиливается экспортная диверсификация, поскольку переработка и логистика получают поддержку со стороны цифровой координации и финансовой доступности. Во-вторых, расширяется участие субъектов малого и среднего бизнеса, которым платформа облегчает доступ к рынкам и сервисам. В-третьих, возрастает устойчивость системы к внешним шокам, поскольку более тесные внутренние связи уменьшают зависимость от узкого набора каналов роста. </w:t>
      </w:r>
    </w:p>
    <w:p>
      <w:pPr>
        <w:widowControl w:val="0"/>
        <w:spacing w:lineRule="auto" w:line="360" w:after="0" w:beforeAutospacing="0" w:afterAutospacing="0"/>
        <w:ind w:firstLine="709"/>
        <w:jc w:val="both"/>
        <w:rPr>
          <w:rFonts w:ascii="Times New Roman" w:hAnsi="Times New Roman" w:cs="Times New Roman"/>
          <w:bCs w:val="1"/>
          <w:sz w:val="28"/>
          <w:szCs w:val="28"/>
        </w:rPr>
      </w:pPr>
      <w:r>
        <w:rPr>
          <w:rFonts w:ascii="Times New Roman" w:hAnsi="Times New Roman" w:cs="Times New Roman"/>
          <w:bCs w:val="1"/>
          <w:sz w:val="28"/>
          <w:szCs w:val="28"/>
        </w:rPr>
        <w:t xml:space="preserve">Важно отметить, что при всех преимуществах ПСВЯ не следует рассматривать как универсальную и завершенную модель безусловного прогнозирования. Ее назначение состоит не в том, чтобы дать точный детерминированный прогноз макроэкономической динамики, а в том, чтобы формализовать различия между альтернативными режимами координации экономики. Практическая применимость модели зависит от качества исходных данных, от корректности параметров синергии и транзакционного эффекта, а также от того, насколько последовательно в реальной политике будут развиваться цифровая инфраструктура, логистика, механизмы финансирования МСП и институциональные условия доверия между участниками платформы. </w:t>
      </w:r>
    </w:p>
    <w:p>
      <w:pPr>
        <w:widowControl w:val="0"/>
        <w:spacing w:lineRule="auto" w:line="360" w:after="0" w:beforeAutospacing="0" w:afterAutospacing="0"/>
        <w:ind w:firstLine="709"/>
        <w:jc w:val="both"/>
        <w:rPr>
          <w:rFonts w:ascii="Times New Roman" w:hAnsi="Times New Roman" w:cs="Times New Roman"/>
          <w:bCs w:val="1"/>
          <w:sz w:val="28"/>
          <w:szCs w:val="28"/>
        </w:rPr>
      </w:pPr>
      <w:r>
        <w:rPr>
          <w:rFonts w:ascii="Times New Roman" w:hAnsi="Times New Roman" w:cs="Times New Roman"/>
          <w:bCs w:val="1"/>
          <w:sz w:val="28"/>
          <w:szCs w:val="28"/>
        </w:rPr>
        <w:t xml:space="preserve">Вместе с тем ограниченность модели не снижает ее аналитической ценности для настоящего исследования. Напротив, она позволяет показать, что вопрос о платформенной трансформации является не абстрактно-технологическим, а экономико-институциональным, поскольку без платформы страна сохраняет преимущественно линейную траекторию роста, при частичной кластеризации получает умеренный эффект, а при экосистемной координации выходит на качественно иную конфигурацию добавленной стоимости и включенности. </w:t>
      </w:r>
    </w:p>
    <w:p>
      <w:pPr>
        <w:widowControl w:val="0"/>
        <w:spacing w:lineRule="auto" w:line="360" w:after="0" w:beforeAutospacing="0" w:afterAutospacing="0"/>
        <w:ind w:firstLine="709"/>
        <w:jc w:val="both"/>
        <w:rPr>
          <w:rFonts w:ascii="Times New Roman" w:hAnsi="Times New Roman" w:cs="Times New Roman"/>
          <w:bCs w:val="1"/>
          <w:sz w:val="28"/>
          <w:szCs w:val="28"/>
        </w:rPr>
      </w:pPr>
      <w:r>
        <w:rPr>
          <w:rFonts w:ascii="Times New Roman" w:hAnsi="Times New Roman" w:cs="Times New Roman"/>
          <w:bCs w:val="1"/>
          <w:sz w:val="28"/>
          <w:szCs w:val="28"/>
        </w:rPr>
        <w:t xml:space="preserve">Проведенное сценарно-симуляционное моделирование позволило не только сопоставить альтернативные траектории развития платформенной экономики, но и выделить конфигурацию, обеспечивающую наибольший совокупный эффект при допустимом уровне системных ограничений. В этой связи дальнейший анализ целесообразно сосредоточить на инвестиционной модели оптимального сценария, поскольку именно он в наибольшей степени раскрывает потенциал платформенной координации, межкластерной синергии и снижения транзакционных издержек. </w:t>
      </w:r>
    </w:p>
    <w:p>
      <w:pPr>
        <w:widowControl w:val="0"/>
        <w:spacing w:lineRule="auto" w:line="360" w:after="0" w:beforeAutospacing="0" w:afterAutospacing="0"/>
        <w:ind w:firstLine="709"/>
        <w:jc w:val="both"/>
        <w:rPr>
          <w:rFonts w:ascii="Times New Roman" w:hAnsi="Times New Roman" w:cs="Times New Roman"/>
          <w:bCs w:val="1"/>
          <w:sz w:val="28"/>
          <w:szCs w:val="28"/>
        </w:rPr>
      </w:pPr>
      <w:r>
        <w:rPr>
          <w:rFonts w:ascii="Times New Roman" w:hAnsi="Times New Roman" w:cs="Times New Roman"/>
          <w:bCs w:val="1"/>
          <w:sz w:val="28"/>
          <w:szCs w:val="28"/>
        </w:rPr>
        <w:t xml:space="preserve">Таблица </w:t>
      </w:r>
      <w:r>
        <w:rPr>
          <w:rFonts w:ascii="Times New Roman" w:hAnsi="Times New Roman" w:cs="Times New Roman"/>
          <w:bCs w:val="1"/>
          <w:sz w:val="28"/>
          <w:szCs w:val="28"/>
          <w:highlight w:val="yellow"/>
        </w:rPr>
        <w:t>1</w:t>
      </w:r>
      <w:r>
        <w:rPr>
          <w:rFonts w:ascii="Times New Roman" w:hAnsi="Times New Roman" w:cs="Times New Roman"/>
          <w:bCs w:val="1"/>
          <w:sz w:val="28"/>
          <w:szCs w:val="28"/>
        </w:rPr>
        <w:t xml:space="preserve"> отражает сводную инвестиционную модель кластеров инновационного проекта «Берег Восхода» в параметрах полиструктурного сценарно-вычислительного ядра в режиме оптимального сценария. Совокупный объем инвестиций при полном развертывании девяти кластеров (при </w:t>
      </w:r>
      <w:r>
        <w:rPr>
          <w:rFonts w:ascii="Times New Roman" w:hAnsi="Times New Roman" w:cs="Times New Roman"/>
          <w:i w:val="1"/>
          <w:bCs w:val="1"/>
          <w:sz w:val="28"/>
          <w:szCs w:val="28"/>
          <w:lang w:val="en-US"/>
        </w:rPr>
        <w:t>x</w:t>
      </w:r>
      <w:r>
        <w:rPr>
          <w:rFonts w:ascii="Times New Roman" w:hAnsi="Times New Roman" w:cs="Times New Roman"/>
          <w:i w:val="1"/>
          <w:bCs w:val="1"/>
          <w:sz w:val="28"/>
          <w:szCs w:val="28"/>
          <w:vertAlign w:val="subscript"/>
          <w:lang w:val="en-US"/>
        </w:rPr>
        <w:t>i</w:t>
      </w:r>
      <w:r>
        <w:rPr>
          <w:rFonts w:ascii="Times New Roman" w:hAnsi="Times New Roman" w:cs="Times New Roman"/>
          <w:bCs w:val="1"/>
          <w:sz w:val="28"/>
          <w:szCs w:val="28"/>
        </w:rPr>
        <w:t xml:space="preserve">=1) составляет 15,6 млрд долл., а базовый потенциал прямого прироста валовой добавленной стоимости – 18,0 млрд долл. С учетом индивидуальных инвестиционных мультипликаторов кластеров суммарный прямой эффект возрастает до 35,47 млрд долл., что соответствует средневзвешенному мультипликатору 1,76. Наибольшим значением коэффициента  </w:t>
      </w:r>
      <w:r>
        <w:rPr>
          <w:rFonts w:ascii="Times New Roman" w:hAnsi="Times New Roman" w:cs="Times New Roman"/>
          <w:i w:val="1"/>
          <w:bCs w:val="1"/>
          <w:sz w:val="28"/>
          <w:szCs w:val="28"/>
        </w:rPr>
        <w:t>ki</w:t>
      </w:r>
      <w:r>
        <w:rPr>
          <w:rFonts w:ascii="Times New Roman" w:hAnsi="Times New Roman" w:cs="Times New Roman"/>
          <w:bCs w:val="1"/>
          <w:sz w:val="28"/>
          <w:szCs w:val="28"/>
        </w:rPr>
        <w:t xml:space="preserve"> характеризуется цифровая платформа (</w:t>
      </w:r>
      <w:r>
        <w:rPr>
          <w:rFonts w:ascii="Times New Roman" w:hAnsi="Times New Roman" w:cs="Times New Roman"/>
          <w:i w:val="1"/>
          <w:bCs w:val="1"/>
          <w:sz w:val="28"/>
          <w:szCs w:val="28"/>
        </w:rPr>
        <w:t>k</w:t>
      </w:r>
      <w:r>
        <w:rPr>
          <w:rFonts w:ascii="Times New Roman" w:hAnsi="Times New Roman" w:cs="Times New Roman"/>
          <w:i w:val="1"/>
          <w:bCs w:val="1"/>
          <w:sz w:val="28"/>
          <w:szCs w:val="28"/>
          <w:vertAlign w:val="subscript"/>
        </w:rPr>
        <w:t>4</w:t>
      </w:r>
      <w:r>
        <w:rPr>
          <w:rFonts w:ascii="Times New Roman" w:hAnsi="Times New Roman" w:cs="Times New Roman"/>
          <w:bCs w:val="1"/>
          <w:sz w:val="28"/>
          <w:szCs w:val="28"/>
        </w:rPr>
        <w:t>=2,05), что обусловлено ее высокой капиталоотдачей, низкой импортоемкостью и выраженным сетевым эффектом. Второе место занимает индустриально-производственный кластер и специальные экономические зоны (</w:t>
      </w:r>
      <w:r>
        <w:rPr>
          <w:rFonts w:ascii="Times New Roman" w:hAnsi="Times New Roman" w:cs="Times New Roman"/>
          <w:i w:val="1"/>
          <w:bCs w:val="1"/>
          <w:sz w:val="28"/>
          <w:szCs w:val="28"/>
        </w:rPr>
        <w:t>k</w:t>
      </w:r>
      <w:r>
        <w:rPr>
          <w:rFonts w:ascii="Times New Roman" w:hAnsi="Times New Roman" w:cs="Times New Roman"/>
          <w:i w:val="1"/>
          <w:bCs w:val="1"/>
          <w:sz w:val="28"/>
          <w:szCs w:val="28"/>
          <w:vertAlign w:val="subscript"/>
        </w:rPr>
        <w:t>3</w:t>
      </w:r>
      <w:r>
        <w:rPr>
          <w:rFonts w:ascii="Times New Roman" w:hAnsi="Times New Roman" w:cs="Times New Roman"/>
          <w:bCs w:val="1"/>
          <w:sz w:val="28"/>
          <w:szCs w:val="28"/>
        </w:rPr>
        <w:t>=1,90), третье – агропереработка (</w:t>
      </w:r>
      <w:r>
        <w:rPr>
          <w:rFonts w:ascii="Times New Roman" w:hAnsi="Times New Roman" w:cs="Times New Roman"/>
          <w:i w:val="1"/>
          <w:bCs w:val="1"/>
          <w:sz w:val="28"/>
          <w:szCs w:val="28"/>
        </w:rPr>
        <w:t>k</w:t>
      </w:r>
      <w:r>
        <w:rPr>
          <w:rFonts w:ascii="Times New Roman" w:hAnsi="Times New Roman" w:cs="Times New Roman"/>
          <w:i w:val="1"/>
          <w:bCs w:val="1"/>
          <w:sz w:val="28"/>
          <w:szCs w:val="28"/>
          <w:vertAlign w:val="subscript"/>
        </w:rPr>
        <w:t>1</w:t>
      </w:r>
      <w:r>
        <w:rPr>
          <w:rFonts w:ascii="Times New Roman" w:hAnsi="Times New Roman" w:cs="Times New Roman"/>
          <w:bCs w:val="1"/>
          <w:sz w:val="28"/>
          <w:szCs w:val="28"/>
        </w:rPr>
        <w:t xml:space="preserve">=1,80). При этом лидером по объему инвестиций выступает индустриально-производственный кластер, аккумулирующий 3,5 млрд долл., тогда как цифровая платформа обеспечивает наибольший удельный эффект на единицу вложенного капитала. </w:t>
      </w:r>
    </w:p>
    <w:p>
      <w:pPr>
        <w:widowControl w:val="0"/>
        <w:spacing w:lineRule="auto" w:line="360" w:after="0" w:beforeAutospacing="0" w:afterAutospacing="0"/>
        <w:ind w:firstLine="709"/>
        <w:jc w:val="both"/>
        <w:rPr>
          <w:rFonts w:ascii="Times New Roman" w:hAnsi="Times New Roman" w:cs="Times New Roman"/>
          <w:bCs w:val="1"/>
          <w:sz w:val="28"/>
          <w:szCs w:val="28"/>
        </w:rPr>
      </w:pPr>
      <w:r>
        <w:rPr>
          <w:rFonts w:ascii="Times New Roman" w:hAnsi="Times New Roman" w:cs="Times New Roman"/>
          <w:bCs w:val="1"/>
          <w:sz w:val="28"/>
          <w:szCs w:val="28"/>
        </w:rPr>
        <w:t>В оптимальном сценарии совокупный бюджет составляет 12,68 млрд долл., прямой эффект – 34,77 млрд долл., синергетический эффект – 19,42 млрд долл., транзакционный эффект платформы – 2,10 млрд долл., а общий прирост валовой добавленной стоимости достигает 56,3 млрд долл. Это означает, что экономический потенциал проекта определяется не простой суммой отраслевых результатов, а координацией кластеров в рамках единой платформенной архитектуры.</w:t>
      </w:r>
    </w:p>
    <w:p>
      <w:pPr>
        <w:widowControl w:val="0"/>
        <w:spacing w:lineRule="auto" w:line="360" w:after="0" w:beforeAutospacing="0" w:afterAutospacing="0"/>
        <w:ind w:firstLine="709"/>
        <w:jc w:val="both"/>
        <w:rPr>
          <w:rFonts w:ascii="Times New Roman" w:hAnsi="Times New Roman" w:cs="Times New Roman"/>
          <w:bCs w:val="1"/>
          <w:sz w:val="28"/>
          <w:szCs w:val="28"/>
        </w:rPr>
      </w:pPr>
      <w:r>
        <w:rPr>
          <w:rFonts w:ascii="Times New Roman" w:hAnsi="Times New Roman" w:cs="Times New Roman"/>
          <w:bCs w:val="1"/>
          <w:sz w:val="28"/>
          <w:szCs w:val="28"/>
        </w:rPr>
        <w:t>Следовательно, оценка отдельных кластеров не должна интерпретироваться изолированно. Инфраструктурные, энергетические, образовательные и финансовые контуры, несмотря на более умеренную индивидуальную капиталоотдачу, создают условия для реализации сетевого и синергетического эффекта, без которого цифровая платформа утрачивает системообразующую функцию. Именно в этом заключается ключевое преимущество платформенного подхода, который обеспечивает переход от совокупности разрозненных инвестиционных проектов к интегрированной модели инновационно-инклюзивного развития.</w:t>
      </w:r>
    </w:p>
    <w:p>
      <w:pPr>
        <w:spacing w:lineRule="exact" w:line="440" w:after="0" w:beforeAutospacing="0" w:afterAutospacing="0"/>
        <w:jc w:val="both"/>
        <w:rPr>
          <w:rFonts w:ascii="Times New Roman" w:hAnsi="Times New Roman"/>
          <w:color w:val="000000"/>
          <w:sz w:val="28"/>
          <w:highlight w:val="yellow"/>
        </w:rPr>
      </w:pPr>
    </w:p>
    <w:p>
      <w:pPr>
        <w:spacing w:lineRule="exact" w:line="440" w:after="0" w:beforeAutospacing="0" w:afterAutospacing="0"/>
        <w:jc w:val="both"/>
        <w:rPr>
          <w:rFonts w:ascii="Times New Roman" w:hAnsi="Times New Roman"/>
          <w:color w:val="000000"/>
          <w:sz w:val="28"/>
        </w:rPr>
      </w:pPr>
      <w:r>
        <w:rPr>
          <w:rFonts w:ascii="Times New Roman" w:hAnsi="Times New Roman"/>
          <w:color w:val="000000"/>
          <w:sz w:val="28"/>
        </w:rPr>
        <w:t xml:space="preserve">Таблица </w:t>
      </w:r>
      <w:r>
        <w:rPr>
          <w:rFonts w:ascii="Times New Roman" w:hAnsi="Times New Roman"/>
          <w:color w:val="000000"/>
          <w:sz w:val="28"/>
          <w:highlight w:val="yellow"/>
        </w:rPr>
        <w:t>1</w:t>
      </w:r>
      <w:r>
        <w:rPr>
          <w:rFonts w:ascii="Times New Roman" w:hAnsi="Times New Roman"/>
          <w:color w:val="000000"/>
          <w:sz w:val="28"/>
        </w:rPr>
        <w:t xml:space="preserve"> – Инвестиционная модель кластеров инновационного проекта «Берег Восхода» (оптимальный сценарий) (составлено автором) </w:t>
      </w:r>
    </w:p>
    <w:tbl>
      <w:tblPr>
        <w:tblStyle w:val="T3"/>
        <w:tblW w:w="0" w:type="auto"/>
        <w:tblLayout w:type="fixed"/>
        <w:tblLook w:val="04A0"/>
      </w:tblPr>
      <w:tblGrid>
        <w:gridCol w:w="2689"/>
        <w:gridCol w:w="1134"/>
        <w:gridCol w:w="1559"/>
        <w:gridCol w:w="1134"/>
        <w:gridCol w:w="1511"/>
        <w:gridCol w:w="791"/>
        <w:gridCol w:w="1094"/>
      </w:tblGrid>
      <w:tr>
        <w:tc>
          <w:tcPr>
            <w:tcW w:w="2689" w:type="dxa"/>
            <w:hideMark/>
          </w:tcPr>
          <w:p>
            <w:pPr>
              <w:jc w:val="center"/>
              <w:rPr>
                <w:rFonts w:ascii="Times New Roman" w:hAnsi="Times New Roman" w:cs="Times New Roman" w:eastAsia="Times New Roman"/>
                <w:bCs w:val="1"/>
                <w:sz w:val="20"/>
                <w:szCs w:val="20"/>
                <w:lang w:eastAsia="ru-RU"/>
              </w:rPr>
            </w:pPr>
            <w:r>
              <w:rPr>
                <w:rFonts w:ascii="Times New Roman" w:hAnsi="Times New Roman" w:cs="Times New Roman" w:eastAsia="Times New Roman"/>
                <w:bCs w:val="1"/>
                <w:sz w:val="20"/>
                <w:szCs w:val="20"/>
                <w:lang w:eastAsia="ru-RU"/>
              </w:rPr>
              <w:t>Кластер</w:t>
            </w:r>
          </w:p>
        </w:tc>
        <w:tc>
          <w:tcPr>
            <w:tcW w:w="1134" w:type="dxa"/>
            <w:hideMark/>
          </w:tcPr>
          <w:p>
            <w:pPr>
              <w:ind w:right="-147"/>
              <w:jc w:val="center"/>
              <w:rPr>
                <w:rFonts w:ascii="Times New Roman" w:hAnsi="Times New Roman" w:cs="Times New Roman" w:eastAsia="Times New Roman"/>
                <w:bCs w:val="1"/>
                <w:sz w:val="20"/>
                <w:szCs w:val="20"/>
                <w:lang w:eastAsia="ru-RU"/>
              </w:rPr>
            </w:pPr>
            <w:r>
              <w:rPr>
                <w:rFonts w:ascii="Times New Roman" w:hAnsi="Times New Roman" w:cs="Times New Roman" w:eastAsia="Times New Roman"/>
                <w:bCs w:val="1"/>
                <w:sz w:val="20"/>
                <w:szCs w:val="20"/>
                <w:lang w:eastAsia="ru-RU"/>
              </w:rPr>
              <w:t>Объем инвестиций, млрд долл.</w:t>
            </w:r>
          </w:p>
        </w:tc>
        <w:tc>
          <w:tcPr>
            <w:tcW w:w="1559" w:type="dxa"/>
            <w:hideMark/>
          </w:tcPr>
          <w:p>
            <w:pPr>
              <w:jc w:val="center"/>
              <w:rPr>
                <w:rFonts w:ascii="Times New Roman" w:hAnsi="Times New Roman" w:cs="Times New Roman" w:eastAsia="Times New Roman"/>
                <w:bCs w:val="1"/>
                <w:sz w:val="20"/>
                <w:szCs w:val="20"/>
                <w:lang w:eastAsia="ru-RU"/>
              </w:rPr>
            </w:pPr>
            <w:r>
              <w:rPr>
                <w:rFonts w:ascii="Times New Roman" w:hAnsi="Times New Roman"/>
                <w:sz w:val="20"/>
                <w:szCs w:val="20"/>
              </w:rPr>
              <w:t xml:space="preserve">Базовая   производст-венная мощность, млрд долл</w:t>
            </w:r>
          </w:p>
        </w:tc>
        <w:tc>
          <w:tcPr>
            <w:tcW w:w="1134" w:type="dxa"/>
            <w:hideMark/>
          </w:tcPr>
          <w:p>
            <w:pPr>
              <w:ind w:left="-95" w:right="-108"/>
              <w:jc w:val="center"/>
              <w:rPr>
                <w:rFonts w:ascii="Times New Roman" w:hAnsi="Times New Roman" w:cs="Times New Roman" w:eastAsia="Times New Roman"/>
                <w:bCs w:val="1"/>
                <w:sz w:val="20"/>
                <w:szCs w:val="20"/>
                <w:lang w:eastAsia="ru-RU"/>
              </w:rPr>
            </w:pPr>
            <w:r>
              <w:rPr>
                <w:rFonts w:ascii="Times New Roman" w:hAnsi="Times New Roman"/>
                <w:sz w:val="20"/>
                <w:szCs w:val="20"/>
              </w:rPr>
              <w:t xml:space="preserve">Коэффици-ент вклада кластера,  kᵢ</w:t>
            </w:r>
          </w:p>
        </w:tc>
        <w:tc>
          <w:tcPr>
            <w:tcW w:w="1511" w:type="dxa"/>
            <w:hideMark/>
          </w:tcPr>
          <w:p>
            <w:pPr>
              <w:jc w:val="center"/>
              <w:rPr>
                <w:rFonts w:ascii="Times New Roman" w:hAnsi="Times New Roman" w:cs="Times New Roman" w:eastAsia="Times New Roman"/>
                <w:bCs w:val="1"/>
                <w:sz w:val="20"/>
                <w:szCs w:val="20"/>
                <w:lang w:eastAsia="ru-RU"/>
              </w:rPr>
            </w:pPr>
            <w:r>
              <w:rPr>
                <w:rFonts w:ascii="Times New Roman" w:hAnsi="Times New Roman"/>
                <w:sz w:val="20"/>
                <w:szCs w:val="20"/>
              </w:rPr>
              <w:t>Потенциал прироста добавленной стоимости</w:t>
            </w:r>
            <w:r>
              <w:rPr>
                <w:rFonts w:ascii="Times New Roman" w:hAnsi="Times New Roman" w:cs="Times New Roman" w:eastAsia="Times New Roman"/>
                <w:bCs w:val="1"/>
                <w:sz w:val="20"/>
                <w:szCs w:val="20"/>
                <w:lang w:eastAsia="ru-RU"/>
              </w:rPr>
              <w:t>, млрд долл.</w:t>
            </w:r>
          </w:p>
        </w:tc>
        <w:tc>
          <w:tcPr>
            <w:tcW w:w="791" w:type="dxa"/>
            <w:hideMark/>
          </w:tcPr>
          <w:p>
            <w:pPr>
              <w:jc w:val="center"/>
              <w:rPr>
                <w:rFonts w:ascii="Times New Roman" w:hAnsi="Times New Roman" w:cs="Times New Roman" w:eastAsia="Times New Roman"/>
                <w:bCs w:val="1"/>
                <w:sz w:val="20"/>
                <w:szCs w:val="20"/>
                <w:lang w:eastAsia="ru-RU"/>
              </w:rPr>
            </w:pPr>
            <w:r>
              <w:rPr>
                <w:rFonts w:ascii="Times New Roman" w:hAnsi="Times New Roman" w:cs="Times New Roman" w:eastAsia="Times New Roman"/>
                <w:bCs w:val="1"/>
                <w:sz w:val="20"/>
                <w:szCs w:val="20"/>
                <w:lang w:eastAsia="ru-RU"/>
              </w:rPr>
              <w:t>Вклад в ВВП, %*</w:t>
            </w:r>
          </w:p>
        </w:tc>
        <w:tc>
          <w:tcPr>
            <w:tcW w:w="1094" w:type="dxa"/>
            <w:hideMark/>
          </w:tcPr>
          <w:p>
            <w:pPr>
              <w:jc w:val="center"/>
              <w:rPr>
                <w:rFonts w:ascii="Times New Roman" w:hAnsi="Times New Roman" w:cs="Times New Roman" w:eastAsia="Times New Roman"/>
                <w:bCs w:val="1"/>
                <w:sz w:val="20"/>
                <w:szCs w:val="20"/>
                <w:lang w:eastAsia="ru-RU"/>
              </w:rPr>
            </w:pPr>
            <w:r>
              <w:rPr>
                <w:rFonts w:ascii="Times New Roman" w:hAnsi="Times New Roman" w:cs="Times New Roman" w:eastAsia="Times New Roman"/>
                <w:bCs w:val="1"/>
                <w:sz w:val="20"/>
                <w:szCs w:val="20"/>
                <w:lang w:eastAsia="ru-RU"/>
              </w:rPr>
              <w:t>Горизонт</w:t>
            </w:r>
          </w:p>
        </w:tc>
      </w:tr>
      <w:tr>
        <w:tc>
          <w:tcPr>
            <w:tcW w:w="2689" w:type="dxa"/>
            <w:hideMark/>
          </w:tcPr>
          <w:p>
            <w:pPr>
              <w:rPr>
                <w:rFonts w:ascii="Times New Roman" w:hAnsi="Times New Roman" w:cs="Times New Roman" w:eastAsia="Times New Roman"/>
                <w:sz w:val="20"/>
                <w:szCs w:val="20"/>
                <w:lang w:eastAsia="ru-RU"/>
              </w:rPr>
            </w:pPr>
            <w:r>
              <w:rPr>
                <w:rFonts w:ascii="Times New Roman" w:hAnsi="Times New Roman" w:cs="Times New Roman" w:eastAsia="Times New Roman"/>
                <w:bCs w:val="1"/>
                <w:sz w:val="20"/>
                <w:szCs w:val="20"/>
                <w:lang w:eastAsia="ru-RU"/>
              </w:rPr>
              <w:t>I</w:t>
            </w:r>
            <w:r>
              <w:rPr>
                <w:rFonts w:ascii="Times New Roman" w:hAnsi="Times New Roman" w:cs="Times New Roman" w:eastAsia="Times New Roman"/>
                <w:sz w:val="20"/>
                <w:szCs w:val="20"/>
                <w:lang w:eastAsia="ru-RU"/>
              </w:rPr>
              <w:t xml:space="preserve"> Агропереработка и какао-индустрия</w:t>
            </w:r>
          </w:p>
        </w:tc>
        <w:tc>
          <w:tcPr>
            <w:tcW w:w="1134" w:type="dxa"/>
            <w:hideMark/>
          </w:tcPr>
          <w:p>
            <w:pPr>
              <w:jc w:val="center"/>
              <w:rPr>
                <w:rFonts w:ascii="Times New Roman" w:hAnsi="Times New Roman" w:cs="Times New Roman" w:eastAsia="Times New Roman"/>
                <w:sz w:val="20"/>
                <w:szCs w:val="20"/>
                <w:lang w:eastAsia="ru-RU"/>
              </w:rPr>
            </w:pPr>
            <w:r>
              <w:rPr>
                <w:rFonts w:ascii="Times New Roman" w:hAnsi="Times New Roman" w:cs="Times New Roman" w:eastAsia="Times New Roman"/>
                <w:sz w:val="20"/>
                <w:szCs w:val="20"/>
                <w:lang w:eastAsia="ru-RU"/>
              </w:rPr>
              <w:t>2,75</w:t>
            </w:r>
          </w:p>
        </w:tc>
        <w:tc>
          <w:tcPr>
            <w:tcW w:w="1559" w:type="dxa"/>
            <w:hideMark/>
          </w:tcPr>
          <w:p>
            <w:pPr>
              <w:jc w:val="center"/>
              <w:rPr>
                <w:rFonts w:ascii="Times New Roman" w:hAnsi="Times New Roman" w:cs="Times New Roman" w:eastAsia="Times New Roman"/>
                <w:sz w:val="20"/>
                <w:szCs w:val="20"/>
                <w:lang w:eastAsia="ru-RU"/>
              </w:rPr>
            </w:pPr>
            <w:r>
              <w:rPr>
                <w:rFonts w:ascii="Times New Roman" w:hAnsi="Times New Roman" w:cs="Times New Roman" w:eastAsia="Times New Roman"/>
                <w:sz w:val="20"/>
                <w:szCs w:val="20"/>
                <w:lang w:eastAsia="ru-RU"/>
              </w:rPr>
              <w:t>3,5</w:t>
            </w:r>
          </w:p>
        </w:tc>
        <w:tc>
          <w:tcPr>
            <w:tcW w:w="1134" w:type="dxa"/>
            <w:hideMark/>
          </w:tcPr>
          <w:p>
            <w:pPr>
              <w:jc w:val="center"/>
              <w:rPr>
                <w:rFonts w:ascii="Times New Roman" w:hAnsi="Times New Roman" w:cs="Times New Roman" w:eastAsia="Times New Roman"/>
                <w:sz w:val="20"/>
                <w:szCs w:val="20"/>
                <w:lang w:eastAsia="ru-RU"/>
              </w:rPr>
            </w:pPr>
            <w:r>
              <w:rPr>
                <w:rFonts w:ascii="Times New Roman" w:hAnsi="Times New Roman" w:cs="Times New Roman" w:eastAsia="Times New Roman"/>
                <w:sz w:val="20"/>
                <w:szCs w:val="20"/>
                <w:lang w:eastAsia="ru-RU"/>
              </w:rPr>
              <w:t>1,80</w:t>
            </w:r>
          </w:p>
        </w:tc>
        <w:tc>
          <w:tcPr>
            <w:tcW w:w="1511" w:type="dxa"/>
            <w:hideMark/>
          </w:tcPr>
          <w:p>
            <w:pPr>
              <w:jc w:val="center"/>
              <w:rPr>
                <w:rFonts w:ascii="Times New Roman" w:hAnsi="Times New Roman" w:cs="Times New Roman" w:eastAsia="Times New Roman"/>
                <w:sz w:val="20"/>
                <w:szCs w:val="20"/>
                <w:lang w:eastAsia="ru-RU"/>
              </w:rPr>
            </w:pPr>
            <w:r>
              <w:rPr>
                <w:rFonts w:ascii="Times New Roman" w:hAnsi="Times New Roman" w:cs="Times New Roman" w:eastAsia="Times New Roman"/>
                <w:sz w:val="20"/>
                <w:szCs w:val="20"/>
                <w:lang w:eastAsia="ru-RU"/>
              </w:rPr>
              <w:t>6,30</w:t>
            </w:r>
          </w:p>
        </w:tc>
        <w:tc>
          <w:tcPr>
            <w:tcW w:w="791" w:type="dxa"/>
            <w:hideMark/>
          </w:tcPr>
          <w:p>
            <w:pPr>
              <w:jc w:val="center"/>
              <w:rPr>
                <w:rFonts w:ascii="Times New Roman" w:hAnsi="Times New Roman" w:cs="Times New Roman" w:eastAsia="Times New Roman"/>
                <w:sz w:val="20"/>
                <w:szCs w:val="20"/>
                <w:lang w:eastAsia="ru-RU"/>
              </w:rPr>
            </w:pPr>
            <w:r>
              <w:rPr>
                <w:rFonts w:ascii="Times New Roman" w:hAnsi="Times New Roman" w:cs="Times New Roman" w:eastAsia="Times New Roman"/>
                <w:sz w:val="20"/>
                <w:szCs w:val="20"/>
                <w:lang w:eastAsia="ru-RU"/>
              </w:rPr>
              <w:t>6,6</w:t>
            </w:r>
          </w:p>
        </w:tc>
        <w:tc>
          <w:tcPr>
            <w:tcW w:w="1094" w:type="dxa"/>
            <w:hideMark/>
          </w:tcPr>
          <w:p>
            <w:pPr>
              <w:jc w:val="center"/>
              <w:rPr>
                <w:rFonts w:ascii="Times New Roman" w:hAnsi="Times New Roman" w:cs="Times New Roman" w:eastAsia="Times New Roman"/>
                <w:sz w:val="20"/>
                <w:szCs w:val="20"/>
                <w:lang w:eastAsia="ru-RU"/>
              </w:rPr>
            </w:pPr>
            <w:r>
              <w:rPr>
                <w:rFonts w:ascii="Times New Roman" w:hAnsi="Times New Roman" w:cs="Times New Roman" w:eastAsia="Times New Roman"/>
                <w:sz w:val="20"/>
                <w:szCs w:val="20"/>
                <w:lang w:eastAsia="ru-RU"/>
              </w:rPr>
              <w:t>2025–2032</w:t>
            </w:r>
          </w:p>
        </w:tc>
      </w:tr>
      <w:tr>
        <w:tc>
          <w:tcPr>
            <w:tcW w:w="2689" w:type="dxa"/>
            <w:hideMark/>
          </w:tcPr>
          <w:p>
            <w:pPr>
              <w:rPr>
                <w:rFonts w:ascii="Times New Roman" w:hAnsi="Times New Roman" w:cs="Times New Roman" w:eastAsia="Times New Roman"/>
                <w:sz w:val="20"/>
                <w:szCs w:val="20"/>
                <w:lang w:eastAsia="ru-RU"/>
              </w:rPr>
            </w:pPr>
            <w:r>
              <w:rPr>
                <w:rFonts w:ascii="Times New Roman" w:hAnsi="Times New Roman" w:cs="Times New Roman" w:eastAsia="Times New Roman"/>
                <w:bCs w:val="1"/>
                <w:sz w:val="20"/>
                <w:szCs w:val="20"/>
                <w:lang w:eastAsia="ru-RU"/>
              </w:rPr>
              <w:t>II</w:t>
            </w:r>
            <w:r>
              <w:rPr>
                <w:rFonts w:ascii="Times New Roman" w:hAnsi="Times New Roman" w:cs="Times New Roman" w:eastAsia="Times New Roman"/>
                <w:sz w:val="20"/>
                <w:szCs w:val="20"/>
                <w:lang w:eastAsia="ru-RU"/>
              </w:rPr>
              <w:t xml:space="preserve"> Портово-логистический кластер</w:t>
            </w:r>
          </w:p>
        </w:tc>
        <w:tc>
          <w:tcPr>
            <w:tcW w:w="1134" w:type="dxa"/>
            <w:hideMark/>
          </w:tcPr>
          <w:p>
            <w:pPr>
              <w:jc w:val="center"/>
              <w:rPr>
                <w:rFonts w:ascii="Times New Roman" w:hAnsi="Times New Roman" w:cs="Times New Roman" w:eastAsia="Times New Roman"/>
                <w:sz w:val="20"/>
                <w:szCs w:val="20"/>
                <w:lang w:eastAsia="ru-RU"/>
              </w:rPr>
            </w:pPr>
            <w:r>
              <w:rPr>
                <w:rFonts w:ascii="Times New Roman" w:hAnsi="Times New Roman" w:cs="Times New Roman" w:eastAsia="Times New Roman"/>
                <w:sz w:val="20"/>
                <w:szCs w:val="20"/>
                <w:lang w:eastAsia="ru-RU"/>
              </w:rPr>
              <w:t>2,20</w:t>
            </w:r>
          </w:p>
        </w:tc>
        <w:tc>
          <w:tcPr>
            <w:tcW w:w="1559" w:type="dxa"/>
            <w:hideMark/>
          </w:tcPr>
          <w:p>
            <w:pPr>
              <w:jc w:val="center"/>
              <w:rPr>
                <w:rFonts w:ascii="Times New Roman" w:hAnsi="Times New Roman" w:cs="Times New Roman" w:eastAsia="Times New Roman"/>
                <w:sz w:val="20"/>
                <w:szCs w:val="20"/>
                <w:lang w:eastAsia="ru-RU"/>
              </w:rPr>
            </w:pPr>
            <w:r>
              <w:rPr>
                <w:rFonts w:ascii="Times New Roman" w:hAnsi="Times New Roman" w:cs="Times New Roman" w:eastAsia="Times New Roman"/>
                <w:sz w:val="20"/>
                <w:szCs w:val="20"/>
                <w:lang w:eastAsia="ru-RU"/>
              </w:rPr>
              <w:t>2,5</w:t>
            </w:r>
          </w:p>
        </w:tc>
        <w:tc>
          <w:tcPr>
            <w:tcW w:w="1134" w:type="dxa"/>
            <w:hideMark/>
          </w:tcPr>
          <w:p>
            <w:pPr>
              <w:jc w:val="center"/>
              <w:rPr>
                <w:rFonts w:ascii="Times New Roman" w:hAnsi="Times New Roman" w:cs="Times New Roman" w:eastAsia="Times New Roman"/>
                <w:sz w:val="20"/>
                <w:szCs w:val="20"/>
                <w:lang w:eastAsia="ru-RU"/>
              </w:rPr>
            </w:pPr>
            <w:r>
              <w:rPr>
                <w:rFonts w:ascii="Times New Roman" w:hAnsi="Times New Roman" w:cs="Times New Roman" w:eastAsia="Times New Roman"/>
                <w:sz w:val="20"/>
                <w:szCs w:val="20"/>
                <w:lang w:eastAsia="ru-RU"/>
              </w:rPr>
              <w:t>1,78</w:t>
            </w:r>
          </w:p>
        </w:tc>
        <w:tc>
          <w:tcPr>
            <w:tcW w:w="1511" w:type="dxa"/>
            <w:hideMark/>
          </w:tcPr>
          <w:p>
            <w:pPr>
              <w:jc w:val="center"/>
              <w:rPr>
                <w:rFonts w:ascii="Times New Roman" w:hAnsi="Times New Roman" w:cs="Times New Roman" w:eastAsia="Times New Roman"/>
                <w:sz w:val="20"/>
                <w:szCs w:val="20"/>
                <w:lang w:eastAsia="ru-RU"/>
              </w:rPr>
            </w:pPr>
            <w:r>
              <w:rPr>
                <w:rFonts w:ascii="Times New Roman" w:hAnsi="Times New Roman" w:cs="Times New Roman" w:eastAsia="Times New Roman"/>
                <w:sz w:val="20"/>
                <w:szCs w:val="20"/>
                <w:lang w:eastAsia="ru-RU"/>
              </w:rPr>
              <w:t>4,45</w:t>
            </w:r>
          </w:p>
        </w:tc>
        <w:tc>
          <w:tcPr>
            <w:tcW w:w="791" w:type="dxa"/>
            <w:hideMark/>
          </w:tcPr>
          <w:p>
            <w:pPr>
              <w:jc w:val="center"/>
              <w:rPr>
                <w:rFonts w:ascii="Times New Roman" w:hAnsi="Times New Roman" w:cs="Times New Roman" w:eastAsia="Times New Roman"/>
                <w:sz w:val="20"/>
                <w:szCs w:val="20"/>
                <w:lang w:eastAsia="ru-RU"/>
              </w:rPr>
            </w:pPr>
            <w:r>
              <w:rPr>
                <w:rFonts w:ascii="Times New Roman" w:hAnsi="Times New Roman" w:cs="Times New Roman" w:eastAsia="Times New Roman"/>
                <w:sz w:val="20"/>
                <w:szCs w:val="20"/>
                <w:lang w:eastAsia="ru-RU"/>
              </w:rPr>
              <w:t>4,7</w:t>
            </w:r>
          </w:p>
        </w:tc>
        <w:tc>
          <w:tcPr>
            <w:tcW w:w="1094" w:type="dxa"/>
            <w:hideMark/>
          </w:tcPr>
          <w:p>
            <w:pPr>
              <w:jc w:val="center"/>
              <w:rPr>
                <w:rFonts w:ascii="Times New Roman" w:hAnsi="Times New Roman" w:cs="Times New Roman" w:eastAsia="Times New Roman"/>
                <w:sz w:val="20"/>
                <w:szCs w:val="20"/>
                <w:lang w:eastAsia="ru-RU"/>
              </w:rPr>
            </w:pPr>
            <w:r>
              <w:rPr>
                <w:rFonts w:ascii="Times New Roman" w:hAnsi="Times New Roman" w:cs="Times New Roman" w:eastAsia="Times New Roman"/>
                <w:sz w:val="20"/>
                <w:szCs w:val="20"/>
                <w:lang w:eastAsia="ru-RU"/>
              </w:rPr>
              <w:t>2025–2031</w:t>
            </w:r>
          </w:p>
        </w:tc>
      </w:tr>
      <w:tr>
        <w:tc>
          <w:tcPr>
            <w:tcW w:w="2689" w:type="dxa"/>
            <w:hideMark/>
          </w:tcPr>
          <w:p>
            <w:pPr>
              <w:rPr>
                <w:rFonts w:ascii="Times New Roman" w:hAnsi="Times New Roman" w:cs="Times New Roman" w:eastAsia="Times New Roman"/>
                <w:sz w:val="20"/>
                <w:szCs w:val="20"/>
                <w:lang w:eastAsia="ru-RU"/>
              </w:rPr>
            </w:pPr>
            <w:r>
              <w:rPr>
                <w:rFonts w:ascii="Times New Roman" w:hAnsi="Times New Roman" w:cs="Times New Roman" w:eastAsia="Times New Roman"/>
                <w:bCs w:val="1"/>
                <w:sz w:val="20"/>
                <w:szCs w:val="20"/>
                <w:lang w:eastAsia="ru-RU"/>
              </w:rPr>
              <w:t>III</w:t>
            </w:r>
            <w:r>
              <w:rPr>
                <w:rFonts w:ascii="Times New Roman" w:hAnsi="Times New Roman" w:cs="Times New Roman" w:eastAsia="Times New Roman"/>
                <w:sz w:val="20"/>
                <w:szCs w:val="20"/>
                <w:lang w:eastAsia="ru-RU"/>
              </w:rPr>
              <w:t xml:space="preserve"> Индустриально-производственный кластер и СЭЗ</w:t>
            </w:r>
          </w:p>
        </w:tc>
        <w:tc>
          <w:tcPr>
            <w:tcW w:w="1134" w:type="dxa"/>
            <w:hideMark/>
          </w:tcPr>
          <w:p>
            <w:pPr>
              <w:jc w:val="center"/>
              <w:rPr>
                <w:rFonts w:ascii="Times New Roman" w:hAnsi="Times New Roman" w:cs="Times New Roman" w:eastAsia="Times New Roman"/>
                <w:sz w:val="20"/>
                <w:szCs w:val="20"/>
                <w:lang w:eastAsia="ru-RU"/>
              </w:rPr>
            </w:pPr>
            <w:r>
              <w:rPr>
                <w:rFonts w:ascii="Times New Roman" w:hAnsi="Times New Roman" w:cs="Times New Roman" w:eastAsia="Times New Roman"/>
                <w:sz w:val="20"/>
                <w:szCs w:val="20"/>
                <w:lang w:eastAsia="ru-RU"/>
              </w:rPr>
              <w:t>3,50</w:t>
            </w:r>
          </w:p>
        </w:tc>
        <w:tc>
          <w:tcPr>
            <w:tcW w:w="1559" w:type="dxa"/>
            <w:hideMark/>
          </w:tcPr>
          <w:p>
            <w:pPr>
              <w:jc w:val="center"/>
              <w:rPr>
                <w:rFonts w:ascii="Times New Roman" w:hAnsi="Times New Roman" w:cs="Times New Roman" w:eastAsia="Times New Roman"/>
                <w:sz w:val="20"/>
                <w:szCs w:val="20"/>
                <w:lang w:eastAsia="ru-RU"/>
              </w:rPr>
            </w:pPr>
            <w:r>
              <w:rPr>
                <w:rFonts w:ascii="Times New Roman" w:hAnsi="Times New Roman" w:cs="Times New Roman" w:eastAsia="Times New Roman"/>
                <w:sz w:val="20"/>
                <w:szCs w:val="20"/>
                <w:lang w:eastAsia="ru-RU"/>
              </w:rPr>
              <w:t>4,5</w:t>
            </w:r>
          </w:p>
        </w:tc>
        <w:tc>
          <w:tcPr>
            <w:tcW w:w="1134" w:type="dxa"/>
            <w:hideMark/>
          </w:tcPr>
          <w:p>
            <w:pPr>
              <w:jc w:val="center"/>
              <w:rPr>
                <w:rFonts w:ascii="Times New Roman" w:hAnsi="Times New Roman" w:cs="Times New Roman" w:eastAsia="Times New Roman"/>
                <w:sz w:val="20"/>
                <w:szCs w:val="20"/>
                <w:lang w:eastAsia="ru-RU"/>
              </w:rPr>
            </w:pPr>
            <w:r>
              <w:rPr>
                <w:rFonts w:ascii="Times New Roman" w:hAnsi="Times New Roman" w:cs="Times New Roman" w:eastAsia="Times New Roman"/>
                <w:sz w:val="20"/>
                <w:szCs w:val="20"/>
                <w:lang w:eastAsia="ru-RU"/>
              </w:rPr>
              <w:t>1,90</w:t>
            </w:r>
          </w:p>
        </w:tc>
        <w:tc>
          <w:tcPr>
            <w:tcW w:w="1511" w:type="dxa"/>
            <w:hideMark/>
          </w:tcPr>
          <w:p>
            <w:pPr>
              <w:jc w:val="center"/>
              <w:rPr>
                <w:rFonts w:ascii="Times New Roman" w:hAnsi="Times New Roman" w:cs="Times New Roman" w:eastAsia="Times New Roman"/>
                <w:sz w:val="20"/>
                <w:szCs w:val="20"/>
                <w:lang w:eastAsia="ru-RU"/>
              </w:rPr>
            </w:pPr>
            <w:r>
              <w:rPr>
                <w:rFonts w:ascii="Times New Roman" w:hAnsi="Times New Roman" w:cs="Times New Roman" w:eastAsia="Times New Roman"/>
                <w:sz w:val="20"/>
                <w:szCs w:val="20"/>
                <w:lang w:eastAsia="ru-RU"/>
              </w:rPr>
              <w:t>8,55</w:t>
            </w:r>
          </w:p>
        </w:tc>
        <w:tc>
          <w:tcPr>
            <w:tcW w:w="791" w:type="dxa"/>
            <w:hideMark/>
          </w:tcPr>
          <w:p>
            <w:pPr>
              <w:jc w:val="center"/>
              <w:rPr>
                <w:rFonts w:ascii="Times New Roman" w:hAnsi="Times New Roman" w:cs="Times New Roman" w:eastAsia="Times New Roman"/>
                <w:sz w:val="20"/>
                <w:szCs w:val="20"/>
                <w:lang w:eastAsia="ru-RU"/>
              </w:rPr>
            </w:pPr>
            <w:r>
              <w:rPr>
                <w:rFonts w:ascii="Times New Roman" w:hAnsi="Times New Roman" w:cs="Times New Roman" w:eastAsia="Times New Roman"/>
                <w:sz w:val="20"/>
                <w:szCs w:val="20"/>
                <w:lang w:eastAsia="ru-RU"/>
              </w:rPr>
              <w:t>9,0</w:t>
            </w:r>
          </w:p>
        </w:tc>
        <w:tc>
          <w:tcPr>
            <w:tcW w:w="1094" w:type="dxa"/>
            <w:hideMark/>
          </w:tcPr>
          <w:p>
            <w:pPr>
              <w:jc w:val="center"/>
              <w:rPr>
                <w:rFonts w:ascii="Times New Roman" w:hAnsi="Times New Roman" w:cs="Times New Roman" w:eastAsia="Times New Roman"/>
                <w:sz w:val="20"/>
                <w:szCs w:val="20"/>
                <w:lang w:eastAsia="ru-RU"/>
              </w:rPr>
            </w:pPr>
            <w:r>
              <w:rPr>
                <w:rFonts w:ascii="Times New Roman" w:hAnsi="Times New Roman" w:cs="Times New Roman" w:eastAsia="Times New Roman"/>
                <w:sz w:val="20"/>
                <w:szCs w:val="20"/>
                <w:lang w:eastAsia="ru-RU"/>
              </w:rPr>
              <w:t>2027–2035</w:t>
            </w:r>
          </w:p>
        </w:tc>
      </w:tr>
      <w:tr>
        <w:tc>
          <w:tcPr>
            <w:tcW w:w="2689" w:type="dxa"/>
            <w:hideMark/>
          </w:tcPr>
          <w:p>
            <w:pPr>
              <w:rPr>
                <w:rFonts w:ascii="Times New Roman" w:hAnsi="Times New Roman" w:cs="Times New Roman" w:eastAsia="Times New Roman"/>
                <w:sz w:val="20"/>
                <w:szCs w:val="20"/>
                <w:lang w:eastAsia="ru-RU"/>
              </w:rPr>
            </w:pPr>
            <w:r>
              <w:rPr>
                <w:rFonts w:ascii="Times New Roman" w:hAnsi="Times New Roman" w:cs="Times New Roman" w:eastAsia="Times New Roman"/>
                <w:bCs w:val="1"/>
                <w:sz w:val="20"/>
                <w:szCs w:val="20"/>
                <w:lang w:eastAsia="ru-RU"/>
              </w:rPr>
              <w:t>IV</w:t>
            </w:r>
            <w:r>
              <w:rPr>
                <w:rFonts w:ascii="Times New Roman" w:hAnsi="Times New Roman" w:cs="Times New Roman" w:eastAsia="Times New Roman"/>
                <w:sz w:val="20"/>
                <w:szCs w:val="20"/>
                <w:lang w:eastAsia="ru-RU"/>
              </w:rPr>
              <w:t xml:space="preserve"> Цифровая платформа (ядро системы)</w:t>
            </w:r>
          </w:p>
        </w:tc>
        <w:tc>
          <w:tcPr>
            <w:tcW w:w="1134" w:type="dxa"/>
            <w:hideMark/>
          </w:tcPr>
          <w:p>
            <w:pPr>
              <w:jc w:val="center"/>
              <w:rPr>
                <w:rFonts w:ascii="Times New Roman" w:hAnsi="Times New Roman" w:cs="Times New Roman" w:eastAsia="Times New Roman"/>
                <w:sz w:val="20"/>
                <w:szCs w:val="20"/>
                <w:lang w:eastAsia="ru-RU"/>
              </w:rPr>
            </w:pPr>
            <w:r>
              <w:rPr>
                <w:rFonts w:ascii="Times New Roman" w:hAnsi="Times New Roman" w:cs="Times New Roman" w:eastAsia="Times New Roman"/>
                <w:sz w:val="20"/>
                <w:szCs w:val="20"/>
                <w:lang w:eastAsia="ru-RU"/>
              </w:rPr>
              <w:t>1,25</w:t>
            </w:r>
          </w:p>
        </w:tc>
        <w:tc>
          <w:tcPr>
            <w:tcW w:w="1559" w:type="dxa"/>
            <w:hideMark/>
          </w:tcPr>
          <w:p>
            <w:pPr>
              <w:jc w:val="center"/>
              <w:rPr>
                <w:rFonts w:ascii="Times New Roman" w:hAnsi="Times New Roman" w:cs="Times New Roman" w:eastAsia="Times New Roman"/>
                <w:sz w:val="20"/>
                <w:szCs w:val="20"/>
                <w:lang w:eastAsia="ru-RU"/>
              </w:rPr>
            </w:pPr>
            <w:r>
              <w:rPr>
                <w:rFonts w:ascii="Times New Roman" w:hAnsi="Times New Roman" w:cs="Times New Roman" w:eastAsia="Times New Roman"/>
                <w:sz w:val="20"/>
                <w:szCs w:val="20"/>
                <w:lang w:eastAsia="ru-RU"/>
              </w:rPr>
              <w:t>2,5</w:t>
            </w:r>
          </w:p>
        </w:tc>
        <w:tc>
          <w:tcPr>
            <w:tcW w:w="1134" w:type="dxa"/>
            <w:hideMark/>
          </w:tcPr>
          <w:p>
            <w:pPr>
              <w:jc w:val="center"/>
              <w:rPr>
                <w:rFonts w:ascii="Times New Roman" w:hAnsi="Times New Roman" w:cs="Times New Roman" w:eastAsia="Times New Roman"/>
                <w:sz w:val="20"/>
                <w:szCs w:val="20"/>
                <w:lang w:eastAsia="ru-RU"/>
              </w:rPr>
            </w:pPr>
            <w:r>
              <w:rPr>
                <w:rFonts w:ascii="Times New Roman" w:hAnsi="Times New Roman" w:cs="Times New Roman" w:eastAsia="Times New Roman"/>
                <w:sz w:val="20"/>
                <w:szCs w:val="20"/>
                <w:lang w:eastAsia="ru-RU"/>
              </w:rPr>
              <w:t>2,05</w:t>
            </w:r>
          </w:p>
        </w:tc>
        <w:tc>
          <w:tcPr>
            <w:tcW w:w="1511" w:type="dxa"/>
            <w:hideMark/>
          </w:tcPr>
          <w:p>
            <w:pPr>
              <w:jc w:val="center"/>
              <w:rPr>
                <w:rFonts w:ascii="Times New Roman" w:hAnsi="Times New Roman" w:cs="Times New Roman" w:eastAsia="Times New Roman"/>
                <w:sz w:val="20"/>
                <w:szCs w:val="20"/>
                <w:lang w:eastAsia="ru-RU"/>
              </w:rPr>
            </w:pPr>
            <w:r>
              <w:rPr>
                <w:rFonts w:ascii="Times New Roman" w:hAnsi="Times New Roman" w:cs="Times New Roman" w:eastAsia="Times New Roman"/>
                <w:sz w:val="20"/>
                <w:szCs w:val="20"/>
                <w:lang w:eastAsia="ru-RU"/>
              </w:rPr>
              <w:t>5,13</w:t>
            </w:r>
          </w:p>
        </w:tc>
        <w:tc>
          <w:tcPr>
            <w:tcW w:w="791" w:type="dxa"/>
            <w:hideMark/>
          </w:tcPr>
          <w:p>
            <w:pPr>
              <w:jc w:val="center"/>
              <w:rPr>
                <w:rFonts w:ascii="Times New Roman" w:hAnsi="Times New Roman" w:cs="Times New Roman" w:eastAsia="Times New Roman"/>
                <w:sz w:val="20"/>
                <w:szCs w:val="20"/>
                <w:lang w:eastAsia="ru-RU"/>
              </w:rPr>
            </w:pPr>
            <w:r>
              <w:rPr>
                <w:rFonts w:ascii="Times New Roman" w:hAnsi="Times New Roman" w:cs="Times New Roman" w:eastAsia="Times New Roman"/>
                <w:sz w:val="20"/>
                <w:szCs w:val="20"/>
                <w:lang w:eastAsia="ru-RU"/>
              </w:rPr>
              <w:t>5,4</w:t>
            </w:r>
          </w:p>
        </w:tc>
        <w:tc>
          <w:tcPr>
            <w:tcW w:w="1094" w:type="dxa"/>
            <w:hideMark/>
          </w:tcPr>
          <w:p>
            <w:pPr>
              <w:jc w:val="center"/>
              <w:rPr>
                <w:rFonts w:ascii="Times New Roman" w:hAnsi="Times New Roman" w:cs="Times New Roman" w:eastAsia="Times New Roman"/>
                <w:sz w:val="20"/>
                <w:szCs w:val="20"/>
                <w:lang w:eastAsia="ru-RU"/>
              </w:rPr>
            </w:pPr>
            <w:r>
              <w:rPr>
                <w:rFonts w:ascii="Times New Roman" w:hAnsi="Times New Roman" w:cs="Times New Roman" w:eastAsia="Times New Roman"/>
                <w:sz w:val="20"/>
                <w:szCs w:val="20"/>
                <w:lang w:eastAsia="ru-RU"/>
              </w:rPr>
              <w:t>2025–2033</w:t>
            </w:r>
          </w:p>
        </w:tc>
      </w:tr>
      <w:tr>
        <w:tc>
          <w:tcPr>
            <w:tcW w:w="2689" w:type="dxa"/>
            <w:hideMark/>
          </w:tcPr>
          <w:p>
            <w:pPr>
              <w:rPr>
                <w:rFonts w:ascii="Times New Roman" w:hAnsi="Times New Roman" w:cs="Times New Roman" w:eastAsia="Times New Roman"/>
                <w:sz w:val="20"/>
                <w:szCs w:val="20"/>
                <w:lang w:eastAsia="ru-RU"/>
              </w:rPr>
            </w:pPr>
            <w:r>
              <w:rPr>
                <w:rFonts w:ascii="Times New Roman" w:hAnsi="Times New Roman" w:cs="Times New Roman" w:eastAsia="Times New Roman"/>
                <w:bCs w:val="1"/>
                <w:sz w:val="20"/>
                <w:szCs w:val="20"/>
                <w:lang w:eastAsia="ru-RU"/>
              </w:rPr>
              <w:t>V</w:t>
            </w:r>
            <w:r>
              <w:rPr>
                <w:rFonts w:ascii="Times New Roman" w:hAnsi="Times New Roman" w:cs="Times New Roman" w:eastAsia="Times New Roman"/>
                <w:sz w:val="20"/>
                <w:szCs w:val="20"/>
                <w:lang w:eastAsia="ru-RU"/>
              </w:rPr>
              <w:t xml:space="preserve"> Образование и R&amp;D</w:t>
            </w:r>
          </w:p>
        </w:tc>
        <w:tc>
          <w:tcPr>
            <w:tcW w:w="1134" w:type="dxa"/>
            <w:hideMark/>
          </w:tcPr>
          <w:p>
            <w:pPr>
              <w:jc w:val="center"/>
              <w:rPr>
                <w:rFonts w:ascii="Times New Roman" w:hAnsi="Times New Roman" w:cs="Times New Roman" w:eastAsia="Times New Roman"/>
                <w:sz w:val="20"/>
                <w:szCs w:val="20"/>
                <w:lang w:eastAsia="ru-RU"/>
              </w:rPr>
            </w:pPr>
            <w:r>
              <w:rPr>
                <w:rFonts w:ascii="Times New Roman" w:hAnsi="Times New Roman" w:cs="Times New Roman" w:eastAsia="Times New Roman"/>
                <w:sz w:val="20"/>
                <w:szCs w:val="20"/>
                <w:lang w:eastAsia="ru-RU"/>
              </w:rPr>
              <w:t>0,90</w:t>
            </w:r>
          </w:p>
        </w:tc>
        <w:tc>
          <w:tcPr>
            <w:tcW w:w="1559" w:type="dxa"/>
            <w:hideMark/>
          </w:tcPr>
          <w:p>
            <w:pPr>
              <w:jc w:val="center"/>
              <w:rPr>
                <w:rFonts w:ascii="Times New Roman" w:hAnsi="Times New Roman" w:cs="Times New Roman" w:eastAsia="Times New Roman"/>
                <w:sz w:val="20"/>
                <w:szCs w:val="20"/>
                <w:lang w:eastAsia="ru-RU"/>
              </w:rPr>
            </w:pPr>
            <w:r>
              <w:rPr>
                <w:rFonts w:ascii="Times New Roman" w:hAnsi="Times New Roman" w:cs="Times New Roman" w:eastAsia="Times New Roman"/>
                <w:sz w:val="20"/>
                <w:szCs w:val="20"/>
                <w:lang w:eastAsia="ru-RU"/>
              </w:rPr>
              <w:t>1,2</w:t>
            </w:r>
          </w:p>
        </w:tc>
        <w:tc>
          <w:tcPr>
            <w:tcW w:w="1134" w:type="dxa"/>
            <w:hideMark/>
          </w:tcPr>
          <w:p>
            <w:pPr>
              <w:jc w:val="center"/>
              <w:rPr>
                <w:rFonts w:ascii="Times New Roman" w:hAnsi="Times New Roman" w:cs="Times New Roman" w:eastAsia="Times New Roman"/>
                <w:sz w:val="20"/>
                <w:szCs w:val="20"/>
                <w:lang w:eastAsia="ru-RU"/>
              </w:rPr>
            </w:pPr>
            <w:r>
              <w:rPr>
                <w:rFonts w:ascii="Times New Roman" w:hAnsi="Times New Roman" w:cs="Times New Roman" w:eastAsia="Times New Roman"/>
                <w:sz w:val="20"/>
                <w:szCs w:val="20"/>
                <w:lang w:eastAsia="ru-RU"/>
              </w:rPr>
              <w:t>1,55</w:t>
            </w:r>
          </w:p>
        </w:tc>
        <w:tc>
          <w:tcPr>
            <w:tcW w:w="1511" w:type="dxa"/>
            <w:hideMark/>
          </w:tcPr>
          <w:p>
            <w:pPr>
              <w:jc w:val="center"/>
              <w:rPr>
                <w:rFonts w:ascii="Times New Roman" w:hAnsi="Times New Roman" w:cs="Times New Roman" w:eastAsia="Times New Roman"/>
                <w:sz w:val="20"/>
                <w:szCs w:val="20"/>
                <w:lang w:eastAsia="ru-RU"/>
              </w:rPr>
            </w:pPr>
            <w:r>
              <w:rPr>
                <w:rFonts w:ascii="Times New Roman" w:hAnsi="Times New Roman" w:cs="Times New Roman" w:eastAsia="Times New Roman"/>
                <w:sz w:val="20"/>
                <w:szCs w:val="20"/>
                <w:lang w:eastAsia="ru-RU"/>
              </w:rPr>
              <w:t>1,86</w:t>
            </w:r>
          </w:p>
        </w:tc>
        <w:tc>
          <w:tcPr>
            <w:tcW w:w="791" w:type="dxa"/>
            <w:hideMark/>
          </w:tcPr>
          <w:p>
            <w:pPr>
              <w:jc w:val="center"/>
              <w:rPr>
                <w:rFonts w:ascii="Times New Roman" w:hAnsi="Times New Roman" w:cs="Times New Roman" w:eastAsia="Times New Roman"/>
                <w:sz w:val="20"/>
                <w:szCs w:val="20"/>
                <w:lang w:eastAsia="ru-RU"/>
              </w:rPr>
            </w:pPr>
            <w:r>
              <w:rPr>
                <w:rFonts w:ascii="Times New Roman" w:hAnsi="Times New Roman" w:cs="Times New Roman" w:eastAsia="Times New Roman"/>
                <w:sz w:val="20"/>
                <w:szCs w:val="20"/>
                <w:lang w:eastAsia="ru-RU"/>
              </w:rPr>
              <w:t>1,9</w:t>
            </w:r>
          </w:p>
        </w:tc>
        <w:tc>
          <w:tcPr>
            <w:tcW w:w="1094" w:type="dxa"/>
            <w:hideMark/>
          </w:tcPr>
          <w:p>
            <w:pPr>
              <w:jc w:val="center"/>
              <w:rPr>
                <w:rFonts w:ascii="Times New Roman" w:hAnsi="Times New Roman" w:cs="Times New Roman" w:eastAsia="Times New Roman"/>
                <w:sz w:val="20"/>
                <w:szCs w:val="20"/>
                <w:lang w:eastAsia="ru-RU"/>
              </w:rPr>
            </w:pPr>
            <w:r>
              <w:rPr>
                <w:rFonts w:ascii="Times New Roman" w:hAnsi="Times New Roman" w:cs="Times New Roman" w:eastAsia="Times New Roman"/>
                <w:sz w:val="20"/>
                <w:szCs w:val="20"/>
                <w:lang w:eastAsia="ru-RU"/>
              </w:rPr>
              <w:t>2026–2035</w:t>
            </w:r>
          </w:p>
        </w:tc>
      </w:tr>
      <w:tr>
        <w:tc>
          <w:tcPr>
            <w:tcW w:w="2689" w:type="dxa"/>
            <w:hideMark/>
          </w:tcPr>
          <w:p>
            <w:pPr>
              <w:rPr>
                <w:rFonts w:ascii="Times New Roman" w:hAnsi="Times New Roman" w:cs="Times New Roman" w:eastAsia="Times New Roman"/>
                <w:sz w:val="20"/>
                <w:szCs w:val="20"/>
                <w:lang w:eastAsia="ru-RU"/>
              </w:rPr>
            </w:pPr>
            <w:r>
              <w:rPr>
                <w:rFonts w:ascii="Times New Roman" w:hAnsi="Times New Roman" w:cs="Times New Roman" w:eastAsia="Times New Roman"/>
                <w:bCs w:val="1"/>
                <w:sz w:val="20"/>
                <w:szCs w:val="20"/>
                <w:lang w:eastAsia="ru-RU"/>
              </w:rPr>
              <w:t>VI</w:t>
            </w:r>
            <w:r>
              <w:rPr>
                <w:rFonts w:ascii="Times New Roman" w:hAnsi="Times New Roman" w:cs="Times New Roman" w:eastAsia="Times New Roman"/>
                <w:sz w:val="20"/>
                <w:szCs w:val="20"/>
                <w:lang w:eastAsia="ru-RU"/>
              </w:rPr>
              <w:t xml:space="preserve"> Энергетика и ESG</w:t>
            </w:r>
          </w:p>
        </w:tc>
        <w:tc>
          <w:tcPr>
            <w:tcW w:w="1134" w:type="dxa"/>
            <w:hideMark/>
          </w:tcPr>
          <w:p>
            <w:pPr>
              <w:jc w:val="center"/>
              <w:rPr>
                <w:rFonts w:ascii="Times New Roman" w:hAnsi="Times New Roman" w:cs="Times New Roman" w:eastAsia="Times New Roman"/>
                <w:sz w:val="20"/>
                <w:szCs w:val="20"/>
                <w:lang w:eastAsia="ru-RU"/>
              </w:rPr>
            </w:pPr>
            <w:r>
              <w:rPr>
                <w:rFonts w:ascii="Times New Roman" w:hAnsi="Times New Roman" w:cs="Times New Roman" w:eastAsia="Times New Roman"/>
                <w:sz w:val="20"/>
                <w:szCs w:val="20"/>
                <w:lang w:eastAsia="ru-RU"/>
              </w:rPr>
              <w:t>2,50</w:t>
            </w:r>
          </w:p>
        </w:tc>
        <w:tc>
          <w:tcPr>
            <w:tcW w:w="1559" w:type="dxa"/>
            <w:hideMark/>
          </w:tcPr>
          <w:p>
            <w:pPr>
              <w:jc w:val="center"/>
              <w:rPr>
                <w:rFonts w:ascii="Times New Roman" w:hAnsi="Times New Roman" w:cs="Times New Roman" w:eastAsia="Times New Roman"/>
                <w:sz w:val="20"/>
                <w:szCs w:val="20"/>
                <w:lang w:eastAsia="ru-RU"/>
              </w:rPr>
            </w:pPr>
            <w:r>
              <w:rPr>
                <w:rFonts w:ascii="Times New Roman" w:hAnsi="Times New Roman" w:cs="Times New Roman" w:eastAsia="Times New Roman"/>
                <w:sz w:val="20"/>
                <w:szCs w:val="20"/>
                <w:lang w:eastAsia="ru-RU"/>
              </w:rPr>
              <w:t>1,8</w:t>
            </w:r>
          </w:p>
        </w:tc>
        <w:tc>
          <w:tcPr>
            <w:tcW w:w="1134" w:type="dxa"/>
            <w:hideMark/>
          </w:tcPr>
          <w:p>
            <w:pPr>
              <w:jc w:val="center"/>
              <w:rPr>
                <w:rFonts w:ascii="Times New Roman" w:hAnsi="Times New Roman" w:cs="Times New Roman" w:eastAsia="Times New Roman"/>
                <w:sz w:val="20"/>
                <w:szCs w:val="20"/>
                <w:lang w:eastAsia="ru-RU"/>
              </w:rPr>
            </w:pPr>
            <w:r>
              <w:rPr>
                <w:rFonts w:ascii="Times New Roman" w:hAnsi="Times New Roman" w:cs="Times New Roman" w:eastAsia="Times New Roman"/>
                <w:sz w:val="20"/>
                <w:szCs w:val="20"/>
                <w:lang w:eastAsia="ru-RU"/>
              </w:rPr>
              <w:t>1,70</w:t>
            </w:r>
          </w:p>
        </w:tc>
        <w:tc>
          <w:tcPr>
            <w:tcW w:w="1511" w:type="dxa"/>
            <w:hideMark/>
          </w:tcPr>
          <w:p>
            <w:pPr>
              <w:jc w:val="center"/>
              <w:rPr>
                <w:rFonts w:ascii="Times New Roman" w:hAnsi="Times New Roman" w:cs="Times New Roman" w:eastAsia="Times New Roman"/>
                <w:sz w:val="20"/>
                <w:szCs w:val="20"/>
                <w:lang w:eastAsia="ru-RU"/>
              </w:rPr>
            </w:pPr>
            <w:r>
              <w:rPr>
                <w:rFonts w:ascii="Times New Roman" w:hAnsi="Times New Roman" w:cs="Times New Roman" w:eastAsia="Times New Roman"/>
                <w:sz w:val="20"/>
                <w:szCs w:val="20"/>
                <w:lang w:eastAsia="ru-RU"/>
              </w:rPr>
              <w:t>3,06</w:t>
            </w:r>
          </w:p>
        </w:tc>
        <w:tc>
          <w:tcPr>
            <w:tcW w:w="791" w:type="dxa"/>
            <w:hideMark/>
          </w:tcPr>
          <w:p>
            <w:pPr>
              <w:jc w:val="center"/>
              <w:rPr>
                <w:rFonts w:ascii="Times New Roman" w:hAnsi="Times New Roman" w:cs="Times New Roman" w:eastAsia="Times New Roman"/>
                <w:sz w:val="20"/>
                <w:szCs w:val="20"/>
                <w:lang w:eastAsia="ru-RU"/>
              </w:rPr>
            </w:pPr>
            <w:r>
              <w:rPr>
                <w:rFonts w:ascii="Times New Roman" w:hAnsi="Times New Roman" w:cs="Times New Roman" w:eastAsia="Times New Roman"/>
                <w:sz w:val="20"/>
                <w:szCs w:val="20"/>
                <w:lang w:eastAsia="ru-RU"/>
              </w:rPr>
              <w:t>3,2</w:t>
            </w:r>
          </w:p>
        </w:tc>
        <w:tc>
          <w:tcPr>
            <w:tcW w:w="1094" w:type="dxa"/>
            <w:hideMark/>
          </w:tcPr>
          <w:p>
            <w:pPr>
              <w:jc w:val="center"/>
              <w:rPr>
                <w:rFonts w:ascii="Times New Roman" w:hAnsi="Times New Roman" w:cs="Times New Roman" w:eastAsia="Times New Roman"/>
                <w:sz w:val="20"/>
                <w:szCs w:val="20"/>
                <w:lang w:eastAsia="ru-RU"/>
              </w:rPr>
            </w:pPr>
            <w:r>
              <w:rPr>
                <w:rFonts w:ascii="Times New Roman" w:hAnsi="Times New Roman" w:cs="Times New Roman" w:eastAsia="Times New Roman"/>
                <w:sz w:val="20"/>
                <w:szCs w:val="20"/>
                <w:lang w:eastAsia="ru-RU"/>
              </w:rPr>
              <w:t>2026–2035</w:t>
            </w:r>
          </w:p>
        </w:tc>
      </w:tr>
      <w:tr>
        <w:tc>
          <w:tcPr>
            <w:tcW w:w="2689" w:type="dxa"/>
            <w:hideMark/>
          </w:tcPr>
          <w:p>
            <w:pPr>
              <w:rPr>
                <w:rFonts w:ascii="Times New Roman" w:hAnsi="Times New Roman" w:cs="Times New Roman" w:eastAsia="Times New Roman"/>
                <w:sz w:val="20"/>
                <w:szCs w:val="20"/>
                <w:lang w:eastAsia="ru-RU"/>
              </w:rPr>
            </w:pPr>
            <w:r>
              <w:rPr>
                <w:rFonts w:ascii="Times New Roman" w:hAnsi="Times New Roman" w:cs="Times New Roman" w:eastAsia="Times New Roman"/>
                <w:bCs w:val="1"/>
                <w:sz w:val="20"/>
                <w:szCs w:val="20"/>
                <w:lang w:eastAsia="ru-RU"/>
              </w:rPr>
              <w:t>VII</w:t>
            </w:r>
            <w:r>
              <w:rPr>
                <w:rFonts w:ascii="Times New Roman" w:hAnsi="Times New Roman" w:cs="Times New Roman" w:eastAsia="Times New Roman"/>
                <w:sz w:val="20"/>
                <w:szCs w:val="20"/>
                <w:lang w:eastAsia="ru-RU"/>
              </w:rPr>
              <w:t xml:space="preserve"> Финансово-инвестиционный кластер</w:t>
            </w:r>
          </w:p>
        </w:tc>
        <w:tc>
          <w:tcPr>
            <w:tcW w:w="1134" w:type="dxa"/>
            <w:hideMark/>
          </w:tcPr>
          <w:p>
            <w:pPr>
              <w:jc w:val="center"/>
              <w:rPr>
                <w:rFonts w:ascii="Times New Roman" w:hAnsi="Times New Roman" w:cs="Times New Roman" w:eastAsia="Times New Roman"/>
                <w:sz w:val="20"/>
                <w:szCs w:val="20"/>
                <w:lang w:eastAsia="ru-RU"/>
              </w:rPr>
            </w:pPr>
            <w:r>
              <w:rPr>
                <w:rFonts w:ascii="Times New Roman" w:hAnsi="Times New Roman" w:cs="Times New Roman" w:eastAsia="Times New Roman"/>
                <w:sz w:val="20"/>
                <w:szCs w:val="20"/>
                <w:lang w:eastAsia="ru-RU"/>
              </w:rPr>
              <w:t>0,80</w:t>
            </w:r>
          </w:p>
        </w:tc>
        <w:tc>
          <w:tcPr>
            <w:tcW w:w="1559" w:type="dxa"/>
            <w:hideMark/>
          </w:tcPr>
          <w:p>
            <w:pPr>
              <w:jc w:val="center"/>
              <w:rPr>
                <w:rFonts w:ascii="Times New Roman" w:hAnsi="Times New Roman" w:cs="Times New Roman" w:eastAsia="Times New Roman"/>
                <w:sz w:val="20"/>
                <w:szCs w:val="20"/>
                <w:lang w:eastAsia="ru-RU"/>
              </w:rPr>
            </w:pPr>
            <w:r>
              <w:rPr>
                <w:rFonts w:ascii="Times New Roman" w:hAnsi="Times New Roman" w:cs="Times New Roman" w:eastAsia="Times New Roman"/>
                <w:sz w:val="20"/>
                <w:szCs w:val="20"/>
                <w:lang w:eastAsia="ru-RU"/>
              </w:rPr>
              <w:t>1,8</w:t>
            </w:r>
          </w:p>
        </w:tc>
        <w:tc>
          <w:tcPr>
            <w:tcW w:w="1134" w:type="dxa"/>
            <w:hideMark/>
          </w:tcPr>
          <w:p>
            <w:pPr>
              <w:jc w:val="center"/>
              <w:rPr>
                <w:rFonts w:ascii="Times New Roman" w:hAnsi="Times New Roman" w:cs="Times New Roman" w:eastAsia="Times New Roman"/>
                <w:sz w:val="20"/>
                <w:szCs w:val="20"/>
                <w:lang w:eastAsia="ru-RU"/>
              </w:rPr>
            </w:pPr>
            <w:r>
              <w:rPr>
                <w:rFonts w:ascii="Times New Roman" w:hAnsi="Times New Roman" w:cs="Times New Roman" w:eastAsia="Times New Roman"/>
                <w:sz w:val="20"/>
                <w:szCs w:val="20"/>
                <w:lang w:eastAsia="ru-RU"/>
              </w:rPr>
              <w:t>1,65</w:t>
            </w:r>
          </w:p>
        </w:tc>
        <w:tc>
          <w:tcPr>
            <w:tcW w:w="1511" w:type="dxa"/>
            <w:hideMark/>
          </w:tcPr>
          <w:p>
            <w:pPr>
              <w:jc w:val="center"/>
              <w:rPr>
                <w:rFonts w:ascii="Times New Roman" w:hAnsi="Times New Roman" w:cs="Times New Roman" w:eastAsia="Times New Roman"/>
                <w:sz w:val="20"/>
                <w:szCs w:val="20"/>
                <w:lang w:eastAsia="ru-RU"/>
              </w:rPr>
            </w:pPr>
            <w:r>
              <w:rPr>
                <w:rFonts w:ascii="Times New Roman" w:hAnsi="Times New Roman" w:cs="Times New Roman" w:eastAsia="Times New Roman"/>
                <w:sz w:val="20"/>
                <w:szCs w:val="20"/>
                <w:lang w:eastAsia="ru-RU"/>
              </w:rPr>
              <w:t>2,97</w:t>
            </w:r>
          </w:p>
        </w:tc>
        <w:tc>
          <w:tcPr>
            <w:tcW w:w="791" w:type="dxa"/>
            <w:hideMark/>
          </w:tcPr>
          <w:p>
            <w:pPr>
              <w:jc w:val="center"/>
              <w:rPr>
                <w:rFonts w:ascii="Times New Roman" w:hAnsi="Times New Roman" w:cs="Times New Roman" w:eastAsia="Times New Roman"/>
                <w:sz w:val="20"/>
                <w:szCs w:val="20"/>
                <w:lang w:eastAsia="ru-RU"/>
              </w:rPr>
            </w:pPr>
            <w:r>
              <w:rPr>
                <w:rFonts w:ascii="Times New Roman" w:hAnsi="Times New Roman" w:cs="Times New Roman" w:eastAsia="Times New Roman"/>
                <w:sz w:val="20"/>
                <w:szCs w:val="20"/>
                <w:lang w:eastAsia="ru-RU"/>
              </w:rPr>
              <w:t>3,1</w:t>
            </w:r>
          </w:p>
        </w:tc>
        <w:tc>
          <w:tcPr>
            <w:tcW w:w="1094" w:type="dxa"/>
            <w:hideMark/>
          </w:tcPr>
          <w:p>
            <w:pPr>
              <w:jc w:val="center"/>
              <w:rPr>
                <w:rFonts w:ascii="Times New Roman" w:hAnsi="Times New Roman" w:cs="Times New Roman" w:eastAsia="Times New Roman"/>
                <w:sz w:val="20"/>
                <w:szCs w:val="20"/>
                <w:lang w:eastAsia="ru-RU"/>
              </w:rPr>
            </w:pPr>
            <w:r>
              <w:rPr>
                <w:rFonts w:ascii="Times New Roman" w:hAnsi="Times New Roman" w:cs="Times New Roman" w:eastAsia="Times New Roman"/>
                <w:sz w:val="20"/>
                <w:szCs w:val="20"/>
                <w:lang w:eastAsia="ru-RU"/>
              </w:rPr>
              <w:t>2026–2035</w:t>
            </w:r>
          </w:p>
        </w:tc>
      </w:tr>
      <w:tr>
        <w:tc>
          <w:tcPr>
            <w:tcW w:w="2689" w:type="dxa"/>
            <w:hideMark/>
          </w:tcPr>
          <w:p>
            <w:pPr>
              <w:rPr>
                <w:rFonts w:ascii="Times New Roman" w:hAnsi="Times New Roman" w:cs="Times New Roman" w:eastAsia="Times New Roman"/>
                <w:sz w:val="20"/>
                <w:szCs w:val="20"/>
                <w:lang w:eastAsia="ru-RU"/>
              </w:rPr>
            </w:pPr>
            <w:r>
              <w:rPr>
                <w:rFonts w:ascii="Times New Roman" w:hAnsi="Times New Roman" w:cs="Times New Roman" w:eastAsia="Times New Roman"/>
                <w:bCs w:val="1"/>
                <w:sz w:val="20"/>
                <w:szCs w:val="20"/>
                <w:lang w:eastAsia="ru-RU"/>
              </w:rPr>
              <w:t>VIII</w:t>
            </w:r>
            <w:r>
              <w:rPr>
                <w:rFonts w:ascii="Times New Roman" w:hAnsi="Times New Roman" w:cs="Times New Roman" w:eastAsia="Times New Roman"/>
                <w:sz w:val="20"/>
                <w:szCs w:val="20"/>
                <w:lang w:eastAsia="ru-RU"/>
              </w:rPr>
              <w:t xml:space="preserve"> Социально-урбанистический кластер</w:t>
            </w:r>
          </w:p>
        </w:tc>
        <w:tc>
          <w:tcPr>
            <w:tcW w:w="1134" w:type="dxa"/>
            <w:hideMark/>
          </w:tcPr>
          <w:p>
            <w:pPr>
              <w:jc w:val="center"/>
              <w:rPr>
                <w:rFonts w:ascii="Times New Roman" w:hAnsi="Times New Roman" w:cs="Times New Roman" w:eastAsia="Times New Roman"/>
                <w:sz w:val="20"/>
                <w:szCs w:val="20"/>
                <w:lang w:eastAsia="ru-RU"/>
              </w:rPr>
            </w:pPr>
            <w:r>
              <w:rPr>
                <w:rFonts w:ascii="Times New Roman" w:hAnsi="Times New Roman" w:cs="Times New Roman" w:eastAsia="Times New Roman"/>
                <w:sz w:val="20"/>
                <w:szCs w:val="20"/>
                <w:lang w:eastAsia="ru-RU"/>
              </w:rPr>
              <w:t>1,20</w:t>
            </w:r>
          </w:p>
        </w:tc>
        <w:tc>
          <w:tcPr>
            <w:tcW w:w="1559" w:type="dxa"/>
            <w:hideMark/>
          </w:tcPr>
          <w:p>
            <w:pPr>
              <w:jc w:val="center"/>
              <w:rPr>
                <w:rFonts w:ascii="Times New Roman" w:hAnsi="Times New Roman" w:cs="Times New Roman" w:eastAsia="Times New Roman"/>
                <w:sz w:val="20"/>
                <w:szCs w:val="20"/>
                <w:lang w:eastAsia="ru-RU"/>
              </w:rPr>
            </w:pPr>
            <w:r>
              <w:rPr>
                <w:rFonts w:ascii="Times New Roman" w:hAnsi="Times New Roman" w:cs="Times New Roman" w:eastAsia="Times New Roman"/>
                <w:sz w:val="20"/>
                <w:szCs w:val="20"/>
                <w:lang w:eastAsia="ru-RU"/>
              </w:rPr>
              <w:t>1,4</w:t>
            </w:r>
          </w:p>
        </w:tc>
        <w:tc>
          <w:tcPr>
            <w:tcW w:w="1134" w:type="dxa"/>
            <w:hideMark/>
          </w:tcPr>
          <w:p>
            <w:pPr>
              <w:jc w:val="center"/>
              <w:rPr>
                <w:rFonts w:ascii="Times New Roman" w:hAnsi="Times New Roman" w:cs="Times New Roman" w:eastAsia="Times New Roman"/>
                <w:sz w:val="20"/>
                <w:szCs w:val="20"/>
                <w:lang w:eastAsia="ru-RU"/>
              </w:rPr>
            </w:pPr>
            <w:r>
              <w:rPr>
                <w:rFonts w:ascii="Times New Roman" w:hAnsi="Times New Roman" w:cs="Times New Roman" w:eastAsia="Times New Roman"/>
                <w:sz w:val="20"/>
                <w:szCs w:val="20"/>
                <w:lang w:eastAsia="ru-RU"/>
              </w:rPr>
              <w:t>1,45</w:t>
            </w:r>
          </w:p>
        </w:tc>
        <w:tc>
          <w:tcPr>
            <w:tcW w:w="1511" w:type="dxa"/>
            <w:hideMark/>
          </w:tcPr>
          <w:p>
            <w:pPr>
              <w:jc w:val="center"/>
              <w:rPr>
                <w:rFonts w:ascii="Times New Roman" w:hAnsi="Times New Roman" w:cs="Times New Roman" w:eastAsia="Times New Roman"/>
                <w:sz w:val="20"/>
                <w:szCs w:val="20"/>
                <w:lang w:eastAsia="ru-RU"/>
              </w:rPr>
            </w:pPr>
            <w:r>
              <w:rPr>
                <w:rFonts w:ascii="Times New Roman" w:hAnsi="Times New Roman" w:cs="Times New Roman" w:eastAsia="Times New Roman"/>
                <w:sz w:val="20"/>
                <w:szCs w:val="20"/>
                <w:lang w:eastAsia="ru-RU"/>
              </w:rPr>
              <w:t>2,03</w:t>
            </w:r>
          </w:p>
        </w:tc>
        <w:tc>
          <w:tcPr>
            <w:tcW w:w="791" w:type="dxa"/>
            <w:hideMark/>
          </w:tcPr>
          <w:p>
            <w:pPr>
              <w:jc w:val="center"/>
              <w:rPr>
                <w:rFonts w:ascii="Times New Roman" w:hAnsi="Times New Roman" w:cs="Times New Roman" w:eastAsia="Times New Roman"/>
                <w:sz w:val="20"/>
                <w:szCs w:val="20"/>
                <w:lang w:eastAsia="ru-RU"/>
              </w:rPr>
            </w:pPr>
            <w:r>
              <w:rPr>
                <w:rFonts w:ascii="Times New Roman" w:hAnsi="Times New Roman" w:cs="Times New Roman" w:eastAsia="Times New Roman"/>
                <w:sz w:val="20"/>
                <w:szCs w:val="20"/>
                <w:lang w:eastAsia="ru-RU"/>
              </w:rPr>
              <w:t>2,1</w:t>
            </w:r>
          </w:p>
        </w:tc>
        <w:tc>
          <w:tcPr>
            <w:tcW w:w="1094" w:type="dxa"/>
            <w:hideMark/>
          </w:tcPr>
          <w:p>
            <w:pPr>
              <w:jc w:val="center"/>
              <w:rPr>
                <w:rFonts w:ascii="Times New Roman" w:hAnsi="Times New Roman" w:cs="Times New Roman" w:eastAsia="Times New Roman"/>
                <w:sz w:val="20"/>
                <w:szCs w:val="20"/>
                <w:lang w:eastAsia="ru-RU"/>
              </w:rPr>
            </w:pPr>
            <w:r>
              <w:rPr>
                <w:rFonts w:ascii="Times New Roman" w:hAnsi="Times New Roman" w:cs="Times New Roman" w:eastAsia="Times New Roman"/>
                <w:sz w:val="20"/>
                <w:szCs w:val="20"/>
                <w:lang w:eastAsia="ru-RU"/>
              </w:rPr>
              <w:t>2026–2035</w:t>
            </w:r>
          </w:p>
        </w:tc>
      </w:tr>
      <w:tr>
        <w:tc>
          <w:tcPr>
            <w:tcW w:w="2689" w:type="dxa"/>
            <w:hideMark/>
          </w:tcPr>
          <w:p>
            <w:pPr>
              <w:rPr>
                <w:rFonts w:ascii="Times New Roman" w:hAnsi="Times New Roman" w:cs="Times New Roman" w:eastAsia="Times New Roman"/>
                <w:sz w:val="20"/>
                <w:szCs w:val="20"/>
                <w:lang w:eastAsia="ru-RU"/>
              </w:rPr>
            </w:pPr>
            <w:r>
              <w:rPr>
                <w:rFonts w:ascii="Times New Roman" w:hAnsi="Times New Roman" w:cs="Times New Roman" w:eastAsia="Times New Roman"/>
                <w:bCs w:val="1"/>
                <w:sz w:val="20"/>
                <w:szCs w:val="20"/>
                <w:lang w:eastAsia="ru-RU"/>
              </w:rPr>
              <w:t>IX</w:t>
            </w:r>
            <w:r>
              <w:rPr>
                <w:rFonts w:ascii="Times New Roman" w:hAnsi="Times New Roman" w:cs="Times New Roman" w:eastAsia="Times New Roman"/>
                <w:sz w:val="20"/>
                <w:szCs w:val="20"/>
                <w:lang w:eastAsia="ru-RU"/>
              </w:rPr>
              <w:t xml:space="preserve"> Экологический и климатический кластер</w:t>
            </w:r>
          </w:p>
        </w:tc>
        <w:tc>
          <w:tcPr>
            <w:tcW w:w="1134" w:type="dxa"/>
            <w:hideMark/>
          </w:tcPr>
          <w:p>
            <w:pPr>
              <w:jc w:val="center"/>
              <w:rPr>
                <w:rFonts w:ascii="Times New Roman" w:hAnsi="Times New Roman" w:cs="Times New Roman" w:eastAsia="Times New Roman"/>
                <w:sz w:val="20"/>
                <w:szCs w:val="20"/>
                <w:lang w:eastAsia="ru-RU"/>
              </w:rPr>
            </w:pPr>
            <w:r>
              <w:rPr>
                <w:rFonts w:ascii="Times New Roman" w:hAnsi="Times New Roman" w:cs="Times New Roman" w:eastAsia="Times New Roman"/>
                <w:sz w:val="20"/>
                <w:szCs w:val="20"/>
                <w:lang w:eastAsia="ru-RU"/>
              </w:rPr>
              <w:t>0,50</w:t>
            </w:r>
          </w:p>
        </w:tc>
        <w:tc>
          <w:tcPr>
            <w:tcW w:w="1559" w:type="dxa"/>
            <w:hideMark/>
          </w:tcPr>
          <w:p>
            <w:pPr>
              <w:jc w:val="center"/>
              <w:rPr>
                <w:rFonts w:ascii="Times New Roman" w:hAnsi="Times New Roman" w:cs="Times New Roman" w:eastAsia="Times New Roman"/>
                <w:sz w:val="20"/>
                <w:szCs w:val="20"/>
                <w:lang w:eastAsia="ru-RU"/>
              </w:rPr>
            </w:pPr>
            <w:r>
              <w:rPr>
                <w:rFonts w:ascii="Times New Roman" w:hAnsi="Times New Roman" w:cs="Times New Roman" w:eastAsia="Times New Roman"/>
                <w:sz w:val="20"/>
                <w:szCs w:val="20"/>
                <w:lang w:eastAsia="ru-RU"/>
              </w:rPr>
              <w:t>0,8</w:t>
            </w:r>
          </w:p>
        </w:tc>
        <w:tc>
          <w:tcPr>
            <w:tcW w:w="1134" w:type="dxa"/>
            <w:hideMark/>
          </w:tcPr>
          <w:p>
            <w:pPr>
              <w:jc w:val="center"/>
              <w:rPr>
                <w:rFonts w:ascii="Times New Roman" w:hAnsi="Times New Roman" w:cs="Times New Roman" w:eastAsia="Times New Roman"/>
                <w:sz w:val="20"/>
                <w:szCs w:val="20"/>
                <w:lang w:eastAsia="ru-RU"/>
              </w:rPr>
            </w:pPr>
            <w:r>
              <w:rPr>
                <w:rFonts w:ascii="Times New Roman" w:hAnsi="Times New Roman" w:cs="Times New Roman" w:eastAsia="Times New Roman"/>
                <w:sz w:val="20"/>
                <w:szCs w:val="20"/>
                <w:lang w:eastAsia="ru-RU"/>
              </w:rPr>
              <w:t>1,40</w:t>
            </w:r>
          </w:p>
        </w:tc>
        <w:tc>
          <w:tcPr>
            <w:tcW w:w="1511" w:type="dxa"/>
            <w:hideMark/>
          </w:tcPr>
          <w:p>
            <w:pPr>
              <w:jc w:val="center"/>
              <w:rPr>
                <w:rFonts w:ascii="Times New Roman" w:hAnsi="Times New Roman" w:cs="Times New Roman" w:eastAsia="Times New Roman"/>
                <w:sz w:val="20"/>
                <w:szCs w:val="20"/>
                <w:lang w:eastAsia="ru-RU"/>
              </w:rPr>
            </w:pPr>
            <w:r>
              <w:rPr>
                <w:rFonts w:ascii="Times New Roman" w:hAnsi="Times New Roman" w:cs="Times New Roman" w:eastAsia="Times New Roman"/>
                <w:sz w:val="20"/>
                <w:szCs w:val="20"/>
                <w:lang w:eastAsia="ru-RU"/>
              </w:rPr>
              <w:t>1,12</w:t>
            </w:r>
          </w:p>
        </w:tc>
        <w:tc>
          <w:tcPr>
            <w:tcW w:w="791" w:type="dxa"/>
            <w:hideMark/>
          </w:tcPr>
          <w:p>
            <w:pPr>
              <w:jc w:val="center"/>
              <w:rPr>
                <w:rFonts w:ascii="Times New Roman" w:hAnsi="Times New Roman" w:cs="Times New Roman" w:eastAsia="Times New Roman"/>
                <w:sz w:val="20"/>
                <w:szCs w:val="20"/>
                <w:lang w:eastAsia="ru-RU"/>
              </w:rPr>
            </w:pPr>
            <w:r>
              <w:rPr>
                <w:rFonts w:ascii="Times New Roman" w:hAnsi="Times New Roman" w:cs="Times New Roman" w:eastAsia="Times New Roman"/>
                <w:sz w:val="20"/>
                <w:szCs w:val="20"/>
                <w:lang w:eastAsia="ru-RU"/>
              </w:rPr>
              <w:t>1,2</w:t>
            </w:r>
          </w:p>
        </w:tc>
        <w:tc>
          <w:tcPr>
            <w:tcW w:w="1094" w:type="dxa"/>
            <w:hideMark/>
          </w:tcPr>
          <w:p>
            <w:pPr>
              <w:jc w:val="center"/>
              <w:rPr>
                <w:rFonts w:ascii="Times New Roman" w:hAnsi="Times New Roman" w:cs="Times New Roman" w:eastAsia="Times New Roman"/>
                <w:sz w:val="20"/>
                <w:szCs w:val="20"/>
                <w:lang w:eastAsia="ru-RU"/>
              </w:rPr>
            </w:pPr>
            <w:r>
              <w:rPr>
                <w:rFonts w:ascii="Times New Roman" w:hAnsi="Times New Roman" w:cs="Times New Roman" w:eastAsia="Times New Roman"/>
                <w:sz w:val="20"/>
                <w:szCs w:val="20"/>
                <w:lang w:eastAsia="ru-RU"/>
              </w:rPr>
              <w:t>2026–2035</w:t>
            </w:r>
          </w:p>
        </w:tc>
      </w:tr>
      <w:tr>
        <w:tc>
          <w:tcPr>
            <w:tcW w:w="2689" w:type="dxa"/>
            <w:hideMark/>
          </w:tcPr>
          <w:p>
            <w:pPr>
              <w:rPr>
                <w:rFonts w:ascii="Times New Roman" w:hAnsi="Times New Roman" w:cs="Times New Roman" w:eastAsia="Times New Roman"/>
                <w:sz w:val="20"/>
                <w:szCs w:val="20"/>
                <w:lang w:eastAsia="ru-RU"/>
              </w:rPr>
            </w:pPr>
            <w:r>
              <w:rPr>
                <w:rFonts w:ascii="Times New Roman" w:hAnsi="Times New Roman" w:cs="Times New Roman" w:eastAsia="Times New Roman"/>
                <w:bCs w:val="1"/>
                <w:sz w:val="20"/>
                <w:szCs w:val="20"/>
                <w:lang w:eastAsia="ru-RU"/>
              </w:rPr>
              <w:t>ИТОГО (прямой эффект полного портфеля)</w:t>
            </w:r>
          </w:p>
        </w:tc>
        <w:tc>
          <w:tcPr>
            <w:tcW w:w="1134" w:type="dxa"/>
            <w:hideMark/>
          </w:tcPr>
          <w:p>
            <w:pPr>
              <w:jc w:val="center"/>
              <w:rPr>
                <w:rFonts w:ascii="Times New Roman" w:hAnsi="Times New Roman" w:cs="Times New Roman" w:eastAsia="Times New Roman"/>
                <w:sz w:val="20"/>
                <w:szCs w:val="20"/>
                <w:lang w:eastAsia="ru-RU"/>
              </w:rPr>
            </w:pPr>
            <w:r>
              <w:rPr>
                <w:rFonts w:ascii="Times New Roman" w:hAnsi="Times New Roman" w:cs="Times New Roman" w:eastAsia="Times New Roman"/>
                <w:bCs w:val="1"/>
                <w:sz w:val="20"/>
                <w:szCs w:val="20"/>
                <w:lang w:eastAsia="ru-RU"/>
              </w:rPr>
              <w:t>15,60</w:t>
            </w:r>
          </w:p>
        </w:tc>
        <w:tc>
          <w:tcPr>
            <w:tcW w:w="1559" w:type="dxa"/>
            <w:hideMark/>
          </w:tcPr>
          <w:p>
            <w:pPr>
              <w:jc w:val="center"/>
              <w:rPr>
                <w:rFonts w:ascii="Times New Roman" w:hAnsi="Times New Roman" w:cs="Times New Roman" w:eastAsia="Times New Roman"/>
                <w:sz w:val="20"/>
                <w:szCs w:val="20"/>
                <w:lang w:eastAsia="ru-RU"/>
              </w:rPr>
            </w:pPr>
            <w:r>
              <w:rPr>
                <w:rFonts w:ascii="Times New Roman" w:hAnsi="Times New Roman" w:cs="Times New Roman" w:eastAsia="Times New Roman"/>
                <w:bCs w:val="1"/>
                <w:sz w:val="20"/>
                <w:szCs w:val="20"/>
                <w:lang w:eastAsia="ru-RU"/>
              </w:rPr>
              <w:t>18,0</w:t>
            </w:r>
          </w:p>
        </w:tc>
        <w:tc>
          <w:tcPr>
            <w:tcW w:w="1134" w:type="dxa"/>
            <w:hideMark/>
          </w:tcPr>
          <w:p>
            <w:pPr>
              <w:jc w:val="center"/>
              <w:rPr>
                <w:rFonts w:ascii="Times New Roman" w:hAnsi="Times New Roman" w:cs="Times New Roman" w:eastAsia="Times New Roman"/>
                <w:sz w:val="20"/>
                <w:szCs w:val="20"/>
                <w:lang w:eastAsia="ru-RU"/>
              </w:rPr>
            </w:pPr>
            <w:r>
              <w:rPr>
                <w:rFonts w:ascii="Times New Roman" w:hAnsi="Times New Roman" w:cs="Times New Roman" w:eastAsia="Times New Roman"/>
                <w:bCs w:val="1"/>
                <w:sz w:val="20"/>
                <w:szCs w:val="20"/>
                <w:lang w:eastAsia="ru-RU"/>
              </w:rPr>
              <w:t>1,76</w:t>
            </w:r>
            <w:r>
              <w:rPr>
                <w:rFonts w:ascii="Times New Roman" w:hAnsi="Times New Roman" w:cs="Times New Roman" w:eastAsia="Times New Roman"/>
                <w:sz w:val="20"/>
                <w:szCs w:val="20"/>
                <w:lang w:eastAsia="ru-RU"/>
              </w:rPr>
              <w:t xml:space="preserve"> *</w:t>
            </w:r>
          </w:p>
        </w:tc>
        <w:tc>
          <w:tcPr>
            <w:tcW w:w="1511" w:type="dxa"/>
            <w:hideMark/>
          </w:tcPr>
          <w:p>
            <w:pPr>
              <w:jc w:val="center"/>
              <w:rPr>
                <w:rFonts w:ascii="Times New Roman" w:hAnsi="Times New Roman" w:cs="Times New Roman" w:eastAsia="Times New Roman"/>
                <w:sz w:val="20"/>
                <w:szCs w:val="20"/>
                <w:lang w:eastAsia="ru-RU"/>
              </w:rPr>
            </w:pPr>
            <w:r>
              <w:rPr>
                <w:rFonts w:ascii="Times New Roman" w:hAnsi="Times New Roman" w:cs="Times New Roman" w:eastAsia="Times New Roman"/>
                <w:bCs w:val="1"/>
                <w:sz w:val="20"/>
                <w:szCs w:val="20"/>
                <w:lang w:eastAsia="ru-RU"/>
              </w:rPr>
              <w:t>35,47</w:t>
            </w:r>
          </w:p>
        </w:tc>
        <w:tc>
          <w:tcPr>
            <w:tcW w:w="791" w:type="dxa"/>
            <w:hideMark/>
          </w:tcPr>
          <w:p>
            <w:pPr>
              <w:jc w:val="center"/>
              <w:rPr>
                <w:rFonts w:ascii="Times New Roman" w:hAnsi="Times New Roman" w:cs="Times New Roman" w:eastAsia="Times New Roman"/>
                <w:sz w:val="20"/>
                <w:szCs w:val="20"/>
                <w:lang w:eastAsia="ru-RU"/>
              </w:rPr>
            </w:pPr>
            <w:r>
              <w:rPr>
                <w:rFonts w:ascii="Times New Roman" w:hAnsi="Times New Roman" w:cs="Times New Roman" w:eastAsia="Times New Roman"/>
                <w:bCs w:val="1"/>
                <w:sz w:val="20"/>
                <w:szCs w:val="20"/>
                <w:lang w:eastAsia="ru-RU"/>
              </w:rPr>
              <w:t>37,1</w:t>
            </w:r>
          </w:p>
        </w:tc>
        <w:tc>
          <w:tcPr>
            <w:tcW w:w="1094" w:type="dxa"/>
            <w:hideMark/>
          </w:tcPr>
          <w:p>
            <w:pPr>
              <w:jc w:val="center"/>
              <w:rPr>
                <w:rFonts w:ascii="Times New Roman" w:hAnsi="Times New Roman" w:cs="Times New Roman" w:eastAsia="Times New Roman"/>
                <w:sz w:val="20"/>
                <w:szCs w:val="20"/>
                <w:lang w:eastAsia="ru-RU"/>
              </w:rPr>
            </w:pPr>
            <w:r>
              <w:rPr>
                <w:rFonts w:ascii="Times New Roman" w:hAnsi="Times New Roman" w:cs="Times New Roman" w:eastAsia="Times New Roman"/>
                <w:sz w:val="20"/>
                <w:szCs w:val="20"/>
                <w:lang w:eastAsia="ru-RU"/>
              </w:rPr>
              <w:t>2025–2035</w:t>
            </w:r>
          </w:p>
        </w:tc>
      </w:tr>
      <w:tr>
        <w:tc>
          <w:tcPr>
            <w:tcW w:w="2689" w:type="dxa"/>
            <w:hideMark/>
          </w:tcPr>
          <w:p>
            <w:pPr>
              <w:rPr>
                <w:rFonts w:ascii="Times New Roman" w:hAnsi="Times New Roman" w:cs="Times New Roman" w:eastAsia="Times New Roman"/>
                <w:sz w:val="20"/>
                <w:szCs w:val="20"/>
                <w:lang w:eastAsia="ru-RU"/>
              </w:rPr>
            </w:pPr>
            <w:r>
              <w:rPr>
                <w:rFonts w:ascii="Times New Roman" w:hAnsi="Times New Roman" w:cs="Times New Roman" w:eastAsia="Times New Roman"/>
                <w:bCs w:val="1"/>
                <w:sz w:val="20"/>
                <w:szCs w:val="20"/>
                <w:lang w:eastAsia="ru-RU"/>
              </w:rPr>
              <w:t xml:space="preserve">Синергетический  эффект</w:t>
            </w:r>
          </w:p>
        </w:tc>
        <w:tc>
          <w:tcPr>
            <w:tcW w:w="1134" w:type="dxa"/>
            <w:hideMark/>
          </w:tcPr>
          <w:p>
            <w:pPr>
              <w:jc w:val="center"/>
              <w:rPr>
                <w:rFonts w:ascii="Times New Roman" w:hAnsi="Times New Roman" w:cs="Times New Roman" w:eastAsia="Times New Roman"/>
                <w:sz w:val="20"/>
                <w:szCs w:val="20"/>
                <w:lang w:eastAsia="ru-RU"/>
              </w:rPr>
            </w:pPr>
            <w:r>
              <w:rPr>
                <w:rFonts w:ascii="Times New Roman" w:hAnsi="Times New Roman" w:cs="Times New Roman" w:eastAsia="Times New Roman"/>
                <w:sz w:val="20"/>
                <w:szCs w:val="20"/>
                <w:lang w:eastAsia="ru-RU"/>
              </w:rPr>
              <w:t>–</w:t>
            </w:r>
          </w:p>
        </w:tc>
        <w:tc>
          <w:tcPr>
            <w:tcW w:w="1559" w:type="dxa"/>
            <w:hideMark/>
          </w:tcPr>
          <w:p>
            <w:pPr>
              <w:jc w:val="center"/>
              <w:rPr>
                <w:rFonts w:ascii="Times New Roman" w:hAnsi="Times New Roman" w:cs="Times New Roman" w:eastAsia="Times New Roman"/>
                <w:sz w:val="20"/>
                <w:szCs w:val="20"/>
                <w:lang w:eastAsia="ru-RU"/>
              </w:rPr>
            </w:pPr>
            <w:r>
              <w:rPr>
                <w:rFonts w:ascii="Times New Roman" w:hAnsi="Times New Roman" w:cs="Times New Roman" w:eastAsia="Times New Roman"/>
                <w:sz w:val="20"/>
                <w:szCs w:val="20"/>
                <w:lang w:eastAsia="ru-RU"/>
              </w:rPr>
              <w:t>–</w:t>
            </w:r>
          </w:p>
        </w:tc>
        <w:tc>
          <w:tcPr>
            <w:tcW w:w="1134" w:type="dxa"/>
            <w:hideMark/>
          </w:tcPr>
          <w:p>
            <w:pPr>
              <w:jc w:val="center"/>
              <w:rPr>
                <w:rFonts w:ascii="Times New Roman" w:hAnsi="Times New Roman" w:cs="Times New Roman" w:eastAsia="Times New Roman"/>
                <w:sz w:val="20"/>
                <w:szCs w:val="20"/>
                <w:lang w:eastAsia="ru-RU"/>
              </w:rPr>
            </w:pPr>
            <w:r>
              <w:rPr>
                <w:rFonts w:ascii="Times New Roman" w:hAnsi="Times New Roman" w:cs="Times New Roman" w:eastAsia="Times New Roman"/>
                <w:sz w:val="20"/>
                <w:szCs w:val="20"/>
                <w:lang w:eastAsia="ru-RU"/>
              </w:rPr>
              <w:t>–</w:t>
            </w:r>
          </w:p>
        </w:tc>
        <w:tc>
          <w:tcPr>
            <w:tcW w:w="1511" w:type="dxa"/>
            <w:hideMark/>
          </w:tcPr>
          <w:p>
            <w:pPr>
              <w:jc w:val="center"/>
              <w:rPr>
                <w:rFonts w:ascii="Times New Roman" w:hAnsi="Times New Roman" w:cs="Times New Roman" w:eastAsia="Times New Roman"/>
                <w:sz w:val="20"/>
                <w:szCs w:val="20"/>
                <w:lang w:eastAsia="ru-RU"/>
              </w:rPr>
            </w:pPr>
            <w:r>
              <w:rPr>
                <w:rFonts w:ascii="Times New Roman" w:hAnsi="Times New Roman" w:cs="Times New Roman" w:eastAsia="Times New Roman"/>
                <w:bCs w:val="1"/>
                <w:sz w:val="20"/>
                <w:szCs w:val="20"/>
                <w:lang w:eastAsia="ru-RU"/>
              </w:rPr>
              <w:t>19,42</w:t>
            </w:r>
          </w:p>
        </w:tc>
        <w:tc>
          <w:tcPr>
            <w:tcW w:w="791" w:type="dxa"/>
            <w:hideMark/>
          </w:tcPr>
          <w:p>
            <w:pPr>
              <w:jc w:val="center"/>
              <w:rPr>
                <w:rFonts w:ascii="Times New Roman" w:hAnsi="Times New Roman" w:cs="Times New Roman" w:eastAsia="Times New Roman"/>
                <w:sz w:val="20"/>
                <w:szCs w:val="20"/>
                <w:lang w:eastAsia="ru-RU"/>
              </w:rPr>
            </w:pPr>
            <w:r>
              <w:rPr>
                <w:rFonts w:ascii="Times New Roman" w:hAnsi="Times New Roman" w:cs="Times New Roman" w:eastAsia="Times New Roman"/>
                <w:bCs w:val="1"/>
                <w:sz w:val="20"/>
                <w:szCs w:val="20"/>
                <w:lang w:eastAsia="ru-RU"/>
              </w:rPr>
              <w:t>20,3</w:t>
            </w:r>
          </w:p>
        </w:tc>
        <w:tc>
          <w:tcPr>
            <w:tcW w:w="1094" w:type="dxa"/>
            <w:hideMark/>
          </w:tcPr>
          <w:p>
            <w:pPr>
              <w:jc w:val="center"/>
              <w:rPr>
                <w:rFonts w:ascii="Times New Roman" w:hAnsi="Times New Roman" w:cs="Times New Roman" w:eastAsia="Times New Roman"/>
                <w:sz w:val="20"/>
                <w:szCs w:val="20"/>
                <w:lang w:eastAsia="ru-RU"/>
              </w:rPr>
            </w:pPr>
            <w:r>
              <w:rPr>
                <w:rFonts w:ascii="Times New Roman" w:hAnsi="Times New Roman" w:cs="Times New Roman" w:eastAsia="Times New Roman"/>
                <w:sz w:val="20"/>
                <w:szCs w:val="20"/>
                <w:lang w:eastAsia="ru-RU"/>
              </w:rPr>
              <w:t>2029–2035</w:t>
            </w:r>
          </w:p>
        </w:tc>
      </w:tr>
      <w:tr>
        <w:tc>
          <w:tcPr>
            <w:tcW w:w="2689" w:type="dxa"/>
            <w:hideMark/>
          </w:tcPr>
          <w:p>
            <w:pPr>
              <w:rPr>
                <w:rFonts w:ascii="Times New Roman" w:hAnsi="Times New Roman" w:cs="Times New Roman" w:eastAsia="Times New Roman"/>
                <w:sz w:val="20"/>
                <w:szCs w:val="20"/>
                <w:lang w:eastAsia="ru-RU"/>
              </w:rPr>
            </w:pPr>
            <w:r>
              <w:rPr>
                <w:rFonts w:ascii="Times New Roman" w:hAnsi="Times New Roman" w:cs="Times New Roman" w:eastAsia="Times New Roman"/>
                <w:bCs w:val="1"/>
                <w:sz w:val="20"/>
                <w:szCs w:val="20"/>
                <w:lang w:eastAsia="ru-RU"/>
              </w:rPr>
              <w:t xml:space="preserve">Транзакционный  эффект платформы</w:t>
            </w:r>
          </w:p>
        </w:tc>
        <w:tc>
          <w:tcPr>
            <w:tcW w:w="1134" w:type="dxa"/>
            <w:hideMark/>
          </w:tcPr>
          <w:p>
            <w:pPr>
              <w:jc w:val="center"/>
              <w:rPr>
                <w:rFonts w:ascii="Times New Roman" w:hAnsi="Times New Roman" w:cs="Times New Roman" w:eastAsia="Times New Roman"/>
                <w:sz w:val="20"/>
                <w:szCs w:val="20"/>
                <w:lang w:eastAsia="ru-RU"/>
              </w:rPr>
            </w:pPr>
            <w:r>
              <w:rPr>
                <w:rFonts w:ascii="Times New Roman" w:hAnsi="Times New Roman" w:cs="Times New Roman" w:eastAsia="Times New Roman"/>
                <w:sz w:val="20"/>
                <w:szCs w:val="20"/>
                <w:lang w:eastAsia="ru-RU"/>
              </w:rPr>
              <w:t>–</w:t>
            </w:r>
          </w:p>
        </w:tc>
        <w:tc>
          <w:tcPr>
            <w:tcW w:w="1559" w:type="dxa"/>
            <w:hideMark/>
          </w:tcPr>
          <w:p>
            <w:pPr>
              <w:jc w:val="center"/>
              <w:rPr>
                <w:rFonts w:ascii="Times New Roman" w:hAnsi="Times New Roman" w:cs="Times New Roman" w:eastAsia="Times New Roman"/>
                <w:sz w:val="20"/>
                <w:szCs w:val="20"/>
                <w:lang w:eastAsia="ru-RU"/>
              </w:rPr>
            </w:pPr>
            <w:r>
              <w:rPr>
                <w:rFonts w:ascii="Times New Roman" w:hAnsi="Times New Roman" w:cs="Times New Roman" w:eastAsia="Times New Roman"/>
                <w:sz w:val="20"/>
                <w:szCs w:val="20"/>
                <w:lang w:eastAsia="ru-RU"/>
              </w:rPr>
              <w:t>–</w:t>
            </w:r>
          </w:p>
        </w:tc>
        <w:tc>
          <w:tcPr>
            <w:tcW w:w="1134" w:type="dxa"/>
            <w:hideMark/>
          </w:tcPr>
          <w:p>
            <w:pPr>
              <w:jc w:val="center"/>
              <w:rPr>
                <w:rFonts w:ascii="Times New Roman" w:hAnsi="Times New Roman" w:cs="Times New Roman" w:eastAsia="Times New Roman"/>
                <w:sz w:val="20"/>
                <w:szCs w:val="20"/>
                <w:lang w:eastAsia="ru-RU"/>
              </w:rPr>
            </w:pPr>
            <w:r>
              <w:rPr>
                <w:rFonts w:ascii="Times New Roman" w:hAnsi="Times New Roman" w:cs="Times New Roman" w:eastAsia="Times New Roman"/>
                <w:sz w:val="20"/>
                <w:szCs w:val="20"/>
                <w:lang w:eastAsia="ru-RU"/>
              </w:rPr>
              <w:t>–</w:t>
            </w:r>
          </w:p>
        </w:tc>
        <w:tc>
          <w:tcPr>
            <w:tcW w:w="1511" w:type="dxa"/>
            <w:hideMark/>
          </w:tcPr>
          <w:p>
            <w:pPr>
              <w:jc w:val="center"/>
              <w:rPr>
                <w:rFonts w:ascii="Times New Roman" w:hAnsi="Times New Roman" w:cs="Times New Roman" w:eastAsia="Times New Roman"/>
                <w:sz w:val="20"/>
                <w:szCs w:val="20"/>
                <w:lang w:eastAsia="ru-RU"/>
              </w:rPr>
            </w:pPr>
            <w:r>
              <w:rPr>
                <w:rFonts w:ascii="Times New Roman" w:hAnsi="Times New Roman" w:cs="Times New Roman" w:eastAsia="Times New Roman"/>
                <w:bCs w:val="1"/>
                <w:sz w:val="20"/>
                <w:szCs w:val="20"/>
                <w:lang w:eastAsia="ru-RU"/>
              </w:rPr>
              <w:t>2,10</w:t>
            </w:r>
          </w:p>
        </w:tc>
        <w:tc>
          <w:tcPr>
            <w:tcW w:w="791" w:type="dxa"/>
            <w:hideMark/>
          </w:tcPr>
          <w:p>
            <w:pPr>
              <w:jc w:val="center"/>
              <w:rPr>
                <w:rFonts w:ascii="Times New Roman" w:hAnsi="Times New Roman" w:cs="Times New Roman" w:eastAsia="Times New Roman"/>
                <w:sz w:val="20"/>
                <w:szCs w:val="20"/>
                <w:lang w:eastAsia="ru-RU"/>
              </w:rPr>
            </w:pPr>
            <w:r>
              <w:rPr>
                <w:rFonts w:ascii="Times New Roman" w:hAnsi="Times New Roman" w:cs="Times New Roman" w:eastAsia="Times New Roman"/>
                <w:bCs w:val="1"/>
                <w:sz w:val="20"/>
                <w:szCs w:val="20"/>
                <w:lang w:eastAsia="ru-RU"/>
              </w:rPr>
              <w:t>2,2</w:t>
            </w:r>
          </w:p>
        </w:tc>
        <w:tc>
          <w:tcPr>
            <w:tcW w:w="1094" w:type="dxa"/>
            <w:hideMark/>
          </w:tcPr>
          <w:p>
            <w:pPr>
              <w:jc w:val="center"/>
              <w:rPr>
                <w:rFonts w:ascii="Times New Roman" w:hAnsi="Times New Roman" w:cs="Times New Roman" w:eastAsia="Times New Roman"/>
                <w:sz w:val="20"/>
                <w:szCs w:val="20"/>
                <w:lang w:eastAsia="ru-RU"/>
              </w:rPr>
            </w:pPr>
            <w:r>
              <w:rPr>
                <w:rFonts w:ascii="Times New Roman" w:hAnsi="Times New Roman" w:cs="Times New Roman" w:eastAsia="Times New Roman"/>
                <w:sz w:val="20"/>
                <w:szCs w:val="20"/>
                <w:lang w:eastAsia="ru-RU"/>
              </w:rPr>
              <w:t>2025–2035</w:t>
            </w:r>
          </w:p>
        </w:tc>
      </w:tr>
      <w:tr>
        <w:tc>
          <w:tcPr>
            <w:tcW w:w="2689" w:type="dxa"/>
            <w:hideMark/>
          </w:tcPr>
          <w:p>
            <w:pPr>
              <w:rPr>
                <w:rFonts w:ascii="Times New Roman" w:hAnsi="Times New Roman" w:cs="Times New Roman" w:eastAsia="Times New Roman"/>
                <w:sz w:val="20"/>
                <w:szCs w:val="20"/>
                <w:lang w:eastAsia="ru-RU"/>
              </w:rPr>
            </w:pPr>
            <w:r>
              <w:rPr>
                <w:rFonts w:ascii="Times New Roman" w:hAnsi="Times New Roman" w:cs="Times New Roman" w:eastAsia="Times New Roman"/>
                <w:bCs w:val="1"/>
                <w:sz w:val="20"/>
                <w:szCs w:val="20"/>
                <w:lang w:eastAsia="ru-RU"/>
              </w:rPr>
              <w:t xml:space="preserve">ИТОГО (совокупный  эффект)</w:t>
            </w:r>
          </w:p>
        </w:tc>
        <w:tc>
          <w:tcPr>
            <w:tcW w:w="1134" w:type="dxa"/>
            <w:hideMark/>
          </w:tcPr>
          <w:p>
            <w:pPr>
              <w:jc w:val="center"/>
              <w:rPr>
                <w:rFonts w:ascii="Times New Roman" w:hAnsi="Times New Roman" w:cs="Times New Roman" w:eastAsia="Times New Roman"/>
                <w:sz w:val="20"/>
                <w:szCs w:val="20"/>
                <w:lang w:eastAsia="ru-RU"/>
              </w:rPr>
            </w:pPr>
            <w:r>
              <w:rPr>
                <w:rFonts w:ascii="Times New Roman" w:hAnsi="Times New Roman" w:cs="Times New Roman" w:eastAsia="Times New Roman"/>
                <w:bCs w:val="1"/>
                <w:sz w:val="20"/>
                <w:szCs w:val="20"/>
                <w:lang w:eastAsia="ru-RU"/>
              </w:rPr>
              <w:t>12,68</w:t>
            </w:r>
            <w:r>
              <w:rPr>
                <w:rFonts w:ascii="Times New Roman" w:hAnsi="Times New Roman" w:cs="Times New Roman" w:eastAsia="Times New Roman"/>
                <w:sz w:val="20"/>
                <w:szCs w:val="20"/>
                <w:lang w:eastAsia="ru-RU"/>
              </w:rPr>
              <w:t>*</w:t>
            </w:r>
          </w:p>
        </w:tc>
        <w:tc>
          <w:tcPr>
            <w:tcW w:w="1559" w:type="dxa"/>
            <w:hideMark/>
          </w:tcPr>
          <w:p>
            <w:pPr>
              <w:jc w:val="center"/>
              <w:rPr>
                <w:rFonts w:ascii="Times New Roman" w:hAnsi="Times New Roman" w:cs="Times New Roman" w:eastAsia="Times New Roman"/>
                <w:sz w:val="20"/>
                <w:szCs w:val="20"/>
                <w:lang w:eastAsia="ru-RU"/>
              </w:rPr>
            </w:pPr>
            <w:r>
              <w:rPr>
                <w:rFonts w:ascii="Times New Roman" w:hAnsi="Times New Roman" w:cs="Times New Roman" w:eastAsia="Times New Roman"/>
                <w:sz w:val="20"/>
                <w:szCs w:val="20"/>
                <w:lang w:eastAsia="ru-RU"/>
              </w:rPr>
              <w:t>–</w:t>
            </w:r>
          </w:p>
        </w:tc>
        <w:tc>
          <w:tcPr>
            <w:tcW w:w="1134" w:type="dxa"/>
            <w:hideMark/>
          </w:tcPr>
          <w:p>
            <w:pPr>
              <w:jc w:val="center"/>
              <w:rPr>
                <w:rFonts w:ascii="Times New Roman" w:hAnsi="Times New Roman" w:cs="Times New Roman" w:eastAsia="Times New Roman"/>
                <w:sz w:val="20"/>
                <w:szCs w:val="20"/>
                <w:lang w:eastAsia="ru-RU"/>
              </w:rPr>
            </w:pPr>
            <w:r>
              <w:rPr>
                <w:rFonts w:ascii="Times New Roman" w:hAnsi="Times New Roman" w:cs="Times New Roman" w:eastAsia="Times New Roman"/>
                <w:sz w:val="20"/>
                <w:szCs w:val="20"/>
                <w:lang w:eastAsia="ru-RU"/>
              </w:rPr>
              <w:t>–</w:t>
            </w:r>
          </w:p>
        </w:tc>
        <w:tc>
          <w:tcPr>
            <w:tcW w:w="1511" w:type="dxa"/>
            <w:hideMark/>
          </w:tcPr>
          <w:p>
            <w:pPr>
              <w:jc w:val="center"/>
              <w:rPr>
                <w:rFonts w:ascii="Times New Roman" w:hAnsi="Times New Roman" w:cs="Times New Roman" w:eastAsia="Times New Roman"/>
                <w:sz w:val="20"/>
                <w:szCs w:val="20"/>
                <w:lang w:eastAsia="ru-RU"/>
              </w:rPr>
            </w:pPr>
            <w:r>
              <w:rPr>
                <w:rFonts w:ascii="Times New Roman" w:hAnsi="Times New Roman" w:cs="Times New Roman" w:eastAsia="Times New Roman"/>
                <w:bCs w:val="1"/>
                <w:sz w:val="20"/>
                <w:szCs w:val="20"/>
                <w:lang w:eastAsia="ru-RU"/>
              </w:rPr>
              <w:t>56,30</w:t>
            </w:r>
          </w:p>
        </w:tc>
        <w:tc>
          <w:tcPr>
            <w:tcW w:w="791" w:type="dxa"/>
            <w:hideMark/>
          </w:tcPr>
          <w:p>
            <w:pPr>
              <w:jc w:val="center"/>
              <w:rPr>
                <w:rFonts w:ascii="Times New Roman" w:hAnsi="Times New Roman" w:cs="Times New Roman" w:eastAsia="Times New Roman"/>
                <w:sz w:val="20"/>
                <w:szCs w:val="20"/>
                <w:lang w:eastAsia="ru-RU"/>
              </w:rPr>
            </w:pPr>
            <w:r>
              <w:rPr>
                <w:rFonts w:ascii="Times New Roman" w:hAnsi="Times New Roman" w:cs="Times New Roman" w:eastAsia="Times New Roman"/>
                <w:bCs w:val="1"/>
                <w:sz w:val="20"/>
                <w:szCs w:val="20"/>
                <w:lang w:eastAsia="ru-RU"/>
              </w:rPr>
              <w:t>58,9</w:t>
            </w:r>
          </w:p>
        </w:tc>
        <w:tc>
          <w:tcPr>
            <w:tcW w:w="1094" w:type="dxa"/>
            <w:hideMark/>
          </w:tcPr>
          <w:p>
            <w:pPr>
              <w:jc w:val="center"/>
              <w:rPr>
                <w:rFonts w:ascii="Times New Roman" w:hAnsi="Times New Roman" w:cs="Times New Roman" w:eastAsia="Times New Roman"/>
                <w:sz w:val="20"/>
                <w:szCs w:val="20"/>
                <w:lang w:eastAsia="ru-RU"/>
              </w:rPr>
            </w:pPr>
            <w:r>
              <w:rPr>
                <w:rFonts w:ascii="Times New Roman" w:hAnsi="Times New Roman" w:cs="Times New Roman" w:eastAsia="Times New Roman"/>
                <w:sz w:val="20"/>
                <w:szCs w:val="20"/>
                <w:lang w:eastAsia="ru-RU"/>
              </w:rPr>
              <w:t>2025–2035</w:t>
            </w:r>
          </w:p>
        </w:tc>
      </w:tr>
    </w:tbl>
    <w:p>
      <w:pPr>
        <w:rPr>
          <w:rFonts w:ascii="Times New Roman" w:hAnsi="Times New Roman" w:cs="Times New Roman"/>
          <w:sz w:val="24"/>
          <w:szCs w:val="24"/>
        </w:rPr>
      </w:pPr>
      <w:r>
        <w:rPr>
          <w:rFonts w:ascii="Times New Roman" w:hAnsi="Times New Roman" w:cs="Times New Roman"/>
          <w:sz w:val="24"/>
          <w:szCs w:val="24"/>
        </w:rPr>
        <w:t xml:space="preserve">Примечание: </w:t>
      </w:r>
      <w:r>
        <w:rPr>
          <w:rFonts w:ascii="Times New Roman" w:hAnsi="Times New Roman"/>
          <w:color w:val="000000"/>
          <w:sz w:val="24"/>
          <w:szCs w:val="24"/>
        </w:rPr>
        <w:t xml:space="preserve">*средневзвешенное значение; **бюджет оптимального сценария рассчитан как </w:t>
      </w:r>
      <m:oMathPara xmlns:m="http://schemas.openxmlformats.org/officeDocument/2006/math">
        <m:oMath>
          <m:nary>
            <m:naryPr>
              <m:ctrlPr>
                <w:rPr>
                  <w:rFonts w:ascii="Cambria Math" w:hAnsi="Cambria Math" w:cs="Times New Roman"/>
                  <w:i w:val="1"/>
                  <w:bCs w:val="1"/>
                  <w:color w:val="000000"/>
                  <w:sz w:val="24"/>
                  <w:szCs w:val="24"/>
                </w:rPr>
              </m:ctrlPr>
              <m:chr m:val="∑"/>
              <m:limLoc m:val="undOvr"/>
            </m:naryPr>
            <m:sub>
              <m:argPr>
                <m:argSz m:val="0"/>
              </m:argPr>
              <m:r>
                <m:rPr>
                  <m:scr m:val="roman"/>
                  <m:sty m:val="i"/>
                </m:rPr>
                <m:t>i=1</m:t>
              </m:r>
            </m:sub>
            <m:sup>
              <m:argPr>
                <m:argSz m:val="0"/>
              </m:argPr>
              <m:r>
                <m:rPr>
                  <m:scr m:val="roman"/>
                  <m:sty m:val="i"/>
                </m:rPr>
                <m:t>9</m:t>
              </m:r>
            </m:sup>
            <m:e>
              <m:argPr>
                <m:argSz m:val="0"/>
              </m:argPr>
              <m:sSub>
                <m:sSubPr>
                  <m:ctrlPr>
                    <w:rPr>
                      <w:rFonts w:ascii="Cambria Math" w:hAnsi="Cambria Math" w:cs="Times New Roman"/>
                      <w:sz w:val="24"/>
                      <w:szCs w:val="24"/>
                    </w:rPr>
                  </m:ctrlPr>
                </m:sSubPr>
                <m:e>
                  <m:argPr>
                    <m:argSz m:val="0"/>
                  </m:argPr>
                  <m:r>
                    <m:rPr>
                      <m:scr m:val="roman"/>
                      <m:sty m:val="i"/>
                    </m:rPr>
                    <m:t>x</m:t>
                  </m:r>
                </m:e>
                <m:sub>
                  <m:argPr>
                    <m:argSz m:val="0"/>
                  </m:argPr>
                  <m:r>
                    <m:rPr>
                      <m:scr m:val="roman"/>
                      <m:sty m:val="i"/>
                    </m:rPr>
                    <m:t>i</m:t>
                  </m:r>
                </m:sub>
              </m:sSub>
              <m:r>
                <m:rPr>
                  <m:scr m:val="roman"/>
                  <m:sty m:val="p"/>
                </m:rPr>
                <m:t>·</m:t>
              </m:r>
              <m:r>
                <m:rPr>
                  <m:scr m:val="roman"/>
                  <m:sty m:val="i"/>
                </m:rPr>
                <m:t>С</m:t>
              </m:r>
              <m:r>
                <m:rPr>
                  <m:scr m:val="roman"/>
                  <m:sty m:val="i"/>
                </m:rPr>
                <m:t>APEX</m:t>
              </m:r>
              <m:r>
                <m:rPr>
                  <m:scr m:val="roman"/>
                  <m:sty m:val="i"/>
                </m:rPr>
                <m:t>i</m:t>
              </m:r>
            </m:e>
          </m:nary>
        </m:oMath>
      </m:oMathPara>
      <w:r>
        <w:rPr>
          <w:rFonts w:ascii="Times New Roman" w:hAnsi="Times New Roman"/>
          <w:color w:val="000000"/>
          <w:sz w:val="24"/>
          <w:szCs w:val="24"/>
        </w:rPr>
        <w:t>.</w:t>
      </w:r>
      <w:r>
        <w:rPr>
          <w:rFonts w:ascii="Times New Roman" w:hAnsi="Times New Roman"/>
          <w:color w:val="000000"/>
          <w:sz w:val="28"/>
        </w:rPr>
        <w:br w:type="textWrapping"/>
      </w:r>
    </w:p>
    <w:p>
      <w:pPr>
        <w:widowControl w:val="0"/>
        <w:spacing w:lineRule="auto" w:line="360" w:after="0" w:beforeAutospacing="0" w:afterAutospacing="0"/>
        <w:ind w:firstLine="709"/>
        <w:jc w:val="both"/>
        <w:rPr>
          <w:rFonts w:ascii="Times New Roman" w:hAnsi="Times New Roman" w:cs="Times New Roman"/>
          <w:bCs w:val="1"/>
          <w:sz w:val="28"/>
          <w:szCs w:val="28"/>
        </w:rPr>
      </w:pPr>
      <w:r>
        <w:rPr>
          <w:rFonts w:ascii="Times New Roman" w:hAnsi="Times New Roman" w:cs="Times New Roman"/>
          <w:bCs w:val="1"/>
          <w:sz w:val="28"/>
          <w:szCs w:val="28"/>
        </w:rPr>
        <w:t>Реализация инновационного проекта «Берег Восхода» предполагает поэтапное развертывание девяти взаимосвязанных кластеров в 2026–2035 гг. с учетом критических порогов запуска, бюджетного ограничения и разновременного ввода контуров в эксплуатацию (</w:t>
      </w:r>
      <w:r>
        <w:rPr>
          <w:rFonts w:ascii="Times New Roman" w:hAnsi="Times New Roman" w:cs="Times New Roman"/>
          <w:bCs w:val="1"/>
          <w:sz w:val="28"/>
          <w:szCs w:val="28"/>
          <w:highlight w:val="yellow"/>
        </w:rPr>
        <w:t>таблица ??</w:t>
      </w:r>
      <w:r>
        <w:rPr>
          <w:rFonts w:ascii="Times New Roman" w:hAnsi="Times New Roman" w:cs="Times New Roman"/>
          <w:bCs w:val="1"/>
          <w:sz w:val="28"/>
          <w:szCs w:val="28"/>
        </w:rPr>
        <w:t xml:space="preserve">). Каждая фаза имеет собственную логику, целевые показатели и механизмы финансирования. Полная капиталоемкость портфеля при развертывании всех девяти кластеров составляет 15,6 млрд долл., однако сценарные расчеты в симуляторе выполняются при бюджетном лимите 12,5 млрд долл., что предполагает поэтапную приоритизацию направлений и варьирование глубины их реализации через коэффициенты </w:t>
      </w:r>
      <w:r>
        <w:rPr>
          <w:rFonts w:ascii="Times New Roman" w:hAnsi="Times New Roman" w:cs="Times New Roman"/>
          <w:i w:val="1"/>
          <w:bCs w:val="1"/>
          <w:sz w:val="28"/>
          <w:szCs w:val="28"/>
        </w:rPr>
        <w:t>xi</w:t>
      </w:r>
      <w:r>
        <w:rPr>
          <w:rFonts w:ascii="Times New Roman" w:hAnsi="Times New Roman" w:cs="Times New Roman"/>
          <w:bCs w:val="1"/>
          <w:sz w:val="28"/>
          <w:szCs w:val="28"/>
        </w:rPr>
        <w:t>.</w:t>
      </w:r>
    </w:p>
    <w:p>
      <w:pPr>
        <w:widowControl w:val="0"/>
        <w:spacing w:lineRule="auto" w:line="360" w:after="0" w:beforeAutospacing="0" w:afterAutospacing="0"/>
        <w:ind w:firstLine="709"/>
        <w:jc w:val="both"/>
        <w:rPr>
          <w:rFonts w:ascii="Times New Roman" w:hAnsi="Times New Roman" w:cs="Times New Roman"/>
          <w:bCs w:val="1"/>
          <w:sz w:val="28"/>
          <w:szCs w:val="28"/>
        </w:rPr>
      </w:pPr>
      <w:r>
        <w:rPr>
          <w:rFonts w:ascii="Times New Roman" w:hAnsi="Times New Roman" w:cs="Times New Roman"/>
          <w:bCs w:val="1"/>
          <w:sz w:val="28"/>
          <w:szCs w:val="28"/>
        </w:rPr>
        <w:t xml:space="preserve">Фаза I (2026–2028) – «Институциональная база и пилотные запуски» – соответствует формированию нормативно-правовой архитектуры и критической инфраструктурной базы цифровой платформы. В этот период в модели запускаются, прежде всего, цифровая платформа, энергетический контур, образование и R&amp;D, а также начальная модернизация портово-логистической системы. Для этих кластеров в симуляторе зафиксированы критические пороги:  x4≥0,30,  x5≥0,25,  x6≥0,35, поскольку недостижение этих значений блокирует работу платформы, создает энергодефицит и ограничивает кадровое обеспечение проекта. Инвестиционная потребность фазы достигает около 4,18 млрд долл., или в среднем 1,39 млрд долл. в год. Источники: государственный бюджет (30%), кредиты АфБР и ВБ (35%), частный капитал (35%).</w:t>
      </w:r>
    </w:p>
    <w:p>
      <w:pPr>
        <w:widowControl w:val="0"/>
        <w:spacing w:lineRule="auto" w:line="360" w:after="0" w:beforeAutospacing="0" w:afterAutospacing="0"/>
        <w:ind w:firstLine="709"/>
        <w:jc w:val="both"/>
        <w:rPr>
          <w:rFonts w:ascii="Times New Roman" w:hAnsi="Times New Roman" w:cs="Times New Roman"/>
          <w:bCs w:val="1"/>
          <w:sz w:val="28"/>
          <w:szCs w:val="28"/>
        </w:rPr>
      </w:pPr>
      <w:r>
        <w:rPr>
          <w:rFonts w:ascii="Times New Roman" w:hAnsi="Times New Roman" w:cs="Times New Roman"/>
          <w:bCs w:val="1"/>
          <w:sz w:val="28"/>
          <w:szCs w:val="28"/>
        </w:rPr>
        <w:t>Фаза II (2029–2031) – «Масштабирование кластеров» – представляет этап масштабирования основных производственных и инфраструктурных контуров. В этот период происходит расширение агропереработки, портовой логистики, индустриально-производственного кластера/СЭЗ и финансового контура, а проект выходит на наиболее капиталоемкую стадию. Совокупный объем инвестиций этой фазы составляет около 5,94 млрд долл., или 1,98 млрд долл. в год. В этой фазе ожидается существенный рост частных инвестиций – до 50–55% от общего объема инвестиций.</w:t>
      </w:r>
    </w:p>
    <w:p>
      <w:pPr>
        <w:widowControl w:val="0"/>
        <w:spacing w:lineRule="auto" w:line="360" w:after="0" w:beforeAutospacing="0" w:afterAutospacing="0"/>
        <w:rPr>
          <w:rFonts w:ascii="Times New Roman" w:hAnsi="Times New Roman" w:cs="Times New Roman"/>
          <w:bCs w:val="1"/>
          <w:sz w:val="28"/>
          <w:szCs w:val="28"/>
        </w:rPr>
      </w:pPr>
    </w:p>
    <w:p>
      <w:pPr>
        <w:widowControl w:val="0"/>
        <w:spacing w:lineRule="auto" w:line="360" w:after="0" w:beforeAutospacing="0" w:afterAutospacing="0"/>
        <w:rPr>
          <w:rFonts w:ascii="Times New Roman" w:hAnsi="Times New Roman" w:cs="Times New Roman"/>
          <w:bCs w:val="1"/>
          <w:color w:val="00B0F0"/>
          <w:sz w:val="28"/>
          <w:szCs w:val="28"/>
        </w:rPr>
      </w:pPr>
      <w:r>
        <w:rPr>
          <w:rFonts w:ascii="Times New Roman" w:hAnsi="Times New Roman" w:cs="Times New Roman"/>
          <w:bCs w:val="1"/>
          <w:sz w:val="28"/>
          <w:szCs w:val="28"/>
        </w:rPr>
        <w:t xml:space="preserve">Таблица </w:t>
      </w:r>
      <w:r>
        <w:rPr>
          <w:rFonts w:ascii="Times New Roman" w:hAnsi="Times New Roman" w:cs="Times New Roman"/>
          <w:bCs w:val="1"/>
          <w:sz w:val="28"/>
          <w:szCs w:val="28"/>
          <w:highlight w:val="yellow"/>
        </w:rPr>
        <w:t>??</w:t>
      </w:r>
      <w:r>
        <w:rPr>
          <w:rFonts w:ascii="Times New Roman" w:hAnsi="Times New Roman" w:cs="Times New Roman"/>
          <w:bCs w:val="1"/>
          <w:sz w:val="28"/>
          <w:szCs w:val="28"/>
        </w:rPr>
        <w:t xml:space="preserve"> – Этапность реализации и инвестиционный профиль инвестиицонного проекта «Берег Восхода» (2026–2035 гг.) (составлено автором)</w:t>
      </w:r>
    </w:p>
    <w:tbl>
      <w:tblPr>
        <w:tblStyle w:val="T3"/>
        <w:tblW w:w="0" w:type="auto"/>
        <w:tblLayout w:type="fixed"/>
        <w:tblLook w:val="04A0"/>
      </w:tblPr>
      <w:tblGrid>
        <w:gridCol w:w="1998"/>
        <w:gridCol w:w="888"/>
        <w:gridCol w:w="2638"/>
        <w:gridCol w:w="1984"/>
        <w:gridCol w:w="1134"/>
        <w:gridCol w:w="1241"/>
      </w:tblGrid>
      <w:tr>
        <w:trPr>
          <w:trHeight w:hRule="atLeast" w:val="674"/>
        </w:trPr>
        <w:tc>
          <w:tcPr>
            <w:tcW w:w="1998" w:type="dxa"/>
            <w:hideMark/>
          </w:tcPr>
          <w:p>
            <w:pPr>
              <w:jc w:val="center"/>
              <w:rPr>
                <w:rFonts w:ascii="Times New Roman" w:hAnsi="Times New Roman" w:cs="Times New Roman" w:eastAsia="Times New Roman"/>
                <w:bCs w:val="1"/>
                <w:sz w:val="20"/>
                <w:szCs w:val="20"/>
                <w:lang w:eastAsia="ru-RU"/>
              </w:rPr>
            </w:pPr>
            <w:r>
              <w:rPr>
                <w:rFonts w:ascii="Times New Roman" w:hAnsi="Times New Roman" w:cs="Times New Roman" w:eastAsia="Times New Roman"/>
                <w:bCs w:val="1"/>
                <w:sz w:val="20"/>
                <w:szCs w:val="20"/>
                <w:lang w:eastAsia="ru-RU"/>
              </w:rPr>
              <w:t>Фаза реализации</w:t>
            </w:r>
          </w:p>
        </w:tc>
        <w:tc>
          <w:tcPr>
            <w:tcW w:w="888" w:type="dxa"/>
            <w:hideMark/>
          </w:tcPr>
          <w:p>
            <w:pPr>
              <w:ind w:left="-48" w:right="-103"/>
              <w:jc w:val="center"/>
              <w:rPr>
                <w:rFonts w:ascii="Times New Roman" w:hAnsi="Times New Roman" w:cs="Times New Roman" w:eastAsia="Times New Roman"/>
                <w:bCs w:val="1"/>
                <w:sz w:val="20"/>
                <w:szCs w:val="20"/>
                <w:lang w:eastAsia="ru-RU"/>
              </w:rPr>
            </w:pPr>
            <w:r>
              <w:rPr>
                <w:rFonts w:ascii="Times New Roman" w:hAnsi="Times New Roman" w:cs="Times New Roman" w:eastAsia="Times New Roman"/>
                <w:bCs w:val="1"/>
                <w:sz w:val="20"/>
                <w:szCs w:val="20"/>
                <w:lang w:eastAsia="ru-RU"/>
              </w:rPr>
              <w:t>Период</w:t>
            </w:r>
          </w:p>
        </w:tc>
        <w:tc>
          <w:tcPr>
            <w:tcW w:w="2638" w:type="dxa"/>
            <w:hideMark/>
          </w:tcPr>
          <w:p>
            <w:pPr>
              <w:jc w:val="center"/>
              <w:rPr>
                <w:rFonts w:ascii="Times New Roman" w:hAnsi="Times New Roman" w:cs="Times New Roman" w:eastAsia="Times New Roman"/>
                <w:bCs w:val="1"/>
                <w:sz w:val="20"/>
                <w:szCs w:val="20"/>
                <w:lang w:eastAsia="ru-RU"/>
              </w:rPr>
            </w:pPr>
            <w:r>
              <w:rPr>
                <w:rFonts w:ascii="Times New Roman" w:hAnsi="Times New Roman" w:cs="Times New Roman" w:eastAsia="Times New Roman"/>
                <w:bCs w:val="1"/>
                <w:sz w:val="20"/>
                <w:szCs w:val="20"/>
                <w:lang w:eastAsia="ru-RU"/>
              </w:rPr>
              <w:t xml:space="preserve">Содержание  этапа</w:t>
            </w:r>
          </w:p>
        </w:tc>
        <w:tc>
          <w:tcPr>
            <w:tcW w:w="1984" w:type="dxa"/>
            <w:hideMark/>
          </w:tcPr>
          <w:p>
            <w:pPr>
              <w:jc w:val="center"/>
              <w:rPr>
                <w:rFonts w:ascii="Times New Roman" w:hAnsi="Times New Roman" w:cs="Times New Roman" w:eastAsia="Times New Roman"/>
                <w:bCs w:val="1"/>
                <w:sz w:val="20"/>
                <w:szCs w:val="20"/>
                <w:lang w:eastAsia="ru-RU"/>
              </w:rPr>
            </w:pPr>
            <w:r>
              <w:rPr>
                <w:rFonts w:ascii="Times New Roman" w:hAnsi="Times New Roman" w:cs="Times New Roman" w:eastAsia="Times New Roman"/>
                <w:bCs w:val="1"/>
                <w:sz w:val="20"/>
                <w:szCs w:val="20"/>
                <w:lang w:eastAsia="ru-RU"/>
              </w:rPr>
              <w:t>Приоритетные кластеры</w:t>
            </w:r>
          </w:p>
        </w:tc>
        <w:tc>
          <w:tcPr>
            <w:tcW w:w="1134" w:type="dxa"/>
            <w:hideMark/>
          </w:tcPr>
          <w:p>
            <w:pPr>
              <w:ind w:left="-63" w:right="-152"/>
              <w:jc w:val="center"/>
              <w:rPr>
                <w:rFonts w:ascii="Times New Roman" w:hAnsi="Times New Roman" w:cs="Times New Roman" w:eastAsia="Times New Roman"/>
                <w:bCs w:val="1"/>
                <w:sz w:val="20"/>
                <w:szCs w:val="20"/>
                <w:lang w:eastAsia="ru-RU"/>
              </w:rPr>
            </w:pPr>
            <w:r>
              <w:rPr>
                <w:rFonts w:ascii="Times New Roman" w:hAnsi="Times New Roman" w:cs="Times New Roman" w:eastAsia="Times New Roman"/>
                <w:bCs w:val="1"/>
                <w:sz w:val="20"/>
                <w:szCs w:val="20"/>
                <w:lang w:eastAsia="ru-RU"/>
              </w:rPr>
              <w:t>Объем инвестиций, млрд долл.</w:t>
            </w:r>
          </w:p>
        </w:tc>
        <w:tc>
          <w:tcPr>
            <w:tcW w:w="1241" w:type="dxa"/>
            <w:hideMark/>
          </w:tcPr>
          <w:p>
            <w:pPr>
              <w:ind w:right="-143"/>
              <w:jc w:val="center"/>
              <w:rPr>
                <w:rFonts w:ascii="Times New Roman" w:hAnsi="Times New Roman" w:cs="Times New Roman" w:eastAsia="Times New Roman"/>
                <w:bCs w:val="1"/>
                <w:sz w:val="20"/>
                <w:szCs w:val="20"/>
                <w:lang w:eastAsia="ru-RU"/>
              </w:rPr>
            </w:pPr>
            <w:r>
              <w:rPr>
                <w:rFonts w:ascii="Times New Roman" w:hAnsi="Times New Roman" w:cs="Times New Roman" w:eastAsia="Times New Roman"/>
                <w:bCs w:val="1"/>
                <w:sz w:val="20"/>
                <w:szCs w:val="20"/>
                <w:lang w:eastAsia="ru-RU"/>
              </w:rPr>
              <w:t>Среднегодо-</w:t>
            </w:r>
          </w:p>
          <w:p>
            <w:pPr>
              <w:jc w:val="center"/>
              <w:rPr>
                <w:rFonts w:ascii="Times New Roman" w:hAnsi="Times New Roman" w:cs="Times New Roman" w:eastAsia="Times New Roman"/>
                <w:bCs w:val="1"/>
                <w:sz w:val="20"/>
                <w:szCs w:val="20"/>
                <w:lang w:eastAsia="ru-RU"/>
              </w:rPr>
            </w:pPr>
            <w:r>
              <w:rPr>
                <w:rFonts w:ascii="Times New Roman" w:hAnsi="Times New Roman" w:cs="Times New Roman" w:eastAsia="Times New Roman"/>
                <w:bCs w:val="1"/>
                <w:sz w:val="20"/>
                <w:szCs w:val="20"/>
                <w:lang w:eastAsia="ru-RU"/>
              </w:rPr>
              <w:t>вой объем, млрд долл.</w:t>
            </w:r>
          </w:p>
        </w:tc>
      </w:tr>
      <w:tr>
        <w:trPr>
          <w:trHeight w:hRule="atLeast" w:val="1677"/>
        </w:trPr>
        <w:tc>
          <w:tcPr>
            <w:tcW w:w="1998" w:type="dxa"/>
            <w:hideMark/>
          </w:tcPr>
          <w:p>
            <w:pPr>
              <w:rPr>
                <w:rFonts w:ascii="Times New Roman" w:hAnsi="Times New Roman" w:cs="Times New Roman" w:eastAsia="Times New Roman"/>
                <w:sz w:val="20"/>
                <w:szCs w:val="20"/>
                <w:lang w:eastAsia="ru-RU"/>
              </w:rPr>
            </w:pPr>
            <w:r>
              <w:rPr>
                <w:rFonts w:ascii="Times New Roman" w:hAnsi="Times New Roman" w:cs="Times New Roman" w:eastAsia="Times New Roman"/>
                <w:bCs w:val="1"/>
                <w:sz w:val="20"/>
                <w:szCs w:val="20"/>
                <w:lang w:eastAsia="ru-RU"/>
              </w:rPr>
              <w:t>Фаза I. Формирование критической инфраструктурной базы</w:t>
            </w:r>
          </w:p>
        </w:tc>
        <w:tc>
          <w:tcPr>
            <w:tcW w:w="888" w:type="dxa"/>
            <w:hideMark/>
          </w:tcPr>
          <w:p>
            <w:pPr>
              <w:rPr>
                <w:rFonts w:ascii="Times New Roman" w:hAnsi="Times New Roman" w:cs="Times New Roman" w:eastAsia="Times New Roman"/>
                <w:sz w:val="20"/>
                <w:szCs w:val="20"/>
                <w:lang w:eastAsia="ru-RU"/>
              </w:rPr>
            </w:pPr>
            <w:r>
              <w:rPr>
                <w:rFonts w:ascii="Times New Roman" w:hAnsi="Times New Roman" w:cs="Times New Roman" w:eastAsia="Times New Roman"/>
                <w:bCs w:val="1"/>
                <w:sz w:val="20"/>
                <w:szCs w:val="20"/>
                <w:lang w:eastAsia="ru-RU"/>
              </w:rPr>
              <w:t>2026–2028</w:t>
            </w:r>
          </w:p>
        </w:tc>
        <w:tc>
          <w:tcPr>
            <w:tcW w:w="2638" w:type="dxa"/>
            <w:hideMark/>
          </w:tcPr>
          <w:p>
            <w:pPr>
              <w:rPr>
                <w:rFonts w:ascii="Times New Roman" w:hAnsi="Times New Roman" w:cs="Times New Roman" w:eastAsia="Times New Roman"/>
                <w:sz w:val="20"/>
                <w:szCs w:val="20"/>
                <w:lang w:eastAsia="ru-RU"/>
              </w:rPr>
            </w:pPr>
            <w:r>
              <w:rPr>
                <w:rFonts w:ascii="Times New Roman" w:hAnsi="Times New Roman" w:cs="Times New Roman" w:eastAsia="Times New Roman"/>
                <w:sz w:val="20"/>
                <w:szCs w:val="20"/>
                <w:lang w:eastAsia="ru-RU"/>
              </w:rPr>
              <w:t>Запуск институционального и цифрового контура проекта, создание базовой энергетической и образовательной инфраструктуры, начальная модернизация логистики</w:t>
            </w:r>
          </w:p>
        </w:tc>
        <w:tc>
          <w:tcPr>
            <w:tcW w:w="1984" w:type="dxa"/>
            <w:hideMark/>
          </w:tcPr>
          <w:p>
            <w:pPr>
              <w:rPr>
                <w:rFonts w:ascii="Times New Roman" w:hAnsi="Times New Roman" w:cs="Times New Roman" w:eastAsia="Times New Roman"/>
                <w:sz w:val="20"/>
                <w:szCs w:val="20"/>
                <w:lang w:eastAsia="ru-RU"/>
              </w:rPr>
            </w:pPr>
            <w:r>
              <w:rPr>
                <w:rFonts w:ascii="Times New Roman" w:hAnsi="Times New Roman" w:cs="Times New Roman" w:eastAsia="Times New Roman"/>
                <w:sz w:val="20"/>
                <w:szCs w:val="20"/>
                <w:lang w:eastAsia="ru-RU"/>
              </w:rPr>
              <w:t>IV. Цифровая платформа; VI. Энергетика; V. Образование и R&amp;D; II. Портово-логистический кластер</w:t>
            </w:r>
          </w:p>
        </w:tc>
        <w:tc>
          <w:tcPr>
            <w:tcW w:w="1134" w:type="dxa"/>
            <w:hideMark/>
          </w:tcPr>
          <w:p>
            <w:pPr>
              <w:jc w:val="center"/>
              <w:rPr>
                <w:rFonts w:ascii="Times New Roman" w:hAnsi="Times New Roman" w:cs="Times New Roman" w:eastAsia="Times New Roman"/>
                <w:sz w:val="20"/>
                <w:szCs w:val="20"/>
                <w:lang w:eastAsia="ru-RU"/>
              </w:rPr>
            </w:pPr>
            <w:r>
              <w:rPr>
                <w:rFonts w:ascii="Times New Roman" w:hAnsi="Times New Roman" w:cs="Times New Roman" w:eastAsia="Times New Roman"/>
                <w:bCs w:val="1"/>
                <w:sz w:val="20"/>
                <w:szCs w:val="20"/>
                <w:lang w:eastAsia="ru-RU"/>
              </w:rPr>
              <w:t>4,18</w:t>
            </w:r>
          </w:p>
        </w:tc>
        <w:tc>
          <w:tcPr>
            <w:tcW w:w="1241" w:type="dxa"/>
            <w:hideMark/>
          </w:tcPr>
          <w:p>
            <w:pPr>
              <w:jc w:val="center"/>
              <w:rPr>
                <w:rFonts w:ascii="Times New Roman" w:hAnsi="Times New Roman" w:cs="Times New Roman" w:eastAsia="Times New Roman"/>
                <w:sz w:val="20"/>
                <w:szCs w:val="20"/>
                <w:lang w:eastAsia="ru-RU"/>
              </w:rPr>
            </w:pPr>
            <w:r>
              <w:rPr>
                <w:rFonts w:ascii="Times New Roman" w:hAnsi="Times New Roman" w:cs="Times New Roman" w:eastAsia="Times New Roman"/>
                <w:bCs w:val="1"/>
                <w:sz w:val="20"/>
                <w:szCs w:val="20"/>
                <w:lang w:eastAsia="ru-RU"/>
              </w:rPr>
              <w:t>1,39</w:t>
            </w:r>
          </w:p>
        </w:tc>
      </w:tr>
      <w:tr>
        <w:trPr>
          <w:trHeight w:hRule="atLeast" w:val="1843"/>
        </w:trPr>
        <w:tc>
          <w:tcPr>
            <w:tcW w:w="1998" w:type="dxa"/>
            <w:hideMark/>
          </w:tcPr>
          <w:p>
            <w:pPr>
              <w:rPr>
                <w:rFonts w:ascii="Times New Roman" w:hAnsi="Times New Roman" w:cs="Times New Roman" w:eastAsia="Times New Roman"/>
                <w:sz w:val="20"/>
                <w:szCs w:val="20"/>
                <w:lang w:eastAsia="ru-RU"/>
              </w:rPr>
            </w:pPr>
            <w:r>
              <w:rPr>
                <w:rFonts w:ascii="Times New Roman" w:hAnsi="Times New Roman" w:cs="Times New Roman" w:eastAsia="Times New Roman"/>
                <w:bCs w:val="1"/>
                <w:sz w:val="20"/>
                <w:szCs w:val="20"/>
                <w:lang w:eastAsia="ru-RU"/>
              </w:rPr>
              <w:t>Фаза II. Масштабирование производственных и инфраструктурных контуров</w:t>
            </w:r>
          </w:p>
        </w:tc>
        <w:tc>
          <w:tcPr>
            <w:tcW w:w="888" w:type="dxa"/>
            <w:hideMark/>
          </w:tcPr>
          <w:p>
            <w:pPr>
              <w:rPr>
                <w:rFonts w:ascii="Times New Roman" w:hAnsi="Times New Roman" w:cs="Times New Roman" w:eastAsia="Times New Roman"/>
                <w:sz w:val="20"/>
                <w:szCs w:val="20"/>
                <w:lang w:eastAsia="ru-RU"/>
              </w:rPr>
            </w:pPr>
            <w:r>
              <w:rPr>
                <w:rFonts w:ascii="Times New Roman" w:hAnsi="Times New Roman" w:cs="Times New Roman" w:eastAsia="Times New Roman"/>
                <w:bCs w:val="1"/>
                <w:sz w:val="20"/>
                <w:szCs w:val="20"/>
                <w:lang w:eastAsia="ru-RU"/>
              </w:rPr>
              <w:t>2029–2031</w:t>
            </w:r>
          </w:p>
        </w:tc>
        <w:tc>
          <w:tcPr>
            <w:tcW w:w="2638" w:type="dxa"/>
            <w:hideMark/>
          </w:tcPr>
          <w:p>
            <w:pPr>
              <w:rPr>
                <w:rFonts w:ascii="Times New Roman" w:hAnsi="Times New Roman" w:cs="Times New Roman" w:eastAsia="Times New Roman"/>
                <w:sz w:val="20"/>
                <w:szCs w:val="20"/>
                <w:lang w:eastAsia="ru-RU"/>
              </w:rPr>
            </w:pPr>
            <w:r>
              <w:rPr>
                <w:rFonts w:ascii="Times New Roman" w:hAnsi="Times New Roman" w:cs="Times New Roman" w:eastAsia="Times New Roman"/>
                <w:sz w:val="20"/>
                <w:szCs w:val="20"/>
                <w:lang w:eastAsia="ru-RU"/>
              </w:rPr>
              <w:t>Развертывание агропереработки, индустриально-производственного кластера и СЭЗ, расширение логистики и финансовой поддержки</w:t>
            </w:r>
          </w:p>
        </w:tc>
        <w:tc>
          <w:tcPr>
            <w:tcW w:w="1984" w:type="dxa"/>
            <w:hideMark/>
          </w:tcPr>
          <w:p>
            <w:pPr>
              <w:rPr>
                <w:rFonts w:ascii="Times New Roman" w:hAnsi="Times New Roman" w:cs="Times New Roman" w:eastAsia="Times New Roman"/>
                <w:sz w:val="20"/>
                <w:szCs w:val="20"/>
                <w:lang w:eastAsia="ru-RU"/>
              </w:rPr>
            </w:pPr>
            <w:r>
              <w:rPr>
                <w:rFonts w:ascii="Times New Roman" w:hAnsi="Times New Roman" w:cs="Times New Roman" w:eastAsia="Times New Roman"/>
                <w:sz w:val="20"/>
                <w:szCs w:val="20"/>
                <w:lang w:eastAsia="ru-RU"/>
              </w:rPr>
              <w:t>I. Агропереработка; II. Портово-логистический кластер; III. Индустриально-производственный кластер и СЭЗ; VII. Финансы</w:t>
            </w:r>
          </w:p>
        </w:tc>
        <w:tc>
          <w:tcPr>
            <w:tcW w:w="1134" w:type="dxa"/>
            <w:hideMark/>
          </w:tcPr>
          <w:p>
            <w:pPr>
              <w:jc w:val="center"/>
              <w:rPr>
                <w:rFonts w:ascii="Times New Roman" w:hAnsi="Times New Roman" w:cs="Times New Roman" w:eastAsia="Times New Roman"/>
                <w:sz w:val="20"/>
                <w:szCs w:val="20"/>
                <w:lang w:eastAsia="ru-RU"/>
              </w:rPr>
            </w:pPr>
            <w:r>
              <w:rPr>
                <w:rFonts w:ascii="Times New Roman" w:hAnsi="Times New Roman" w:cs="Times New Roman" w:eastAsia="Times New Roman"/>
                <w:bCs w:val="1"/>
                <w:sz w:val="20"/>
                <w:szCs w:val="20"/>
                <w:lang w:eastAsia="ru-RU"/>
              </w:rPr>
              <w:t>5,94</w:t>
            </w:r>
          </w:p>
        </w:tc>
        <w:tc>
          <w:tcPr>
            <w:tcW w:w="1241" w:type="dxa"/>
            <w:hideMark/>
          </w:tcPr>
          <w:p>
            <w:pPr>
              <w:jc w:val="center"/>
              <w:rPr>
                <w:rFonts w:ascii="Times New Roman" w:hAnsi="Times New Roman" w:cs="Times New Roman" w:eastAsia="Times New Roman"/>
                <w:sz w:val="20"/>
                <w:szCs w:val="20"/>
                <w:lang w:eastAsia="ru-RU"/>
              </w:rPr>
            </w:pPr>
            <w:r>
              <w:rPr>
                <w:rFonts w:ascii="Times New Roman" w:hAnsi="Times New Roman" w:cs="Times New Roman" w:eastAsia="Times New Roman"/>
                <w:bCs w:val="1"/>
                <w:sz w:val="20"/>
                <w:szCs w:val="20"/>
                <w:lang w:eastAsia="ru-RU"/>
              </w:rPr>
              <w:t>1,98</w:t>
            </w:r>
          </w:p>
        </w:tc>
      </w:tr>
      <w:tr>
        <w:trPr>
          <w:trHeight w:hRule="atLeast" w:val="1826"/>
        </w:trPr>
        <w:tc>
          <w:tcPr>
            <w:tcW w:w="1998" w:type="dxa"/>
            <w:hideMark/>
          </w:tcPr>
          <w:p>
            <w:pPr>
              <w:rPr>
                <w:rFonts w:ascii="Times New Roman" w:hAnsi="Times New Roman" w:cs="Times New Roman" w:eastAsia="Times New Roman"/>
                <w:sz w:val="20"/>
                <w:szCs w:val="20"/>
                <w:lang w:eastAsia="ru-RU"/>
              </w:rPr>
            </w:pPr>
            <w:r>
              <w:rPr>
                <w:rFonts w:ascii="Times New Roman" w:hAnsi="Times New Roman" w:cs="Times New Roman" w:eastAsia="Times New Roman"/>
                <w:bCs w:val="1"/>
                <w:sz w:val="20"/>
                <w:szCs w:val="20"/>
                <w:lang w:eastAsia="ru-RU"/>
              </w:rPr>
              <w:t>Фаза III. Экспортно-индустриальная консолидация</w:t>
            </w:r>
          </w:p>
        </w:tc>
        <w:tc>
          <w:tcPr>
            <w:tcW w:w="888" w:type="dxa"/>
            <w:hideMark/>
          </w:tcPr>
          <w:p>
            <w:pPr>
              <w:rPr>
                <w:rFonts w:ascii="Times New Roman" w:hAnsi="Times New Roman" w:cs="Times New Roman" w:eastAsia="Times New Roman"/>
                <w:sz w:val="20"/>
                <w:szCs w:val="20"/>
                <w:lang w:eastAsia="ru-RU"/>
              </w:rPr>
            </w:pPr>
            <w:r>
              <w:rPr>
                <w:rFonts w:ascii="Times New Roman" w:hAnsi="Times New Roman" w:cs="Times New Roman" w:eastAsia="Times New Roman"/>
                <w:bCs w:val="1"/>
                <w:sz w:val="20"/>
                <w:szCs w:val="20"/>
                <w:lang w:eastAsia="ru-RU"/>
              </w:rPr>
              <w:t>2032–2035</w:t>
            </w:r>
          </w:p>
        </w:tc>
        <w:tc>
          <w:tcPr>
            <w:tcW w:w="2638" w:type="dxa"/>
            <w:hideMark/>
          </w:tcPr>
          <w:p>
            <w:pPr>
              <w:rPr>
                <w:rFonts w:ascii="Times New Roman" w:hAnsi="Times New Roman" w:cs="Times New Roman" w:eastAsia="Times New Roman"/>
                <w:sz w:val="20"/>
                <w:szCs w:val="20"/>
                <w:lang w:eastAsia="ru-RU"/>
              </w:rPr>
            </w:pPr>
            <w:r>
              <w:rPr>
                <w:rFonts w:ascii="Times New Roman" w:hAnsi="Times New Roman" w:cs="Times New Roman" w:eastAsia="Times New Roman"/>
                <w:sz w:val="20"/>
                <w:szCs w:val="20"/>
                <w:lang w:eastAsia="ru-RU"/>
              </w:rPr>
              <w:t>Завершение ввода социально-инклюзивного и экологического контуров, достижение зрелости платформенной экосистемы, закрепление экспортной специализации на добавленной стоимости</w:t>
            </w:r>
          </w:p>
        </w:tc>
        <w:tc>
          <w:tcPr>
            <w:tcW w:w="1984" w:type="dxa"/>
            <w:hideMark/>
          </w:tcPr>
          <w:p>
            <w:pPr>
              <w:rPr>
                <w:rFonts w:ascii="Times New Roman" w:hAnsi="Times New Roman" w:cs="Times New Roman" w:eastAsia="Times New Roman"/>
                <w:sz w:val="20"/>
                <w:szCs w:val="20"/>
                <w:lang w:eastAsia="ru-RU"/>
              </w:rPr>
            </w:pPr>
            <w:r>
              <w:rPr>
                <w:rFonts w:ascii="Times New Roman" w:hAnsi="Times New Roman" w:cs="Times New Roman" w:eastAsia="Times New Roman"/>
                <w:sz w:val="20"/>
                <w:szCs w:val="20"/>
                <w:lang w:eastAsia="ru-RU"/>
              </w:rPr>
              <w:t>VIII. Социально-инклюзивный и урбанистический кластер; IX. Экология и климат; доразвитие I–VII кластеров</w:t>
            </w:r>
          </w:p>
        </w:tc>
        <w:tc>
          <w:tcPr>
            <w:tcW w:w="1134" w:type="dxa"/>
            <w:hideMark/>
          </w:tcPr>
          <w:p>
            <w:pPr>
              <w:jc w:val="center"/>
              <w:rPr>
                <w:rFonts w:ascii="Times New Roman" w:hAnsi="Times New Roman" w:cs="Times New Roman" w:eastAsia="Times New Roman"/>
                <w:sz w:val="20"/>
                <w:szCs w:val="20"/>
                <w:lang w:eastAsia="ru-RU"/>
              </w:rPr>
            </w:pPr>
            <w:r>
              <w:rPr>
                <w:rFonts w:ascii="Times New Roman" w:hAnsi="Times New Roman" w:cs="Times New Roman" w:eastAsia="Times New Roman"/>
                <w:bCs w:val="1"/>
                <w:sz w:val="20"/>
                <w:szCs w:val="20"/>
                <w:lang w:eastAsia="ru-RU"/>
              </w:rPr>
              <w:t>5,48</w:t>
            </w:r>
          </w:p>
        </w:tc>
        <w:tc>
          <w:tcPr>
            <w:tcW w:w="1241" w:type="dxa"/>
            <w:hideMark/>
          </w:tcPr>
          <w:p>
            <w:pPr>
              <w:jc w:val="center"/>
              <w:rPr>
                <w:rFonts w:ascii="Times New Roman" w:hAnsi="Times New Roman" w:cs="Times New Roman" w:eastAsia="Times New Roman"/>
                <w:sz w:val="20"/>
                <w:szCs w:val="20"/>
                <w:lang w:eastAsia="ru-RU"/>
              </w:rPr>
            </w:pPr>
            <w:r>
              <w:rPr>
                <w:rFonts w:ascii="Times New Roman" w:hAnsi="Times New Roman" w:cs="Times New Roman" w:eastAsia="Times New Roman"/>
                <w:bCs w:val="1"/>
                <w:sz w:val="20"/>
                <w:szCs w:val="20"/>
                <w:lang w:eastAsia="ru-RU"/>
              </w:rPr>
              <w:t>1,37</w:t>
            </w:r>
          </w:p>
        </w:tc>
      </w:tr>
      <w:tr>
        <w:trPr>
          <w:trHeight w:hRule="atLeast" w:val="408"/>
        </w:trPr>
        <w:tc>
          <w:tcPr>
            <w:tcW w:w="1998" w:type="dxa"/>
            <w:hideMark/>
          </w:tcPr>
          <w:p>
            <w:pPr>
              <w:rPr>
                <w:rFonts w:ascii="Times New Roman" w:hAnsi="Times New Roman" w:cs="Times New Roman" w:eastAsia="Times New Roman"/>
                <w:sz w:val="20"/>
                <w:szCs w:val="20"/>
                <w:lang w:eastAsia="ru-RU"/>
              </w:rPr>
            </w:pPr>
            <w:r>
              <w:rPr>
                <w:rFonts w:ascii="Times New Roman" w:hAnsi="Times New Roman" w:cs="Times New Roman" w:eastAsia="Times New Roman"/>
                <w:bCs w:val="1"/>
                <w:sz w:val="20"/>
                <w:szCs w:val="20"/>
                <w:lang w:eastAsia="ru-RU"/>
              </w:rPr>
              <w:t>ИТОГО</w:t>
            </w:r>
          </w:p>
        </w:tc>
        <w:tc>
          <w:tcPr>
            <w:tcW w:w="888" w:type="dxa"/>
            <w:hideMark/>
          </w:tcPr>
          <w:p>
            <w:pPr>
              <w:jc w:val="center"/>
              <w:rPr>
                <w:rFonts w:ascii="Times New Roman" w:hAnsi="Times New Roman" w:cs="Times New Roman" w:eastAsia="Times New Roman"/>
                <w:sz w:val="20"/>
                <w:szCs w:val="20"/>
                <w:lang w:eastAsia="ru-RU"/>
              </w:rPr>
            </w:pPr>
            <w:r>
              <w:rPr>
                <w:rFonts w:ascii="Times New Roman" w:hAnsi="Times New Roman" w:cs="Times New Roman" w:eastAsia="Times New Roman"/>
                <w:bCs w:val="1"/>
                <w:sz w:val="20"/>
                <w:szCs w:val="20"/>
                <w:lang w:eastAsia="ru-RU"/>
              </w:rPr>
              <w:t>-</w:t>
            </w:r>
          </w:p>
        </w:tc>
        <w:tc>
          <w:tcPr>
            <w:tcW w:w="2638" w:type="dxa"/>
            <w:hideMark/>
          </w:tcPr>
          <w:p>
            <w:pPr>
              <w:jc w:val="center"/>
              <w:rPr>
                <w:rFonts w:ascii="Times New Roman" w:hAnsi="Times New Roman" w:cs="Times New Roman" w:eastAsia="Times New Roman"/>
                <w:sz w:val="20"/>
                <w:szCs w:val="20"/>
                <w:lang w:eastAsia="ru-RU"/>
              </w:rPr>
            </w:pPr>
            <w:r>
              <w:rPr>
                <w:rFonts w:ascii="Times New Roman" w:hAnsi="Times New Roman" w:cs="Times New Roman" w:eastAsia="Times New Roman"/>
                <w:sz w:val="20"/>
                <w:szCs w:val="20"/>
                <w:lang w:eastAsia="ru-RU"/>
              </w:rPr>
              <w:t>-</w:t>
            </w:r>
          </w:p>
        </w:tc>
        <w:tc>
          <w:tcPr>
            <w:tcW w:w="1984" w:type="dxa"/>
            <w:hideMark/>
          </w:tcPr>
          <w:p>
            <w:pPr>
              <w:jc w:val="center"/>
              <w:rPr>
                <w:rFonts w:ascii="Times New Roman" w:hAnsi="Times New Roman" w:cs="Times New Roman" w:eastAsia="Times New Roman"/>
                <w:sz w:val="20"/>
                <w:szCs w:val="20"/>
                <w:lang w:eastAsia="ru-RU"/>
              </w:rPr>
            </w:pPr>
            <w:r>
              <w:rPr>
                <w:rFonts w:ascii="Times New Roman" w:hAnsi="Times New Roman" w:cs="Times New Roman" w:eastAsia="Times New Roman"/>
                <w:sz w:val="20"/>
                <w:szCs w:val="20"/>
                <w:lang w:eastAsia="ru-RU"/>
              </w:rPr>
              <w:t>-</w:t>
            </w:r>
          </w:p>
        </w:tc>
        <w:tc>
          <w:tcPr>
            <w:tcW w:w="1134" w:type="dxa"/>
            <w:hideMark/>
          </w:tcPr>
          <w:p>
            <w:pPr>
              <w:jc w:val="center"/>
              <w:rPr>
                <w:rFonts w:ascii="Times New Roman" w:hAnsi="Times New Roman" w:cs="Times New Roman" w:eastAsia="Times New Roman"/>
                <w:sz w:val="20"/>
                <w:szCs w:val="20"/>
                <w:lang w:eastAsia="ru-RU"/>
              </w:rPr>
            </w:pPr>
            <w:r>
              <w:rPr>
                <w:rFonts w:ascii="Times New Roman" w:hAnsi="Times New Roman" w:cs="Times New Roman" w:eastAsia="Times New Roman"/>
                <w:bCs w:val="1"/>
                <w:sz w:val="20"/>
                <w:szCs w:val="20"/>
                <w:lang w:eastAsia="ru-RU"/>
              </w:rPr>
              <w:t>15,60</w:t>
            </w:r>
          </w:p>
        </w:tc>
        <w:tc>
          <w:tcPr>
            <w:tcW w:w="1241" w:type="dxa"/>
            <w:hideMark/>
          </w:tcPr>
          <w:p>
            <w:pPr>
              <w:jc w:val="center"/>
              <w:rPr>
                <w:rFonts w:ascii="Times New Roman" w:hAnsi="Times New Roman" w:cs="Times New Roman" w:eastAsia="Times New Roman"/>
                <w:sz w:val="20"/>
                <w:szCs w:val="20"/>
                <w:lang w:eastAsia="ru-RU"/>
              </w:rPr>
            </w:pPr>
            <w:r>
              <w:rPr>
                <w:rFonts w:ascii="Times New Roman" w:hAnsi="Times New Roman" w:cs="Times New Roman" w:eastAsia="Times New Roman"/>
                <w:bCs w:val="1"/>
                <w:sz w:val="20"/>
                <w:szCs w:val="20"/>
                <w:lang w:eastAsia="ru-RU"/>
              </w:rPr>
              <w:t>1,56</w:t>
            </w:r>
          </w:p>
        </w:tc>
      </w:tr>
    </w:tbl>
    <w:p>
      <w:pPr>
        <w:widowControl w:val="0"/>
        <w:spacing w:lineRule="auto" w:line="360" w:after="0" w:beforeAutospacing="0" w:afterAutospacing="0"/>
        <w:ind w:firstLine="709"/>
        <w:jc w:val="center"/>
        <w:rPr>
          <w:rFonts w:ascii="Times New Roman" w:hAnsi="Times New Roman" w:cs="Times New Roman"/>
          <w:bCs w:val="1"/>
          <w:sz w:val="28"/>
          <w:szCs w:val="28"/>
        </w:rPr>
      </w:pPr>
    </w:p>
    <w:p>
      <w:pPr>
        <w:widowControl w:val="0"/>
        <w:spacing w:lineRule="auto" w:line="360" w:after="0" w:beforeAutospacing="0" w:afterAutospacing="0"/>
        <w:ind w:firstLine="709"/>
        <w:jc w:val="both"/>
        <w:rPr>
          <w:rFonts w:ascii="Times New Roman" w:hAnsi="Times New Roman" w:cs="Times New Roman"/>
          <w:bCs w:val="1"/>
          <w:sz w:val="28"/>
          <w:szCs w:val="28"/>
        </w:rPr>
      </w:pPr>
      <w:r>
        <w:rPr>
          <w:rFonts w:ascii="Times New Roman" w:hAnsi="Times New Roman" w:cs="Times New Roman"/>
          <w:bCs w:val="1"/>
          <w:sz w:val="28"/>
          <w:szCs w:val="28"/>
        </w:rPr>
        <w:t>Фаза III (2032–2035) – «Экспортно-индустриальная консолидация» – предполагает завершение ввода индустриального, социально-урбанистического и экологического контуров, а также достижение зрелости платформенной архитектуры в целом. Инвестиционная потребность заключительного этапа составляет около 5,48 млрд долл., или в среднем 1,37 млрд долл. в год. На этой стадии формируется эффект завершенной экосистемной координации, при которой прирост добавленной стоимости обеспечивается не столько отдельными кластерами, сколько их сопряжением через цифровую платформу. Ождается снижение удельного государственного участия до 30%, поскольку платформа к этому времени генерирует достаточный cashflow для самофинансирования ряда кластеров.</w:t>
      </w:r>
    </w:p>
    <w:p>
      <w:pPr>
        <w:widowControl w:val="0"/>
        <w:spacing w:lineRule="auto" w:line="360" w:after="0" w:beforeAutospacing="0" w:afterAutospacing="0"/>
        <w:ind w:firstLine="709"/>
        <w:jc w:val="both"/>
        <w:rPr>
          <w:rFonts w:ascii="Times New Roman" w:hAnsi="Times New Roman" w:cs="Times New Roman"/>
          <w:bCs w:val="1"/>
          <w:sz w:val="28"/>
          <w:szCs w:val="28"/>
        </w:rPr>
      </w:pPr>
      <w:r>
        <w:rPr>
          <w:rFonts w:ascii="Times New Roman" w:hAnsi="Times New Roman" w:cs="Times New Roman"/>
          <w:bCs w:val="1"/>
          <w:sz w:val="28"/>
          <w:szCs w:val="28"/>
        </w:rPr>
        <w:t>Таким образом, общий инвестиционный профиль проекта имеет трехфазную структуру с распределением капитальных затрат. Среднегодовая нагрузка при полном развертывании портфеля составляет около 1,56 млрд долл., однако реальная сценарная реализация в симуляторе подчинена бюджетному ограничению 12,5 млрд долл. Это означает, что проект имеет не одномоментное финансирование всей капиталоемкости, а поэтапную инвестиционную траекторию, в рамках которой достигается баланс между критическими кластерами, ресурсными ограничениями и целевыми эффектами платформенной трансформации.</w:t>
      </w:r>
    </w:p>
    <w:p>
      <w:pPr>
        <w:widowControl w:val="0"/>
        <w:spacing w:lineRule="auto" w:line="360" w:after="0" w:beforeAutospacing="0" w:afterAutospacing="0"/>
        <w:ind w:firstLine="709"/>
        <w:jc w:val="both"/>
        <w:rPr>
          <w:rFonts w:ascii="Times New Roman" w:hAnsi="Times New Roman" w:cs="Times New Roman"/>
          <w:bCs w:val="1"/>
          <w:sz w:val="28"/>
          <w:szCs w:val="28"/>
        </w:rPr>
      </w:pPr>
      <w:r>
        <w:rPr>
          <w:rFonts w:ascii="Times New Roman" w:hAnsi="Times New Roman" w:cs="Times New Roman"/>
          <w:bCs w:val="1"/>
          <w:sz w:val="28"/>
          <w:szCs w:val="28"/>
        </w:rPr>
        <w:t>Финансовая архитектура проекта является диверсифицированной по источникам и фазово меняющейся для снижения концентрации рисков и уменьшения нагрузки на государственный бюджет (</w:t>
      </w:r>
      <w:r>
        <w:rPr>
          <w:rFonts w:ascii="Times New Roman" w:hAnsi="Times New Roman" w:cs="Times New Roman"/>
          <w:bCs w:val="1"/>
          <w:sz w:val="28"/>
          <w:szCs w:val="28"/>
          <w:highlight w:val="yellow"/>
        </w:rPr>
        <w:t>рисунок 5</w:t>
      </w:r>
      <w:r>
        <w:rPr>
          <w:rFonts w:ascii="Times New Roman" w:hAnsi="Times New Roman" w:cs="Times New Roman"/>
          <w:bCs w:val="1"/>
          <w:sz w:val="28"/>
          <w:szCs w:val="28"/>
        </w:rPr>
        <w:t>). На первой фазе доминируют государственные и многосторонние источники, обеспечивающие запуск критической цифровой, энергетической и образовательной инфраструктуры. На второй фазе возрастает роль частного капитала, механизмов ГЧП, ESG-инструментов и проектного финансирования, поскольку именно на этом этапе концентрируется основной объем капитальных вложений. На третьей фазе усиливается значение реинвестируемых потоков, платформенной монетизации и долгосрочного институционального капитала, обеспечивающих завершение экосистемной конфигурации проекта. Семь типов инвесторов формируют портфель с различными горизонтами, ожидаемой доходностью и условиями участия</w:t>
      </w:r>
      <w:r>
        <w:rPr>
          <w:rStyle w:val="C42"/>
          <w:rFonts w:ascii="Times New Roman" w:hAnsi="Times New Roman" w:cs="Times New Roman"/>
          <w:bCs w:val="1"/>
          <w:sz w:val="28"/>
          <w:szCs w:val="28"/>
        </w:rPr>
        <w:footnoteReference w:id="118"/>
      </w:r>
      <w:r>
        <w:rPr>
          <w:rFonts w:ascii="Times New Roman" w:hAnsi="Times New Roman" w:cs="Times New Roman"/>
          <w:bCs w:val="1"/>
          <w:sz w:val="28"/>
          <w:szCs w:val="28"/>
        </w:rPr>
        <w:t>.</w:t>
      </w:r>
    </w:p>
    <w:p>
      <w:pPr>
        <w:widowControl w:val="0"/>
        <w:spacing w:lineRule="auto" w:line="360" w:after="0" w:beforeAutospacing="0" w:afterAutospacing="0"/>
        <w:ind w:firstLine="709"/>
        <w:jc w:val="both"/>
        <w:rPr>
          <w:rFonts w:ascii="Times New Roman" w:hAnsi="Times New Roman" w:cs="Times New Roman"/>
          <w:bCs w:val="1"/>
          <w:sz w:val="28"/>
          <w:szCs w:val="28"/>
        </w:rPr>
      </w:pPr>
    </w:p>
    <w:p>
      <w:pPr>
        <w:widowControl w:val="0"/>
        <w:spacing w:lineRule="auto" w:line="360" w:after="0" w:beforeAutospacing="0" w:afterAutospacing="0"/>
        <w:jc w:val="center"/>
        <w:rPr>
          <w:rFonts w:ascii="Times New Roman" w:hAnsi="Times New Roman" w:cs="Times New Roman"/>
          <w:bCs w:val="1"/>
          <w:sz w:val="28"/>
          <w:szCs w:val="28"/>
        </w:rPr>
      </w:pPr>
      <w:r>
        <w:rPr>
          <w:noProof w:val="1"/>
          <w:lang w:eastAsia="ru-RU"/>
        </w:rPr>
        <w:drawing>
          <wp:inline xmlns:wp="http://schemas.openxmlformats.org/drawingml/2006/wordprocessingDrawing" distT="0" distB="0" distL="0" distR="0">
            <wp:extent cx="6012815" cy="2558415"/>
            <wp:effectExtent l="0" t="0" r="6985" b="0"/>
            <wp:docPr id="21471599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png"/>
                    <pic:cNvPicPr/>
                  </pic:nvPicPr>
                  <pic:blipFill dpi="0">
                    <a:blip xmlns:r="http://schemas.openxmlformats.org/officeDocument/2006/relationships" r:embed="Relimage9"/>
                    <a:srcRect t="5537"/>
                    <a:stretch>
                      <a:fillRect/>
                    </a:stretch>
                  </pic:blipFill>
                  <pic:spPr bwMode="auto">
                    <a:xfrm>
                      <a:off x="0" y="0"/>
                      <a:ext cx="6017662" cy="2560993"/>
                    </a:xfrm>
                    <a:prstGeom prst="rect"/>
                    <a:ln>
                      <a:noFill/>
                    </a:ln>
                  </pic:spPr>
                </pic:pic>
              </a:graphicData>
            </a:graphic>
          </wp:inline>
        </w:drawing>
      </w:r>
    </w:p>
    <w:p>
      <w:pPr>
        <w:widowControl w:val="0"/>
        <w:spacing w:lineRule="auto" w:line="360" w:after="0" w:beforeAutospacing="0" w:afterAutospacing="0"/>
        <w:ind w:firstLine="709"/>
        <w:jc w:val="center"/>
        <w:rPr>
          <w:rFonts w:ascii="Times New Roman" w:hAnsi="Times New Roman" w:cs="Times New Roman"/>
          <w:bCs w:val="1"/>
          <w:color w:val="0070C0"/>
          <w:sz w:val="28"/>
          <w:szCs w:val="28"/>
        </w:rPr>
      </w:pPr>
      <w:r>
        <w:rPr>
          <w:rFonts w:ascii="Times New Roman" w:hAnsi="Times New Roman" w:cs="Times New Roman"/>
          <w:bCs w:val="1"/>
          <w:sz w:val="28"/>
          <w:szCs w:val="28"/>
        </w:rPr>
        <w:t xml:space="preserve">Рисунок </w:t>
      </w:r>
      <w:r>
        <w:rPr>
          <w:rFonts w:ascii="Times New Roman" w:hAnsi="Times New Roman" w:cs="Times New Roman"/>
          <w:bCs w:val="1"/>
          <w:sz w:val="28"/>
          <w:szCs w:val="28"/>
          <w:highlight w:val="yellow"/>
        </w:rPr>
        <w:t>5</w:t>
      </w:r>
      <w:r>
        <w:rPr>
          <w:rFonts w:ascii="Times New Roman" w:hAnsi="Times New Roman" w:cs="Times New Roman"/>
          <w:bCs w:val="1"/>
          <w:sz w:val="28"/>
          <w:szCs w:val="28"/>
        </w:rPr>
        <w:t xml:space="preserve"> – Структура и фазовое распределение инвестиций инновационного проекта «Берег Восхода» (составлено автором) </w:t>
      </w:r>
    </w:p>
    <w:p>
      <w:pPr>
        <w:widowControl w:val="0"/>
        <w:spacing w:lineRule="auto" w:line="360" w:after="0" w:beforeAutospacing="0" w:afterAutospacing="0"/>
        <w:ind w:firstLine="709"/>
        <w:jc w:val="center"/>
        <w:rPr>
          <w:rFonts w:ascii="Times New Roman" w:hAnsi="Times New Roman" w:cs="Times New Roman"/>
          <w:bCs w:val="1"/>
          <w:sz w:val="28"/>
          <w:szCs w:val="28"/>
        </w:rPr>
      </w:pPr>
    </w:p>
    <w:p>
      <w:pPr>
        <w:widowControl w:val="0"/>
        <w:spacing w:lineRule="auto" w:line="360" w:after="0" w:beforeAutospacing="0" w:afterAutospacing="0"/>
        <w:ind w:firstLine="709"/>
        <w:jc w:val="both"/>
        <w:rPr>
          <w:rFonts w:ascii="Times New Roman" w:hAnsi="Times New Roman" w:cs="Times New Roman"/>
          <w:bCs w:val="1"/>
          <w:sz w:val="28"/>
          <w:szCs w:val="28"/>
        </w:rPr>
      </w:pPr>
      <w:r>
        <w:rPr>
          <w:rFonts w:ascii="Times New Roman" w:hAnsi="Times New Roman" w:cs="Times New Roman"/>
          <w:bCs w:val="1"/>
          <w:sz w:val="28"/>
          <w:szCs w:val="28"/>
        </w:rPr>
        <w:t xml:space="preserve">Рисунок </w:t>
      </w:r>
      <w:r>
        <w:rPr>
          <w:rFonts w:ascii="Times New Roman" w:hAnsi="Times New Roman" w:cs="Times New Roman"/>
          <w:bCs w:val="1"/>
          <w:sz w:val="28"/>
          <w:szCs w:val="28"/>
          <w:highlight w:val="yellow"/>
        </w:rPr>
        <w:t>5</w:t>
      </w:r>
      <w:r>
        <w:rPr>
          <w:rFonts w:ascii="Times New Roman" w:hAnsi="Times New Roman" w:cs="Times New Roman"/>
          <w:bCs w:val="1"/>
          <w:sz w:val="28"/>
          <w:szCs w:val="28"/>
        </w:rPr>
        <w:t xml:space="preserve"> показывает, что наибольший объем инвестиций приходится на Фазу II (2029–2034): 5,94 млрд долл., что соответствует выходу промышленного кластера на стадию масштабирования. В Фазе I доминируют государственные и многосторонние источники (формирование нормативной базы, первичная инфраструктура); в Фазах II–III нарастает доля частного капитала и суверенных фондов (таблица </w:t>
      </w:r>
      <w:r>
        <w:rPr>
          <w:rFonts w:ascii="Times New Roman" w:hAnsi="Times New Roman" w:cs="Times New Roman"/>
          <w:bCs w:val="1"/>
          <w:sz w:val="28"/>
          <w:szCs w:val="28"/>
          <w:highlight w:val="yellow"/>
        </w:rPr>
        <w:t>5</w:t>
      </w:r>
      <w:r>
        <w:rPr>
          <w:rFonts w:ascii="Times New Roman" w:hAnsi="Times New Roman" w:cs="Times New Roman"/>
          <w:bCs w:val="1"/>
          <w:sz w:val="28"/>
          <w:szCs w:val="28"/>
        </w:rPr>
        <w:t>).</w:t>
      </w:r>
    </w:p>
    <w:p>
      <w:pPr>
        <w:widowControl w:val="0"/>
        <w:spacing w:lineRule="auto" w:line="360" w:after="0" w:beforeAutospacing="0" w:afterAutospacing="0"/>
        <w:jc w:val="both"/>
        <w:rPr>
          <w:rFonts w:ascii="Times New Roman" w:hAnsi="Times New Roman" w:cs="Times New Roman"/>
          <w:bCs w:val="1"/>
          <w:sz w:val="28"/>
          <w:szCs w:val="28"/>
        </w:rPr>
      </w:pPr>
    </w:p>
    <w:p>
      <w:pPr>
        <w:widowControl w:val="0"/>
        <w:spacing w:lineRule="auto" w:line="360" w:after="0" w:beforeAutospacing="0" w:afterAutospacing="0"/>
        <w:jc w:val="both"/>
        <w:rPr>
          <w:rFonts w:ascii="Times New Roman" w:hAnsi="Times New Roman" w:cs="Times New Roman"/>
          <w:bCs w:val="1"/>
          <w:sz w:val="28"/>
          <w:szCs w:val="28"/>
        </w:rPr>
      </w:pPr>
      <w:r>
        <w:rPr>
          <w:rFonts w:ascii="Times New Roman" w:hAnsi="Times New Roman" w:cs="Times New Roman"/>
          <w:bCs w:val="1"/>
          <w:sz w:val="28"/>
          <w:szCs w:val="28"/>
        </w:rPr>
        <w:t xml:space="preserve">Таблица </w:t>
      </w:r>
      <w:r>
        <w:rPr>
          <w:rFonts w:ascii="Times New Roman" w:hAnsi="Times New Roman" w:cs="Times New Roman"/>
          <w:bCs w:val="1"/>
          <w:sz w:val="28"/>
          <w:szCs w:val="28"/>
          <w:highlight w:val="yellow"/>
        </w:rPr>
        <w:t>5</w:t>
      </w:r>
      <w:r>
        <w:rPr>
          <w:rFonts w:ascii="Times New Roman" w:hAnsi="Times New Roman" w:cs="Times New Roman"/>
          <w:bCs w:val="1"/>
          <w:sz w:val="28"/>
          <w:szCs w:val="28"/>
        </w:rPr>
        <w:t xml:space="preserve"> – Структура инвесторов и условия участия</w:t>
      </w:r>
      <w:r>
        <w:t xml:space="preserve"> </w:t>
      </w:r>
      <w:r>
        <w:rPr>
          <w:rFonts w:ascii="Times New Roman" w:hAnsi="Times New Roman" w:cs="Times New Roman"/>
          <w:sz w:val="24"/>
          <w:szCs w:val="24"/>
        </w:rPr>
        <w:t>(составлено автором)</w:t>
      </w:r>
    </w:p>
    <w:tbl>
      <w:tblPr>
        <w:tblStyle w:val="T3"/>
        <w:tblW w:w="0" w:type="auto"/>
        <w:tblLook w:val="04A0"/>
      </w:tblPr>
      <w:tblGrid>
        <w:gridCol w:w="2549"/>
        <w:gridCol w:w="1876"/>
        <w:gridCol w:w="841"/>
        <w:gridCol w:w="1956"/>
        <w:gridCol w:w="2690"/>
      </w:tblGrid>
      <w:tr>
        <w:tc>
          <w:tcPr>
            <w:tcW w:w="0" w:type="auto"/>
            <w:hideMark/>
          </w:tcPr>
          <w:p>
            <w:pPr>
              <w:jc w:val="center"/>
              <w:rPr>
                <w:rFonts w:ascii="Times New Roman" w:hAnsi="Times New Roman" w:cs="Times New Roman" w:eastAsia="Times New Roman"/>
                <w:bCs w:val="1"/>
                <w:sz w:val="24"/>
                <w:szCs w:val="24"/>
                <w:lang w:eastAsia="ru-RU"/>
              </w:rPr>
            </w:pPr>
            <w:r>
              <w:rPr>
                <w:rFonts w:ascii="Times New Roman" w:hAnsi="Times New Roman" w:cs="Times New Roman" w:eastAsia="Times New Roman"/>
                <w:bCs w:val="1"/>
                <w:sz w:val="24"/>
                <w:szCs w:val="24"/>
                <w:lang w:eastAsia="ru-RU"/>
              </w:rPr>
              <w:t>Тип инвестора</w:t>
            </w:r>
          </w:p>
        </w:tc>
        <w:tc>
          <w:tcPr>
            <w:tcW w:w="0" w:type="auto"/>
            <w:hideMark/>
          </w:tcPr>
          <w:p>
            <w:pPr>
              <w:jc w:val="center"/>
              <w:rPr>
                <w:rFonts w:ascii="Times New Roman" w:hAnsi="Times New Roman" w:cs="Times New Roman" w:eastAsia="Times New Roman"/>
                <w:bCs w:val="1"/>
                <w:sz w:val="24"/>
                <w:szCs w:val="24"/>
                <w:lang w:eastAsia="ru-RU"/>
              </w:rPr>
            </w:pPr>
            <w:r>
              <w:rPr>
                <w:rFonts w:ascii="Times New Roman" w:hAnsi="Times New Roman" w:cs="Times New Roman" w:eastAsia="Times New Roman"/>
                <w:bCs w:val="1"/>
                <w:sz w:val="24"/>
                <w:szCs w:val="24"/>
                <w:lang w:eastAsia="ru-RU"/>
              </w:rPr>
              <w:t>Объем инвестиций, млрд долл.</w:t>
            </w:r>
          </w:p>
        </w:tc>
        <w:tc>
          <w:tcPr>
            <w:tcW w:w="0" w:type="auto"/>
            <w:hideMark/>
          </w:tcPr>
          <w:p>
            <w:pPr>
              <w:jc w:val="center"/>
              <w:rPr>
                <w:rFonts w:ascii="Times New Roman" w:hAnsi="Times New Roman" w:cs="Times New Roman" w:eastAsia="Times New Roman"/>
                <w:bCs w:val="1"/>
                <w:sz w:val="24"/>
                <w:szCs w:val="24"/>
                <w:lang w:eastAsia="ru-RU"/>
              </w:rPr>
            </w:pPr>
            <w:r>
              <w:rPr>
                <w:rFonts w:ascii="Times New Roman" w:hAnsi="Times New Roman" w:cs="Times New Roman" w:eastAsia="Times New Roman"/>
                <w:bCs w:val="1"/>
                <w:sz w:val="24"/>
                <w:szCs w:val="24"/>
                <w:lang w:eastAsia="ru-RU"/>
              </w:rPr>
              <w:t>Доля, %</w:t>
            </w:r>
          </w:p>
        </w:tc>
        <w:tc>
          <w:tcPr>
            <w:tcW w:w="0" w:type="auto"/>
            <w:hideMark/>
          </w:tcPr>
          <w:p>
            <w:pPr>
              <w:jc w:val="center"/>
              <w:rPr>
                <w:rFonts w:ascii="Times New Roman" w:hAnsi="Times New Roman" w:cs="Times New Roman" w:eastAsia="Times New Roman"/>
                <w:bCs w:val="1"/>
                <w:sz w:val="24"/>
                <w:szCs w:val="24"/>
                <w:lang w:eastAsia="ru-RU"/>
              </w:rPr>
            </w:pPr>
            <w:r>
              <w:rPr>
                <w:rFonts w:ascii="Times New Roman" w:hAnsi="Times New Roman" w:cs="Times New Roman" w:eastAsia="Times New Roman"/>
                <w:bCs w:val="1"/>
                <w:sz w:val="24"/>
                <w:szCs w:val="24"/>
                <w:lang w:eastAsia="ru-RU"/>
              </w:rPr>
              <w:t>Инструмент</w:t>
            </w:r>
          </w:p>
        </w:tc>
        <w:tc>
          <w:tcPr>
            <w:tcW w:w="0" w:type="auto"/>
            <w:hideMark/>
          </w:tcPr>
          <w:p>
            <w:pPr>
              <w:jc w:val="center"/>
              <w:rPr>
                <w:rFonts w:ascii="Times New Roman" w:hAnsi="Times New Roman" w:cs="Times New Roman" w:eastAsia="Times New Roman"/>
                <w:bCs w:val="1"/>
                <w:sz w:val="24"/>
                <w:szCs w:val="24"/>
                <w:lang w:eastAsia="ru-RU"/>
              </w:rPr>
            </w:pPr>
            <w:r>
              <w:rPr>
                <w:rFonts w:ascii="Times New Roman" w:hAnsi="Times New Roman" w:cs="Times New Roman" w:eastAsia="Times New Roman"/>
                <w:bCs w:val="1"/>
                <w:sz w:val="24"/>
                <w:szCs w:val="24"/>
                <w:lang w:eastAsia="ru-RU"/>
              </w:rPr>
              <w:t>Ключевые условия</w:t>
            </w:r>
          </w:p>
        </w:tc>
      </w:tr>
      <w:tr>
        <w:tc>
          <w:tcPr>
            <w:tcW w:w="0" w:type="auto"/>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Государственный бюджет КДИ</w:t>
            </w:r>
          </w:p>
        </w:tc>
        <w:tc>
          <w:tcPr>
            <w:tcW w:w="0" w:type="auto"/>
            <w:hideMark/>
          </w:tcPr>
          <w:p>
            <w:pPr>
              <w:jc w:val="center"/>
              <w:rPr>
                <w:rFonts w:ascii="Times New Roman" w:hAnsi="Times New Roman" w:cs="Times New Roman" w:eastAsia="Times New Roman"/>
                <w:sz w:val="24"/>
                <w:szCs w:val="24"/>
                <w:lang w:eastAsia="ru-RU"/>
              </w:rPr>
            </w:pPr>
            <w:r>
              <w:rPr>
                <w:rFonts w:ascii="Times New Roman" w:hAnsi="Times New Roman" w:cs="Times New Roman" w:eastAsia="Times New Roman"/>
                <w:bCs w:val="1"/>
                <w:sz w:val="24"/>
                <w:szCs w:val="24"/>
                <w:lang w:eastAsia="ru-RU"/>
              </w:rPr>
              <w:t>2,34</w:t>
            </w:r>
          </w:p>
        </w:tc>
        <w:tc>
          <w:tcPr>
            <w:tcW w:w="0" w:type="auto"/>
            <w:hideMark/>
          </w:tcPr>
          <w:p>
            <w:pPr>
              <w:jc w:val="cente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15</w:t>
            </w:r>
          </w:p>
        </w:tc>
        <w:tc>
          <w:tcPr>
            <w:tcW w:w="0" w:type="auto"/>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Прямые инвестиции</w:t>
            </w:r>
          </w:p>
        </w:tc>
        <w:tc>
          <w:tcPr>
            <w:tcW w:w="0" w:type="auto"/>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Государственные гарантии</w:t>
            </w:r>
          </w:p>
        </w:tc>
      </w:tr>
      <w:tr>
        <w:tc>
          <w:tcPr>
            <w:tcW w:w="0" w:type="auto"/>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АфБР / МВФ / ВБ</w:t>
            </w:r>
          </w:p>
        </w:tc>
        <w:tc>
          <w:tcPr>
            <w:tcW w:w="0" w:type="auto"/>
            <w:hideMark/>
          </w:tcPr>
          <w:p>
            <w:pPr>
              <w:jc w:val="center"/>
              <w:rPr>
                <w:rFonts w:ascii="Times New Roman" w:hAnsi="Times New Roman" w:cs="Times New Roman" w:eastAsia="Times New Roman"/>
                <w:sz w:val="24"/>
                <w:szCs w:val="24"/>
                <w:lang w:eastAsia="ru-RU"/>
              </w:rPr>
            </w:pPr>
            <w:r>
              <w:rPr>
                <w:rFonts w:ascii="Times New Roman" w:hAnsi="Times New Roman" w:cs="Times New Roman" w:eastAsia="Times New Roman"/>
                <w:bCs w:val="1"/>
                <w:sz w:val="24"/>
                <w:szCs w:val="24"/>
                <w:lang w:eastAsia="ru-RU"/>
              </w:rPr>
              <w:t>2,96</w:t>
            </w:r>
          </w:p>
        </w:tc>
        <w:tc>
          <w:tcPr>
            <w:tcW w:w="0" w:type="auto"/>
            <w:hideMark/>
          </w:tcPr>
          <w:p>
            <w:pPr>
              <w:jc w:val="cente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19</w:t>
            </w:r>
          </w:p>
        </w:tc>
        <w:tc>
          <w:tcPr>
            <w:tcW w:w="0" w:type="auto"/>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Льготные кредиты</w:t>
            </w:r>
          </w:p>
        </w:tc>
        <w:tc>
          <w:tcPr>
            <w:tcW w:w="0" w:type="auto"/>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ESG-стандарты</w:t>
            </w:r>
          </w:p>
        </w:tc>
      </w:tr>
      <w:tr>
        <w:tc>
          <w:tcPr>
            <w:tcW w:w="0" w:type="auto"/>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Частные СП (50/50)</w:t>
            </w:r>
          </w:p>
        </w:tc>
        <w:tc>
          <w:tcPr>
            <w:tcW w:w="0" w:type="auto"/>
            <w:hideMark/>
          </w:tcPr>
          <w:p>
            <w:pPr>
              <w:jc w:val="center"/>
              <w:rPr>
                <w:rFonts w:ascii="Times New Roman" w:hAnsi="Times New Roman" w:cs="Times New Roman" w:eastAsia="Times New Roman"/>
                <w:sz w:val="24"/>
                <w:szCs w:val="24"/>
                <w:lang w:eastAsia="ru-RU"/>
              </w:rPr>
            </w:pPr>
            <w:r>
              <w:rPr>
                <w:rFonts w:ascii="Times New Roman" w:hAnsi="Times New Roman" w:cs="Times New Roman" w:eastAsia="Times New Roman"/>
                <w:bCs w:val="1"/>
                <w:sz w:val="24"/>
                <w:szCs w:val="24"/>
                <w:lang w:eastAsia="ru-RU"/>
              </w:rPr>
              <w:t>4,21</w:t>
            </w:r>
          </w:p>
        </w:tc>
        <w:tc>
          <w:tcPr>
            <w:tcW w:w="0" w:type="auto"/>
            <w:hideMark/>
          </w:tcPr>
          <w:p>
            <w:pPr>
              <w:jc w:val="cente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27</w:t>
            </w:r>
          </w:p>
        </w:tc>
        <w:tc>
          <w:tcPr>
            <w:tcW w:w="0" w:type="auto"/>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Акционерный капитал</w:t>
            </w:r>
          </w:p>
        </w:tc>
        <w:tc>
          <w:tcPr>
            <w:tcW w:w="0" w:type="auto"/>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Налоговые стимулы, режим ГЧП</w:t>
            </w:r>
          </w:p>
        </w:tc>
      </w:tr>
      <w:tr>
        <w:tc>
          <w:tcPr>
            <w:tcW w:w="0" w:type="auto"/>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ESG / Green Bonds</w:t>
            </w:r>
          </w:p>
        </w:tc>
        <w:tc>
          <w:tcPr>
            <w:tcW w:w="0" w:type="auto"/>
            <w:hideMark/>
          </w:tcPr>
          <w:p>
            <w:pPr>
              <w:jc w:val="center"/>
              <w:rPr>
                <w:rFonts w:ascii="Times New Roman" w:hAnsi="Times New Roman" w:cs="Times New Roman" w:eastAsia="Times New Roman"/>
                <w:sz w:val="24"/>
                <w:szCs w:val="24"/>
                <w:lang w:eastAsia="ru-RU"/>
              </w:rPr>
            </w:pPr>
            <w:r>
              <w:rPr>
                <w:rFonts w:ascii="Times New Roman" w:hAnsi="Times New Roman" w:cs="Times New Roman" w:eastAsia="Times New Roman"/>
                <w:bCs w:val="1"/>
                <w:sz w:val="24"/>
                <w:szCs w:val="24"/>
                <w:lang w:eastAsia="ru-RU"/>
              </w:rPr>
              <w:t>1,72</w:t>
            </w:r>
          </w:p>
        </w:tc>
        <w:tc>
          <w:tcPr>
            <w:tcW w:w="0" w:type="auto"/>
            <w:hideMark/>
          </w:tcPr>
          <w:p>
            <w:pPr>
              <w:jc w:val="cente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11</w:t>
            </w:r>
          </w:p>
        </w:tc>
        <w:tc>
          <w:tcPr>
            <w:tcW w:w="0" w:type="auto"/>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Облигации</w:t>
            </w:r>
          </w:p>
        </w:tc>
        <w:tc>
          <w:tcPr>
            <w:tcW w:w="0" w:type="auto"/>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EUDR, SDG-соответствие</w:t>
            </w:r>
          </w:p>
        </w:tc>
      </w:tr>
      <w:tr>
        <w:tc>
          <w:tcPr>
            <w:tcW w:w="0" w:type="auto"/>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Суверенные фонды</w:t>
            </w:r>
          </w:p>
        </w:tc>
        <w:tc>
          <w:tcPr>
            <w:tcW w:w="0" w:type="auto"/>
            <w:hideMark/>
          </w:tcPr>
          <w:p>
            <w:pPr>
              <w:jc w:val="center"/>
              <w:rPr>
                <w:rFonts w:ascii="Times New Roman" w:hAnsi="Times New Roman" w:cs="Times New Roman" w:eastAsia="Times New Roman"/>
                <w:sz w:val="24"/>
                <w:szCs w:val="24"/>
                <w:lang w:eastAsia="ru-RU"/>
              </w:rPr>
            </w:pPr>
            <w:r>
              <w:rPr>
                <w:rFonts w:ascii="Times New Roman" w:hAnsi="Times New Roman" w:cs="Times New Roman" w:eastAsia="Times New Roman"/>
                <w:bCs w:val="1"/>
                <w:sz w:val="24"/>
                <w:szCs w:val="24"/>
                <w:lang w:eastAsia="ru-RU"/>
              </w:rPr>
              <w:t>1,40</w:t>
            </w:r>
          </w:p>
        </w:tc>
        <w:tc>
          <w:tcPr>
            <w:tcW w:w="0" w:type="auto"/>
            <w:hideMark/>
          </w:tcPr>
          <w:p>
            <w:pPr>
              <w:jc w:val="cente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9</w:t>
            </w:r>
          </w:p>
        </w:tc>
        <w:tc>
          <w:tcPr>
            <w:tcW w:w="0" w:type="auto"/>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Долгосрочные инвестиции</w:t>
            </w:r>
          </w:p>
        </w:tc>
        <w:tc>
          <w:tcPr>
            <w:tcW w:w="0" w:type="auto"/>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Репатриация прибыли, стабильный режим</w:t>
            </w:r>
          </w:p>
        </w:tc>
      </w:tr>
      <w:tr>
        <w:tc>
          <w:tcPr>
            <w:tcW w:w="0" w:type="auto"/>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Китайские индустриальные фонды</w:t>
            </w:r>
          </w:p>
        </w:tc>
        <w:tc>
          <w:tcPr>
            <w:tcW w:w="0" w:type="auto"/>
            <w:hideMark/>
          </w:tcPr>
          <w:p>
            <w:pPr>
              <w:jc w:val="center"/>
              <w:rPr>
                <w:rFonts w:ascii="Times New Roman" w:hAnsi="Times New Roman" w:cs="Times New Roman" w:eastAsia="Times New Roman"/>
                <w:sz w:val="24"/>
                <w:szCs w:val="24"/>
                <w:lang w:eastAsia="ru-RU"/>
              </w:rPr>
            </w:pPr>
            <w:r>
              <w:rPr>
                <w:rFonts w:ascii="Times New Roman" w:hAnsi="Times New Roman" w:cs="Times New Roman" w:eastAsia="Times New Roman"/>
                <w:bCs w:val="1"/>
                <w:sz w:val="24"/>
                <w:szCs w:val="24"/>
                <w:lang w:eastAsia="ru-RU"/>
              </w:rPr>
              <w:t>1,72</w:t>
            </w:r>
          </w:p>
        </w:tc>
        <w:tc>
          <w:tcPr>
            <w:tcW w:w="0" w:type="auto"/>
            <w:hideMark/>
          </w:tcPr>
          <w:p>
            <w:pPr>
              <w:jc w:val="cente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11</w:t>
            </w:r>
          </w:p>
        </w:tc>
        <w:tc>
          <w:tcPr>
            <w:tcW w:w="0" w:type="auto"/>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СЭЗ-концессии</w:t>
            </w:r>
          </w:p>
        </w:tc>
        <w:tc>
          <w:tcPr>
            <w:tcW w:w="0" w:type="auto"/>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Доступ к порту и индустриальной инфраструктуре</w:t>
            </w:r>
          </w:p>
        </w:tc>
      </w:tr>
      <w:tr>
        <w:tc>
          <w:tcPr>
            <w:tcW w:w="0" w:type="auto"/>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Цифровые инфраструктурные фонды</w:t>
            </w:r>
          </w:p>
        </w:tc>
        <w:tc>
          <w:tcPr>
            <w:tcW w:w="0" w:type="auto"/>
            <w:hideMark/>
          </w:tcPr>
          <w:p>
            <w:pPr>
              <w:jc w:val="center"/>
              <w:rPr>
                <w:rFonts w:ascii="Times New Roman" w:hAnsi="Times New Roman" w:cs="Times New Roman" w:eastAsia="Times New Roman"/>
                <w:sz w:val="24"/>
                <w:szCs w:val="24"/>
                <w:lang w:eastAsia="ru-RU"/>
              </w:rPr>
            </w:pPr>
            <w:r>
              <w:rPr>
                <w:rFonts w:ascii="Times New Roman" w:hAnsi="Times New Roman" w:cs="Times New Roman" w:eastAsia="Times New Roman"/>
                <w:bCs w:val="1"/>
                <w:sz w:val="24"/>
                <w:szCs w:val="24"/>
                <w:lang w:eastAsia="ru-RU"/>
              </w:rPr>
              <w:t>1,25</w:t>
            </w:r>
          </w:p>
        </w:tc>
        <w:tc>
          <w:tcPr>
            <w:tcW w:w="0" w:type="auto"/>
            <w:hideMark/>
          </w:tcPr>
          <w:p>
            <w:pPr>
              <w:jc w:val="cente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8</w:t>
            </w:r>
          </w:p>
        </w:tc>
        <w:tc>
          <w:tcPr>
            <w:tcW w:w="0" w:type="auto"/>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Доля в платформе</w:t>
            </w:r>
          </w:p>
        </w:tc>
        <w:tc>
          <w:tcPr>
            <w:tcW w:w="0" w:type="auto"/>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Open API, данные, цифровые сервисы</w:t>
            </w:r>
          </w:p>
        </w:tc>
      </w:tr>
      <w:tr>
        <w:tc>
          <w:tcPr>
            <w:tcW w:w="0" w:type="auto"/>
            <w:hideMark/>
          </w:tcPr>
          <w:p>
            <w:pPr>
              <w:rPr>
                <w:rFonts w:ascii="Times New Roman" w:hAnsi="Times New Roman" w:cs="Times New Roman" w:eastAsia="Times New Roman"/>
                <w:sz w:val="24"/>
                <w:szCs w:val="24"/>
                <w:lang w:eastAsia="ru-RU"/>
              </w:rPr>
            </w:pPr>
            <w:r>
              <w:rPr>
                <w:rFonts w:ascii="Times New Roman" w:hAnsi="Times New Roman" w:cs="Times New Roman" w:eastAsia="Times New Roman"/>
                <w:bCs w:val="1"/>
                <w:sz w:val="24"/>
                <w:szCs w:val="24"/>
                <w:lang w:eastAsia="ru-RU"/>
              </w:rPr>
              <w:t>ИТОГО</w:t>
            </w:r>
          </w:p>
        </w:tc>
        <w:tc>
          <w:tcPr>
            <w:tcW w:w="0" w:type="auto"/>
            <w:hideMark/>
          </w:tcPr>
          <w:p>
            <w:pPr>
              <w:jc w:val="center"/>
              <w:rPr>
                <w:rFonts w:ascii="Times New Roman" w:hAnsi="Times New Roman" w:cs="Times New Roman" w:eastAsia="Times New Roman"/>
                <w:sz w:val="24"/>
                <w:szCs w:val="24"/>
                <w:lang w:eastAsia="ru-RU"/>
              </w:rPr>
            </w:pPr>
            <w:r>
              <w:rPr>
                <w:rFonts w:ascii="Times New Roman" w:hAnsi="Times New Roman" w:cs="Times New Roman" w:eastAsia="Times New Roman"/>
                <w:bCs w:val="1"/>
                <w:sz w:val="24"/>
                <w:szCs w:val="24"/>
                <w:lang w:eastAsia="ru-RU"/>
              </w:rPr>
              <w:t>15,60</w:t>
            </w:r>
          </w:p>
        </w:tc>
        <w:tc>
          <w:tcPr>
            <w:tcW w:w="0" w:type="auto"/>
            <w:hideMark/>
          </w:tcPr>
          <w:p>
            <w:pPr>
              <w:jc w:val="center"/>
              <w:rPr>
                <w:rFonts w:ascii="Times New Roman" w:hAnsi="Times New Roman" w:cs="Times New Roman" w:eastAsia="Times New Roman"/>
                <w:sz w:val="24"/>
                <w:szCs w:val="24"/>
                <w:lang w:eastAsia="ru-RU"/>
              </w:rPr>
            </w:pPr>
            <w:r>
              <w:rPr>
                <w:rFonts w:ascii="Times New Roman" w:hAnsi="Times New Roman" w:cs="Times New Roman" w:eastAsia="Times New Roman"/>
                <w:bCs w:val="1"/>
                <w:sz w:val="24"/>
                <w:szCs w:val="24"/>
                <w:lang w:eastAsia="ru-RU"/>
              </w:rPr>
              <w:t>100</w:t>
            </w:r>
          </w:p>
        </w:tc>
        <w:tc>
          <w:tcPr>
            <w:tcW w:w="0" w:type="auto"/>
            <w:hideMark/>
          </w:tcPr>
          <w:p>
            <w:pPr>
              <w:jc w:val="cente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w:t>
            </w:r>
          </w:p>
        </w:tc>
        <w:tc>
          <w:tcPr>
            <w:tcW w:w="0" w:type="auto"/>
            <w:hideMark/>
          </w:tcPr>
          <w:p>
            <w:pPr>
              <w:jc w:val="center"/>
              <w:rPr>
                <w:rFonts w:ascii="Times New Roman" w:hAnsi="Times New Roman" w:cs="Times New Roman" w:eastAsia="Times New Roman"/>
                <w:sz w:val="20"/>
                <w:szCs w:val="20"/>
                <w:lang w:eastAsia="ru-RU"/>
              </w:rPr>
            </w:pPr>
            <w:r>
              <w:rPr>
                <w:rFonts w:ascii="Times New Roman" w:hAnsi="Times New Roman" w:cs="Times New Roman" w:eastAsia="Times New Roman"/>
                <w:sz w:val="20"/>
                <w:szCs w:val="20"/>
                <w:lang w:eastAsia="ru-RU"/>
              </w:rPr>
              <w:t>-</w:t>
            </w:r>
          </w:p>
        </w:tc>
      </w:tr>
    </w:tbl>
    <w:p>
      <w:pPr>
        <w:widowControl w:val="0"/>
        <w:spacing w:lineRule="auto" w:line="360" w:after="0" w:beforeAutospacing="0" w:afterAutospacing="0"/>
        <w:jc w:val="both"/>
        <w:rPr>
          <w:rFonts w:ascii="Times New Roman" w:hAnsi="Times New Roman" w:cs="Times New Roman"/>
          <w:bCs w:val="1"/>
          <w:sz w:val="28"/>
          <w:szCs w:val="28"/>
        </w:rPr>
      </w:pPr>
    </w:p>
    <w:p>
      <w:pPr>
        <w:widowControl w:val="0"/>
        <w:spacing w:lineRule="auto" w:line="360" w:after="0" w:beforeAutospacing="0" w:afterAutospacing="0"/>
        <w:ind w:firstLine="709"/>
        <w:jc w:val="both"/>
        <w:rPr>
          <w:rFonts w:ascii="Times New Roman" w:hAnsi="Times New Roman" w:cs="Times New Roman"/>
          <w:bCs w:val="1"/>
          <w:sz w:val="28"/>
          <w:szCs w:val="28"/>
        </w:rPr>
      </w:pPr>
      <w:r>
        <w:rPr>
          <w:rFonts w:ascii="Times New Roman" w:hAnsi="Times New Roman" w:cs="Times New Roman"/>
          <w:bCs w:val="1"/>
          <w:sz w:val="28"/>
          <w:szCs w:val="28"/>
        </w:rPr>
        <w:t>Механизм совместных предприятий (СП 50/50) является ключевым инструментом привлечения стратегического капитала. Его принципиальное преимущество – распределение управленческих и финансовых рисков между государством и частным партнером при сохранении контроля над стратегически значимыми активами. Для иностранного инвестора СП предоставляет доступ к уникальным ресурсным активам (какао, порт, земля) и рынку 250 млн потребителей UEMOA без обременения полным страновым риском. Для государства – гарантию трансфера технологий и локализации квалифицированных рабочих мест</w:t>
      </w:r>
      <w:r>
        <w:rPr>
          <w:rStyle w:val="C42"/>
          <w:rFonts w:ascii="Times New Roman" w:hAnsi="Times New Roman" w:cs="Times New Roman"/>
          <w:bCs w:val="1"/>
          <w:sz w:val="28"/>
          <w:szCs w:val="28"/>
        </w:rPr>
        <w:footnoteReference w:id="119"/>
      </w:r>
      <w:r>
        <w:rPr>
          <w:rFonts w:ascii="Times New Roman" w:hAnsi="Times New Roman" w:cs="Times New Roman"/>
          <w:bCs w:val="1"/>
          <w:sz w:val="28"/>
          <w:szCs w:val="28"/>
        </w:rPr>
        <w:t xml:space="preserve"> [</w:t>
      </w:r>
      <w:r>
        <w:rPr>
          <w:rFonts w:ascii="Times New Roman" w:hAnsi="Times New Roman" w:cs="Times New Roman"/>
          <w:bCs w:val="1"/>
          <w:sz w:val="28"/>
          <w:szCs w:val="28"/>
          <w:highlight w:val="yellow"/>
        </w:rPr>
        <w:t>5; 11</w:t>
      </w:r>
      <w:r>
        <w:rPr>
          <w:rFonts w:ascii="Times New Roman" w:hAnsi="Times New Roman" w:cs="Times New Roman"/>
          <w:bCs w:val="1"/>
          <w:sz w:val="28"/>
          <w:szCs w:val="28"/>
        </w:rPr>
        <w:t>].</w:t>
      </w:r>
    </w:p>
    <w:p>
      <w:pPr>
        <w:widowControl w:val="0"/>
        <w:spacing w:lineRule="auto" w:line="360" w:after="0" w:beforeAutospacing="0" w:afterAutospacing="0"/>
        <w:ind w:firstLine="709"/>
        <w:jc w:val="both"/>
        <w:rPr>
          <w:rFonts w:ascii="Times New Roman" w:hAnsi="Times New Roman" w:cs="Times New Roman"/>
          <w:bCs w:val="1"/>
          <w:sz w:val="28"/>
          <w:szCs w:val="28"/>
        </w:rPr>
      </w:pPr>
      <w:r>
        <w:rPr>
          <w:rFonts w:ascii="Times New Roman" w:hAnsi="Times New Roman" w:cs="Times New Roman"/>
          <w:bCs w:val="1"/>
          <w:sz w:val="28"/>
          <w:szCs w:val="28"/>
        </w:rPr>
        <w:t>Пакет стимулов для инвесторов включает: налоговые каникулы на 10–15 лет (льгота по КПН); нулевые ввозные пошлины на производственное оборудование; цифровую регуляторную «песочницу» для FinTech-проектов; гарантию свободной репатриации прибыли; участие государства в строительстве магистральной инфраструктуры (дороги, энергетика, вода); страховое покрытие политических рисков через механизм MIGA (Всемирный банк)</w:t>
      </w:r>
      <w:r>
        <w:rPr>
          <w:rStyle w:val="C42"/>
          <w:rFonts w:ascii="Times New Roman" w:hAnsi="Times New Roman" w:cs="Times New Roman"/>
          <w:bCs w:val="1"/>
          <w:sz w:val="28"/>
          <w:szCs w:val="28"/>
        </w:rPr>
        <w:footnoteReference w:id="120"/>
      </w:r>
      <w:r>
        <w:rPr>
          <w:rFonts w:ascii="Times New Roman" w:hAnsi="Times New Roman" w:cs="Times New Roman"/>
          <w:bCs w:val="1"/>
          <w:sz w:val="28"/>
          <w:szCs w:val="28"/>
        </w:rPr>
        <w:t>.</w:t>
      </w:r>
    </w:p>
    <w:p>
      <w:pPr>
        <w:widowControl w:val="0"/>
        <w:spacing w:lineRule="auto" w:line="360" w:after="0" w:beforeAutospacing="0" w:afterAutospacing="0"/>
        <w:ind w:firstLine="709"/>
        <w:jc w:val="both"/>
        <w:rPr>
          <w:rFonts w:ascii="Times New Roman" w:hAnsi="Times New Roman" w:cs="Times New Roman"/>
          <w:bCs w:val="1"/>
          <w:sz w:val="28"/>
          <w:szCs w:val="28"/>
        </w:rPr>
      </w:pPr>
      <w:r>
        <w:rPr>
          <w:rFonts w:ascii="Times New Roman" w:hAnsi="Times New Roman" w:cs="Times New Roman"/>
          <w:bCs w:val="1"/>
          <w:sz w:val="28"/>
          <w:szCs w:val="28"/>
        </w:rPr>
        <w:t xml:space="preserve">Реализация масштабной инвестиционной инициативы в развивающейся экономике сопряжена с комплексом рисков, которые необходимо идентифицировать и встроить механизмы их снижения непосредственно в архитектуру проекта. Авторская матрица рисков выделяет шесть ключевых групп угроз согласно таблице </w:t>
      </w:r>
      <w:r>
        <w:rPr>
          <w:rFonts w:ascii="Times New Roman" w:hAnsi="Times New Roman" w:cs="Times New Roman"/>
          <w:bCs w:val="1"/>
          <w:sz w:val="28"/>
          <w:szCs w:val="28"/>
          <w:highlight w:val="yellow"/>
        </w:rPr>
        <w:t>6</w:t>
      </w:r>
      <w:r>
        <w:rPr>
          <w:rFonts w:ascii="Times New Roman" w:hAnsi="Times New Roman" w:cs="Times New Roman"/>
          <w:bCs w:val="1"/>
          <w:sz w:val="28"/>
          <w:szCs w:val="28"/>
        </w:rPr>
        <w:t>.</w:t>
      </w:r>
    </w:p>
    <w:p>
      <w:pPr>
        <w:widowControl w:val="0"/>
        <w:spacing w:lineRule="auto" w:line="360" w:after="0" w:beforeAutospacing="0" w:afterAutospacing="0"/>
        <w:jc w:val="both"/>
        <w:rPr>
          <w:rFonts w:ascii="Times New Roman" w:hAnsi="Times New Roman" w:cs="Times New Roman"/>
          <w:bCs w:val="1"/>
          <w:sz w:val="28"/>
          <w:szCs w:val="28"/>
        </w:rPr>
      </w:pPr>
    </w:p>
    <w:p>
      <w:pPr>
        <w:widowControl w:val="0"/>
        <w:spacing w:lineRule="auto" w:line="360" w:after="0" w:beforeAutospacing="0" w:afterAutospacing="0"/>
        <w:jc w:val="both"/>
        <w:rPr>
          <w:rFonts w:ascii="Times New Roman" w:hAnsi="Times New Roman" w:cs="Times New Roman"/>
          <w:bCs w:val="1"/>
          <w:sz w:val="28"/>
          <w:szCs w:val="28"/>
        </w:rPr>
      </w:pPr>
      <w:r>
        <w:rPr>
          <w:rFonts w:ascii="Times New Roman" w:hAnsi="Times New Roman" w:cs="Times New Roman"/>
          <w:bCs w:val="1"/>
          <w:sz w:val="28"/>
          <w:szCs w:val="28"/>
        </w:rPr>
        <w:t xml:space="preserve">Таблица </w:t>
      </w:r>
      <w:r>
        <w:rPr>
          <w:rFonts w:ascii="Times New Roman" w:hAnsi="Times New Roman" w:cs="Times New Roman"/>
          <w:bCs w:val="1"/>
          <w:sz w:val="28"/>
          <w:szCs w:val="28"/>
          <w:highlight w:val="yellow"/>
        </w:rPr>
        <w:t>6</w:t>
      </w:r>
      <w:r>
        <w:rPr>
          <w:rFonts w:ascii="Times New Roman" w:hAnsi="Times New Roman" w:cs="Times New Roman"/>
          <w:bCs w:val="1"/>
          <w:sz w:val="28"/>
          <w:szCs w:val="28"/>
        </w:rPr>
        <w:t xml:space="preserve"> – Матрица стратегических рисков инновационного проекта «Берег Восхода» (составлено автором)</w:t>
      </w:r>
    </w:p>
    <w:tbl>
      <w:tblPr>
        <w:tblStyle w:val="T3"/>
        <w:tblW w:w="0" w:type="auto"/>
        <w:tblLook w:val="04A0"/>
      </w:tblPr>
      <w:tblGrid>
        <w:gridCol w:w="2396"/>
        <w:gridCol w:w="1508"/>
        <w:gridCol w:w="1198"/>
        <w:gridCol w:w="1198"/>
        <w:gridCol w:w="3594"/>
      </w:tblGrid>
      <w:tr>
        <w:trPr>
          <w:trHeight w:hRule="atLeast" w:val="220"/>
        </w:trPr>
        <w:tc>
          <w:tcPr>
            <w:tcW w:w="2396" w:type="dxa"/>
          </w:tcPr>
          <w:p>
            <w:pPr>
              <w:jc w:val="center"/>
              <w:rPr>
                <w:sz w:val="24"/>
                <w:szCs w:val="24"/>
              </w:rPr>
            </w:pPr>
            <w:r>
              <w:rPr>
                <w:rFonts w:ascii="Times New Roman" w:hAnsi="Times New Roman"/>
                <w:sz w:val="24"/>
                <w:szCs w:val="24"/>
              </w:rPr>
              <w:t>Группа риска</w:t>
            </w:r>
          </w:p>
        </w:tc>
        <w:tc>
          <w:tcPr>
            <w:tcW w:w="1497" w:type="dxa"/>
          </w:tcPr>
          <w:p>
            <w:pPr>
              <w:jc w:val="center"/>
              <w:rPr>
                <w:sz w:val="24"/>
                <w:szCs w:val="24"/>
              </w:rPr>
            </w:pPr>
            <w:r>
              <w:rPr>
                <w:rFonts w:ascii="Times New Roman" w:hAnsi="Times New Roman"/>
                <w:sz w:val="24"/>
                <w:szCs w:val="24"/>
              </w:rPr>
              <w:t>Вероятность</w:t>
            </w:r>
          </w:p>
        </w:tc>
        <w:tc>
          <w:tcPr>
            <w:tcW w:w="1198" w:type="dxa"/>
          </w:tcPr>
          <w:p>
            <w:pPr>
              <w:jc w:val="center"/>
              <w:rPr>
                <w:sz w:val="24"/>
                <w:szCs w:val="24"/>
              </w:rPr>
            </w:pPr>
            <w:r>
              <w:rPr>
                <w:rFonts w:ascii="Times New Roman" w:hAnsi="Times New Roman"/>
                <w:sz w:val="24"/>
                <w:szCs w:val="24"/>
              </w:rPr>
              <w:t>Влияние</w:t>
            </w:r>
          </w:p>
        </w:tc>
        <w:tc>
          <w:tcPr>
            <w:tcW w:w="1198" w:type="dxa"/>
          </w:tcPr>
          <w:p>
            <w:pPr>
              <w:jc w:val="center"/>
              <w:rPr>
                <w:sz w:val="24"/>
                <w:szCs w:val="24"/>
              </w:rPr>
            </w:pPr>
            <w:r>
              <w:rPr>
                <w:rFonts w:ascii="Times New Roman" w:hAnsi="Times New Roman"/>
                <w:sz w:val="24"/>
                <w:szCs w:val="24"/>
              </w:rPr>
              <w:t>Уровень</w:t>
            </w:r>
          </w:p>
        </w:tc>
        <w:tc>
          <w:tcPr>
            <w:tcW w:w="3594" w:type="dxa"/>
          </w:tcPr>
          <w:p>
            <w:pPr>
              <w:jc w:val="center"/>
              <w:rPr>
                <w:sz w:val="24"/>
                <w:szCs w:val="24"/>
              </w:rPr>
            </w:pPr>
            <w:r>
              <w:rPr>
                <w:rFonts w:ascii="Times New Roman" w:hAnsi="Times New Roman"/>
                <w:sz w:val="24"/>
                <w:szCs w:val="24"/>
              </w:rPr>
              <w:t>Механизм снижения</w:t>
            </w:r>
          </w:p>
        </w:tc>
      </w:tr>
      <w:tr>
        <w:trPr>
          <w:trHeight w:hRule="atLeast" w:val="414"/>
        </w:trPr>
        <w:tc>
          <w:tcPr>
            <w:tcW w:w="2396" w:type="dxa"/>
          </w:tcPr>
          <w:p>
            <w:pPr>
              <w:rPr>
                <w:sz w:val="24"/>
                <w:szCs w:val="24"/>
              </w:rPr>
            </w:pPr>
            <w:r>
              <w:rPr>
                <w:rFonts w:ascii="Times New Roman" w:hAnsi="Times New Roman"/>
                <w:sz w:val="24"/>
                <w:szCs w:val="24"/>
              </w:rPr>
              <w:t>Волатильность цен на сырье (какао)</w:t>
            </w:r>
          </w:p>
        </w:tc>
        <w:tc>
          <w:tcPr>
            <w:tcW w:w="1497" w:type="dxa"/>
          </w:tcPr>
          <w:p>
            <w:pPr>
              <w:jc w:val="center"/>
              <w:rPr>
                <w:sz w:val="24"/>
                <w:szCs w:val="24"/>
              </w:rPr>
            </w:pPr>
            <w:r>
              <w:rPr>
                <w:rFonts w:ascii="Times New Roman" w:hAnsi="Times New Roman"/>
                <w:sz w:val="24"/>
                <w:szCs w:val="24"/>
              </w:rPr>
              <w:t>Высокая</w:t>
            </w:r>
          </w:p>
        </w:tc>
        <w:tc>
          <w:tcPr>
            <w:tcW w:w="1198" w:type="dxa"/>
          </w:tcPr>
          <w:p>
            <w:pPr>
              <w:jc w:val="center"/>
              <w:rPr>
                <w:sz w:val="24"/>
                <w:szCs w:val="24"/>
              </w:rPr>
            </w:pPr>
            <w:r>
              <w:rPr>
                <w:rFonts w:ascii="Times New Roman" w:hAnsi="Times New Roman"/>
                <w:sz w:val="24"/>
                <w:szCs w:val="24"/>
              </w:rPr>
              <w:t>Среднее</w:t>
            </w:r>
          </w:p>
        </w:tc>
        <w:tc>
          <w:tcPr>
            <w:tcW w:w="1198" w:type="dxa"/>
          </w:tcPr>
          <w:p>
            <w:pPr>
              <w:jc w:val="center"/>
              <w:rPr>
                <w:sz w:val="24"/>
                <w:szCs w:val="24"/>
              </w:rPr>
            </w:pPr>
            <w:r>
              <w:rPr>
                <w:rFonts w:ascii="Times New Roman" w:hAnsi="Times New Roman"/>
                <w:sz w:val="24"/>
                <w:szCs w:val="24"/>
              </w:rPr>
              <w:t xml:space="preserve">Высокий </w:t>
            </w:r>
          </w:p>
        </w:tc>
        <w:tc>
          <w:tcPr>
            <w:tcW w:w="3594" w:type="dxa"/>
          </w:tcPr>
          <w:p>
            <w:pPr>
              <w:rPr>
                <w:sz w:val="24"/>
                <w:szCs w:val="24"/>
              </w:rPr>
            </w:pPr>
            <w:r>
              <w:rPr>
                <w:rFonts w:ascii="Times New Roman" w:hAnsi="Times New Roman"/>
                <w:sz w:val="24"/>
                <w:szCs w:val="24"/>
              </w:rPr>
              <w:t>Диверсификация кластеров; хеджирование через цифровые контракты платформы</w:t>
            </w:r>
          </w:p>
        </w:tc>
      </w:tr>
      <w:tr>
        <w:trPr>
          <w:trHeight w:hRule="atLeast" w:val="411"/>
        </w:trPr>
        <w:tc>
          <w:tcPr>
            <w:tcW w:w="2396" w:type="dxa"/>
          </w:tcPr>
          <w:p>
            <w:pPr>
              <w:rPr>
                <w:sz w:val="24"/>
                <w:szCs w:val="24"/>
              </w:rPr>
            </w:pPr>
            <w:r>
              <w:rPr>
                <w:rFonts w:ascii="Times New Roman" w:hAnsi="Times New Roman"/>
                <w:sz w:val="24"/>
                <w:szCs w:val="24"/>
              </w:rPr>
              <w:t>Долговая нагрузка на бюджет</w:t>
            </w:r>
          </w:p>
        </w:tc>
        <w:tc>
          <w:tcPr>
            <w:tcW w:w="1497" w:type="dxa"/>
          </w:tcPr>
          <w:p>
            <w:pPr>
              <w:jc w:val="center"/>
              <w:rPr>
                <w:sz w:val="24"/>
                <w:szCs w:val="24"/>
              </w:rPr>
            </w:pPr>
            <w:r>
              <w:rPr>
                <w:rFonts w:ascii="Times New Roman" w:hAnsi="Times New Roman"/>
                <w:sz w:val="24"/>
                <w:szCs w:val="24"/>
              </w:rPr>
              <w:t>Средняя</w:t>
            </w:r>
          </w:p>
        </w:tc>
        <w:tc>
          <w:tcPr>
            <w:tcW w:w="1198" w:type="dxa"/>
          </w:tcPr>
          <w:p>
            <w:pPr>
              <w:jc w:val="center"/>
              <w:rPr>
                <w:sz w:val="24"/>
                <w:szCs w:val="24"/>
              </w:rPr>
            </w:pPr>
            <w:r>
              <w:rPr>
                <w:rFonts w:ascii="Times New Roman" w:hAnsi="Times New Roman"/>
                <w:sz w:val="24"/>
                <w:szCs w:val="24"/>
              </w:rPr>
              <w:t>Высокое</w:t>
            </w:r>
          </w:p>
        </w:tc>
        <w:tc>
          <w:tcPr>
            <w:tcW w:w="1198" w:type="dxa"/>
          </w:tcPr>
          <w:p>
            <w:pPr>
              <w:jc w:val="center"/>
              <w:rPr>
                <w:sz w:val="24"/>
                <w:szCs w:val="24"/>
              </w:rPr>
            </w:pPr>
            <w:r>
              <w:rPr>
                <w:rFonts w:ascii="Times New Roman" w:hAnsi="Times New Roman"/>
                <w:sz w:val="24"/>
                <w:szCs w:val="24"/>
              </w:rPr>
              <w:t xml:space="preserve">Высокий </w:t>
            </w:r>
          </w:p>
        </w:tc>
        <w:tc>
          <w:tcPr>
            <w:tcW w:w="3594" w:type="dxa"/>
          </w:tcPr>
          <w:p>
            <w:pPr>
              <w:rPr>
                <w:sz w:val="24"/>
                <w:szCs w:val="24"/>
              </w:rPr>
            </w:pPr>
            <w:r>
              <w:rPr>
                <w:rFonts w:ascii="Times New Roman" w:hAnsi="Times New Roman"/>
                <w:sz w:val="24"/>
                <w:szCs w:val="24"/>
              </w:rPr>
              <w:t>Механизм СП 50/50; проектное финансирование через АфБР</w:t>
            </w:r>
          </w:p>
        </w:tc>
      </w:tr>
      <w:tr>
        <w:trPr>
          <w:trHeight w:hRule="atLeast" w:val="421"/>
        </w:trPr>
        <w:tc>
          <w:tcPr>
            <w:tcW w:w="2396" w:type="dxa"/>
          </w:tcPr>
          <w:p>
            <w:pPr>
              <w:rPr>
                <w:sz w:val="24"/>
                <w:szCs w:val="24"/>
              </w:rPr>
            </w:pPr>
            <w:r>
              <w:rPr>
                <w:rFonts w:ascii="Times New Roman" w:hAnsi="Times New Roman"/>
                <w:sz w:val="24"/>
                <w:szCs w:val="24"/>
              </w:rPr>
              <w:t>Институциональная инерция</w:t>
            </w:r>
          </w:p>
        </w:tc>
        <w:tc>
          <w:tcPr>
            <w:tcW w:w="1497" w:type="dxa"/>
          </w:tcPr>
          <w:p>
            <w:pPr>
              <w:jc w:val="center"/>
              <w:rPr>
                <w:sz w:val="24"/>
                <w:szCs w:val="24"/>
              </w:rPr>
            </w:pPr>
            <w:r>
              <w:rPr>
                <w:rFonts w:ascii="Times New Roman" w:hAnsi="Times New Roman"/>
                <w:sz w:val="24"/>
                <w:szCs w:val="24"/>
              </w:rPr>
              <w:t>Средняя</w:t>
            </w:r>
          </w:p>
        </w:tc>
        <w:tc>
          <w:tcPr>
            <w:tcW w:w="1198" w:type="dxa"/>
          </w:tcPr>
          <w:p>
            <w:pPr>
              <w:jc w:val="center"/>
              <w:rPr>
                <w:sz w:val="24"/>
                <w:szCs w:val="24"/>
              </w:rPr>
            </w:pPr>
            <w:r>
              <w:rPr>
                <w:rFonts w:ascii="Times New Roman" w:hAnsi="Times New Roman"/>
                <w:sz w:val="24"/>
                <w:szCs w:val="24"/>
              </w:rPr>
              <w:t>Высокое</w:t>
            </w:r>
          </w:p>
        </w:tc>
        <w:tc>
          <w:tcPr>
            <w:tcW w:w="1198" w:type="dxa"/>
          </w:tcPr>
          <w:p>
            <w:pPr>
              <w:jc w:val="center"/>
              <w:rPr>
                <w:sz w:val="24"/>
                <w:szCs w:val="24"/>
              </w:rPr>
            </w:pPr>
            <w:r>
              <w:rPr>
                <w:rFonts w:ascii="Times New Roman" w:hAnsi="Times New Roman"/>
                <w:sz w:val="24"/>
                <w:szCs w:val="24"/>
              </w:rPr>
              <w:t xml:space="preserve">Высокий </w:t>
            </w:r>
          </w:p>
        </w:tc>
        <w:tc>
          <w:tcPr>
            <w:tcW w:w="3594" w:type="dxa"/>
          </w:tcPr>
          <w:p>
            <w:pPr>
              <w:rPr>
                <w:sz w:val="24"/>
                <w:szCs w:val="24"/>
              </w:rPr>
            </w:pPr>
            <w:r>
              <w:rPr>
                <w:rFonts w:ascii="Times New Roman" w:hAnsi="Times New Roman"/>
                <w:sz w:val="24"/>
                <w:szCs w:val="24"/>
              </w:rPr>
              <w:t>Платформенное управление; «цифровой регулятор»; международные гарантии</w:t>
            </w:r>
          </w:p>
        </w:tc>
      </w:tr>
      <w:tr>
        <w:trPr>
          <w:trHeight w:hRule="atLeast" w:val="411"/>
        </w:trPr>
        <w:tc>
          <w:tcPr>
            <w:tcW w:w="2396" w:type="dxa"/>
          </w:tcPr>
          <w:p>
            <w:pPr>
              <w:rPr>
                <w:sz w:val="24"/>
                <w:szCs w:val="24"/>
              </w:rPr>
            </w:pPr>
            <w:r>
              <w:rPr>
                <w:rFonts w:ascii="Times New Roman" w:hAnsi="Times New Roman"/>
                <w:sz w:val="24"/>
                <w:szCs w:val="24"/>
              </w:rPr>
              <w:t>Политическая нестабильность</w:t>
            </w:r>
          </w:p>
        </w:tc>
        <w:tc>
          <w:tcPr>
            <w:tcW w:w="1497" w:type="dxa"/>
          </w:tcPr>
          <w:p>
            <w:pPr>
              <w:jc w:val="center"/>
              <w:rPr>
                <w:sz w:val="24"/>
                <w:szCs w:val="24"/>
              </w:rPr>
            </w:pPr>
            <w:r>
              <w:rPr>
                <w:rFonts w:ascii="Times New Roman" w:hAnsi="Times New Roman"/>
                <w:sz w:val="24"/>
                <w:szCs w:val="24"/>
              </w:rPr>
              <w:t>Низкая–средняя</w:t>
            </w:r>
          </w:p>
        </w:tc>
        <w:tc>
          <w:tcPr>
            <w:tcW w:w="1198" w:type="dxa"/>
          </w:tcPr>
          <w:p>
            <w:pPr>
              <w:jc w:val="center"/>
              <w:rPr>
                <w:sz w:val="24"/>
                <w:szCs w:val="24"/>
              </w:rPr>
            </w:pPr>
            <w:r>
              <w:rPr>
                <w:rFonts w:ascii="Times New Roman" w:hAnsi="Times New Roman"/>
                <w:sz w:val="24"/>
                <w:szCs w:val="24"/>
              </w:rPr>
              <w:t>Высокое</w:t>
            </w:r>
          </w:p>
        </w:tc>
        <w:tc>
          <w:tcPr>
            <w:tcW w:w="1198" w:type="dxa"/>
          </w:tcPr>
          <w:p>
            <w:pPr>
              <w:jc w:val="center"/>
              <w:rPr>
                <w:sz w:val="24"/>
                <w:szCs w:val="24"/>
              </w:rPr>
            </w:pPr>
            <w:r>
              <w:rPr>
                <w:rFonts w:ascii="Times New Roman" w:hAnsi="Times New Roman"/>
                <w:sz w:val="24"/>
                <w:szCs w:val="24"/>
              </w:rPr>
              <w:t xml:space="preserve">Средний </w:t>
            </w:r>
          </w:p>
        </w:tc>
        <w:tc>
          <w:tcPr>
            <w:tcW w:w="3594" w:type="dxa"/>
          </w:tcPr>
          <w:p>
            <w:pPr>
              <w:rPr>
                <w:sz w:val="24"/>
                <w:szCs w:val="24"/>
              </w:rPr>
            </w:pPr>
            <w:r>
              <w:rPr>
                <w:rFonts w:ascii="Times New Roman" w:hAnsi="Times New Roman"/>
                <w:sz w:val="24"/>
                <w:szCs w:val="24"/>
              </w:rPr>
              <w:t>Диверсификация партнеров; страховые механизмы MIGA</w:t>
            </w:r>
          </w:p>
        </w:tc>
      </w:tr>
      <w:tr>
        <w:trPr>
          <w:trHeight w:hRule="atLeast" w:val="421"/>
        </w:trPr>
        <w:tc>
          <w:tcPr>
            <w:tcW w:w="2396" w:type="dxa"/>
          </w:tcPr>
          <w:p>
            <w:pPr>
              <w:rPr>
                <w:sz w:val="24"/>
                <w:szCs w:val="24"/>
              </w:rPr>
            </w:pPr>
            <w:r>
              <w:rPr>
                <w:rFonts w:ascii="Times New Roman" w:hAnsi="Times New Roman"/>
                <w:sz w:val="24"/>
                <w:szCs w:val="24"/>
              </w:rPr>
              <w:t>Энергетические ограничения</w:t>
            </w:r>
          </w:p>
        </w:tc>
        <w:tc>
          <w:tcPr>
            <w:tcW w:w="1497" w:type="dxa"/>
          </w:tcPr>
          <w:p>
            <w:pPr>
              <w:jc w:val="center"/>
              <w:rPr>
                <w:sz w:val="24"/>
                <w:szCs w:val="24"/>
              </w:rPr>
            </w:pPr>
            <w:r>
              <w:rPr>
                <w:rFonts w:ascii="Times New Roman" w:hAnsi="Times New Roman"/>
                <w:sz w:val="24"/>
                <w:szCs w:val="24"/>
              </w:rPr>
              <w:t>Средняя</w:t>
            </w:r>
          </w:p>
        </w:tc>
        <w:tc>
          <w:tcPr>
            <w:tcW w:w="1198" w:type="dxa"/>
          </w:tcPr>
          <w:p>
            <w:pPr>
              <w:jc w:val="center"/>
              <w:rPr>
                <w:sz w:val="24"/>
                <w:szCs w:val="24"/>
              </w:rPr>
            </w:pPr>
            <w:r>
              <w:rPr>
                <w:rFonts w:ascii="Times New Roman" w:hAnsi="Times New Roman"/>
                <w:sz w:val="24"/>
                <w:szCs w:val="24"/>
              </w:rPr>
              <w:t>Среднее</w:t>
            </w:r>
          </w:p>
        </w:tc>
        <w:tc>
          <w:tcPr>
            <w:tcW w:w="1198" w:type="dxa"/>
          </w:tcPr>
          <w:p>
            <w:pPr>
              <w:jc w:val="center"/>
              <w:rPr>
                <w:sz w:val="24"/>
                <w:szCs w:val="24"/>
              </w:rPr>
            </w:pPr>
            <w:r>
              <w:rPr>
                <w:rFonts w:ascii="Times New Roman" w:hAnsi="Times New Roman"/>
                <w:sz w:val="24"/>
                <w:szCs w:val="24"/>
              </w:rPr>
              <w:t xml:space="preserve">Средний </w:t>
            </w:r>
          </w:p>
        </w:tc>
        <w:tc>
          <w:tcPr>
            <w:tcW w:w="3594" w:type="dxa"/>
          </w:tcPr>
          <w:p>
            <w:pPr>
              <w:rPr>
                <w:sz w:val="24"/>
                <w:szCs w:val="24"/>
              </w:rPr>
            </w:pPr>
            <w:r>
              <w:rPr>
                <w:rFonts w:ascii="Times New Roman" w:hAnsi="Times New Roman"/>
                <w:sz w:val="24"/>
                <w:szCs w:val="24"/>
              </w:rPr>
              <w:t>Инвестиции в ВИЭ-генерацию (солнечная энергетика); микросети</w:t>
            </w:r>
          </w:p>
        </w:tc>
      </w:tr>
      <w:tr>
        <w:trPr>
          <w:trHeight w:hRule="atLeast" w:val="411"/>
        </w:trPr>
        <w:tc>
          <w:tcPr>
            <w:tcW w:w="2396" w:type="dxa"/>
          </w:tcPr>
          <w:p>
            <w:pPr>
              <w:rPr>
                <w:sz w:val="24"/>
                <w:szCs w:val="24"/>
              </w:rPr>
            </w:pPr>
            <w:r>
              <w:rPr>
                <w:rFonts w:ascii="Times New Roman" w:hAnsi="Times New Roman"/>
                <w:sz w:val="24"/>
                <w:szCs w:val="24"/>
              </w:rPr>
              <w:t>ESG-регулирование ЕС (EUDR)</w:t>
            </w:r>
          </w:p>
        </w:tc>
        <w:tc>
          <w:tcPr>
            <w:tcW w:w="1497" w:type="dxa"/>
          </w:tcPr>
          <w:p>
            <w:pPr>
              <w:jc w:val="center"/>
              <w:rPr>
                <w:sz w:val="24"/>
                <w:szCs w:val="24"/>
              </w:rPr>
            </w:pPr>
            <w:r>
              <w:rPr>
                <w:rFonts w:ascii="Times New Roman" w:hAnsi="Times New Roman"/>
                <w:sz w:val="24"/>
                <w:szCs w:val="24"/>
              </w:rPr>
              <w:t>Высокая</w:t>
            </w:r>
          </w:p>
        </w:tc>
        <w:tc>
          <w:tcPr>
            <w:tcW w:w="1198" w:type="dxa"/>
          </w:tcPr>
          <w:p>
            <w:pPr>
              <w:jc w:val="center"/>
              <w:rPr>
                <w:sz w:val="24"/>
                <w:szCs w:val="24"/>
              </w:rPr>
            </w:pPr>
            <w:r>
              <w:rPr>
                <w:rFonts w:ascii="Times New Roman" w:hAnsi="Times New Roman"/>
                <w:sz w:val="24"/>
                <w:szCs w:val="24"/>
              </w:rPr>
              <w:t>Среднее</w:t>
            </w:r>
          </w:p>
        </w:tc>
        <w:tc>
          <w:tcPr>
            <w:tcW w:w="1198" w:type="dxa"/>
          </w:tcPr>
          <w:p>
            <w:pPr>
              <w:jc w:val="center"/>
              <w:rPr>
                <w:sz w:val="24"/>
                <w:szCs w:val="24"/>
              </w:rPr>
            </w:pPr>
            <w:r>
              <w:rPr>
                <w:rFonts w:ascii="Times New Roman" w:hAnsi="Times New Roman"/>
                <w:sz w:val="24"/>
                <w:szCs w:val="24"/>
              </w:rPr>
              <w:t xml:space="preserve">Высокий </w:t>
            </w:r>
          </w:p>
        </w:tc>
        <w:tc>
          <w:tcPr>
            <w:tcW w:w="3594" w:type="dxa"/>
          </w:tcPr>
          <w:p>
            <w:pPr>
              <w:rPr>
                <w:sz w:val="24"/>
                <w:szCs w:val="24"/>
              </w:rPr>
            </w:pPr>
            <w:r>
              <w:rPr>
                <w:rFonts w:ascii="Times New Roman" w:hAnsi="Times New Roman"/>
                <w:sz w:val="24"/>
                <w:szCs w:val="24"/>
              </w:rPr>
              <w:t>Блокчейн-трейсабилити на платформе; сертификация UTZ/Rainforest Alliance</w:t>
            </w:r>
          </w:p>
        </w:tc>
      </w:tr>
      <w:tr>
        <w:trPr>
          <w:trHeight w:hRule="atLeast" w:val="411"/>
        </w:trPr>
        <w:tc>
          <w:tcPr>
            <w:tcW w:w="2396" w:type="dxa"/>
          </w:tcPr>
          <w:p>
            <w:pPr>
              <w:rPr>
                <w:sz w:val="24"/>
                <w:szCs w:val="24"/>
              </w:rPr>
            </w:pPr>
            <w:r>
              <w:rPr>
                <w:rFonts w:ascii="Times New Roman" w:hAnsi="Times New Roman"/>
                <w:sz w:val="24"/>
                <w:szCs w:val="24"/>
              </w:rPr>
              <w:t>Цифровые риски (кибербезопасность)</w:t>
            </w:r>
          </w:p>
        </w:tc>
        <w:tc>
          <w:tcPr>
            <w:tcW w:w="1497" w:type="dxa"/>
          </w:tcPr>
          <w:p>
            <w:pPr>
              <w:jc w:val="center"/>
              <w:rPr>
                <w:sz w:val="24"/>
                <w:szCs w:val="24"/>
              </w:rPr>
            </w:pPr>
            <w:r>
              <w:rPr>
                <w:rFonts w:ascii="Times New Roman" w:hAnsi="Times New Roman"/>
                <w:sz w:val="24"/>
                <w:szCs w:val="24"/>
              </w:rPr>
              <w:t>Средняя</w:t>
            </w:r>
          </w:p>
        </w:tc>
        <w:tc>
          <w:tcPr>
            <w:tcW w:w="1198" w:type="dxa"/>
          </w:tcPr>
          <w:p>
            <w:pPr>
              <w:jc w:val="center"/>
              <w:rPr>
                <w:sz w:val="24"/>
                <w:szCs w:val="24"/>
              </w:rPr>
            </w:pPr>
            <w:r>
              <w:rPr>
                <w:rFonts w:ascii="Times New Roman" w:hAnsi="Times New Roman"/>
                <w:sz w:val="24"/>
                <w:szCs w:val="24"/>
              </w:rPr>
              <w:t>Высокое</w:t>
            </w:r>
          </w:p>
        </w:tc>
        <w:tc>
          <w:tcPr>
            <w:tcW w:w="1198" w:type="dxa"/>
          </w:tcPr>
          <w:p>
            <w:pPr>
              <w:jc w:val="center"/>
              <w:rPr>
                <w:sz w:val="24"/>
                <w:szCs w:val="24"/>
              </w:rPr>
            </w:pPr>
            <w:r>
              <w:rPr>
                <w:rFonts w:ascii="Times New Roman" w:hAnsi="Times New Roman"/>
                <w:sz w:val="24"/>
                <w:szCs w:val="24"/>
              </w:rPr>
              <w:t xml:space="preserve">Высокий </w:t>
            </w:r>
          </w:p>
        </w:tc>
        <w:tc>
          <w:tcPr>
            <w:tcW w:w="3594" w:type="dxa"/>
          </w:tcPr>
          <w:p>
            <w:pPr>
              <w:rPr>
                <w:sz w:val="24"/>
                <w:szCs w:val="24"/>
              </w:rPr>
            </w:pPr>
            <w:r>
              <w:rPr>
                <w:rFonts w:ascii="Times New Roman" w:hAnsi="Times New Roman"/>
                <w:sz w:val="24"/>
                <w:szCs w:val="24"/>
              </w:rPr>
              <w:t xml:space="preserve">Модуль </w:t>
            </w:r>
            <w:r>
              <w:rPr>
                <w:rFonts w:ascii="Times New Roman" w:hAnsi="Times New Roman"/>
                <w:color w:val="000000"/>
                <w:sz w:val="24"/>
                <w:szCs w:val="24"/>
              </w:rPr>
              <w:t>Governance &amp; Compliance (регуляторный и институциональный модуль)</w:t>
            </w:r>
            <w:r>
              <w:rPr>
                <w:rFonts w:ascii="Times New Roman" w:hAnsi="Times New Roman"/>
                <w:sz w:val="24"/>
                <w:szCs w:val="24"/>
              </w:rPr>
              <w:t xml:space="preserve"> платформы; международные стандарты ISO 27001; страхование</w:t>
            </w:r>
          </w:p>
        </w:tc>
      </w:tr>
    </w:tbl>
    <w:p>
      <w:pPr>
        <w:widowControl w:val="0"/>
        <w:spacing w:lineRule="auto" w:line="360" w:after="0" w:beforeAutospacing="0" w:afterAutospacing="0"/>
        <w:ind w:firstLine="709"/>
        <w:jc w:val="both"/>
        <w:rPr>
          <w:rFonts w:ascii="Times New Roman" w:hAnsi="Times New Roman" w:cs="Times New Roman"/>
          <w:bCs w:val="1"/>
          <w:sz w:val="28"/>
          <w:szCs w:val="28"/>
        </w:rPr>
      </w:pPr>
    </w:p>
    <w:p>
      <w:pPr>
        <w:widowControl w:val="0"/>
        <w:spacing w:lineRule="auto" w:line="360" w:after="0" w:beforeAutospacing="0" w:afterAutospacing="0"/>
        <w:ind w:firstLine="709"/>
        <w:jc w:val="both"/>
        <w:rPr>
          <w:rFonts w:ascii="Times New Roman" w:hAnsi="Times New Roman" w:cs="Times New Roman"/>
          <w:bCs w:val="1"/>
          <w:sz w:val="28"/>
          <w:szCs w:val="28"/>
        </w:rPr>
      </w:pPr>
      <w:r>
        <w:rPr>
          <w:rFonts w:ascii="Times New Roman" w:hAnsi="Times New Roman" w:cs="Times New Roman"/>
          <w:bCs w:val="1"/>
          <w:sz w:val="28"/>
          <w:szCs w:val="28"/>
        </w:rPr>
        <w:t>Особо следует выделить риск ESG-регулирования ЕС. В 2023 году ЕС принял регламент EUDR (EU Deforestation Regulation), требующий верификации отсутствия связи сельскохозяйственных товаров (включая какао) с обезлесением. Кот-д'Ивуар, как крупнейший поставщик какао в Европу, находится в зоне высокого регуляторного риска. Модуль Traceability платформы «Берег Восхода» непосредственно адресует этот риск, превращая регуляторное давление из угрозы в конкурентное преимущество: верифицированные данные о происхождении какао станут барьером для менее прозрачных конкурентов из других стран</w:t>
      </w:r>
      <w:r>
        <w:rPr>
          <w:rStyle w:val="C42"/>
          <w:rFonts w:ascii="Times New Roman" w:hAnsi="Times New Roman" w:cs="Times New Roman"/>
          <w:bCs w:val="1"/>
          <w:sz w:val="28"/>
          <w:szCs w:val="28"/>
        </w:rPr>
        <w:footnoteReference w:id="121"/>
      </w:r>
      <w:r>
        <w:rPr>
          <w:rFonts w:ascii="Times New Roman" w:hAnsi="Times New Roman" w:cs="Times New Roman"/>
          <w:bCs w:val="1"/>
          <w:sz w:val="28"/>
          <w:szCs w:val="28"/>
        </w:rPr>
        <w:t>.</w:t>
      </w:r>
    </w:p>
    <w:p>
      <w:pPr>
        <w:widowControl w:val="0"/>
        <w:spacing w:lineRule="auto" w:line="360" w:after="0" w:beforeAutospacing="0" w:afterAutospacing="0"/>
        <w:ind w:firstLine="709"/>
        <w:jc w:val="both"/>
        <w:rPr>
          <w:rFonts w:ascii="Times New Roman" w:hAnsi="Times New Roman" w:cs="Times New Roman"/>
          <w:bCs w:val="1"/>
          <w:sz w:val="28"/>
          <w:szCs w:val="28"/>
        </w:rPr>
      </w:pPr>
      <w:r>
        <w:rPr>
          <w:rFonts w:ascii="Times New Roman" w:hAnsi="Times New Roman" w:cs="Times New Roman"/>
          <w:bCs w:val="1"/>
          <w:sz w:val="28"/>
          <w:szCs w:val="28"/>
        </w:rPr>
        <w:t>Риск институциональной инерции является системным для африканских экономик. Как показывает анализ Африканского банка развития, среди наиболее распространенных причин неудач крупных инфраструктурных и промышленных инициатив в Западной Африке – слабость правоприменения, коррупция на этапах реализации и отсутствие устойчивого политического сопровождения между избирательными циклами</w:t>
      </w:r>
      <w:r>
        <w:rPr>
          <w:rStyle w:val="C42"/>
          <w:rFonts w:ascii="Times New Roman" w:hAnsi="Times New Roman" w:cs="Times New Roman"/>
          <w:bCs w:val="1"/>
          <w:sz w:val="28"/>
          <w:szCs w:val="28"/>
        </w:rPr>
        <w:footnoteReference w:id="122"/>
      </w:r>
      <w:r>
        <w:rPr>
          <w:rFonts w:ascii="Times New Roman" w:hAnsi="Times New Roman" w:cs="Times New Roman"/>
          <w:bCs w:val="1"/>
          <w:sz w:val="28"/>
          <w:szCs w:val="28"/>
        </w:rPr>
        <w:t>. Именно поэтому цифровая платформа выступает не только коммерческим, но и антикоррупционным инструментом: прозрачность транзакций, автоматизация контрактов и публичность данных о финансовых потоках снижают возможности для оппортунистического поведения.</w:t>
      </w:r>
    </w:p>
    <w:p>
      <w:pPr>
        <w:widowControl w:val="0"/>
        <w:spacing w:lineRule="auto" w:line="360" w:after="0" w:beforeAutospacing="0" w:afterAutospacing="0"/>
        <w:ind w:firstLine="709"/>
        <w:jc w:val="both"/>
        <w:rPr>
          <w:rFonts w:ascii="Times New Roman" w:hAnsi="Times New Roman" w:cs="Times New Roman"/>
          <w:bCs w:val="1"/>
          <w:sz w:val="28"/>
          <w:szCs w:val="28"/>
        </w:rPr>
      </w:pPr>
      <w:r>
        <w:rPr>
          <w:rFonts w:ascii="Times New Roman" w:hAnsi="Times New Roman" w:cs="Times New Roman"/>
          <w:bCs w:val="1"/>
          <w:sz w:val="28"/>
          <w:szCs w:val="28"/>
        </w:rPr>
        <w:t>Важно отметить, что интеграция кластерной структуры платформенной модели инновационно-инклюзивного развития экономики страны позволяет обосновать как количественные ориентиры (прирост ВВП, занятости, экспорта, инвестиций), так и качественные параметры (устойчивость, инклюзивность, климатическая адаптация). Это делает кластерную архитектуру инновационного проекта «Берега Восхода» не только концептуальной, но и прикладной основой для подготовки программно-целевых документов, национальных стратегий и пакета инвестиционных проектов, ориентированных на долгосрочное развитие страны.</w:t>
      </w:r>
    </w:p>
    <w:p>
      <w:pPr>
        <w:widowControl w:val="0"/>
        <w:spacing w:lineRule="auto" w:line="360" w:after="0" w:beforeAutospacing="0" w:afterAutospacing="0"/>
        <w:ind w:firstLine="709"/>
        <w:jc w:val="both"/>
        <w:rPr>
          <w:rFonts w:ascii="Times New Roman" w:hAnsi="Times New Roman" w:cs="Times New Roman"/>
          <w:bCs w:val="1"/>
          <w:sz w:val="28"/>
          <w:szCs w:val="28"/>
        </w:rPr>
      </w:pPr>
      <w:r>
        <w:rPr>
          <w:rFonts w:ascii="Times New Roman" w:hAnsi="Times New Roman" w:cs="Times New Roman"/>
          <w:bCs w:val="1"/>
          <w:sz w:val="28"/>
          <w:szCs w:val="28"/>
        </w:rPr>
        <w:t>Таким образом, цифровая платформа выступает связующим элементом всей системы кластерного развития. Она объединяет отдельные отраслевые сегменты экономики в единую производственно-инновационную экосистему, обеспечивая их взаимодействие и формируя условия для устойчивого экономического роста.</w:t>
      </w:r>
    </w:p>
    <w:p>
      <w:pPr>
        <w:widowControl w:val="0"/>
        <w:spacing w:lineRule="auto" w:line="360" w:after="0" w:beforeAutospacing="0" w:afterAutospacing="0"/>
        <w:ind w:firstLine="709"/>
        <w:jc w:val="both"/>
        <w:rPr>
          <w:rFonts w:ascii="Times New Roman" w:hAnsi="Times New Roman" w:cs="Times New Roman"/>
          <w:bCs w:val="1"/>
          <w:sz w:val="28"/>
          <w:szCs w:val="28"/>
        </w:rPr>
      </w:pPr>
      <w:r>
        <w:rPr>
          <w:rFonts w:ascii="Times New Roman" w:hAnsi="Times New Roman" w:cs="Times New Roman"/>
          <w:bCs w:val="1"/>
          <w:sz w:val="28"/>
          <w:szCs w:val="28"/>
        </w:rPr>
        <w:t>В результате внедрения платформенной модели формируется новая структура национальной инновационной системы Республики Кот-д’Ивуар, в которой цифровая платформа выполняет роль координационного центра, обеспечивающего интеграцию производственных, финансовых, научных и институциональных ресурсов страны.</w:t>
      </w:r>
    </w:p>
    <w:p>
      <w:pPr>
        <w:spacing w:lineRule="auto" w:line="360" w:after="0" w:beforeAutospacing="0" w:afterAutospacing="0"/>
        <w:ind w:firstLine="709"/>
        <w:jc w:val="both"/>
        <w:rPr>
          <w:rFonts w:ascii="Times New Roman" w:hAnsi="Times New Roman" w:cs="Times New Roman"/>
          <w:bCs w:val="1"/>
          <w:sz w:val="28"/>
          <w:szCs w:val="28"/>
        </w:rPr>
      </w:pPr>
    </w:p>
    <w:p>
      <w:pPr>
        <w:spacing w:lineRule="auto" w:line="360" w:after="0" w:beforeAutospacing="0" w:afterAutospacing="0"/>
        <w:ind w:firstLine="709"/>
        <w:jc w:val="both"/>
        <w:rPr>
          <w:rFonts w:ascii="Times New Roman" w:hAnsi="Times New Roman" w:cs="Times New Roman"/>
          <w:bCs w:val="1"/>
          <w:sz w:val="28"/>
          <w:szCs w:val="28"/>
        </w:rPr>
      </w:pPr>
    </w:p>
    <w:p>
      <w:pPr>
        <w:spacing w:lineRule="auto" w:line="360" w:after="0" w:beforeAutospacing="0" w:afterAutospacing="0"/>
        <w:ind w:firstLine="709"/>
        <w:jc w:val="both"/>
        <w:rPr>
          <w:rFonts w:ascii="Times New Roman" w:hAnsi="Times New Roman" w:cs="Times New Roman"/>
          <w:bCs w:val="1"/>
          <w:sz w:val="28"/>
          <w:szCs w:val="28"/>
        </w:rPr>
      </w:pPr>
    </w:p>
    <w:p>
      <w:pPr>
        <w:spacing w:lineRule="auto" w:line="360" w:after="0" w:beforeAutospacing="0" w:afterAutospacing="0"/>
        <w:ind w:firstLine="709"/>
        <w:jc w:val="both"/>
        <w:rPr>
          <w:rFonts w:ascii="Times New Roman" w:hAnsi="Times New Roman" w:cs="Times New Roman"/>
          <w:b w:val="1"/>
          <w:bCs w:val="1"/>
          <w:sz w:val="28"/>
          <w:szCs w:val="28"/>
        </w:rPr>
      </w:pPr>
      <w:r>
        <w:rPr>
          <w:rFonts w:ascii="Times New Roman" w:hAnsi="Times New Roman" w:cs="Times New Roman"/>
          <w:b w:val="1"/>
          <w:bCs w:val="1"/>
          <w:sz w:val="28"/>
          <w:szCs w:val="28"/>
        </w:rPr>
        <w:t>3.4 Социально-институциональное обеспечение платформенного механизма инновационно-инклюзивного развития</w:t>
      </w:r>
    </w:p>
    <w:p>
      <w:pPr>
        <w:pStyle w:val="P3"/>
        <w:tabs>
          <w:tab w:val="left" w:pos="451" w:leader="none"/>
        </w:tabs>
        <w:spacing w:lineRule="auto" w:line="360" w:beforeAutospacing="0" w:afterAutospacing="0"/>
        <w:ind w:firstLine="709" w:left="0"/>
        <w:rPr>
          <w:sz w:val="28"/>
          <w:szCs w:val="28"/>
          <w:lang w:val="ru-RU"/>
        </w:rPr>
      </w:pPr>
    </w:p>
    <w:p>
      <w:pPr>
        <w:pStyle w:val="P3"/>
        <w:tabs>
          <w:tab w:val="left" w:pos="451" w:leader="none"/>
        </w:tabs>
        <w:spacing w:lineRule="auto" w:line="360" w:beforeAutospacing="0" w:afterAutospacing="0"/>
        <w:ind w:firstLine="709" w:left="0"/>
        <w:rPr>
          <w:sz w:val="28"/>
          <w:szCs w:val="28"/>
          <w:lang w:val="ru-RU"/>
        </w:rPr>
      </w:pPr>
    </w:p>
    <w:p>
      <w:pPr>
        <w:pStyle w:val="P3"/>
        <w:tabs>
          <w:tab w:val="left" w:pos="451" w:leader="none"/>
        </w:tabs>
        <w:spacing w:lineRule="auto" w:line="360" w:beforeAutospacing="0" w:afterAutospacing="0"/>
        <w:ind w:firstLine="709" w:left="0"/>
        <w:rPr>
          <w:sz w:val="28"/>
          <w:szCs w:val="28"/>
          <w:lang w:val="ru-RU"/>
        </w:rPr>
      </w:pPr>
    </w:p>
    <w:p>
      <w:pPr>
        <w:pStyle w:val="P3"/>
        <w:spacing w:lineRule="auto" w:line="360" w:beforeAutospacing="0" w:afterAutospacing="0"/>
        <w:ind w:firstLine="709" w:left="0"/>
        <w:jc w:val="both"/>
        <w:rPr>
          <w:b w:val="0"/>
          <w:sz w:val="28"/>
          <w:szCs w:val="28"/>
          <w:lang w:val="ru-RU"/>
        </w:rPr>
      </w:pPr>
      <w:r>
        <w:rPr>
          <w:b w:val="0"/>
          <w:sz w:val="28"/>
          <w:szCs w:val="28"/>
          <w:lang w:val="ru-RU"/>
        </w:rPr>
        <w:t>Разработка платформенного механизма инновационно-инклюзивного развития показывает, что цифровая платформа способна выступать мощным инструментом структурной трансформации экономики, обеспечивая координацию кластерного взаимодействия, снижение транзакционных издержек и расширение участия предприятий в региональных и глобальных цепочках создания стоимости. Однако международный опыт внедрения цифровых платформ в странах с формирующимися рынками свидетельствует о том, что технологическая модернизация сама по себе не гарантирует устойчивых социально-экономических результатов. В условиях институциональной неоднородности, высокой доли неформальной экономики и значительного культурного разнообразия платформенные решения могут сталкиваться с рядом ограничений, связанных с недостаточным уровнем доверия, конфликтом между формальными и неформальными институтами, а также неравномерным распределением выгод цифровой трансформации.</w:t>
      </w:r>
    </w:p>
    <w:p>
      <w:pPr>
        <w:pStyle w:val="P3"/>
        <w:spacing w:lineRule="auto" w:line="360" w:beforeAutospacing="0" w:afterAutospacing="0"/>
        <w:ind w:firstLine="709" w:left="0"/>
        <w:jc w:val="both"/>
        <w:rPr>
          <w:b w:val="0"/>
          <w:sz w:val="28"/>
          <w:szCs w:val="28"/>
          <w:lang w:val="ru-RU"/>
        </w:rPr>
      </w:pPr>
      <w:r>
        <w:rPr>
          <w:b w:val="0"/>
          <w:sz w:val="28"/>
          <w:szCs w:val="28"/>
          <w:lang w:val="ru-RU"/>
        </w:rPr>
        <w:t>Особенно ярко данные противоречия проявляются в странах Африки к югу от Сахары, где процессы цифровизации происходят в среде, характеризующейся сочетанием быстро развивающихся городских экономик, традиционных форм хозяйственной кооперации и значительной роли локальных социальных институтов. В этих условиях внедрение платформенных моделей, разработанных преимущественно в рамках западной институциональной традиции, может приводить к возникновению структурных разрывов между технологическими инновациями и социально-экономическими практиками населения. Подобные разрывы выражаются в формальном использовании цифровых инструментов без их реальной интеграции в хозяйственную деятельность, росте недоверия к новым экономическим механизмам и сохранении теневых форм взаимодействия.</w:t>
      </w:r>
    </w:p>
    <w:p>
      <w:pPr>
        <w:pStyle w:val="P3"/>
        <w:spacing w:lineRule="auto" w:line="360" w:beforeAutospacing="0" w:afterAutospacing="0"/>
        <w:ind w:firstLine="709" w:left="0"/>
        <w:jc w:val="both"/>
        <w:rPr>
          <w:b w:val="0"/>
          <w:sz w:val="28"/>
          <w:szCs w:val="28"/>
          <w:lang w:val="ru-RU"/>
        </w:rPr>
      </w:pPr>
      <w:r>
        <w:rPr>
          <w:b w:val="0"/>
          <w:sz w:val="28"/>
          <w:szCs w:val="28"/>
          <w:lang w:val="ru-RU"/>
        </w:rPr>
        <w:t>В рамках проведенного исследования было показано, что ключевой задачей формирования устойчивых траекторий инновационно-инклюзивного развития является не только создание технологической инфраструктуры цифровых платформ, но и формирование социально-институциональной среды, обеспечивающей их адаптацию к специфике национальной экономики и культурного контекста. Именно эта среда определяет способность платформенных механизмов трансформировать экономические взаимодействия, стимулировать предпринимательскую активность и обеспечивать справедливое распределение создаваемой добавленной стоимости.</w:t>
      </w:r>
    </w:p>
    <w:p>
      <w:pPr>
        <w:pStyle w:val="P3"/>
        <w:spacing w:lineRule="auto" w:line="360" w:beforeAutospacing="0" w:afterAutospacing="0"/>
        <w:ind w:firstLine="709" w:left="0"/>
        <w:jc w:val="both"/>
        <w:rPr>
          <w:b w:val="0"/>
          <w:sz w:val="28"/>
          <w:szCs w:val="28"/>
          <w:lang w:val="ru-RU"/>
        </w:rPr>
      </w:pPr>
      <w:r>
        <w:rPr>
          <w:b w:val="0"/>
          <w:sz w:val="28"/>
          <w:szCs w:val="28"/>
          <w:lang w:val="ru-RU"/>
        </w:rPr>
        <w:t>В связи с этим в данном разделе рассмомтрим комплекс институциональных механизмов, позволяющих обеспечить устойчивость и социальную легитимность платформенной трансформации экономики Республики Кот-д’Ивуар. В основе предлагаемого подхода лежит интеграция трех взаимодополняющих концептуальных элементов.</w:t>
      </w:r>
    </w:p>
    <w:p>
      <w:pPr>
        <w:pStyle w:val="P3"/>
        <w:spacing w:lineRule="auto" w:line="360" w:beforeAutospacing="0" w:afterAutospacing="0"/>
        <w:ind w:firstLine="709" w:left="0"/>
        <w:jc w:val="both"/>
        <w:rPr>
          <w:b w:val="0"/>
          <w:sz w:val="28"/>
          <w:szCs w:val="28"/>
          <w:lang w:val="ru-RU"/>
        </w:rPr>
      </w:pPr>
      <w:r>
        <w:rPr>
          <w:b w:val="0"/>
          <w:sz w:val="28"/>
          <w:szCs w:val="28"/>
          <w:lang w:val="ru-RU"/>
        </w:rPr>
        <w:t>Первым элементом выступает концепция фронтира, рассматриваемая как адаптационный регулятор внедрения цифровых платформ. В отличие от традиционного подхода, предполагающего линейное внедрение технологических решений, концепция фронтира трактует цифровую трансформацию как управляемый процесс согласования новых экономических практик с существующими институциональными и культурными структурами. Фронтир формирует своеобразную зону взаимодействия между традиционными и цифровыми формами хозяйственной деятельности, в которой происходит постепенная институциональная адаптация, снижение социального напряжения и формирование доверия к новым экономическим механизмам.</w:t>
      </w:r>
    </w:p>
    <w:p>
      <w:pPr>
        <w:pStyle w:val="P3"/>
        <w:spacing w:lineRule="auto" w:line="360" w:beforeAutospacing="0" w:afterAutospacing="0"/>
        <w:ind w:firstLine="709" w:left="0"/>
        <w:jc w:val="both"/>
        <w:rPr>
          <w:b w:val="0"/>
          <w:sz w:val="28"/>
          <w:szCs w:val="28"/>
          <w:lang w:val="ru-RU"/>
        </w:rPr>
      </w:pPr>
      <w:r>
        <w:rPr>
          <w:b w:val="0"/>
          <w:sz w:val="28"/>
          <w:szCs w:val="28"/>
          <w:lang w:val="ru-RU"/>
        </w:rPr>
        <w:t>Вторым элементом социально-институционального обеспечения платформенной экономики является модель корпоративной ответственности, рассматриваемая не как инструмент репутационного маркетинга, а как стратегический механизм согласования интересов государства, бизнеса, местных сообществ и международных акторов. В условиях развивающихся экономик корпоративная ответственность приобретает особое значение, поскольку именно частный сектор часто становится ключевым проводником технологических инноваций, инвестиций и организационных изменений. При этом устойчивость таких процессов возможна лишь в том случае, если экономическая деятельность компаний интегрирована в долгосрочные стратегии социального и экологического развития.</w:t>
      </w:r>
    </w:p>
    <w:p>
      <w:pPr>
        <w:pStyle w:val="P3"/>
        <w:spacing w:lineRule="auto" w:line="360" w:beforeAutospacing="0" w:afterAutospacing="0"/>
        <w:ind w:firstLine="709" w:left="0"/>
        <w:jc w:val="both"/>
        <w:rPr>
          <w:b w:val="0"/>
          <w:sz w:val="28"/>
          <w:szCs w:val="28"/>
          <w:lang w:val="ru-RU"/>
        </w:rPr>
      </w:pPr>
      <w:r>
        <w:rPr>
          <w:b w:val="0"/>
          <w:sz w:val="28"/>
          <w:szCs w:val="28"/>
          <w:lang w:val="ru-RU"/>
        </w:rPr>
        <w:t>Третьим элементом предлагаемой институциональной конструкции выступает африканская философия Убунту, отражающая ценностную основу коллективной ответственности и взаимозависимости участников экономических отношений. Принцип Убунту, выражаемый формулой «человек есть человек через других людей», предполагает приоритет общественного благополучия, солидарности и взаимной поддержки над узкоэкономическими интересами отдельных акторов. В контексте платформенной экономики данная философия позволяет рассматривать предприятия, государственные институты и местные сообщества как взаимосвязанные элементы единой экономической экосистемы, в которой устойчивость развития достигается через согласование интересов всех заинтересованных сторон.</w:t>
      </w:r>
    </w:p>
    <w:p>
      <w:pPr>
        <w:pStyle w:val="P3"/>
        <w:spacing w:lineRule="auto" w:line="360" w:beforeAutospacing="0" w:afterAutospacing="0"/>
        <w:ind w:firstLine="709" w:left="0"/>
        <w:jc w:val="both"/>
        <w:rPr>
          <w:b w:val="0"/>
          <w:sz w:val="28"/>
          <w:szCs w:val="28"/>
          <w:lang w:val="ru-RU"/>
        </w:rPr>
      </w:pPr>
      <w:r>
        <w:rPr>
          <w:b w:val="0"/>
          <w:sz w:val="28"/>
          <w:szCs w:val="28"/>
          <w:lang w:val="ru-RU"/>
        </w:rPr>
        <w:t xml:space="preserve">Интеграция указанных подходов позволяет сформировать целостную модель социально-институционального обеспечения платформенного механизма инновационно-инклюзивного развития </w:t>
      </w:r>
      <w:r>
        <w:rPr>
          <w:b w:val="0"/>
          <w:sz w:val="28"/>
          <w:szCs w:val="28"/>
          <w:highlight w:val="yellow"/>
          <w:lang w:val="ru-RU"/>
        </w:rPr>
        <w:t>(рисунок ??</w:t>
      </w:r>
      <w:r>
        <w:rPr>
          <w:b w:val="0"/>
          <w:sz w:val="28"/>
          <w:szCs w:val="28"/>
          <w:lang w:val="ru-RU"/>
        </w:rPr>
        <w:t>). В рамках данной модели цифровая платформа выступает технологическим ядром экономической экосистемы, фронтир обеспечивает адаптационное регулирование процессов цифровой трансформации, корпоративная ответственность формирует механизмы распределения экономических выгод и управления рисками, а философия Убунту обеспечивает культурную легитимацию и социальную устойчивость экономических преобразований.</w:t>
      </w:r>
    </w:p>
    <w:p>
      <w:pPr>
        <w:pStyle w:val="P3"/>
        <w:spacing w:lineRule="auto" w:line="360" w:beforeAutospacing="0" w:afterAutospacing="0"/>
        <w:ind w:firstLine="0" w:left="0"/>
        <w:jc w:val="center"/>
        <w:rPr>
          <w:b w:val="0"/>
          <w:sz w:val="28"/>
          <w:szCs w:val="28"/>
          <w:lang w:val="ru-RU"/>
        </w:rPr>
      </w:pPr>
      <w:r>
        <w:rPr>
          <w:b w:val="0"/>
          <w:noProof w:val="1"/>
          <w:sz w:val="28"/>
          <w:szCs w:val="28"/>
          <w:lang w:val="ru-RU" w:eastAsia="ru-RU"/>
        </w:rPr>
        <w:drawing>
          <wp:inline xmlns:wp="http://schemas.openxmlformats.org/drawingml/2006/wordprocessingDrawing" distT="0" distB="0" distL="0" distR="0">
            <wp:extent cx="4845685" cy="2806700"/>
            <wp:effectExtent l="0" t="0" r="0" b="0"/>
            <wp:docPr id="841381663" name="Рисунок 8413816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dpi="0">
                    <a:blip xmlns:r="http://schemas.openxmlformats.org/officeDocument/2006/relationships" r:embed="Relimage10" cstate="print">
                      <a:extLst>
                        <a:ext uri="{28A0092B-C50C-407E-A947-70E740481C1C}">
                          <a14:useLocalDpi xmlns:a14="http://schemas.microsoft.com/office/drawing/2010/main" val="0"/>
                        </a:ext>
                      </a:extLst>
                    </a:blip>
                    <a:srcRect t="13128"/>
                    <a:stretch>
                      <a:fillRect/>
                    </a:stretch>
                  </pic:blipFill>
                  <pic:spPr bwMode="auto">
                    <a:xfrm>
                      <a:off x="0" y="0"/>
                      <a:ext cx="4850637" cy="2809224"/>
                    </a:xfrm>
                    <a:prstGeom prst="rect"/>
                    <a:noFill/>
                    <a:ln>
                      <a:noFill/>
                    </a:ln>
                  </pic:spPr>
                </pic:pic>
              </a:graphicData>
            </a:graphic>
          </wp:inline>
        </w:drawing>
      </w:r>
    </w:p>
    <w:p>
      <w:pPr>
        <w:pStyle w:val="P3"/>
        <w:spacing w:lineRule="auto" w:line="360" w:beforeAutospacing="0" w:afterAutospacing="0"/>
        <w:ind w:firstLine="0" w:left="0"/>
        <w:jc w:val="center"/>
        <w:rPr>
          <w:b w:val="0"/>
          <w:sz w:val="28"/>
          <w:szCs w:val="28"/>
          <w:lang w:val="ru-RU"/>
        </w:rPr>
      </w:pPr>
      <w:r>
        <w:rPr>
          <w:b w:val="0"/>
          <w:sz w:val="28"/>
          <w:szCs w:val="28"/>
          <w:lang w:val="ru-RU"/>
        </w:rPr>
        <w:t xml:space="preserve">Рисунок </w:t>
      </w:r>
      <w:r>
        <w:rPr>
          <w:b w:val="0"/>
          <w:sz w:val="28"/>
          <w:szCs w:val="28"/>
          <w:highlight w:val="yellow"/>
          <w:lang w:val="ru-RU"/>
        </w:rPr>
        <w:t>???</w:t>
      </w:r>
      <w:r>
        <w:rPr>
          <w:b w:val="0"/>
          <w:sz w:val="28"/>
          <w:szCs w:val="28"/>
          <w:lang w:val="ru-RU"/>
        </w:rPr>
        <w:t xml:space="preserve"> – Социально-институциональное обеспечение платформенного механизма инновационно-инклюзивного развития Республики Кот-д’Ивуар (составлено автором)</w:t>
      </w:r>
    </w:p>
    <w:p>
      <w:pPr>
        <w:pStyle w:val="P3"/>
        <w:spacing w:lineRule="auto" w:line="360" w:beforeAutospacing="0" w:afterAutospacing="0"/>
        <w:ind w:firstLine="0" w:left="0"/>
        <w:jc w:val="center"/>
        <w:rPr>
          <w:b w:val="0"/>
          <w:sz w:val="28"/>
          <w:szCs w:val="28"/>
          <w:lang w:val="ru-RU"/>
        </w:rPr>
      </w:pPr>
    </w:p>
    <w:p>
      <w:pPr>
        <w:pStyle w:val="P3"/>
        <w:spacing w:lineRule="auto" w:line="360" w:beforeAutospacing="0" w:afterAutospacing="0"/>
        <w:ind w:firstLine="709" w:left="0"/>
        <w:jc w:val="both"/>
        <w:rPr>
          <w:b w:val="0"/>
          <w:sz w:val="28"/>
          <w:szCs w:val="28"/>
          <w:lang w:val="ru-RU"/>
        </w:rPr>
      </w:pPr>
      <w:r>
        <w:rPr>
          <w:b w:val="0"/>
          <w:sz w:val="28"/>
          <w:szCs w:val="28"/>
          <w:lang w:val="ru-RU"/>
        </w:rPr>
        <w:t>Таким образом, платформенная трансформация экономики Республики Кот-д’Ивуар рассматривается не только как технологический или экономический процесс, но и как комплексное институциональное преобразование, предполагающее согласование интересов различных экономических и социальных акторов. Формирование такой системы социально-институционального обеспечения является необходимым условием для того, чтобы цифровые платформы могли стать реальным инструментом инновационного развития, повышения благосостояния населения и формирования устойчивых траекторий инклюзивного роста.</w:t>
      </w:r>
    </w:p>
    <w:p>
      <w:pPr>
        <w:pStyle w:val="P13"/>
        <w:spacing w:lineRule="auto" w:line="360" w:beforeAutospacing="0" w:afterAutospacing="0"/>
        <w:ind w:firstLine="709"/>
        <w:jc w:val="both"/>
        <w:rPr>
          <w:sz w:val="28"/>
          <w:szCs w:val="28"/>
          <w:lang w:val="ru-RU"/>
        </w:rPr>
      </w:pPr>
      <w:r>
        <w:rPr>
          <w:sz w:val="28"/>
          <w:szCs w:val="28"/>
          <w:lang w:val="ru-RU"/>
        </w:rPr>
        <w:t>Анализ практики внедрения цифровых платформ в Кот-д'Ивуаре позволяет выделить несколько ключевых проблем.</w:t>
      </w:r>
    </w:p>
    <w:p>
      <w:pPr>
        <w:pStyle w:val="P13"/>
        <w:spacing w:lineRule="auto" w:line="360" w:beforeAutospacing="0" w:afterAutospacing="0"/>
        <w:ind w:firstLine="709"/>
        <w:jc w:val="both"/>
        <w:rPr>
          <w:sz w:val="28"/>
          <w:szCs w:val="28"/>
          <w:lang w:val="ru-RU"/>
        </w:rPr>
      </w:pPr>
      <w:r>
        <w:rPr>
          <w:sz w:val="28"/>
          <w:szCs w:val="28"/>
          <w:lang w:val="ru-RU"/>
        </w:rPr>
        <w:t xml:space="preserve">Во-первых, наблюдается структурная когнитивная несовместимость между платформенными интерфейсами и повседневными практиками пользователей </w:t>
      </w:r>
      <w:r>
        <w:rPr>
          <w:sz w:val="28"/>
          <w:szCs w:val="28"/>
          <w:highlight w:val="yellow"/>
          <w:lang w:val="ru-RU"/>
        </w:rPr>
        <w:t>[12</w:t>
      </w:r>
      <w:r>
        <w:rPr>
          <w:sz w:val="28"/>
          <w:szCs w:val="28"/>
          <w:lang w:val="ru-RU"/>
        </w:rPr>
        <w:t>]. Это приводит к формальному использованию платформ без реальной интеграции в экономическую деятельность.</w:t>
      </w:r>
    </w:p>
    <w:p>
      <w:pPr>
        <w:pStyle w:val="P13"/>
        <w:spacing w:lineRule="auto" w:line="360" w:beforeAutospacing="0" w:afterAutospacing="0"/>
        <w:ind w:firstLine="709"/>
        <w:jc w:val="both"/>
        <w:rPr>
          <w:sz w:val="28"/>
          <w:szCs w:val="28"/>
          <w:lang w:val="ru-RU"/>
        </w:rPr>
      </w:pPr>
      <w:r>
        <w:rPr>
          <w:sz w:val="28"/>
          <w:szCs w:val="28"/>
          <w:lang w:val="ru-RU"/>
        </w:rPr>
        <w:t xml:space="preserve">Во-вторых, ускоренный темп внедрения цифровых решений опережает адаптацию институциональной среды, что вызывает рост недоверия и сопротивления </w:t>
      </w:r>
      <w:r>
        <w:rPr>
          <w:sz w:val="28"/>
          <w:szCs w:val="28"/>
          <w:highlight w:val="yellow"/>
          <w:lang w:val="ru-RU"/>
        </w:rPr>
        <w:t>[13</w:t>
      </w:r>
      <w:r>
        <w:rPr>
          <w:sz w:val="28"/>
          <w:szCs w:val="28"/>
          <w:lang w:val="ru-RU"/>
        </w:rPr>
        <w:t>]. В результате часть экономической активности уходит в теневой сектор.</w:t>
      </w:r>
    </w:p>
    <w:p>
      <w:pPr>
        <w:pStyle w:val="P13"/>
        <w:spacing w:lineRule="auto" w:line="360" w:beforeAutospacing="0" w:afterAutospacing="0"/>
        <w:ind w:firstLine="709"/>
        <w:jc w:val="both"/>
        <w:rPr>
          <w:sz w:val="28"/>
          <w:szCs w:val="28"/>
          <w:lang w:val="ru-RU"/>
        </w:rPr>
      </w:pPr>
      <w:r>
        <w:rPr>
          <w:sz w:val="28"/>
          <w:szCs w:val="28"/>
          <w:lang w:val="ru-RU"/>
        </w:rPr>
        <w:t>В-третьих, государственное регулирование цифровых платформ часто носит реактивный характер и ориентировано на контроль, а не на поддержку предпринимательской активности [</w:t>
      </w:r>
      <w:r>
        <w:rPr>
          <w:sz w:val="28"/>
          <w:szCs w:val="28"/>
          <w:highlight w:val="yellow"/>
          <w:lang w:val="ru-RU"/>
        </w:rPr>
        <w:t>14</w:t>
      </w:r>
      <w:r>
        <w:rPr>
          <w:sz w:val="28"/>
          <w:szCs w:val="28"/>
          <w:lang w:val="ru-RU"/>
        </w:rPr>
        <w:t>].</w:t>
      </w:r>
    </w:p>
    <w:p>
      <w:pPr>
        <w:pStyle w:val="P13"/>
        <w:spacing w:lineRule="auto" w:line="360" w:beforeAutospacing="0" w:afterAutospacing="0"/>
        <w:ind w:firstLine="709"/>
        <w:jc w:val="both"/>
        <w:rPr>
          <w:sz w:val="28"/>
          <w:szCs w:val="28"/>
          <w:lang w:val="ru-RU"/>
        </w:rPr>
      </w:pPr>
      <w:r>
        <w:rPr>
          <w:sz w:val="28"/>
          <w:szCs w:val="28"/>
          <w:lang w:val="ru-RU"/>
        </w:rPr>
        <w:t>Для объяснения указанных противоречий в работе предлагаем использовать концепцию фронтира, заимствованная из междисциплинарных исследований и адаптированная к анализу цифровой экономики [</w:t>
      </w:r>
      <w:r>
        <w:rPr>
          <w:sz w:val="28"/>
          <w:szCs w:val="28"/>
          <w:highlight w:val="yellow"/>
          <w:lang w:val="ru-RU"/>
        </w:rPr>
        <w:t>15</w:t>
      </w:r>
      <w:r>
        <w:rPr>
          <w:sz w:val="28"/>
          <w:szCs w:val="28"/>
          <w:lang w:val="ru-RU"/>
        </w:rPr>
        <w:t>]. Фронтир понимается не как линия конфликта, а как управляемая зона неопределенности, в которой происходит согласование новых и традиционных экономических практик.</w:t>
      </w:r>
    </w:p>
    <w:p>
      <w:pPr>
        <w:pStyle w:val="P13"/>
        <w:spacing w:lineRule="auto" w:line="360" w:beforeAutospacing="0" w:afterAutospacing="0"/>
        <w:ind w:firstLine="709"/>
        <w:jc w:val="both"/>
        <w:rPr>
          <w:sz w:val="28"/>
          <w:szCs w:val="28"/>
          <w:lang w:val="ru-RU"/>
        </w:rPr>
      </w:pPr>
      <w:r>
        <w:rPr>
          <w:sz w:val="28"/>
          <w:szCs w:val="28"/>
          <w:lang w:val="ru-RU"/>
        </w:rPr>
        <w:t xml:space="preserve">На рисунке </w:t>
      </w:r>
      <w:r>
        <w:rPr>
          <w:sz w:val="28"/>
          <w:szCs w:val="28"/>
          <w:highlight w:val="yellow"/>
          <w:lang w:val="ru-RU"/>
        </w:rPr>
        <w:t>1</w:t>
      </w:r>
      <w:r>
        <w:rPr>
          <w:sz w:val="28"/>
          <w:szCs w:val="28"/>
          <w:lang w:val="ru-RU"/>
        </w:rPr>
        <w:t xml:space="preserve"> представлен механизм сбалансированного взаимодействия фронтира между двумя цифровыми платформами.</w:t>
      </w:r>
    </w:p>
    <w:p>
      <w:pPr>
        <w:pStyle w:val="P13"/>
        <w:ind w:firstLine="709"/>
        <w:jc w:val="both"/>
        <w:rPr>
          <w:sz w:val="28"/>
          <w:szCs w:val="28"/>
          <w:lang w:val="ru-RU"/>
        </w:rPr>
      </w:pPr>
      <w:r>
        <w:rPr>
          <w:sz w:val="28"/>
          <w:szCs w:val="28"/>
          <w:lang w:val="ru-RU"/>
        </w:rPr>
        <w:t xml:space="preserve"> </w:t>
      </w:r>
      <w:r>
        <w:rPr>
          <w:noProof w:val="1"/>
          <w:sz w:val="28"/>
          <w:szCs w:val="28"/>
          <w:lang w:val="ru-RU" w:eastAsia="ru-RU"/>
        </w:rPr>
        <w:drawing>
          <wp:inline xmlns:wp="http://schemas.openxmlformats.org/drawingml/2006/wordprocessingDrawing" distT="0" distB="0" distL="0" distR="0">
            <wp:extent cx="6300470" cy="4582795"/>
            <wp:effectExtent l="0" t="0" r="5080" b="8255"/>
            <wp:docPr id="2147159938" name="Рисунок 21471599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159938" name="3 рис нов.jpg"/>
                    <pic:cNvPicPr/>
                  </pic:nvPicPr>
                  <pic:blipFill dpi="0">
                    <a:blip xmlns:r="http://schemas.openxmlformats.org/officeDocument/2006/relationships" r:embed="Relimage11">
                      <a:extLst>
                        <a:ext uri="{28A0092B-C50C-407E-A947-70E740481C1C}">
                          <a14:useLocalDpi xmlns:a14="http://schemas.microsoft.com/office/drawing/2010/main" val="0"/>
                        </a:ext>
                      </a:extLst>
                    </a:blip>
                    <a:srcRect/>
                    <a:stretch>
                      <a:fillRect/>
                    </a:stretch>
                  </pic:blipFill>
                  <pic:spPr>
                    <a:xfrm>
                      <a:off x="0" y="0"/>
                      <a:ext cx="6300470" cy="4582795"/>
                    </a:xfrm>
                    <a:prstGeom prst="rect"/>
                  </pic:spPr>
                </pic:pic>
              </a:graphicData>
            </a:graphic>
          </wp:inline>
        </w:drawing>
      </w:r>
    </w:p>
    <w:p>
      <w:pPr>
        <w:pStyle w:val="P13"/>
        <w:spacing w:lineRule="auto" w:line="360" w:beforeAutospacing="0" w:afterAutospacing="0"/>
        <w:ind w:firstLine="709"/>
        <w:jc w:val="center"/>
        <w:rPr>
          <w:color w:val="00B0F0"/>
          <w:sz w:val="28"/>
          <w:szCs w:val="28"/>
          <w:lang w:val="ru-RU"/>
        </w:rPr>
      </w:pPr>
      <w:r>
        <w:rPr>
          <w:sz w:val="28"/>
          <w:szCs w:val="28"/>
          <w:lang w:val="ru-RU"/>
        </w:rPr>
        <w:t xml:space="preserve">Рисунок </w:t>
      </w:r>
      <w:r>
        <w:rPr>
          <w:sz w:val="28"/>
          <w:szCs w:val="28"/>
          <w:highlight w:val="yellow"/>
          <w:lang w:val="ru-RU"/>
        </w:rPr>
        <w:t>1</w:t>
      </w:r>
      <w:r>
        <w:rPr>
          <w:sz w:val="28"/>
          <w:szCs w:val="28"/>
          <w:lang w:val="ru-RU"/>
        </w:rPr>
        <w:t xml:space="preserve"> – Философия фронтира как механизма регулирования внедрения цифровых платформ в Републике Кот-д'Ивуар (составлено автором)</w:t>
      </w:r>
    </w:p>
    <w:p>
      <w:pPr>
        <w:pStyle w:val="P13"/>
        <w:spacing w:lineRule="auto" w:line="360" w:beforeAutospacing="0" w:afterAutospacing="0"/>
        <w:ind w:firstLine="709"/>
        <w:jc w:val="both"/>
        <w:rPr>
          <w:sz w:val="28"/>
          <w:szCs w:val="28"/>
          <w:lang w:val="ru-RU"/>
        </w:rPr>
      </w:pPr>
      <w:r>
        <w:rPr>
          <w:sz w:val="28"/>
          <w:szCs w:val="28"/>
          <w:lang w:val="ru-RU"/>
        </w:rPr>
        <w:t xml:space="preserve">Роль фронтира заключается в регулировании внедрения цифровой культуры не напрямую, а через экономический канал: </w:t>
      </w:r>
      <w:r>
        <w:rPr>
          <w:sz w:val="28"/>
          <w:szCs w:val="28"/>
          <w:lang w:val="ru-RU"/>
        </w:rPr>
        <w:br w:type="textWrapping"/>
      </w:r>
      <w:r>
        <w:rPr>
          <w:sz w:val="28"/>
          <w:szCs w:val="28"/>
          <w:lang w:val="ru-RU"/>
        </w:rPr>
        <w:t>предпринимательство → рост благосостояния → рост доверия.</w:t>
      </w:r>
    </w:p>
    <w:p>
      <w:pPr>
        <w:pStyle w:val="P13"/>
        <w:spacing w:lineRule="auto" w:line="360" w:beforeAutospacing="0" w:afterAutospacing="0"/>
        <w:ind w:firstLine="709"/>
        <w:jc w:val="both"/>
        <w:rPr>
          <w:sz w:val="28"/>
          <w:szCs w:val="28"/>
          <w:lang w:val="ru-RU"/>
        </w:rPr>
      </w:pPr>
      <w:r>
        <w:rPr>
          <w:sz w:val="28"/>
          <w:szCs w:val="28"/>
          <w:lang w:val="ru-RU"/>
        </w:rPr>
        <w:t>Процесс болезненный из-за структурной когнитивной несовместимости и институциональных разрывов; «палабр-контур» обеспечивает примирение и настройку темпа/пределов внедрения. Метрики выполняют сигнальную функцию и требуют интерпретации: это не «судебные доказательства», а индикаторы для коррекции траектории.</w:t>
      </w:r>
    </w:p>
    <w:p>
      <w:pPr>
        <w:pStyle w:val="P13"/>
        <w:spacing w:lineRule="auto" w:line="360" w:beforeAutospacing="0" w:afterAutospacing="0"/>
        <w:ind w:firstLine="709"/>
        <w:jc w:val="both"/>
        <w:rPr>
          <w:sz w:val="28"/>
          <w:szCs w:val="28"/>
          <w:lang w:val="ru-RU"/>
        </w:rPr>
      </w:pPr>
      <w:r>
        <w:rPr>
          <w:sz w:val="28"/>
          <w:szCs w:val="28"/>
          <w:lang w:val="ru-RU"/>
        </w:rPr>
        <w:t>Фронтир выполняет три ключевые функции:</w:t>
      </w:r>
    </w:p>
    <w:p>
      <w:pPr>
        <w:pStyle w:val="P13"/>
        <w:spacing w:lineRule="auto" w:line="360" w:beforeAutospacing="0" w:afterAutospacing="0"/>
        <w:ind w:firstLine="709"/>
        <w:jc w:val="both"/>
        <w:rPr>
          <w:sz w:val="28"/>
          <w:szCs w:val="28"/>
          <w:lang w:val="ru-RU"/>
        </w:rPr>
      </w:pPr>
      <w:r>
        <w:rPr>
          <w:sz w:val="28"/>
          <w:szCs w:val="28"/>
          <w:lang w:val="ru-RU"/>
        </w:rPr>
        <w:t>–</w:t>
        <w:tab/>
        <w:t>регистрацию зон социально-экономического напряжения;</w:t>
      </w:r>
    </w:p>
    <w:p>
      <w:pPr>
        <w:pStyle w:val="P13"/>
        <w:spacing w:lineRule="auto" w:line="360" w:beforeAutospacing="0" w:afterAutospacing="0"/>
        <w:ind w:firstLine="709"/>
        <w:jc w:val="both"/>
        <w:rPr>
          <w:sz w:val="28"/>
          <w:szCs w:val="28"/>
          <w:lang w:val="ru-RU"/>
        </w:rPr>
      </w:pPr>
      <w:r>
        <w:rPr>
          <w:sz w:val="28"/>
          <w:szCs w:val="28"/>
          <w:lang w:val="ru-RU"/>
        </w:rPr>
        <w:t>–</w:t>
        <w:tab/>
        <w:t>перевод новых платформенных практик в формы, совместимые с локальными институтами;</w:t>
      </w:r>
    </w:p>
    <w:p>
      <w:pPr>
        <w:pStyle w:val="P13"/>
        <w:spacing w:lineRule="auto" w:line="360" w:beforeAutospacing="0" w:afterAutospacing="0"/>
        <w:ind w:firstLine="709"/>
        <w:jc w:val="both"/>
        <w:rPr>
          <w:sz w:val="28"/>
          <w:szCs w:val="28"/>
          <w:lang w:val="ru-RU"/>
        </w:rPr>
      </w:pPr>
      <w:r>
        <w:rPr>
          <w:sz w:val="28"/>
          <w:szCs w:val="28"/>
          <w:lang w:val="ru-RU"/>
        </w:rPr>
        <w:t>–</w:t>
        <w:tab/>
        <w:t>регулирование темпа внедрения цифровых решений.</w:t>
      </w:r>
    </w:p>
    <w:p>
      <w:pPr>
        <w:pStyle w:val="P13"/>
        <w:spacing w:lineRule="auto" w:line="360" w:beforeAutospacing="0" w:afterAutospacing="0"/>
        <w:ind w:firstLine="709"/>
        <w:jc w:val="both"/>
        <w:rPr>
          <w:sz w:val="28"/>
          <w:szCs w:val="28"/>
          <w:lang w:val="ru-RU"/>
        </w:rPr>
      </w:pPr>
      <w:r>
        <w:rPr>
          <w:sz w:val="28"/>
          <w:szCs w:val="28"/>
          <w:lang w:val="ru-RU"/>
        </w:rPr>
        <w:t>В условиях Кот-д'Ивуара важную роль играет традиционная практика публичного обсуждения и консенсусного согласования (palabre), широко применяемая при разрешении социальных и экономических конфликтов [</w:t>
      </w:r>
      <w:r>
        <w:rPr>
          <w:sz w:val="28"/>
          <w:szCs w:val="28"/>
          <w:highlight w:val="yellow"/>
          <w:lang w:val="ru-RU"/>
        </w:rPr>
        <w:t>16</w:t>
      </w:r>
      <w:r>
        <w:rPr>
          <w:sz w:val="28"/>
          <w:szCs w:val="28"/>
          <w:lang w:val="ru-RU"/>
        </w:rPr>
        <w:t>]. Встраивание элементов палабре в процессы платформизации позволяет смягчить напряженность и обеспечить локальную легитимацию цифровых решений.</w:t>
      </w:r>
    </w:p>
    <w:p>
      <w:pPr>
        <w:pStyle w:val="P13"/>
        <w:spacing w:lineRule="auto" w:line="360" w:beforeAutospacing="0" w:afterAutospacing="0"/>
        <w:ind w:firstLine="709"/>
        <w:jc w:val="both"/>
        <w:rPr>
          <w:sz w:val="28"/>
          <w:szCs w:val="28"/>
          <w:lang w:val="ru-RU"/>
        </w:rPr>
      </w:pPr>
      <w:r>
        <w:rPr>
          <w:sz w:val="28"/>
          <w:szCs w:val="28"/>
          <w:lang w:val="ru-RU"/>
        </w:rPr>
        <w:t>В отличие от формального арбитража, палабр ориентирована не на вынесение вердикта, а на восстановление социального равновесия, что делает ее эффективным инструментом адаптационного регулирования [</w:t>
      </w:r>
      <w:r>
        <w:rPr>
          <w:sz w:val="28"/>
          <w:szCs w:val="28"/>
          <w:highlight w:val="yellow"/>
          <w:lang w:val="ru-RU"/>
        </w:rPr>
        <w:t>17</w:t>
      </w:r>
      <w:r>
        <w:rPr>
          <w:sz w:val="28"/>
          <w:szCs w:val="28"/>
          <w:lang w:val="ru-RU"/>
        </w:rPr>
        <w:t>].</w:t>
      </w:r>
    </w:p>
    <w:p>
      <w:pPr>
        <w:pStyle w:val="P13"/>
        <w:spacing w:lineRule="auto" w:line="360" w:beforeAutospacing="0" w:afterAutospacing="0"/>
        <w:ind w:firstLine="709"/>
        <w:jc w:val="both"/>
        <w:rPr>
          <w:sz w:val="28"/>
          <w:szCs w:val="28"/>
          <w:lang w:val="ru-RU"/>
        </w:rPr>
      </w:pPr>
      <w:r>
        <w:rPr>
          <w:sz w:val="28"/>
          <w:szCs w:val="28"/>
          <w:lang w:val="ru-RU"/>
        </w:rPr>
        <w:t>Ключевым выводом исследования является положение о том, что цифровые платформы в Кот-д'Ивуаре должны внедряться не напрямую, а через развитие предпринимательской активности. Малый бизнес и самозанятость выступают посредниками между цифровыми технологиями и повседневной экономической практикой населения [</w:t>
      </w:r>
      <w:r>
        <w:rPr>
          <w:sz w:val="28"/>
          <w:szCs w:val="28"/>
          <w:highlight w:val="yellow"/>
          <w:lang w:val="ru-RU"/>
        </w:rPr>
        <w:t>18</w:t>
      </w:r>
      <w:r>
        <w:rPr>
          <w:sz w:val="28"/>
          <w:szCs w:val="28"/>
          <w:lang w:val="ru-RU"/>
        </w:rPr>
        <w:t>]. Рост предпринимательской активности способствует увеличению доходов, формированию доверия к цифровым инструментам и постепенной институциональной адаптации [</w:t>
      </w:r>
      <w:r>
        <w:rPr>
          <w:sz w:val="28"/>
          <w:szCs w:val="28"/>
          <w:highlight w:val="yellow"/>
          <w:lang w:val="ru-RU"/>
        </w:rPr>
        <w:t>19</w:t>
      </w:r>
      <w:r>
        <w:rPr>
          <w:sz w:val="28"/>
          <w:szCs w:val="28"/>
          <w:lang w:val="ru-RU"/>
        </w:rPr>
        <w:t>]. В этом контексте фронтир выполняет функцию регулятора распределения выгод и рисков цифровой трансформации.</w:t>
      </w:r>
    </w:p>
    <w:p>
      <w:pPr>
        <w:pStyle w:val="P13"/>
        <w:spacing w:lineRule="auto" w:line="360" w:beforeAutospacing="0" w:afterAutospacing="0"/>
        <w:ind w:firstLine="709"/>
        <w:jc w:val="both"/>
        <w:rPr>
          <w:sz w:val="28"/>
          <w:szCs w:val="28"/>
          <w:lang w:val="ru-RU"/>
        </w:rPr>
      </w:pPr>
      <w:r>
        <w:rPr>
          <w:sz w:val="28"/>
          <w:szCs w:val="28"/>
          <w:lang w:val="ru-RU"/>
        </w:rPr>
        <w:t>Одной из ключевых методологических проблем анализа процессов цифровой трансформации в странах с формирующимися рынками является отсутствие универсальных количественных показателей, позволяющих однозначно оценить успешность внедрения цифровых платформ. В условиях Кот-д'Ивуара данная проблема усугубляется высокой культурной и институциональной неоднородностью, а также преобладанием неформальных экономических практик [</w:t>
      </w:r>
      <w:r>
        <w:rPr>
          <w:sz w:val="28"/>
          <w:szCs w:val="28"/>
          <w:highlight w:val="yellow"/>
          <w:lang w:val="ru-RU"/>
        </w:rPr>
        <w:t>12</w:t>
      </w:r>
      <w:r>
        <w:rPr>
          <w:sz w:val="28"/>
          <w:szCs w:val="28"/>
          <w:lang w:val="ru-RU"/>
        </w:rPr>
        <w:t>].</w:t>
      </w:r>
    </w:p>
    <w:p>
      <w:pPr>
        <w:pStyle w:val="P13"/>
        <w:spacing w:lineRule="auto" w:line="360" w:beforeAutospacing="0" w:afterAutospacing="0"/>
        <w:ind w:firstLine="709"/>
        <w:jc w:val="both"/>
        <w:rPr>
          <w:sz w:val="28"/>
          <w:szCs w:val="28"/>
          <w:lang w:val="ru-RU"/>
        </w:rPr>
      </w:pPr>
      <w:r>
        <w:rPr>
          <w:sz w:val="28"/>
          <w:szCs w:val="28"/>
          <w:lang w:val="ru-RU"/>
        </w:rPr>
        <w:t>В рамках предлагаемой концепции фронтира метрики не рассматриваются как инструменты нормативной оценки или доказательства эффективности. Напротив, они выполняют сигнальную и диагностическую функцию, фиксируя зоны напряжения, дисбаланса и асимметрии между цифровыми практиками и социально-экономической средой [</w:t>
      </w:r>
      <w:r>
        <w:rPr>
          <w:sz w:val="28"/>
          <w:szCs w:val="28"/>
          <w:highlight w:val="yellow"/>
          <w:lang w:val="ru-RU"/>
        </w:rPr>
        <w:t>15</w:t>
      </w:r>
      <w:r>
        <w:rPr>
          <w:sz w:val="28"/>
          <w:szCs w:val="28"/>
          <w:lang w:val="ru-RU"/>
        </w:rPr>
        <w:t>]. Такой подход позволяет отказаться от бинарной логики «успех – неуспех» и перейти к анализу сбалансированности развития новых форм цифровых культур.</w:t>
      </w:r>
    </w:p>
    <w:p>
      <w:pPr>
        <w:pStyle w:val="P13"/>
        <w:spacing w:lineRule="auto" w:line="360" w:beforeAutospacing="0" w:afterAutospacing="0"/>
        <w:ind w:firstLine="709"/>
        <w:jc w:val="both"/>
        <w:rPr>
          <w:sz w:val="28"/>
          <w:szCs w:val="28"/>
          <w:lang w:val="ru-RU"/>
        </w:rPr>
      </w:pPr>
      <w:r>
        <w:rPr>
          <w:sz w:val="28"/>
          <w:szCs w:val="28"/>
          <w:lang w:val="ru-RU"/>
        </w:rPr>
        <w:t>Формирование метрик фронтира в контексте Кот-д'Ивуара должно опираться на несколько принципиальных положений.</w:t>
      </w:r>
    </w:p>
    <w:p>
      <w:pPr>
        <w:pStyle w:val="P13"/>
        <w:spacing w:lineRule="auto" w:line="360" w:beforeAutospacing="0" w:afterAutospacing="0"/>
        <w:ind w:firstLine="709"/>
        <w:jc w:val="both"/>
        <w:rPr>
          <w:sz w:val="28"/>
          <w:szCs w:val="28"/>
          <w:lang w:val="ru-RU"/>
        </w:rPr>
      </w:pPr>
      <w:r>
        <w:rPr>
          <w:sz w:val="28"/>
          <w:szCs w:val="28"/>
          <w:lang w:val="ru-RU"/>
        </w:rPr>
        <w:t>Во-первых, метрики должны быть контекстно-зависимыми, то есть отражать специфику локальных институтов, культурных практик и экономических форм. Перенос показателей, разработанных для развитых цифровых экономик, приводит к искажению реальной картины и формированию ложных управленческих решений [</w:t>
      </w:r>
      <w:r>
        <w:rPr>
          <w:sz w:val="28"/>
          <w:szCs w:val="28"/>
          <w:highlight w:val="yellow"/>
          <w:lang w:val="ru-RU"/>
        </w:rPr>
        <w:t>7</w:t>
      </w:r>
      <w:r>
        <w:rPr>
          <w:sz w:val="28"/>
          <w:szCs w:val="28"/>
          <w:lang w:val="ru-RU"/>
        </w:rPr>
        <w:t>].</w:t>
      </w:r>
    </w:p>
    <w:p>
      <w:pPr>
        <w:pStyle w:val="P13"/>
        <w:spacing w:lineRule="auto" w:line="360" w:beforeAutospacing="0" w:afterAutospacing="0"/>
        <w:ind w:firstLine="709"/>
        <w:jc w:val="both"/>
        <w:rPr>
          <w:sz w:val="28"/>
          <w:szCs w:val="28"/>
          <w:lang w:val="ru-RU"/>
        </w:rPr>
      </w:pPr>
      <w:r>
        <w:rPr>
          <w:sz w:val="28"/>
          <w:szCs w:val="28"/>
          <w:lang w:val="ru-RU"/>
        </w:rPr>
        <w:t>Во-вторых, метрики фронтира не могут быть использованы в качестве оснований для санкций или жесткого регулирования. Их функция заключается в раннем обнаружении дисбалансов, а не в вынесении регуляторных вердиктов [</w:t>
      </w:r>
      <w:r>
        <w:rPr>
          <w:sz w:val="28"/>
          <w:szCs w:val="28"/>
          <w:highlight w:val="yellow"/>
          <w:lang w:val="ru-RU"/>
        </w:rPr>
        <w:t>14]</w:t>
      </w:r>
      <w:r>
        <w:rPr>
          <w:sz w:val="28"/>
          <w:szCs w:val="28"/>
          <w:lang w:val="ru-RU"/>
        </w:rPr>
        <w:t>.</w:t>
      </w:r>
    </w:p>
    <w:p>
      <w:pPr>
        <w:pStyle w:val="P13"/>
        <w:spacing w:lineRule="auto" w:line="360" w:beforeAutospacing="0" w:afterAutospacing="0"/>
        <w:ind w:firstLine="709"/>
        <w:jc w:val="both"/>
        <w:rPr>
          <w:sz w:val="28"/>
          <w:szCs w:val="28"/>
          <w:lang w:val="ru-RU"/>
        </w:rPr>
      </w:pPr>
      <w:r>
        <w:rPr>
          <w:sz w:val="28"/>
          <w:szCs w:val="28"/>
          <w:lang w:val="ru-RU"/>
        </w:rPr>
        <w:t>В-третьих, интерпретация метрик требует включения механизмов социального согласования, в частности процедур публичного обсуждения и консенсусной медиации (palabre), обеспечивающих локальную легитимацию результатов оценки [</w:t>
      </w:r>
      <w:r>
        <w:rPr>
          <w:sz w:val="28"/>
          <w:szCs w:val="28"/>
          <w:highlight w:val="yellow"/>
          <w:lang w:val="ru-RU"/>
        </w:rPr>
        <w:t>16</w:t>
      </w:r>
      <w:r>
        <w:rPr>
          <w:sz w:val="28"/>
          <w:szCs w:val="28"/>
          <w:lang w:val="ru-RU"/>
        </w:rPr>
        <w:t>].</w:t>
      </w:r>
    </w:p>
    <w:p>
      <w:pPr>
        <w:pStyle w:val="P13"/>
        <w:spacing w:lineRule="auto" w:line="360" w:beforeAutospacing="0" w:afterAutospacing="0"/>
        <w:ind w:firstLine="709"/>
        <w:jc w:val="both"/>
        <w:rPr>
          <w:sz w:val="28"/>
          <w:szCs w:val="28"/>
          <w:lang w:val="ru-RU"/>
        </w:rPr>
      </w:pPr>
      <w:r>
        <w:rPr>
          <w:sz w:val="28"/>
          <w:szCs w:val="28"/>
          <w:lang w:val="ru-RU"/>
        </w:rPr>
        <w:t>С уч</w:t>
      </w:r>
      <w:r>
        <w:rPr>
          <w:sz w:val="28"/>
          <w:szCs w:val="28"/>
          <w:highlight w:val="yellow"/>
          <w:lang w:val="ru-RU"/>
        </w:rPr>
        <w:t>е</w:t>
      </w:r>
      <w:r>
        <w:rPr>
          <w:sz w:val="28"/>
          <w:szCs w:val="28"/>
          <w:lang w:val="ru-RU"/>
        </w:rPr>
        <w:t>том указанных принципов целесообразно выделить несколько групп метрик фронтира, отражающих различные аспекты сбалансированности цифровой трансформации.</w:t>
      </w:r>
    </w:p>
    <w:p>
      <w:pPr>
        <w:pStyle w:val="P13"/>
        <w:spacing w:lineRule="auto" w:line="360" w:beforeAutospacing="0" w:afterAutospacing="0"/>
        <w:ind w:firstLine="709"/>
        <w:jc w:val="both"/>
        <w:rPr>
          <w:sz w:val="28"/>
          <w:szCs w:val="28"/>
          <w:lang w:val="ru-RU"/>
        </w:rPr>
      </w:pPr>
      <w:r>
        <w:rPr>
          <w:sz w:val="28"/>
          <w:szCs w:val="28"/>
          <w:lang w:val="ru-RU"/>
        </w:rPr>
        <w:t>1. Метрики экономической включенности.</w:t>
      </w:r>
    </w:p>
    <w:p>
      <w:pPr>
        <w:pStyle w:val="P13"/>
        <w:spacing w:lineRule="auto" w:line="360" w:beforeAutospacing="0" w:afterAutospacing="0"/>
        <w:ind w:firstLine="709"/>
        <w:jc w:val="both"/>
        <w:rPr>
          <w:sz w:val="28"/>
          <w:szCs w:val="28"/>
          <w:lang w:val="ru-RU"/>
        </w:rPr>
      </w:pPr>
      <w:r>
        <w:rPr>
          <w:sz w:val="28"/>
          <w:szCs w:val="28"/>
          <w:lang w:val="ru-RU"/>
        </w:rPr>
        <w:t>Данная группа показателей отражает степень вовлечения населения в новые формы цифровой экономической активности. К ним относятся доля малых и микропредприятий, использующих цифровые платформы для торговли и расчетов; рост доходов самозанятых; устойчивость предпринимательской деятельности во времени [</w:t>
      </w:r>
      <w:r>
        <w:rPr>
          <w:sz w:val="28"/>
          <w:szCs w:val="28"/>
          <w:highlight w:val="yellow"/>
          <w:lang w:val="ru-RU"/>
        </w:rPr>
        <w:t>18</w:t>
      </w:r>
      <w:r>
        <w:rPr>
          <w:sz w:val="28"/>
          <w:szCs w:val="28"/>
          <w:lang w:val="ru-RU"/>
        </w:rPr>
        <w:t>]. Важно подчеркнуть, что ключевым показателем является не скорость роста, а устойчивость включения без утраты автономности экономических субъектов.</w:t>
      </w:r>
    </w:p>
    <w:p>
      <w:pPr>
        <w:pStyle w:val="P13"/>
        <w:spacing w:lineRule="auto" w:line="360" w:beforeAutospacing="0" w:afterAutospacing="0"/>
        <w:ind w:firstLine="709"/>
        <w:jc w:val="both"/>
        <w:rPr>
          <w:sz w:val="28"/>
          <w:szCs w:val="28"/>
          <w:lang w:val="ru-RU"/>
        </w:rPr>
      </w:pPr>
      <w:r>
        <w:rPr>
          <w:sz w:val="28"/>
          <w:szCs w:val="28"/>
          <w:lang w:val="ru-RU"/>
        </w:rPr>
        <w:t>2. Метрики институциональной совместимости.</w:t>
      </w:r>
    </w:p>
    <w:p>
      <w:pPr>
        <w:pStyle w:val="P13"/>
        <w:spacing w:lineRule="auto" w:line="360" w:beforeAutospacing="0" w:afterAutospacing="0"/>
        <w:ind w:firstLine="709"/>
        <w:jc w:val="both"/>
        <w:rPr>
          <w:sz w:val="28"/>
          <w:szCs w:val="28"/>
          <w:lang w:val="ru-RU"/>
        </w:rPr>
      </w:pPr>
      <w:r>
        <w:rPr>
          <w:sz w:val="28"/>
          <w:szCs w:val="28"/>
          <w:lang w:val="ru-RU"/>
        </w:rPr>
        <w:t>Эта группа метрик позволяет оценить степень согласованности цифровых платформ с существующими формальными и неформальными институтами. К таким показателям относятся уровень доверия к цифровым сервисам, доля транзакций, совершаемых без посредников, а также степень интеграции цифровых инструментов в традиционные хозяйственные практики [</w:t>
      </w:r>
      <w:r>
        <w:rPr>
          <w:sz w:val="28"/>
          <w:szCs w:val="28"/>
          <w:highlight w:val="yellow"/>
          <w:lang w:val="ru-RU"/>
        </w:rPr>
        <w:t>10</w:t>
      </w:r>
      <w:r>
        <w:rPr>
          <w:sz w:val="28"/>
          <w:szCs w:val="28"/>
          <w:lang w:val="ru-RU"/>
        </w:rPr>
        <w:t>].</w:t>
      </w:r>
    </w:p>
    <w:p>
      <w:pPr>
        <w:pStyle w:val="P13"/>
        <w:spacing w:lineRule="auto" w:line="360" w:beforeAutospacing="0" w:afterAutospacing="0"/>
        <w:ind w:firstLine="709"/>
        <w:jc w:val="both"/>
        <w:rPr>
          <w:sz w:val="28"/>
          <w:szCs w:val="28"/>
          <w:lang w:val="ru-RU"/>
        </w:rPr>
      </w:pPr>
      <w:r>
        <w:rPr>
          <w:sz w:val="28"/>
          <w:szCs w:val="28"/>
          <w:lang w:val="ru-RU"/>
        </w:rPr>
        <w:t>3. Метрики культурной адаптации.</w:t>
      </w:r>
    </w:p>
    <w:p>
      <w:pPr>
        <w:pStyle w:val="P13"/>
        <w:spacing w:lineRule="auto" w:line="360" w:beforeAutospacing="0" w:afterAutospacing="0"/>
        <w:ind w:firstLine="709"/>
        <w:jc w:val="both"/>
        <w:rPr>
          <w:sz w:val="28"/>
          <w:szCs w:val="28"/>
          <w:lang w:val="ru-RU"/>
        </w:rPr>
      </w:pPr>
      <w:r>
        <w:rPr>
          <w:sz w:val="28"/>
          <w:szCs w:val="28"/>
          <w:lang w:val="ru-RU"/>
        </w:rPr>
        <w:t>Метрики данной группы фиксируют способность новых цифровых форм сосуществовать с локальными культурными кодами. Это проявляется, в частности, в распространении коллективных форм использования платформ, адаптации интерфейсов под устную коммуникацию и снижении конфликтности между цифровыми и традиционными практиками [</w:t>
      </w:r>
      <w:r>
        <w:rPr>
          <w:sz w:val="28"/>
          <w:szCs w:val="28"/>
          <w:highlight w:val="yellow"/>
          <w:lang w:val="ru-RU"/>
        </w:rPr>
        <w:t>11</w:t>
      </w:r>
      <w:r>
        <w:rPr>
          <w:sz w:val="28"/>
          <w:szCs w:val="28"/>
          <w:lang w:val="ru-RU"/>
        </w:rPr>
        <w:t>].</w:t>
      </w:r>
    </w:p>
    <w:p>
      <w:pPr>
        <w:pStyle w:val="P13"/>
        <w:spacing w:lineRule="auto" w:line="360" w:beforeAutospacing="0" w:afterAutospacing="0"/>
        <w:ind w:firstLine="709"/>
        <w:jc w:val="both"/>
        <w:rPr>
          <w:sz w:val="28"/>
          <w:szCs w:val="28"/>
          <w:lang w:val="ru-RU"/>
        </w:rPr>
      </w:pPr>
      <w:r>
        <w:rPr>
          <w:sz w:val="28"/>
          <w:szCs w:val="28"/>
          <w:lang w:val="ru-RU"/>
        </w:rPr>
        <w:t>4. Метрики социальной напряженности.</w:t>
      </w:r>
    </w:p>
    <w:p>
      <w:pPr>
        <w:pStyle w:val="P13"/>
        <w:spacing w:lineRule="auto" w:line="360" w:beforeAutospacing="0" w:afterAutospacing="0"/>
        <w:ind w:firstLine="709"/>
        <w:jc w:val="both"/>
        <w:rPr>
          <w:sz w:val="28"/>
          <w:szCs w:val="28"/>
          <w:lang w:val="ru-RU"/>
        </w:rPr>
      </w:pPr>
      <w:r>
        <w:rPr>
          <w:sz w:val="28"/>
          <w:szCs w:val="28"/>
          <w:lang w:val="ru-RU"/>
        </w:rPr>
        <w:t>К данной группе относятся показатели, отражающие рост или снижение конфликтов, связанных с цифровизацией: частота отказов от использования платформ, уход в теневые формы взаимодействия, рост числа споров, требующих посредничества традиционных институтов [</w:t>
      </w:r>
      <w:r>
        <w:rPr>
          <w:sz w:val="28"/>
          <w:szCs w:val="28"/>
          <w:highlight w:val="yellow"/>
          <w:lang w:val="ru-RU"/>
        </w:rPr>
        <w:t>17</w:t>
      </w:r>
      <w:r>
        <w:rPr>
          <w:sz w:val="28"/>
          <w:szCs w:val="28"/>
          <w:lang w:val="ru-RU"/>
        </w:rPr>
        <w:t>]. Эти метрики служат индикатором превышения допустимого темпа внедрения цифровых решений.</w:t>
      </w:r>
    </w:p>
    <w:p>
      <w:pPr>
        <w:pStyle w:val="P13"/>
        <w:spacing w:lineRule="auto" w:line="360" w:beforeAutospacing="0" w:afterAutospacing="0"/>
        <w:ind w:firstLine="709"/>
        <w:jc w:val="both"/>
        <w:rPr>
          <w:sz w:val="28"/>
          <w:szCs w:val="28"/>
          <w:lang w:val="ru-RU"/>
        </w:rPr>
      </w:pPr>
      <w:r>
        <w:rPr>
          <w:sz w:val="28"/>
          <w:szCs w:val="28"/>
          <w:lang w:val="ru-RU"/>
        </w:rPr>
        <w:t>5. Метрики темпа и пределов внедрения цифровых платформ</w:t>
      </w:r>
    </w:p>
    <w:p>
      <w:pPr>
        <w:pStyle w:val="P13"/>
        <w:spacing w:lineRule="auto" w:line="360" w:beforeAutospacing="0" w:afterAutospacing="0"/>
        <w:ind w:firstLine="709"/>
        <w:jc w:val="both"/>
        <w:rPr>
          <w:sz w:val="28"/>
          <w:szCs w:val="28"/>
          <w:lang w:val="ru-RU"/>
        </w:rPr>
      </w:pPr>
      <w:r>
        <w:rPr>
          <w:sz w:val="28"/>
          <w:szCs w:val="28"/>
          <w:lang w:val="ru-RU"/>
        </w:rPr>
        <w:t>Особое значение в рамках концепции фронтира приобретают метрики темпа цифровой трансформации. В условиях Кот-д'Ивуара критически важным является соотношение скорости внедрения цифровых платформ и скорости институциональной и культурной адаптации [</w:t>
      </w:r>
      <w:r>
        <w:rPr>
          <w:sz w:val="28"/>
          <w:szCs w:val="28"/>
          <w:highlight w:val="yellow"/>
          <w:lang w:val="ru-RU"/>
        </w:rPr>
        <w:t>13</w:t>
      </w:r>
      <w:r>
        <w:rPr>
          <w:sz w:val="28"/>
          <w:szCs w:val="28"/>
          <w:lang w:val="ru-RU"/>
        </w:rPr>
        <w:t>].</w:t>
      </w:r>
    </w:p>
    <w:p>
      <w:pPr>
        <w:pStyle w:val="P13"/>
        <w:spacing w:lineRule="auto" w:line="360" w:beforeAutospacing="0" w:afterAutospacing="0"/>
        <w:ind w:firstLine="709"/>
        <w:jc w:val="both"/>
        <w:rPr>
          <w:sz w:val="28"/>
          <w:szCs w:val="28"/>
          <w:lang w:val="ru-RU"/>
        </w:rPr>
      </w:pPr>
      <w:r>
        <w:rPr>
          <w:sz w:val="28"/>
          <w:szCs w:val="28"/>
          <w:lang w:val="ru-RU"/>
        </w:rPr>
        <w:t>Превышение данного порога проявляется в формировании «болезненных зон» фронтира, характеризующихся ростом недоверия, отказом от формальных цифровых каналов и усилением неформальных посреднических структур. В этой связи ключевыми становятся показатели лагов адаптации – временных разрывов между внедрением цифрового инструмента и его устойчивым включением в повседневную экономическую практику.</w:t>
      </w:r>
    </w:p>
    <w:p>
      <w:pPr>
        <w:pStyle w:val="P13"/>
        <w:spacing w:lineRule="auto" w:line="360" w:beforeAutospacing="0" w:afterAutospacing="0"/>
        <w:ind w:firstLine="709"/>
        <w:jc w:val="both"/>
        <w:rPr>
          <w:sz w:val="28"/>
          <w:szCs w:val="28"/>
          <w:lang w:val="ru-RU"/>
        </w:rPr>
      </w:pPr>
      <w:r>
        <w:rPr>
          <w:sz w:val="28"/>
          <w:szCs w:val="28"/>
          <w:lang w:val="ru-RU"/>
        </w:rPr>
        <w:t>Таким образом, метрики фронтира не подменяют собой управленческие решения, а формируют информационное основание для адаптационного регулирования. Их использование в сочетании с механизмами консенсусной медиации позволяет корректировать траекторию цифровой трансформации, снижать социальные риски и обеспечивать рост благосостояния населения без разрушения культурных и институциональных основ общества [</w:t>
      </w:r>
      <w:r>
        <w:rPr>
          <w:sz w:val="28"/>
          <w:szCs w:val="28"/>
          <w:highlight w:val="yellow"/>
          <w:lang w:val="ru-RU"/>
        </w:rPr>
        <w:t>19</w:t>
      </w:r>
      <w:r>
        <w:rPr>
          <w:sz w:val="28"/>
          <w:szCs w:val="28"/>
          <w:lang w:val="ru-RU"/>
        </w:rPr>
        <w:t>].</w:t>
      </w:r>
    </w:p>
    <w:p>
      <w:pPr>
        <w:pStyle w:val="P13"/>
        <w:spacing w:lineRule="auto" w:line="360" w:beforeAutospacing="0" w:afterAutospacing="0"/>
        <w:ind w:firstLine="709"/>
        <w:jc w:val="both"/>
        <w:rPr>
          <w:sz w:val="28"/>
          <w:szCs w:val="28"/>
          <w:lang w:val="ru-RU"/>
        </w:rPr>
      </w:pPr>
      <w:r>
        <w:rPr>
          <w:sz w:val="28"/>
          <w:szCs w:val="28"/>
          <w:lang w:val="ru-RU"/>
        </w:rPr>
        <w:t>Следовательно, сбалансированность развития новых форм цифровых культур в Кот-д'Ивуаре определяется не максимизацией отдельных показателей, а согласованностью экономических, институциональных и культурных изменений в рамках управляемого фронтира.</w:t>
      </w:r>
    </w:p>
    <w:p>
      <w:pPr>
        <w:pStyle w:val="P13"/>
        <w:spacing w:lineRule="auto" w:line="360" w:beforeAutospacing="0" w:afterAutospacing="0"/>
        <w:ind w:firstLine="709"/>
        <w:jc w:val="both"/>
        <w:rPr>
          <w:sz w:val="28"/>
          <w:szCs w:val="28"/>
          <w:lang w:val="ru-RU"/>
        </w:rPr>
      </w:pPr>
      <w:r>
        <w:rPr>
          <w:sz w:val="28"/>
          <w:szCs w:val="28"/>
          <w:lang w:val="ru-RU"/>
        </w:rPr>
        <w:t>Проведенный исследование показывает, что проблемы внедрения цифровых платформ в Кот-д'Ивуаре обусловлены не низким уровнем развития общества, а структурной несовместимостью платформенных моделей и локальных институциональных практик. Концепция фронтира позволяет рассматривать цифровую трансформацию как управляемый процесс согласования, а не как линейное внедрение технологий.</w:t>
      </w:r>
    </w:p>
    <w:p>
      <w:pPr>
        <w:pStyle w:val="P13"/>
        <w:spacing w:lineRule="auto" w:line="360" w:beforeAutospacing="0" w:afterAutospacing="0"/>
        <w:ind w:firstLine="709"/>
        <w:jc w:val="both"/>
        <w:rPr>
          <w:sz w:val="28"/>
          <w:szCs w:val="28"/>
          <w:lang w:val="ru-RU"/>
        </w:rPr>
      </w:pPr>
      <w:r>
        <w:rPr>
          <w:sz w:val="28"/>
          <w:szCs w:val="28"/>
          <w:lang w:val="ru-RU"/>
        </w:rPr>
        <w:t>Использование механизмов консенсусной медиации и ориентация на развитие предпринимательства создают условия для смягчения социальных рисков и устойчивого роста благосостояния населения. Полученные выводы могут быть использованы при разработке стратегий цифрового развития других стран с формирующимися рынками.</w:t>
      </w:r>
    </w:p>
    <w:p>
      <w:pPr>
        <w:pStyle w:val="P13"/>
        <w:spacing w:lineRule="auto" w:line="360" w:beforeAutospacing="0" w:afterAutospacing="0"/>
        <w:ind w:firstLine="709"/>
        <w:jc w:val="both"/>
        <w:rPr>
          <w:sz w:val="28"/>
          <w:szCs w:val="28"/>
          <w:lang w:val="ru-RU"/>
        </w:rPr>
      </w:pPr>
      <w:r>
        <w:rPr>
          <w:sz w:val="28"/>
          <w:szCs w:val="28"/>
          <w:lang w:val="ru-RU"/>
        </w:rPr>
        <w:t>Рассмотрим вторую составляющую социально-институйионального обеспеечния платформенного механизма инновационно-инклюзивного развития страны. В настоящее время существуют две диаметрально противоположные точки зрения, в соответствии с которым одни исследователи высказывают оптимистичную точку зрения о том, что бизнес может служить катализатором изменений в обществе и драйвером инклюзивного роста [</w:t>
      </w:r>
      <w:r>
        <w:rPr>
          <w:sz w:val="28"/>
          <w:szCs w:val="28"/>
          <w:highlight w:val="yellow"/>
          <w:lang w:val="ru-RU"/>
        </w:rPr>
        <w:t>144</w:t>
      </w:r>
      <w:r>
        <w:rPr>
          <w:sz w:val="28"/>
          <w:szCs w:val="28"/>
          <w:lang w:val="ru-RU"/>
        </w:rPr>
        <w:t>], а другие настроены более пессимистично [</w:t>
      </w:r>
      <w:r>
        <w:rPr>
          <w:sz w:val="28"/>
          <w:szCs w:val="28"/>
          <w:highlight w:val="yellow"/>
          <w:lang w:val="ru-RU"/>
        </w:rPr>
        <w:t>141</w:t>
      </w:r>
      <w:r>
        <w:rPr>
          <w:sz w:val="28"/>
          <w:szCs w:val="28"/>
          <w:lang w:val="ru-RU"/>
        </w:rPr>
        <w:t>]. Тем не менее, все исследователи отмечают важные проблемы, связанные с отсутствием единого понимания корпоративной ответственности, ее эволюцией с течением времени, а также ролью в формировании траекторий устойчивого развития и инклюзивного роста.</w:t>
      </w:r>
    </w:p>
    <w:p>
      <w:pPr>
        <w:pStyle w:val="P13"/>
        <w:spacing w:lineRule="auto" w:line="360" w:beforeAutospacing="0" w:afterAutospacing="0"/>
        <w:ind w:firstLine="709"/>
        <w:jc w:val="both"/>
        <w:rPr>
          <w:sz w:val="28"/>
          <w:szCs w:val="28"/>
          <w:lang w:val="ru-RU"/>
        </w:rPr>
      </w:pPr>
      <w:r>
        <w:rPr>
          <w:sz w:val="28"/>
          <w:szCs w:val="28"/>
          <w:lang w:val="ru-RU"/>
        </w:rPr>
        <w:t>В первую очередь эти трудности связаны с отсутствием четкого разделения терминов, таких как принцип благотворительности, принцип ответственного управления, корпоративная социальная ответственность и корпоративная гражданственность [1</w:t>
      </w:r>
      <w:r>
        <w:rPr>
          <w:sz w:val="28"/>
          <w:szCs w:val="28"/>
          <w:highlight w:val="yellow"/>
          <w:lang w:val="ru-RU"/>
        </w:rPr>
        <w:t>35</w:t>
      </w:r>
      <w:r>
        <w:rPr>
          <w:sz w:val="28"/>
          <w:szCs w:val="28"/>
          <w:lang w:val="ru-RU"/>
        </w:rPr>
        <w:t xml:space="preserve">]. Такой терминологический хаос приводит к тому, что корпоративную ответственность часто понимают неправильно. </w:t>
      </w:r>
    </w:p>
    <w:p>
      <w:pPr>
        <w:pStyle w:val="P13"/>
        <w:spacing w:lineRule="auto" w:line="360" w:beforeAutospacing="0" w:afterAutospacing="0"/>
        <w:ind w:firstLine="709"/>
        <w:jc w:val="both"/>
        <w:rPr>
          <w:sz w:val="28"/>
          <w:szCs w:val="28"/>
          <w:lang w:val="ru-RU"/>
        </w:rPr>
      </w:pPr>
      <w:r>
        <w:rPr>
          <w:sz w:val="28"/>
          <w:szCs w:val="28"/>
          <w:lang w:val="ru-RU"/>
        </w:rPr>
        <w:t>Исследователи часто сосредотачивают свою критику на практике гринвошинга, т. е. на практике обманчивого создания впечатления, что продукты организации ответственны с социальной или экологической точки зрения. Гринвошинг можно объяснить тем, что многие компании до сих пор рассматривают корпоративную ответственность скорее, как маркетинговый инструмент, чем как настоящую ответственность [</w:t>
      </w:r>
      <w:r>
        <w:rPr>
          <w:sz w:val="28"/>
          <w:szCs w:val="28"/>
          <w:highlight w:val="yellow"/>
          <w:lang w:val="ru-RU"/>
        </w:rPr>
        <w:t>157</w:t>
      </w:r>
      <w:r>
        <w:rPr>
          <w:sz w:val="28"/>
          <w:szCs w:val="28"/>
          <w:lang w:val="ru-RU"/>
        </w:rPr>
        <w:t>] или путь к конкурентному преимуществу [</w:t>
      </w:r>
      <w:r>
        <w:rPr>
          <w:sz w:val="28"/>
          <w:szCs w:val="28"/>
          <w:highlight w:val="yellow"/>
          <w:lang w:val="ru-RU"/>
        </w:rPr>
        <w:t>124</w:t>
      </w:r>
      <w:r>
        <w:rPr>
          <w:sz w:val="28"/>
          <w:szCs w:val="28"/>
          <w:lang w:val="ru-RU"/>
        </w:rPr>
        <w:t xml:space="preserve">]. Это происходит, когда компания выделяет и рекламирует один проект, соответствующий принуипам устойчивого развития, но отказывается стратегически интегрировать корпоративную ответственность в свою основную деятельность. </w:t>
      </w:r>
    </w:p>
    <w:p>
      <w:pPr>
        <w:pStyle w:val="P13"/>
        <w:spacing w:lineRule="auto" w:line="360" w:beforeAutospacing="0" w:afterAutospacing="0"/>
        <w:ind w:firstLine="709"/>
        <w:jc w:val="both"/>
        <w:rPr>
          <w:sz w:val="28"/>
          <w:szCs w:val="28"/>
          <w:lang w:val="ru-RU"/>
        </w:rPr>
      </w:pPr>
      <w:bookmarkStart w:id="31" w:name="_Hlk137748957"/>
      <w:r>
        <w:rPr>
          <w:sz w:val="28"/>
          <w:szCs w:val="28"/>
          <w:lang w:val="ru-RU"/>
        </w:rPr>
        <w:t>Для решения этой проблемы, некоторые ученые рекомендуют использовать модель интегрированной стратегической направленности корпоративной ответственности</w:t>
      </w:r>
      <w:bookmarkEnd w:id="31"/>
      <w:r>
        <w:rPr>
          <w:sz w:val="28"/>
          <w:szCs w:val="28"/>
          <w:lang w:val="ru-RU"/>
        </w:rPr>
        <w:t>, связанную с основным бизнесом компаний, например, с их собственными продуктами или производственными процессами, чтобы создать аутентичную и заслуживающую доверия стратегию развития, основанную на инклюзивном росте. Например, Т. Деммерлинг [</w:t>
      </w:r>
      <w:r>
        <w:rPr>
          <w:sz w:val="28"/>
          <w:szCs w:val="28"/>
          <w:highlight w:val="yellow"/>
          <w:lang w:val="ru-RU"/>
        </w:rPr>
        <w:t>64] и Дж. Гэлбрет [87</w:t>
      </w:r>
      <w:r>
        <w:rPr>
          <w:sz w:val="28"/>
          <w:szCs w:val="28"/>
          <w:lang w:val="ru-RU"/>
        </w:rPr>
        <w:t>] предлагают компаниям принимать и финансировать только ту деятельность в области устойчивого развития, которая явно связана с их собственной отраслью и является наиболее важной для них.</w:t>
      </w:r>
    </w:p>
    <w:p>
      <w:pPr>
        <w:pStyle w:val="P13"/>
        <w:spacing w:lineRule="auto" w:line="360" w:beforeAutospacing="0" w:afterAutospacing="0"/>
        <w:ind w:firstLine="709"/>
        <w:jc w:val="both"/>
        <w:rPr>
          <w:sz w:val="28"/>
          <w:szCs w:val="28"/>
          <w:lang w:val="ru-RU"/>
        </w:rPr>
      </w:pPr>
      <w:r>
        <w:rPr>
          <w:sz w:val="28"/>
          <w:szCs w:val="28"/>
          <w:lang w:val="ru-RU"/>
        </w:rPr>
        <w:t>Следует учитывать, что западные концепции устойчивого развития и инклюзивного роста ограничены существующими законами и правилами, которые в основном были сформулированы для крупных международных корпораций [</w:t>
      </w:r>
      <w:r>
        <w:rPr>
          <w:sz w:val="28"/>
          <w:szCs w:val="28"/>
          <w:highlight w:val="yellow"/>
          <w:lang w:val="ru-RU"/>
        </w:rPr>
        <w:t>154</w:t>
      </w:r>
      <w:r>
        <w:rPr>
          <w:sz w:val="28"/>
          <w:szCs w:val="28"/>
          <w:lang w:val="ru-RU"/>
        </w:rPr>
        <w:t xml:space="preserve">]. Однако на практике малый и средний бизнес (МСБ) сильно проигрывает, внедряя в свою хозяйственную деятельность принципы корпоративной ответственности. В свою очередь для ТНК, которые являются глобальными игроками, реальной проблемой является интеграция и реализация на практике принципов корпоративной ответственности в рамках своих организационных процессов. Также многие субъекты МСБ и другие заинтересованные стороны недостаточно знакомы с концепциями управления в рамках корпоративной ответственности. </w:t>
      </w:r>
    </w:p>
    <w:p>
      <w:pPr>
        <w:pStyle w:val="P13"/>
        <w:spacing w:lineRule="auto" w:line="360" w:beforeAutospacing="0" w:afterAutospacing="0"/>
        <w:ind w:firstLine="709"/>
        <w:jc w:val="both"/>
        <w:rPr>
          <w:sz w:val="28"/>
          <w:szCs w:val="28"/>
          <w:lang w:val="ru-RU"/>
        </w:rPr>
      </w:pPr>
      <w:r>
        <w:rPr>
          <w:sz w:val="28"/>
          <w:szCs w:val="28"/>
          <w:lang w:val="ru-RU"/>
        </w:rPr>
        <w:t>Р. Пас-Вега указывает на то, что ТНК работают в различных, часто очень сложных обществах и культурах [</w:t>
      </w:r>
      <w:r>
        <w:rPr>
          <w:sz w:val="28"/>
          <w:szCs w:val="28"/>
          <w:highlight w:val="yellow"/>
          <w:lang w:val="ru-RU"/>
        </w:rPr>
        <w:t>152</w:t>
      </w:r>
      <w:r>
        <w:rPr>
          <w:sz w:val="28"/>
          <w:szCs w:val="28"/>
          <w:lang w:val="ru-RU"/>
        </w:rPr>
        <w:t>]. В связи с этим необходимо учитывать влияние национальной социокультурной среды с ее институциональными структурами, а также степени национального экономического развития на эволюцию концепций корпоративной ответственности. Этот более широкий взгляд включает в себя защиту окружающей среды, развитие сообщества, сохранение ресурсов и благотворительность. В результате требуется использование системного подхода к корпоративной ответственности, который позволяет учесть присущую глобальному бизнесу сложность, пытаясь сконцентрироваться на единстве, взаимодействии между ключевыми элементами, фокусируясь на «многих измерениях; разных уровнях анализа; различных агентах; таких явлений, как комплексная причинность, мультифинальность и очевидная концепция фирмы как открытой системы» [</w:t>
      </w:r>
      <w:r>
        <w:rPr>
          <w:sz w:val="28"/>
          <w:szCs w:val="28"/>
          <w:highlight w:val="yellow"/>
          <w:lang w:val="ru-RU"/>
        </w:rPr>
        <w:t>152</w:t>
      </w:r>
      <w:r>
        <w:rPr>
          <w:sz w:val="28"/>
          <w:szCs w:val="28"/>
          <w:lang w:val="ru-RU"/>
        </w:rPr>
        <w:t>]. Более того, он утверждает, что большинство исследований фокусируются на западном этноцентризме, который, скорее всего, потребует адаптации при применении этих идей в более широком международном контексте, например, в межкультурных условиях с их различными средами убеждений, ценностей и институтов, что особенно актуально для стран африканского континента.</w:t>
      </w:r>
    </w:p>
    <w:p>
      <w:pPr>
        <w:pStyle w:val="P13"/>
        <w:spacing w:lineRule="auto" w:line="360" w:beforeAutospacing="0" w:afterAutospacing="0"/>
        <w:ind w:firstLine="709"/>
        <w:jc w:val="both"/>
        <w:rPr>
          <w:sz w:val="28"/>
          <w:szCs w:val="28"/>
          <w:lang w:val="ru-RU"/>
        </w:rPr>
      </w:pPr>
      <w:bookmarkStart w:id="32" w:name="8.1_African_Perspective_on_Sustainabilit"/>
      <w:bookmarkEnd w:id="32"/>
      <w:r>
        <w:rPr>
          <w:sz w:val="28"/>
          <w:szCs w:val="28"/>
          <w:lang w:val="ru-RU"/>
        </w:rPr>
        <w:t>Африканские фермеры, ведущие натуральное хозяйство, жили устойчиво и в гармонии с природой на протяжении тысячелетий [</w:t>
      </w:r>
      <w:r>
        <w:rPr>
          <w:sz w:val="28"/>
          <w:szCs w:val="28"/>
          <w:highlight w:val="yellow"/>
          <w:lang w:val="ru-RU"/>
        </w:rPr>
        <w:t>23</w:t>
      </w:r>
      <w:r>
        <w:rPr>
          <w:sz w:val="28"/>
          <w:szCs w:val="28"/>
          <w:lang w:val="ru-RU"/>
        </w:rPr>
        <w:t>]. Это соответствовало африканской философией Убунту. Это слово народов нгуни из Южной Африки означает: «я такой, какой я есть, потому что мы есть» [</w:t>
      </w:r>
      <w:r>
        <w:rPr>
          <w:sz w:val="28"/>
          <w:szCs w:val="28"/>
          <w:highlight w:val="yellow"/>
          <w:lang w:val="ru-RU"/>
        </w:rPr>
        <w:t>185</w:t>
      </w:r>
      <w:r>
        <w:rPr>
          <w:sz w:val="28"/>
          <w:szCs w:val="28"/>
          <w:lang w:val="ru-RU"/>
        </w:rPr>
        <w:t>]. Зулусы переводят Убунту как: «человек есть человек через других людей» [</w:t>
      </w:r>
      <w:r>
        <w:rPr>
          <w:sz w:val="28"/>
          <w:szCs w:val="28"/>
          <w:highlight w:val="yellow"/>
          <w:lang w:val="ru-RU"/>
        </w:rPr>
        <w:t>23</w:t>
      </w:r>
      <w:r>
        <w:rPr>
          <w:sz w:val="28"/>
          <w:szCs w:val="28"/>
          <w:lang w:val="ru-RU"/>
        </w:rPr>
        <w:t xml:space="preserve">], указывая на взаимозависимость людей с целостной точки зрения человечества и наличие всеобъемлющей связи между всеми формами жизни. </w:t>
      </w:r>
      <w:bookmarkStart w:id="33" w:name="_Hlk137749007"/>
      <w:r>
        <w:rPr>
          <w:sz w:val="28"/>
          <w:szCs w:val="28"/>
          <w:lang w:val="ru-RU"/>
        </w:rPr>
        <w:t>В этом контексте Убунту также фокусируется на взаимосвязанности компаний с людьми и ресурсами, которые они используют в своих процессах создания ценности</w:t>
      </w:r>
      <w:bookmarkEnd w:id="33"/>
      <w:r>
        <w:rPr>
          <w:sz w:val="28"/>
          <w:szCs w:val="28"/>
          <w:lang w:val="ru-RU"/>
        </w:rPr>
        <w:t xml:space="preserve">. </w:t>
      </w:r>
    </w:p>
    <w:p>
      <w:pPr>
        <w:pStyle w:val="P13"/>
        <w:spacing w:lineRule="auto" w:line="360" w:beforeAutospacing="0" w:afterAutospacing="0"/>
        <w:ind w:firstLine="709"/>
        <w:jc w:val="both"/>
        <w:rPr>
          <w:sz w:val="28"/>
          <w:szCs w:val="28"/>
          <w:lang w:val="ru-RU"/>
        </w:rPr>
      </w:pPr>
      <w:bookmarkStart w:id="34" w:name="_Hlk137749025"/>
      <w:r>
        <w:rPr>
          <w:sz w:val="28"/>
          <w:szCs w:val="28"/>
          <w:lang w:val="ru-RU"/>
        </w:rPr>
        <w:t xml:space="preserve">Эту концепцию Убунту можно легко применить к корпорациям в Африке, исходя из того, что их можно интерпретировать как определенным образом встроенные в африканское общество. Таким образом, в этом контексте ожидается, что они будут выполнять определенные социальные требования, такие как этичное поведение, прозрачность, приверженность принципам устойчивого развития и рационального использования окружающей среды. </w:t>
      </w:r>
      <w:bookmarkEnd w:id="34"/>
      <w:r>
        <w:rPr>
          <w:sz w:val="28"/>
          <w:szCs w:val="28"/>
          <w:lang w:val="ru-RU"/>
        </w:rPr>
        <w:t xml:space="preserve">Это означает, что если ТНК не будут поддерживать такую деятельность в области устойчивого развития в отдельных африканских странах, в которых они работают, последствия могут привести к социальным и экологическим проблемам и рискам, </w:t>
      </w:r>
      <w:bookmarkStart w:id="35" w:name="_bookmark41"/>
      <w:bookmarkEnd w:id="35"/>
      <w:r>
        <w:rPr>
          <w:sz w:val="28"/>
          <w:szCs w:val="28"/>
          <w:lang w:val="ru-RU"/>
        </w:rPr>
        <w:t xml:space="preserve">таким как рост безработицы, бедности и социальной напряженности, что, в свою очередь, негативно скажется на эффективности деятельности ТНК. </w:t>
      </w:r>
    </w:p>
    <w:p>
      <w:pPr>
        <w:pStyle w:val="P13"/>
        <w:spacing w:lineRule="auto" w:line="360" w:beforeAutospacing="0" w:afterAutospacing="0"/>
        <w:ind w:firstLine="709"/>
        <w:jc w:val="both"/>
        <w:rPr>
          <w:sz w:val="28"/>
          <w:szCs w:val="28"/>
          <w:lang w:val="ru-RU"/>
        </w:rPr>
      </w:pPr>
      <w:r>
        <w:rPr>
          <w:sz w:val="28"/>
          <w:szCs w:val="28"/>
          <w:lang w:val="ru-RU"/>
        </w:rPr>
        <w:t>Исходя из этой логики становится ясно, что африканская перспектива внедрения принципов корпоративной ответственности основана ни на доминировании экономических интересов, ни на поиске баланса между экономикой, экологией и решением социальных проблем. Вместо этого: «люди явно имеют приоритет над прибылью, потому что люди являются создателями прибыли» [1</w:t>
      </w:r>
      <w:r>
        <w:rPr>
          <w:sz w:val="28"/>
          <w:szCs w:val="28"/>
          <w:highlight w:val="yellow"/>
          <w:lang w:val="ru-RU"/>
        </w:rPr>
        <w:t>52</w:t>
      </w:r>
      <w:r>
        <w:rPr>
          <w:sz w:val="28"/>
          <w:szCs w:val="28"/>
          <w:lang w:val="ru-RU"/>
        </w:rPr>
        <w:t>]. Это означает, что аспекты устойчивого развития и инклюзивного роста продолжают оставаться доминирующими с точки зрения Африки и что необходимо разработать долгосрочные стратегии, чтобы гарантировать, что экономические и экологические факторы будут в гармонии с социальными интересами.</w:t>
      </w:r>
    </w:p>
    <w:p>
      <w:pPr>
        <w:pStyle w:val="P13"/>
        <w:spacing w:lineRule="auto" w:line="360" w:beforeAutospacing="0" w:afterAutospacing="0"/>
        <w:ind w:firstLine="709"/>
        <w:jc w:val="both"/>
        <w:rPr>
          <w:sz w:val="28"/>
          <w:szCs w:val="28"/>
          <w:lang w:val="ru-RU"/>
        </w:rPr>
      </w:pPr>
      <w:r>
        <w:rPr>
          <w:sz w:val="28"/>
          <w:szCs w:val="28"/>
          <w:lang w:val="ru-RU"/>
        </w:rPr>
        <w:t>Для достижения этого на практике, например, повышения уровня жизни за счет увеличения продолжительности жизни, грамотности и снижения уровня бедности с одной стороны требует выхода за рамки чисто экономических соображений, таких как рост ВНП, но с другой – без достаточного экономического потенциала достичь этого также будет невозможно.</w:t>
      </w:r>
    </w:p>
    <w:p>
      <w:pPr>
        <w:pStyle w:val="P13"/>
        <w:spacing w:lineRule="auto" w:line="360" w:beforeAutospacing="0" w:afterAutospacing="0"/>
        <w:ind w:firstLine="709"/>
        <w:jc w:val="both"/>
        <w:rPr>
          <w:sz w:val="28"/>
          <w:szCs w:val="28"/>
          <w:lang w:val="ru-RU"/>
        </w:rPr>
      </w:pPr>
      <w:r>
        <w:rPr>
          <w:sz w:val="28"/>
          <w:szCs w:val="28"/>
          <w:lang w:val="ru-RU"/>
        </w:rPr>
        <w:t xml:space="preserve">Если мы предположим, что социальные компоненты тройной спирали важны, то именно совместный характер включения интересов различных заинтересованных сторон делает корпоративную ответственность важной частью долгосрочного устойчивого развития Африки. В этом контексте, по определению, любое решение, касающееся устойчивого развития и инклюзивного роста, требует долгосрочного стратегического подхода, интегрированного с интересами всех заинтересованных сторон. </w:t>
      </w:r>
    </w:p>
    <w:p>
      <w:pPr>
        <w:pStyle w:val="P13"/>
        <w:spacing w:lineRule="auto" w:line="360" w:beforeAutospacing="0" w:afterAutospacing="0"/>
        <w:ind w:firstLine="709"/>
        <w:jc w:val="both"/>
        <w:rPr>
          <w:sz w:val="28"/>
          <w:szCs w:val="28"/>
          <w:lang w:val="ru-RU"/>
        </w:rPr>
      </w:pPr>
      <w:bookmarkStart w:id="36" w:name="_bookmark42"/>
      <w:bookmarkEnd w:id="36"/>
      <w:bookmarkStart w:id="37" w:name="8.3_Shareholder_and_Stakeholder_Approach"/>
      <w:bookmarkEnd w:id="37"/>
      <w:r>
        <w:rPr>
          <w:sz w:val="28"/>
          <w:szCs w:val="28"/>
          <w:lang w:val="ru-RU"/>
        </w:rPr>
        <w:t xml:space="preserve">Решение этой проблемы на основе внедрения концепции Убунту в корпоративные стратегии африканских компаний поднимает ряд вопросов, в том числе фундаментальный вопрос о том, можно ли вообще применять западные теоретические модели в африканском контексте или, по крайней мере, насколько сильно их необходимо адаптировать с учетом африканской специфики. </w:t>
      </w:r>
    </w:p>
    <w:p>
      <w:pPr>
        <w:pStyle w:val="P13"/>
        <w:spacing w:lineRule="auto" w:line="360" w:beforeAutospacing="0" w:afterAutospacing="0"/>
        <w:ind w:firstLine="709"/>
        <w:jc w:val="both"/>
        <w:rPr>
          <w:sz w:val="28"/>
          <w:szCs w:val="28"/>
          <w:lang w:val="ru-RU"/>
        </w:rPr>
      </w:pPr>
      <w:r>
        <w:rPr>
          <w:sz w:val="28"/>
          <w:szCs w:val="28"/>
          <w:lang w:val="ru-RU"/>
        </w:rPr>
        <w:t>Во-первых, Африка демонстрирует отчетливый набор различий в факторах, редко встречающихся в Европе, включая экономику, политику, культуры, языки, племена и религии, которые в прошлом сыграли свою роль в нестабильности и конфликтах на континенте [1</w:t>
      </w:r>
      <w:r>
        <w:rPr>
          <w:sz w:val="28"/>
          <w:szCs w:val="28"/>
          <w:highlight w:val="yellow"/>
          <w:lang w:val="ru-RU"/>
        </w:rPr>
        <w:t>82</w:t>
      </w:r>
      <w:r>
        <w:rPr>
          <w:sz w:val="28"/>
          <w:szCs w:val="28"/>
          <w:lang w:val="ru-RU"/>
        </w:rPr>
        <w:t>]. В результате такие вопросы, как создание системы прозрачного управления, расширение экономических возможностей и социальных инвестиций, создание рабочих мест и защита окружающей среды, должны решаться в Африке на достаточно глубоком уровне и не может быть просто скопировано с подходов, принятых в западном мире.</w:t>
      </w:r>
    </w:p>
    <w:p>
      <w:pPr>
        <w:pStyle w:val="P13"/>
        <w:spacing w:lineRule="auto" w:line="360" w:beforeAutospacing="0" w:afterAutospacing="0"/>
        <w:ind w:firstLine="709"/>
        <w:jc w:val="both"/>
        <w:rPr>
          <w:sz w:val="28"/>
          <w:szCs w:val="28"/>
          <w:lang w:val="ru-RU"/>
        </w:rPr>
      </w:pPr>
      <w:r>
        <w:rPr>
          <w:sz w:val="28"/>
          <w:szCs w:val="28"/>
          <w:lang w:val="ru-RU"/>
        </w:rPr>
        <w:t xml:space="preserve">Чтобы справиться с присущей ей сложностью, любая концепция устойчивого развития, направленная на содействие инклюзивному росту в Африке, должна фокусироваться на принципе Убунту, который можно интерпретировать как форму поиска компромисса среди заинтересованных сторон. Чтобы быть эффективными, такие программы корпоративной ответственности больше не должны управляться извне, т. е. в основном глобальными акционерами, которые заинтересованы только в доступе к рынку, инвестиционных стимулах, стандартизации цепочек поставок и других чисто экономических задачах. Программы корпоративной ответственности, которые инициируются внешними акторами, но не соответствуют практическим реалиям на местах, игнорируют точку зрения заинтересованных сторон и, следовательно, обречены на неустойчивость. </w:t>
      </w:r>
    </w:p>
    <w:p>
      <w:pPr>
        <w:pStyle w:val="P13"/>
        <w:spacing w:lineRule="auto" w:line="360" w:beforeAutospacing="0" w:afterAutospacing="0"/>
        <w:ind w:firstLine="709"/>
        <w:jc w:val="both"/>
        <w:rPr>
          <w:sz w:val="28"/>
          <w:szCs w:val="28"/>
          <w:lang w:val="ru-RU"/>
        </w:rPr>
      </w:pPr>
      <w:r>
        <w:rPr>
          <w:sz w:val="28"/>
          <w:szCs w:val="28"/>
          <w:lang w:val="ru-RU"/>
        </w:rPr>
        <w:t>Примерами таких программ, которые спровоцировали общественные протесты, являются забастовки шахтеров Мариканы на горнодобывающей компании Лонмин в 2012 году, в результате чего 34 горняка были застрелены полицией. 78 человек были ранены и 250 человек арестованы [</w:t>
      </w:r>
      <w:r>
        <w:rPr>
          <w:sz w:val="28"/>
          <w:szCs w:val="28"/>
          <w:highlight w:val="yellow"/>
          <w:lang w:val="ru-RU"/>
        </w:rPr>
        <w:t>132</w:t>
      </w:r>
      <w:r>
        <w:rPr>
          <w:sz w:val="28"/>
          <w:szCs w:val="28"/>
          <w:lang w:val="ru-RU"/>
        </w:rPr>
        <w:t>]. Соответственно, если принципы корпоративной ответственности не применяются эффективно, сопутствующая социальная нестабильность и разрушение окружающей среды могут повлиять на жизнеспособность и устойчивость деятельности компании. Чтобы обойти эти риски,</w:t>
      </w:r>
      <w:bookmarkStart w:id="38" w:name="_bookmark44"/>
      <w:bookmarkEnd w:id="38"/>
      <w:r>
        <w:rPr>
          <w:sz w:val="28"/>
          <w:szCs w:val="28"/>
          <w:lang w:val="ru-RU"/>
        </w:rPr>
        <w:t xml:space="preserve"> при формулировании своих стратегий эффективные организации реагируют на свою операционную среду таким образом, чтобы критически осознавать внутреннее давление и динамику в принимающей стране, а также в сообществах, в которых они работают, не теряя экономических целей своей хозяйственной деятельности. </w:t>
      </w:r>
    </w:p>
    <w:p>
      <w:pPr>
        <w:pStyle w:val="P13"/>
        <w:spacing w:lineRule="auto" w:line="360" w:beforeAutospacing="0" w:afterAutospacing="0"/>
        <w:ind w:firstLine="709"/>
        <w:jc w:val="both"/>
        <w:rPr>
          <w:sz w:val="28"/>
          <w:szCs w:val="28"/>
          <w:lang w:val="ru-RU"/>
        </w:rPr>
      </w:pPr>
      <w:r>
        <w:rPr>
          <w:sz w:val="28"/>
          <w:szCs w:val="28"/>
          <w:lang w:val="ru-RU"/>
        </w:rPr>
        <w:t>В данном контексте остаются актуальными рекомендации, предложенные Фрименом и Ридом еще в 1983 году [</w:t>
      </w:r>
      <w:r>
        <w:rPr>
          <w:sz w:val="28"/>
          <w:szCs w:val="28"/>
          <w:highlight w:val="yellow"/>
          <w:lang w:val="ru-RU"/>
        </w:rPr>
        <w:t>83</w:t>
      </w:r>
      <w:r>
        <w:rPr>
          <w:sz w:val="28"/>
          <w:szCs w:val="28"/>
          <w:lang w:val="ru-RU"/>
        </w:rPr>
        <w:t xml:space="preserve">]: </w:t>
      </w:r>
    </w:p>
    <w:p>
      <w:pPr>
        <w:pStyle w:val="P13"/>
        <w:numPr>
          <w:ilvl w:val="0"/>
          <w:numId w:val="3"/>
        </w:numPr>
        <w:tabs>
          <w:tab w:val="left" w:pos="993" w:leader="none"/>
        </w:tabs>
        <w:spacing w:lineRule="auto" w:line="360" w:beforeAutospacing="0" w:afterAutospacing="0"/>
        <w:ind w:firstLine="709" w:left="0"/>
        <w:jc w:val="both"/>
        <w:rPr>
          <w:sz w:val="28"/>
          <w:szCs w:val="28"/>
          <w:lang w:val="ru-RU"/>
        </w:rPr>
      </w:pPr>
      <w:r>
        <w:rPr>
          <w:sz w:val="28"/>
          <w:szCs w:val="28"/>
          <w:lang w:val="ru-RU"/>
        </w:rPr>
        <w:t xml:space="preserve">обобщение маркетингового подхода для учета потребностей каждой заинтересованной стороны аналогично тому, как оцениваются потребности клиентов; </w:t>
      </w:r>
    </w:p>
    <w:p>
      <w:pPr>
        <w:pStyle w:val="P13"/>
        <w:numPr>
          <w:ilvl w:val="0"/>
          <w:numId w:val="3"/>
        </w:numPr>
        <w:tabs>
          <w:tab w:val="left" w:pos="993" w:leader="none"/>
        </w:tabs>
        <w:spacing w:lineRule="auto" w:line="360" w:beforeAutospacing="0" w:afterAutospacing="0"/>
        <w:ind w:firstLine="709" w:left="0"/>
        <w:jc w:val="both"/>
        <w:rPr>
          <w:sz w:val="28"/>
          <w:szCs w:val="28"/>
          <w:lang w:val="ru-RU"/>
        </w:rPr>
      </w:pPr>
      <w:r>
        <w:rPr>
          <w:sz w:val="28"/>
          <w:szCs w:val="28"/>
          <w:lang w:val="ru-RU"/>
        </w:rPr>
        <w:t xml:space="preserve">налаживание переговорного процесса для понимания политической природы и интересов основных заинтересованных сторон; </w:t>
      </w:r>
    </w:p>
    <w:p>
      <w:pPr>
        <w:pStyle w:val="P13"/>
        <w:numPr>
          <w:ilvl w:val="0"/>
          <w:numId w:val="3"/>
        </w:numPr>
        <w:tabs>
          <w:tab w:val="left" w:pos="993" w:leader="none"/>
        </w:tabs>
        <w:spacing w:lineRule="auto" w:line="360" w:beforeAutospacing="0" w:afterAutospacing="0"/>
        <w:ind w:firstLine="709" w:left="0"/>
        <w:jc w:val="both"/>
        <w:rPr>
          <w:sz w:val="28"/>
          <w:szCs w:val="28"/>
          <w:lang w:val="ru-RU"/>
        </w:rPr>
      </w:pPr>
      <w:r>
        <w:rPr>
          <w:sz w:val="28"/>
          <w:szCs w:val="28"/>
          <w:lang w:val="ru-RU"/>
        </w:rPr>
        <w:t xml:space="preserve">разработать подход к принятию решений, который носит упреждающий, а не реактивный характер; </w:t>
      </w:r>
    </w:p>
    <w:p>
      <w:pPr>
        <w:pStyle w:val="P13"/>
        <w:numPr>
          <w:ilvl w:val="0"/>
          <w:numId w:val="3"/>
        </w:numPr>
        <w:tabs>
          <w:tab w:val="left" w:pos="993" w:leader="none"/>
        </w:tabs>
        <w:spacing w:lineRule="auto" w:line="360" w:beforeAutospacing="0" w:afterAutospacing="0"/>
        <w:ind w:firstLine="709" w:left="0"/>
        <w:jc w:val="both"/>
        <w:rPr>
          <w:sz w:val="28"/>
          <w:szCs w:val="28"/>
          <w:lang w:val="ru-RU"/>
        </w:rPr>
      </w:pPr>
      <w:r>
        <w:rPr>
          <w:sz w:val="28"/>
          <w:szCs w:val="28"/>
          <w:lang w:val="ru-RU"/>
        </w:rPr>
        <w:t>распределять ресурсы организации в зависимости от степени турбулентности окружающей среды.</w:t>
      </w:r>
    </w:p>
    <w:p>
      <w:pPr>
        <w:pStyle w:val="P13"/>
        <w:spacing w:lineRule="auto" w:line="360" w:beforeAutospacing="0" w:afterAutospacing="0"/>
        <w:ind w:firstLine="709"/>
        <w:jc w:val="both"/>
        <w:rPr>
          <w:sz w:val="28"/>
          <w:szCs w:val="28"/>
          <w:lang w:val="ru-RU"/>
        </w:rPr>
      </w:pPr>
      <w:r>
        <w:rPr>
          <w:sz w:val="28"/>
          <w:szCs w:val="28"/>
          <w:lang w:val="ru-RU"/>
        </w:rPr>
        <w:t xml:space="preserve">Таким образом, мы предлагаем переопределить расплывчатый термин «корпоративная ответственность», чтобы адаптировать его к африканскому взгляду на устойчивое развитие, сосредоточив внимание на корпоративных ответных действиях компаний, считающих страны, в которых они работают, своим домом. Более того, этот подход, основанный на заинтересованности, может работать лучше всего, когда он включает интересы всех заинтересованных сторон: национальных, региональных и местных органов власти, локальных поставщиков, ТНК и международных организаций. </w:t>
      </w:r>
    </w:p>
    <w:p>
      <w:pPr>
        <w:pStyle w:val="P13"/>
        <w:spacing w:lineRule="auto" w:line="360" w:beforeAutospacing="0" w:afterAutospacing="0"/>
        <w:ind w:firstLine="709"/>
        <w:jc w:val="both"/>
        <w:rPr>
          <w:sz w:val="28"/>
          <w:szCs w:val="28"/>
          <w:lang w:val="ru-RU"/>
        </w:rPr>
      </w:pPr>
      <w:r>
        <w:rPr>
          <w:sz w:val="28"/>
          <w:szCs w:val="28"/>
          <w:lang w:val="ru-RU"/>
        </w:rPr>
        <w:t xml:space="preserve">Это определение требует, чтобы компании в Африке стратегически интегрировали принципы устойчивого развития в свои планы действий, которые они разработали и внедрили в партнерстве с заинтересованными местными сообществами. Правительства африканских стран могут сыграть важную роль в поддержке таких инвестиций, предоставив необходимую правовую базу, инфраструктуру и финансовые стимулы. Благодаря этому предложенному подходу отношения между государством и экономикой развиваются в сторону системы скоординированных рыночных отношений, которые успешно позволяют согласовывать интересы всех сторон. </w:t>
      </w:r>
    </w:p>
    <w:p>
      <w:pPr>
        <w:pStyle w:val="P13"/>
        <w:spacing w:lineRule="auto" w:line="360" w:beforeAutospacing="0" w:afterAutospacing="0"/>
        <w:ind w:firstLine="709"/>
        <w:jc w:val="both"/>
        <w:rPr>
          <w:sz w:val="28"/>
          <w:szCs w:val="28"/>
          <w:lang w:val="ru-RU"/>
        </w:rPr>
      </w:pPr>
      <w:r>
        <w:rPr>
          <w:sz w:val="28"/>
          <w:szCs w:val="28"/>
          <w:lang w:val="ru-RU"/>
        </w:rPr>
        <w:t xml:space="preserve">Таким образом, все формы определений корпоративной ответственности, включая корпоративное социальное воздействие, корпоративное реагирование, корпоративное управление и т.д., можно интегрировать в концепцию Убунту для создания и развития африканского подхода в формировании модели корпоративной ответственности. </w:t>
      </w:r>
    </w:p>
    <w:p>
      <w:pPr>
        <w:pStyle w:val="P13"/>
        <w:spacing w:lineRule="auto" w:line="360" w:beforeAutospacing="0" w:afterAutospacing="0"/>
        <w:ind w:firstLine="709"/>
        <w:jc w:val="both"/>
        <w:rPr>
          <w:sz w:val="28"/>
          <w:szCs w:val="28"/>
          <w:lang w:val="ru-RU"/>
        </w:rPr>
      </w:pPr>
      <w:bookmarkStart w:id="39" w:name="8.4_From_Zero_Sum_Philanthropy_to_the_Af"/>
      <w:bookmarkEnd w:id="39"/>
      <w:r>
        <w:rPr>
          <w:sz w:val="28"/>
          <w:szCs w:val="28"/>
          <w:lang w:val="ru-RU"/>
        </w:rPr>
        <w:t>До сих пор деятельность корпоративной ответственности в Африке большинство авторов интерпретируют как архаичную, патерналистскую, филантропическую природу, в основном сосредоточенную на узких интересах получения корпоративной прибыли [</w:t>
      </w:r>
      <w:r>
        <w:rPr>
          <w:sz w:val="28"/>
          <w:szCs w:val="28"/>
          <w:highlight w:val="yellow"/>
          <w:lang w:val="ru-RU"/>
        </w:rPr>
        <w:t>88]</w:t>
      </w:r>
      <w:r>
        <w:rPr>
          <w:sz w:val="28"/>
          <w:szCs w:val="28"/>
          <w:lang w:val="ru-RU"/>
        </w:rPr>
        <w:t>. В результате любые усилия в области корпоративной ответственности компаний, действующих в Африке со старым мышлением, на сегодняшний день могут быть истолкованы как «благотворительность». В дальнейшем для обеспечения ответственного поведения компаниям, работающим в Африке, необходимо будет перейти</w:t>
      </w:r>
      <w:bookmarkStart w:id="40" w:name="_bookmark45"/>
      <w:bookmarkEnd w:id="40"/>
      <w:r>
        <w:rPr>
          <w:sz w:val="28"/>
          <w:szCs w:val="28"/>
          <w:lang w:val="ru-RU"/>
        </w:rPr>
        <w:t xml:space="preserve"> выйти за рамки этого принципа благотворительности и больше сосредоточиться на таких концепциях, как корпоративная социальная ответственность и деятельность, а также корпоративная гражданственность. </w:t>
      </w:r>
    </w:p>
    <w:p>
      <w:pPr>
        <w:pStyle w:val="P13"/>
        <w:spacing w:lineRule="auto" w:line="360" w:beforeAutospacing="0" w:afterAutospacing="0"/>
        <w:ind w:firstLine="709"/>
        <w:jc w:val="both"/>
        <w:rPr>
          <w:sz w:val="28"/>
          <w:szCs w:val="28"/>
          <w:lang w:val="ru-RU"/>
        </w:rPr>
      </w:pPr>
      <w:r>
        <w:rPr>
          <w:sz w:val="28"/>
          <w:szCs w:val="28"/>
          <w:lang w:val="ru-RU"/>
        </w:rPr>
        <w:t xml:space="preserve">Хотя концепция Убунту по определению уделяет особое внимание социальным аспектам, его взаимозависимый характер может явно включать благоприятные результаты в форме более широкого устойчивого развития. Кроме того, это может быть результатом взаимной выгоды от интеграции экологических аспектов с экономическими интересами компаний, что в конечном итоге приводит к росту долгосрочной прибыли. В этом подходе права и обязанности связаны через форму корпоративного реагирования, которая осознает преимущества включения интересов заинтересованных сторон в стратегию развития бизнеса. </w:t>
      </w:r>
    </w:p>
    <w:p>
      <w:pPr>
        <w:pStyle w:val="P13"/>
        <w:spacing w:lineRule="auto" w:line="360" w:beforeAutospacing="0" w:afterAutospacing="0"/>
        <w:ind w:firstLine="709"/>
        <w:jc w:val="both"/>
        <w:rPr>
          <w:sz w:val="28"/>
          <w:szCs w:val="28"/>
          <w:lang w:val="ru-RU"/>
        </w:rPr>
      </w:pPr>
      <w:r>
        <w:rPr>
          <w:sz w:val="28"/>
          <w:szCs w:val="28"/>
          <w:lang w:val="ru-RU"/>
        </w:rPr>
        <w:t>Этот подход значительно отличается от традиционной логики, согласно которой права на прибыль приватизируются в пользу компании, а социальные и экологические издержки, такие как загрязнение, неравенство, бедность или нарушения прав человека, социализируются, тем самым перекладывая ответственность на государство и общество. Пока что финансовое несоответствие между прибылью, полученной компаниями, и низкими затратами на деятельность, связанную с корпоративной ответственностью, требует серьезного пересмотра. Чтобы решить эту проблему, деятельность компании должна быть не только улучшена в пользу внедрения стратегий устойчивого развития, но и когда будут приняты конкретные проекты необходимо будет учитывать долгосрочный характер их внедрения.</w:t>
      </w:r>
    </w:p>
    <w:p>
      <w:pPr>
        <w:pStyle w:val="P13"/>
        <w:spacing w:lineRule="auto" w:line="360" w:beforeAutospacing="0" w:afterAutospacing="0"/>
        <w:ind w:firstLine="709"/>
        <w:jc w:val="both"/>
        <w:rPr>
          <w:sz w:val="28"/>
          <w:szCs w:val="28"/>
          <w:lang w:val="ru-RU"/>
        </w:rPr>
      </w:pPr>
      <w:r>
        <w:rPr>
          <w:sz w:val="28"/>
          <w:szCs w:val="28"/>
          <w:lang w:val="ru-RU"/>
        </w:rPr>
        <w:t>Концепция Убунту предполагает, что этот новый способ ведения бизнеса – это не игра с нулевой суммой, в которой одна сторона проигрывает, когда другая выигрывает, а вместо этого результаты связей между компаниями и обществом дают синергетический эффект и оказывают положительный эффект для обеих сторон. Для этого необходимо, чтобы африканские страны рассматривали компании, работающие в их юрисдикциях, в качестве партнеров, а компании, в свою очередь, не должны воспринимать страны просто как территории для извлечения прибыли. Основываясь на том соображении, что нездоровая деловая среда негативно влияет на любые усилия в области инклюзивного роста, для достижения устойчивого развития правительства африканских стран и местные сообщества должны успешно сотрудничать не только с компаниями, но и международными организациями.</w:t>
      </w:r>
    </w:p>
    <w:p>
      <w:pPr>
        <w:pStyle w:val="P13"/>
        <w:spacing w:lineRule="auto" w:line="360" w:beforeAutospacing="0" w:afterAutospacing="0"/>
        <w:ind w:firstLine="709"/>
        <w:jc w:val="both"/>
        <w:rPr>
          <w:sz w:val="28"/>
          <w:szCs w:val="28"/>
          <w:lang w:val="ru-RU"/>
        </w:rPr>
      </w:pPr>
      <w:r>
        <w:rPr>
          <w:sz w:val="28"/>
          <w:szCs w:val="28"/>
          <w:lang w:val="ru-RU"/>
        </w:rPr>
        <w:t xml:space="preserve">Как показали многие прошлые скандалы, в том числе отношение </w:t>
      </w:r>
      <w:r>
        <w:rPr>
          <w:sz w:val="28"/>
          <w:szCs w:val="28"/>
        </w:rPr>
        <w:t>Shell</w:t>
      </w:r>
      <w:r>
        <w:rPr>
          <w:sz w:val="28"/>
          <w:szCs w:val="28"/>
          <w:lang w:val="ru-RU"/>
        </w:rPr>
        <w:t xml:space="preserve"> к обществу и окружающей среде в Нигерии [</w:t>
      </w:r>
      <w:r>
        <w:rPr>
          <w:sz w:val="28"/>
          <w:szCs w:val="28"/>
          <w:highlight w:val="yellow"/>
          <w:lang w:val="ru-RU"/>
        </w:rPr>
        <w:t>103</w:t>
      </w:r>
      <w:r>
        <w:rPr>
          <w:sz w:val="28"/>
          <w:szCs w:val="28"/>
          <w:lang w:val="ru-RU"/>
        </w:rPr>
        <w:t>] или использование детского труда и проблем с правами человека на шахтах в ЮАР [</w:t>
      </w:r>
      <w:r>
        <w:rPr>
          <w:sz w:val="28"/>
          <w:szCs w:val="28"/>
          <w:highlight w:val="yellow"/>
          <w:lang w:val="ru-RU"/>
        </w:rPr>
        <w:t>132</w:t>
      </w:r>
      <w:r>
        <w:rPr>
          <w:sz w:val="28"/>
          <w:szCs w:val="28"/>
          <w:lang w:val="ru-RU"/>
        </w:rPr>
        <w:t xml:space="preserve">], осложненные коррупцией и отсутствием развитых местных политических, социальных и экономических институтов, ключевой проблемой для Африки в этот переходный период является нежелание многих ТНК, не только не использовать принципы корпоративной ответственности в своей деятельности, но и злоупотреблять низким качеством африканских институтов развития. Поэтому требуется перезагрузка мышления в направлении признания огромного потенциала рынка Африки. Этот новый взгляд приведет к отходу от нынешнего доминирующего подхода, ориентированного на максимизацию прибыли акционеров, в направлении разработки стратегических ответных мер, ориентированных на все заинтересованные стороны. </w:t>
      </w:r>
    </w:p>
    <w:p>
      <w:pPr>
        <w:pStyle w:val="P13"/>
        <w:spacing w:lineRule="auto" w:line="360" w:beforeAutospacing="0" w:afterAutospacing="0"/>
        <w:ind w:firstLine="709"/>
        <w:jc w:val="both"/>
        <w:rPr>
          <w:sz w:val="28"/>
          <w:szCs w:val="28"/>
          <w:lang w:val="ru-RU"/>
        </w:rPr>
      </w:pPr>
      <w:r>
        <w:rPr>
          <w:sz w:val="28"/>
          <w:szCs w:val="28"/>
          <w:lang w:val="ru-RU"/>
        </w:rPr>
        <w:t>Еще одна проблема заключается в том, что неэтичный характер деловых операций часто оправдывается правительствами африканских стран из-за наличия низких социальных и экологических стандартов. В результате большинство рабочих мест в Африке, созданных ТНК, как правило, низкоквалифицированные, низкооплачиваемые, рискованные, нездоровые и временные [</w:t>
      </w:r>
      <w:r>
        <w:rPr>
          <w:sz w:val="28"/>
          <w:szCs w:val="28"/>
          <w:highlight w:val="yellow"/>
          <w:lang w:val="ru-RU"/>
        </w:rPr>
        <w:t>145</w:t>
      </w:r>
      <w:r>
        <w:rPr>
          <w:sz w:val="28"/>
          <w:szCs w:val="28"/>
          <w:lang w:val="ru-RU"/>
        </w:rPr>
        <w:t>].</w:t>
      </w:r>
    </w:p>
    <w:p>
      <w:pPr>
        <w:pStyle w:val="P13"/>
        <w:spacing w:lineRule="auto" w:line="360" w:beforeAutospacing="0" w:afterAutospacing="0"/>
        <w:ind w:firstLine="709"/>
        <w:jc w:val="both"/>
        <w:rPr>
          <w:sz w:val="28"/>
          <w:szCs w:val="28"/>
          <w:lang w:val="ru-RU"/>
        </w:rPr>
      </w:pPr>
      <w:r>
        <w:rPr>
          <w:sz w:val="28"/>
          <w:szCs w:val="28"/>
          <w:lang w:val="ru-RU"/>
        </w:rPr>
        <w:t xml:space="preserve">Более того, хотя отдельные страны с растущими рынками набирают силу, существует неравномерное распределение затрат и выгод в сегодняшних условиях экономической глобализации, в результате чего северные страны получают наибольшие выгоды, а южные страны в основном несут дополнительное финансовое, социальное и экологическое бремя. Эти проблемы указывают на необходимость коренного изменения мышления не только корпораций, но и правительств африканских стран. Несмотря на неравномерное распределение затрат и выгод, вызванное акцентом на максимизацию прибыли в исключительных интересах акционеров, такая практика получила большую поддержку со стороны многих африканских правительств, что привело к увеличению бедности и бесчеловечных условий труда. </w:t>
      </w:r>
    </w:p>
    <w:p>
      <w:pPr>
        <w:pStyle w:val="P13"/>
        <w:spacing w:lineRule="auto" w:line="360" w:beforeAutospacing="0" w:afterAutospacing="0"/>
        <w:ind w:firstLine="709"/>
        <w:jc w:val="both"/>
        <w:rPr>
          <w:sz w:val="28"/>
          <w:szCs w:val="28"/>
          <w:lang w:val="ru-RU"/>
        </w:rPr>
      </w:pPr>
      <w:r>
        <w:rPr>
          <w:sz w:val="28"/>
          <w:szCs w:val="28"/>
          <w:lang w:val="ru-RU"/>
        </w:rPr>
        <w:t xml:space="preserve">Однако причиной этой выступают не только субъективные, но и объективные причины. Например, даже если бы правительства африканских стран захотели изменить эти условия, они не смогут этого сделать, поскольку вынуждены конкурировать с другими странами за прямые иностранные инвестиции, что ставит их в слабую позицию на переговорах среди конкурирующих соперников. Как следствие, у них часто не остается иного выбора, кроме как перенаправить свои финансовые ресурсы с расширения необходимой базовой инфраструктуры на поддержку потенциальных ТНК, например, в виде очень благоприятных условий налогообложения, отсутствия контроля над ценами, передачей права переводить всю прибыль в зарубежные штаб-квартиры, а также давать разрешения на использование плохих условий труда с минимальным уровнем заработной платы. </w:t>
      </w:r>
    </w:p>
    <w:p>
      <w:pPr>
        <w:pStyle w:val="P13"/>
        <w:spacing w:lineRule="auto" w:line="360" w:beforeAutospacing="0" w:afterAutospacing="0"/>
        <w:ind w:firstLine="709"/>
        <w:jc w:val="both"/>
        <w:rPr>
          <w:sz w:val="28"/>
          <w:szCs w:val="28"/>
          <w:lang w:val="ru-RU"/>
        </w:rPr>
      </w:pPr>
      <w:r>
        <w:rPr>
          <w:sz w:val="28"/>
          <w:szCs w:val="28"/>
          <w:lang w:val="ru-RU"/>
        </w:rPr>
        <w:t>Эти проблемы можно изменить только в том случае, если преобладающий филантропический подход сместится в сторону более эффективной, ориентированной на заинтересованные стороны версии корпоративной ответственности, основанной на Концепции Убунту. В настоящее время преобладающий филантропический подход (благотворительность) потенциально может считаться безответственным на том основании, что он оставляет получателя в долгу, расширяя возможности работодателя и ослабляя другие заинтересованные стороны, такие как местные органы власти и общество. В таких условиях экономические, социальные и экологические проблемы на уровне сообщества не могут решаться на постоянной основе, так как все будет зависеть от наличия и объемов благотворительной помощи, которая не обязательно будет предоставляться на регулярной основе.</w:t>
      </w:r>
    </w:p>
    <w:p>
      <w:pPr>
        <w:pStyle w:val="P13"/>
        <w:spacing w:lineRule="auto" w:line="360" w:beforeAutospacing="0" w:afterAutospacing="0"/>
        <w:ind w:firstLine="709"/>
        <w:jc w:val="both"/>
        <w:rPr>
          <w:sz w:val="28"/>
          <w:szCs w:val="28"/>
          <w:lang w:val="ru-RU"/>
        </w:rPr>
      </w:pPr>
      <w:bookmarkStart w:id="41" w:name="8.5_Future_Role_of_the_Private_Sector_in"/>
      <w:bookmarkEnd w:id="41"/>
      <w:r>
        <w:rPr>
          <w:sz w:val="28"/>
          <w:szCs w:val="28"/>
          <w:lang w:val="ru-RU"/>
        </w:rPr>
        <w:t>Использование концепции Убунту применительно к заинтересованным сторонам и решениям, ориентированным на африканцев, подразумевает, что роль частного сектора в Африке должна быть усилена. Учитывая их роль в экономике, Республики Кот-д’Ивуар, местные компании могут выполнять ключевую функцию по объединению всех заинтересованных сторон на местном, региональном и национальном уровнях для работы над разумными и эффективными решениями, ориентированными на инклюзивный рост африканского континента. Это становится еще более важным, учитывая тот факт, что многие африканские страны демонстрируют высокий уровень коррупции или сталкиваются с ситуацией, когда государство не в состоянии обеспечить необходимую инфраструктуру, социальные условия и экологическую обстановку.</w:t>
      </w:r>
    </w:p>
    <w:p>
      <w:pPr>
        <w:pStyle w:val="P13"/>
        <w:spacing w:lineRule="auto" w:line="360" w:beforeAutospacing="0" w:afterAutospacing="0"/>
        <w:ind w:firstLine="709"/>
        <w:jc w:val="both"/>
        <w:rPr>
          <w:sz w:val="28"/>
          <w:szCs w:val="28"/>
          <w:lang w:val="ru-RU"/>
        </w:rPr>
      </w:pPr>
      <w:r>
        <w:rPr>
          <w:sz w:val="28"/>
          <w:szCs w:val="28"/>
          <w:lang w:val="ru-RU"/>
        </w:rPr>
        <w:t>Как упоминалось ранее, многие африканские правительства пренебрегают человеческими потребностями. Таким образом, африканские компании, даже те, которые «официально» не соответствуют международным рекомендациям и критериям корпоративной ответственности, играют решающую роль в обеспечении здравоохранения, снабжения продовольствием и водой, образования, безопасности, сбора налогов, но в меньшей степени влияют на защиту прав человека и охрану окружающей среды. Такие аспекты являются не только частью концепции корпоративной ответственности, но их важность может быть обоснована и в рамках традиционного подхода. Необразованные и бедные работники, живущие в неблагоприятных внешних условиях, никогда не смогут работать продуктивно, а неразвитая инфраструктура не сможет обеспечить компаниям необходимые условия для ведения хозяйственной деятельности, что является одним из основных требований для получения прибыли.</w:t>
      </w:r>
    </w:p>
    <w:p>
      <w:pPr>
        <w:pStyle w:val="P13"/>
        <w:spacing w:lineRule="auto" w:line="360" w:beforeAutospacing="0" w:afterAutospacing="0"/>
        <w:ind w:firstLine="709"/>
        <w:jc w:val="both"/>
        <w:rPr>
          <w:sz w:val="28"/>
          <w:szCs w:val="28"/>
          <w:lang w:val="ru-RU"/>
        </w:rPr>
      </w:pPr>
      <w:r>
        <w:rPr>
          <w:sz w:val="28"/>
          <w:szCs w:val="28"/>
          <w:lang w:val="ru-RU"/>
        </w:rPr>
        <w:t xml:space="preserve">Для реализации на практике концепции Убунту потенциальный первый шаг может заключаться в обеспечении основных потребностей, таких как доступ к продовольствию. После того, как между основными заинтересованными сторонами достигнуто соглашение о коммерческой деятельности, ключевой обязанностью частного сектора является предоставление и доступ к соответствующим товарам приемлемого качества, таким как, например, производство достаточного количества продуктов питания и других соответствующих товаров в интересах местных сообществ. </w:t>
      </w:r>
    </w:p>
    <w:p>
      <w:pPr>
        <w:pStyle w:val="P13"/>
        <w:spacing w:lineRule="auto" w:line="360" w:beforeAutospacing="0" w:afterAutospacing="0"/>
        <w:ind w:firstLine="709"/>
        <w:jc w:val="both"/>
        <w:rPr>
          <w:sz w:val="28"/>
          <w:szCs w:val="28"/>
          <w:lang w:val="ru-RU"/>
        </w:rPr>
      </w:pPr>
      <w:r>
        <w:rPr>
          <w:sz w:val="28"/>
          <w:szCs w:val="28"/>
          <w:lang w:val="ru-RU"/>
        </w:rPr>
        <w:t>В этом случае основным препятствием является нынешнее состояние африканской обрабатывающей промышленности, в которой отсутствует маркетинг, необходимый контроль за качеством продукции, передача знаний и доступ к финансовым услугам, также существуют структурные проблемы в отношении цепочек поставок. Такие недостатки могут привести к сокращению ассортимента и количества продуктов, снижению их качества, несвоевременной доставкой и невозможностью доставить скоропортящиеся продукты, препятствия на таможне, а также отсутствие</w:t>
      </w:r>
      <w:bookmarkStart w:id="42" w:name="_bookmark50"/>
      <w:bookmarkEnd w:id="42"/>
      <w:r>
        <w:rPr>
          <w:sz w:val="28"/>
          <w:szCs w:val="28"/>
          <w:lang w:val="ru-RU"/>
        </w:rPr>
        <w:t xml:space="preserve"> или, наоборот, неадекватная сертификация. Кроме того, внедрению концепции Убунту могут помешать культурные препятствия, такие как жизненная философия или низкий уровень квалификации менеджеров, включая потенциальное отсутствие навыков сотрудничества и взаимодействия в рамках корпоративной ответственности.</w:t>
      </w:r>
    </w:p>
    <w:p>
      <w:pPr>
        <w:pStyle w:val="P13"/>
        <w:spacing w:lineRule="auto" w:line="360" w:beforeAutospacing="0" w:afterAutospacing="0"/>
        <w:ind w:firstLine="709"/>
        <w:jc w:val="both"/>
        <w:rPr>
          <w:sz w:val="28"/>
          <w:szCs w:val="28"/>
          <w:lang w:val="ru-RU"/>
        </w:rPr>
      </w:pPr>
      <w:r>
        <w:rPr>
          <w:sz w:val="28"/>
          <w:szCs w:val="28"/>
          <w:lang w:val="ru-RU"/>
        </w:rPr>
        <w:t xml:space="preserve">Соответственно, ключевая цель развития африканской экономики должна быть сосредоточена на постепенном сокращении разрыва между африканским производством и потребностями западных розничных компаний. Этот процесс индустриализирует континент и повышает общий уровень жизни в сельскохозяйственных районах Африки. Для достижения этой цели африканская экономика должна развиваться, чтобы стать более рыночной и потребительской, а не быть ориентированной только на производство, т.е. продукты должны выращиваться, упаковываться и храниться в соответствии с приемлемыми мировыми стандартами. </w:t>
      </w:r>
    </w:p>
    <w:p>
      <w:pPr>
        <w:pStyle w:val="P13"/>
        <w:spacing w:lineRule="auto" w:line="360" w:beforeAutospacing="0" w:afterAutospacing="0"/>
        <w:ind w:firstLine="709"/>
        <w:jc w:val="both"/>
        <w:rPr>
          <w:sz w:val="28"/>
          <w:szCs w:val="28"/>
          <w:lang w:val="ru-RU"/>
        </w:rPr>
      </w:pPr>
      <w:r>
        <w:rPr>
          <w:sz w:val="28"/>
          <w:szCs w:val="28"/>
          <w:lang w:val="ru-RU"/>
        </w:rPr>
        <w:t xml:space="preserve">Изменения в рамках концепции Убунту должны включать соответствующие консультации с правительствами, международными организациями, наднациональными объединениями и торговыми ассоциациями для обучения успешным стратегиям инклюзивного роста и их адаптации к африканской специфике. Одним из положительных примеров является использование «сертифицированной справедливой торговли», например, органические свежесрезанные ананасы, которые продаются в голландском супермаркете </w:t>
      </w:r>
      <w:r>
        <w:rPr>
          <w:sz w:val="28"/>
          <w:szCs w:val="28"/>
        </w:rPr>
        <w:t>Albert</w:t>
      </w:r>
      <w:r>
        <w:rPr>
          <w:sz w:val="28"/>
          <w:szCs w:val="28"/>
          <w:lang w:val="ru-RU"/>
        </w:rPr>
        <w:t xml:space="preserve"> </w:t>
      </w:r>
      <w:r>
        <w:rPr>
          <w:sz w:val="28"/>
          <w:szCs w:val="28"/>
        </w:rPr>
        <w:t>Heijn</w:t>
      </w:r>
      <w:r>
        <w:rPr>
          <w:sz w:val="28"/>
          <w:szCs w:val="28"/>
          <w:lang w:val="ru-RU"/>
        </w:rPr>
        <w:t>. Деловое соглашение предусматривало разработку и сертификацию 70 африканских фермеров, которые производили ананасы [</w:t>
      </w:r>
      <w:r>
        <w:rPr>
          <w:sz w:val="28"/>
          <w:szCs w:val="28"/>
          <w:highlight w:val="yellow"/>
          <w:lang w:val="ru-RU"/>
        </w:rPr>
        <w:t>102</w:t>
      </w:r>
      <w:r>
        <w:rPr>
          <w:sz w:val="28"/>
          <w:szCs w:val="28"/>
          <w:lang w:val="ru-RU"/>
        </w:rPr>
        <w:t>]. Другим положительным примером является международный проект «Хлопок, сделанный в Африке», который поддерживает миллион африканских фермеров в производстве экологически чистого хлопка, который покупают швейные компании по всему миру [</w:t>
      </w:r>
      <w:r>
        <w:rPr>
          <w:sz w:val="28"/>
          <w:szCs w:val="28"/>
          <w:highlight w:val="yellow"/>
          <w:lang w:val="ru-RU"/>
        </w:rPr>
        <w:t>102</w:t>
      </w:r>
      <w:r>
        <w:rPr>
          <w:sz w:val="28"/>
          <w:szCs w:val="28"/>
          <w:lang w:val="ru-RU"/>
        </w:rPr>
        <w:t xml:space="preserve">]. </w:t>
      </w:r>
    </w:p>
    <w:p>
      <w:pPr>
        <w:pStyle w:val="P13"/>
        <w:spacing w:lineRule="auto" w:line="360" w:beforeAutospacing="0" w:afterAutospacing="0"/>
        <w:ind w:firstLine="709"/>
        <w:jc w:val="both"/>
        <w:rPr>
          <w:sz w:val="28"/>
          <w:szCs w:val="28"/>
          <w:lang w:val="ru-RU"/>
        </w:rPr>
      </w:pPr>
      <w:r>
        <w:rPr>
          <w:sz w:val="28"/>
          <w:szCs w:val="28"/>
          <w:lang w:val="ru-RU"/>
        </w:rPr>
        <w:t>Наконец, чтобы сократить разрыв между потенциалом африканской промышленности и потребностями западных ритейлеров, вклад Африки не должен ограничиваться сельским хозяйством и ручным трудом, но должен также включать профессиональную переработку товаров, ведущую к созданию новых рабочих мест, а также руководящих должностей для граждан Африки.</w:t>
      </w:r>
    </w:p>
    <w:p>
      <w:pPr>
        <w:pStyle w:val="P13"/>
        <w:spacing w:lineRule="auto" w:line="360" w:beforeAutospacing="0" w:afterAutospacing="0"/>
        <w:ind w:firstLine="709"/>
        <w:jc w:val="both"/>
        <w:rPr>
          <w:sz w:val="28"/>
          <w:szCs w:val="28"/>
          <w:lang w:val="ru-RU"/>
        </w:rPr>
      </w:pPr>
      <w:bookmarkStart w:id="43" w:name="8.6_Management_Structures_of_Transnation"/>
      <w:bookmarkEnd w:id="43"/>
      <w:r>
        <w:rPr>
          <w:sz w:val="28"/>
          <w:szCs w:val="28"/>
          <w:lang w:val="ru-RU"/>
        </w:rPr>
        <w:t>Несмотря на имеющийся негативный опыт, ТНК можно считать основными проводниками достижений корпоративной ответственности в Африке. Действительно, некоторые из них уже широко применяют на практике подход с участием заинтересованных сторон, выходя на массовые рынки Африки в странах с низким доходом [</w:t>
      </w:r>
      <w:r>
        <w:rPr>
          <w:sz w:val="28"/>
          <w:szCs w:val="28"/>
          <w:highlight w:val="yellow"/>
          <w:lang w:val="ru-RU"/>
        </w:rPr>
        <w:t>108</w:t>
      </w:r>
      <w:r>
        <w:rPr>
          <w:sz w:val="28"/>
          <w:szCs w:val="28"/>
          <w:lang w:val="ru-RU"/>
        </w:rPr>
        <w:t xml:space="preserve">]. В рамках концепции Убунту для формирования траекторий инновационного-инклюзивного роста руководитель проекта международной ТНК должен нести ответственность перед широким кругом заинтересованных сторон. Это может включать в себя взаимодействие с органами государственной власти, особенно в странах, где у ТНК есть свои местные представительства, а также с международными и наднациональными организациями. </w:t>
      </w:r>
    </w:p>
    <w:p>
      <w:pPr>
        <w:pStyle w:val="P13"/>
        <w:spacing w:lineRule="auto" w:line="360" w:beforeAutospacing="0" w:afterAutospacing="0"/>
        <w:ind w:firstLine="709"/>
        <w:jc w:val="both"/>
        <w:rPr>
          <w:sz w:val="28"/>
          <w:szCs w:val="28"/>
          <w:lang w:val="ru-RU"/>
        </w:rPr>
      </w:pPr>
      <w:r>
        <w:rPr>
          <w:sz w:val="28"/>
          <w:szCs w:val="28"/>
          <w:lang w:val="ru-RU"/>
        </w:rPr>
        <w:t xml:space="preserve">Использование концепции Убунту позволяет вместо «вестернизации» корпоративной деятельности в Африке, сосредоточиться ТНК на усилении «социальной включенности», используя сильные стороны своего местного окружения, работать с местными заинтересованными сторонами и тем самым успешно удовлетворять их требования. Кроме того, международному топ-менеджменту рекомендуется сотрудничать с местными менеджерами на местах, которые лучше понимают местную специфику и в состоянии успешно взаимодействовать </w:t>
      </w:r>
      <w:bookmarkStart w:id="44" w:name="_bookmark51"/>
      <w:bookmarkEnd w:id="44"/>
      <w:r>
        <w:rPr>
          <w:sz w:val="28"/>
          <w:szCs w:val="28"/>
          <w:lang w:val="ru-RU"/>
        </w:rPr>
        <w:t>с местными сообществами. например, кто-то, кто работает в местной африканской дочерней компании, близкой к основным деловым операциям ТНК в Африке. Этот подход был назван «профессиональная система с двумя менеджерами проектов» [</w:t>
      </w:r>
      <w:r>
        <w:rPr>
          <w:sz w:val="28"/>
          <w:szCs w:val="28"/>
          <w:highlight w:val="yellow"/>
          <w:lang w:val="ru-RU"/>
        </w:rPr>
        <w:t>75</w:t>
      </w:r>
      <w:r>
        <w:rPr>
          <w:sz w:val="28"/>
          <w:szCs w:val="28"/>
          <w:lang w:val="ru-RU"/>
        </w:rPr>
        <w:t>].</w:t>
      </w:r>
    </w:p>
    <w:p>
      <w:pPr>
        <w:pStyle w:val="P13"/>
        <w:spacing w:lineRule="auto" w:line="360" w:beforeAutospacing="0" w:afterAutospacing="0"/>
        <w:ind w:firstLine="709"/>
        <w:jc w:val="both"/>
        <w:rPr>
          <w:sz w:val="28"/>
          <w:szCs w:val="28"/>
          <w:lang w:val="ru-RU"/>
        </w:rPr>
      </w:pPr>
      <w:bookmarkStart w:id="45" w:name="_Hlk137749446"/>
      <w:r>
        <w:rPr>
          <w:sz w:val="28"/>
          <w:szCs w:val="28"/>
          <w:lang w:val="ru-RU"/>
        </w:rPr>
        <w:t xml:space="preserve">В рамках этой системы международный менеджер отвечает за стандартный функционал: структурное социальное воздействие, включая удовлетворение требований заинтересованных сторон при разработке стратегий развития, составления отчетов, публичных заявлений и презентаций проектов (рисунок </w:t>
      </w:r>
      <w:r>
        <w:rPr>
          <w:sz w:val="28"/>
          <w:szCs w:val="28"/>
          <w:highlight w:val="yellow"/>
          <w:lang w:val="ru-RU"/>
        </w:rPr>
        <w:t>3.4</w:t>
      </w:r>
      <w:r>
        <w:rPr>
          <w:sz w:val="28"/>
          <w:szCs w:val="28"/>
          <w:lang w:val="ru-RU"/>
        </w:rPr>
        <w:t>).</w:t>
      </w:r>
    </w:p>
    <w:p>
      <w:pPr>
        <w:pStyle w:val="P13"/>
        <w:spacing w:lineRule="auto" w:line="360" w:beforeAutospacing="0" w:afterAutospacing="0"/>
        <w:ind w:firstLine="709"/>
        <w:jc w:val="both"/>
        <w:rPr>
          <w:sz w:val="28"/>
          <w:szCs w:val="28"/>
          <w:lang w:val="ru-RU"/>
        </w:rPr>
      </w:pPr>
    </w:p>
    <w:p>
      <w:pPr>
        <w:pStyle w:val="P13"/>
        <w:spacing w:lineRule="auto" w:line="360" w:beforeAutospacing="0" w:afterAutospacing="0"/>
        <w:ind w:firstLine="709"/>
        <w:jc w:val="both"/>
        <w:rPr>
          <w:sz w:val="28"/>
          <w:szCs w:val="28"/>
          <w:lang w:val="ru-RU"/>
        </w:rPr>
      </w:pPr>
    </w:p>
    <w:p>
      <w:pPr>
        <w:pStyle w:val="P13"/>
        <w:spacing w:lineRule="auto" w:line="360" w:beforeAutospacing="0" w:afterAutospacing="0"/>
        <w:ind w:firstLine="709"/>
        <w:jc w:val="both"/>
        <w:rPr>
          <w:sz w:val="28"/>
          <w:szCs w:val="28"/>
          <w:lang w:val="ru-RU"/>
        </w:rPr>
      </w:pPr>
    </w:p>
    <w:p>
      <w:pPr>
        <w:pStyle w:val="P13"/>
        <w:spacing w:lineRule="auto" w:line="360" w:beforeAutospacing="0" w:afterAutospacing="0"/>
        <w:ind w:firstLine="709"/>
        <w:jc w:val="both"/>
        <w:rPr>
          <w:sz w:val="28"/>
          <w:szCs w:val="28"/>
          <w:lang w:val="ru-RU"/>
        </w:rPr>
      </w:pPr>
    </w:p>
    <w:p>
      <w:pPr>
        <w:pStyle w:val="P13"/>
        <w:spacing w:lineRule="auto" w:line="360" w:beforeAutospacing="0" w:afterAutospacing="0"/>
        <w:ind w:firstLine="709"/>
        <w:jc w:val="both"/>
        <w:rPr>
          <w:sz w:val="28"/>
          <w:szCs w:val="28"/>
          <w:lang w:val="ru-RU"/>
        </w:rPr>
      </w:pPr>
    </w:p>
    <w:p>
      <w:pPr>
        <w:pStyle w:val="P13"/>
        <w:spacing w:lineRule="auto" w:line="360" w:beforeAutospacing="0" w:afterAutospacing="0"/>
        <w:ind w:firstLine="709"/>
        <w:jc w:val="both"/>
        <w:rPr>
          <w:sz w:val="28"/>
          <w:szCs w:val="28"/>
          <w:lang w:val="ru-RU"/>
        </w:rPr>
      </w:pPr>
    </w:p>
    <w:p>
      <w:pPr>
        <w:pStyle w:val="P13"/>
        <w:spacing w:lineRule="auto" w:line="360" w:beforeAutospacing="0" w:afterAutospacing="0"/>
        <w:ind w:firstLine="709"/>
        <w:jc w:val="both"/>
        <w:rPr>
          <w:sz w:val="28"/>
          <w:szCs w:val="28"/>
          <w:lang w:val="ru-RU"/>
        </w:rPr>
      </w:pPr>
    </w:p>
    <w:p>
      <w:pPr>
        <w:pStyle w:val="P13"/>
        <w:spacing w:lineRule="auto" w:line="360" w:beforeAutospacing="0" w:afterAutospacing="0"/>
        <w:ind w:firstLine="709"/>
        <w:jc w:val="both"/>
        <w:rPr>
          <w:sz w:val="28"/>
          <w:szCs w:val="28"/>
          <w:lang w:val="ru-RU"/>
        </w:rPr>
      </w:pPr>
      <w:r>
        <w:rPr>
          <w:sz w:val="28"/>
          <w:szCs w:val="28"/>
          <w:lang w:val="ru-RU"/>
        </w:rPr>
        <w:t xml:space="preserve"> </w:t>
      </w:r>
    </w:p>
    <w:p>
      <w:pPr>
        <w:tabs>
          <w:tab w:val="left" w:pos="912" w:leader="none"/>
        </w:tabs>
        <w:rPr>
          <w:rFonts w:ascii="Times New Roman" w:hAnsi="Times New Roman" w:cs="Times New Roman"/>
          <w:sz w:val="28"/>
          <w:szCs w:val="28"/>
        </w:rPr>
      </w:pPr>
      <w:bookmarkEnd w:id="45"/>
      <w:bookmarkStart w:id="46" w:name="8.7_Small_and_Medium-Sized_Enterprises_("/>
      <w:bookmarkEnd w:id="46"/>
      <w:bookmarkStart w:id="47" w:name="_bookmark53"/>
      <w:bookmarkEnd w:id="47"/>
      <w:r>
        <w:rPr>
          <w:rFonts w:ascii="Times New Roman" w:hAnsi="Times New Roman" w:cs="Times New Roman"/>
          <w:noProof w:val="1"/>
          <w:sz w:val="28"/>
          <w:szCs w:val="28"/>
          <w:lang w:eastAsia="ru-RU"/>
        </w:rPr>
        <mc:AlternateContent>
          <mc:Choice Requires="wps">
            <w:drawing>
              <wp:anchor xmlns:wp="http://schemas.openxmlformats.org/drawingml/2006/wordprocessingDrawing" distT="0" distB="0" distL="114300" distR="114300" simplePos="0" relativeHeight="7" behindDoc="0" locked="0" layoutInCell="1" allowOverlap="1">
                <wp:simplePos x="0" y="0"/>
                <wp:positionH relativeFrom="margin">
                  <wp:posOffset>2597150</wp:posOffset>
                </wp:positionH>
                <wp:positionV relativeFrom="paragraph">
                  <wp:posOffset>284480</wp:posOffset>
                </wp:positionV>
                <wp:extent cx="1411605" cy="1732915"/>
                <wp:effectExtent l="0" t="0" r="17145" b="19685"/>
                <wp:wrapNone/>
                <wp:docPr id="142" name="Надпись 142"/>
                <wp:cNvGraphicFramePr/>
                <a:graphic xmlns:a="http://schemas.openxmlformats.org/drawingml/2006/main">
                  <a:graphicData uri="http://schemas.microsoft.com/office/word/2010/wordprocessingShape">
                    <wps:wsp>
                      <wps:cNvSpPr txBox="1"/>
                      <wps:spPr>
                        <a:xfrm>
                          <a:off x="0" y="0"/>
                          <a:ext cx="1411794" cy="1733342"/>
                        </a:xfrm>
                        <a:prstGeom prst="rect"/>
                        <a:solidFill>
                          <a:schemeClr val="lt1"/>
                        </a:solidFill>
                        <a:ln w="6350">
                          <a:solidFill>
                            <a:prstClr val="black"/>
                          </a:solidFill>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spacing w:lineRule="auto" w:line="240" w:after="0" w:beforeAutospacing="0" w:afterAutospacing="0"/>
                              <w:jc w:val="center"/>
                              <w:rPr>
                                <w:rFonts w:ascii="Times New Roman" w:hAnsi="Times New Roman" w:cs="Times New Roman"/>
                                <w:sz w:val="24"/>
                                <w:szCs w:val="24"/>
                              </w:rPr>
                            </w:pPr>
                          </w:p>
                          <w:p>
                            <w:pPr>
                              <w:spacing w:lineRule="auto" w:line="240" w:after="0" w:beforeAutospacing="0" w:afterAutospacing="0"/>
                              <w:jc w:val="center"/>
                              <w:rPr>
                                <w:rFonts w:ascii="Times New Roman" w:hAnsi="Times New Roman" w:cs="Times New Roman"/>
                                <w:sz w:val="24"/>
                                <w:szCs w:val="24"/>
                              </w:rPr>
                            </w:pPr>
                          </w:p>
                          <w:p>
                            <w:pPr>
                              <w:spacing w:lineRule="auto" w:line="240" w:after="0" w:beforeAutospacing="0" w:afterAutospacing="0"/>
                              <w:jc w:val="center"/>
                              <w:rPr>
                                <w:rFonts w:ascii="Times New Roman" w:hAnsi="Times New Roman" w:cs="Times New Roman"/>
                                <w:b w:val="1"/>
                                <w:sz w:val="24"/>
                                <w:szCs w:val="24"/>
                              </w:rPr>
                            </w:pPr>
                            <w:r>
                              <w:rPr>
                                <w:rFonts w:ascii="Times New Roman" w:hAnsi="Times New Roman" w:cs="Times New Roman"/>
                                <w:b w:val="1"/>
                                <w:sz w:val="24"/>
                                <w:szCs w:val="24"/>
                              </w:rPr>
                              <w:t>Гармонизация экономических, социальных и экологических интересов</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xmlns:o="urn:schemas-microsoft-com:office:office" type="#_x0000_t202" id="Надпись 142" o:spid="_x0000_s1280" style="position:absolute;width:111.15pt;height:136.45pt;z-index:7;mso-wrap-distance-left:9pt;mso-wrap-distance-top:0pt;mso-wrap-distance-right:9pt;mso-wrap-distance-bottom:0pt;margin-left:204.5pt;margin-top:22.4pt;mso-position-horizontal:absolute;mso-position-horizontal-relative:margin;mso-position-vertical:absolute;mso-position-vertical-relative:text" o:allowincell="t" fillcolor="#FFFFFF" strokecolor="#000000" strokeweight="0.5pt" stroked="t">
                <v:textbox inset="3mm,1mm,3mm,1mm">
                  <w:txbxContent>
                    <w:p>
                      <w:pPr>
                        <w:spacing w:lineRule="auto" w:line="240" w:after="0" w:beforeAutospacing="0" w:afterAutospacing="0"/>
                        <w:jc w:val="center"/>
                        <w:rPr>
                          <w:rFonts w:ascii="Times New Roman" w:hAnsi="Times New Roman" w:cs="Times New Roman"/>
                          <w:sz w:val="24"/>
                          <w:szCs w:val="24"/>
                        </w:rPr>
                      </w:pPr>
                    </w:p>
                    <w:p>
                      <w:pPr>
                        <w:spacing w:lineRule="auto" w:line="240" w:after="0" w:beforeAutospacing="0" w:afterAutospacing="0"/>
                        <w:jc w:val="center"/>
                        <w:rPr>
                          <w:rFonts w:ascii="Times New Roman" w:hAnsi="Times New Roman" w:cs="Times New Roman"/>
                          <w:sz w:val="24"/>
                          <w:szCs w:val="24"/>
                        </w:rPr>
                      </w:pPr>
                    </w:p>
                    <w:p>
                      <w:pPr>
                        <w:spacing w:lineRule="auto" w:line="240" w:after="0" w:beforeAutospacing="0" w:afterAutospacing="0"/>
                        <w:jc w:val="center"/>
                        <w:rPr>
                          <w:rFonts w:ascii="Times New Roman" w:hAnsi="Times New Roman" w:cs="Times New Roman"/>
                          <w:b w:val="1"/>
                          <w:sz w:val="24"/>
                          <w:szCs w:val="24"/>
                        </w:rPr>
                      </w:pPr>
                      <w:r>
                        <w:rPr>
                          <w:rFonts w:ascii="Times New Roman" w:hAnsi="Times New Roman" w:cs="Times New Roman"/>
                          <w:b w:val="1"/>
                          <w:sz w:val="24"/>
                          <w:szCs w:val="24"/>
                        </w:rPr>
                        <w:t>Гармонизация экономических, социальных и экологических интересов</w:t>
                      </w:r>
                    </w:p>
                  </w:txbxContent>
                </v:textbox>
              </v:shape>
            </w:pict>
          </mc:Fallback>
        </mc:AlternateContent>
      </w:r>
      <w:r>
        <w:rPr>
          <w:rFonts w:ascii="Times New Roman" w:hAnsi="Times New Roman" w:cs="Times New Roman"/>
          <w:noProof w:val="1"/>
          <w:sz w:val="28"/>
          <w:szCs w:val="28"/>
          <w:lang w:eastAsia="ru-RU"/>
        </w:rPr>
        <mc:AlternateContent>
          <mc:Choice Requires="wps">
            <w:drawing>
              <wp:anchor xmlns:wp="http://schemas.openxmlformats.org/drawingml/2006/wordprocessingDrawing" distT="0" distB="0" distL="114300" distR="114300" simplePos="0" relativeHeight="17" behindDoc="0" locked="0" layoutInCell="1" allowOverlap="1">
                <wp:simplePos x="0" y="0"/>
                <wp:positionH relativeFrom="column">
                  <wp:posOffset>4385945</wp:posOffset>
                </wp:positionH>
                <wp:positionV relativeFrom="paragraph">
                  <wp:posOffset>3810</wp:posOffset>
                </wp:positionV>
                <wp:extent cx="1541780" cy="2124710"/>
                <wp:effectExtent l="0" t="0" r="20320" b="27940"/>
                <wp:wrapNone/>
                <wp:docPr id="101" name="Надпись 101"/>
                <wp:cNvGraphicFramePr/>
                <a:graphic xmlns:a="http://schemas.openxmlformats.org/drawingml/2006/main">
                  <a:graphicData uri="http://schemas.microsoft.com/office/word/2010/wordprocessingShape">
                    <wps:wsp>
                      <wps:cNvSpPr txBox="1"/>
                      <wps:spPr>
                        <a:xfrm>
                          <a:off x="0" y="0"/>
                          <a:ext cx="1541996" cy="2125143"/>
                        </a:xfrm>
                        <a:prstGeom prst="rect"/>
                        <a:noFill/>
                        <a:ln w="6350">
                          <a:solidFill>
                            <a:prstClr val="black"/>
                          </a:solidFill>
                          <a:prstDash val="dash"/>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rPr>
                                <w:rFonts w:ascii="Times New Roman" w:hAnsi="Times New Roman" w:cs="Times New Roman"/>
                                <w:i w:val="1"/>
                                <w:sz w:val="24"/>
                                <w:szCs w:val="24"/>
                              </w:rPr>
                            </w:pPr>
                            <w:r>
                              <w:rPr>
                                <w:rFonts w:ascii="Times New Roman" w:hAnsi="Times New Roman" w:cs="Times New Roman"/>
                                <w:i w:val="1"/>
                                <w:sz w:val="24"/>
                                <w:szCs w:val="24"/>
                              </w:rPr>
                              <w:t>Внутренние акторы</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xmlns:o="urn:schemas-microsoft-com:office:office" type="#_x0000_t202" id="Надпись 101" o:spid="_x0000_s1281" style="position:absolute;width:121.4pt;height:167.3pt;z-index:17;mso-wrap-distance-left:9pt;mso-wrap-distance-top:0pt;mso-wrap-distance-right:9pt;mso-wrap-distance-bottom:0pt;margin-left:345.35pt;margin-top:0.3pt;mso-position-horizontal:absolute;mso-position-horizontal-relative:text;mso-position-vertical:absolute;mso-position-vertical-relative:text" o:allowincell="t" filled="f" strokecolor="#000000" strokeweight="0.5pt" stroked="t">
                <v:textbox inset="3mm,1mm,3mm,1mm">
                  <w:txbxContent>
                    <w:p>
                      <w:pPr>
                        <w:rPr>
                          <w:rFonts w:ascii="Times New Roman" w:hAnsi="Times New Roman" w:cs="Times New Roman"/>
                          <w:i w:val="1"/>
                          <w:sz w:val="24"/>
                          <w:szCs w:val="24"/>
                        </w:rPr>
                      </w:pPr>
                      <w:r>
                        <w:rPr>
                          <w:rFonts w:ascii="Times New Roman" w:hAnsi="Times New Roman" w:cs="Times New Roman"/>
                          <w:i w:val="1"/>
                          <w:sz w:val="24"/>
                          <w:szCs w:val="24"/>
                        </w:rPr>
                        <w:t>Внутренние акторы</w:t>
                      </w:r>
                    </w:p>
                  </w:txbxContent>
                </v:textbox>
                <v:stroke dashstyle="dash"/>
              </v:shape>
            </w:pict>
          </mc:Fallback>
        </mc:AlternateContent>
      </w:r>
      <w:r>
        <w:rPr>
          <w:rFonts w:ascii="Times New Roman" w:hAnsi="Times New Roman" w:cs="Times New Roman"/>
          <w:noProof w:val="1"/>
          <w:sz w:val="28"/>
          <w:szCs w:val="28"/>
          <w:lang w:eastAsia="ru-RU"/>
        </w:rPr>
        <mc:AlternateContent>
          <mc:Choice Requires="wps">
            <w:drawing>
              <wp:anchor xmlns:wp="http://schemas.openxmlformats.org/drawingml/2006/wordprocessingDrawing" distT="0" distB="0" distL="114300" distR="114300" simplePos="0" relativeHeight="16" behindDoc="0" locked="0" layoutInCell="1" allowOverlap="1">
                <wp:simplePos x="0" y="0"/>
                <wp:positionH relativeFrom="column">
                  <wp:posOffset>370205</wp:posOffset>
                </wp:positionH>
                <wp:positionV relativeFrom="paragraph">
                  <wp:posOffset>23495</wp:posOffset>
                </wp:positionV>
                <wp:extent cx="1732915" cy="2124710"/>
                <wp:effectExtent l="0" t="0" r="19685" b="27940"/>
                <wp:wrapNone/>
                <wp:docPr id="96" name="Надпись 96"/>
                <wp:cNvGraphicFramePr/>
                <a:graphic xmlns:a="http://schemas.openxmlformats.org/drawingml/2006/main">
                  <a:graphicData uri="http://schemas.microsoft.com/office/word/2010/wordprocessingShape">
                    <wps:wsp>
                      <wps:cNvSpPr txBox="1"/>
                      <wps:spPr>
                        <a:xfrm>
                          <a:off x="0" y="0"/>
                          <a:ext cx="1733342" cy="2125143"/>
                        </a:xfrm>
                        <a:prstGeom prst="rect"/>
                        <a:noFill/>
                        <a:ln w="6350">
                          <a:solidFill>
                            <a:prstClr val="black"/>
                          </a:solidFill>
                          <a:prstDash val="dash"/>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jc w:val="center"/>
                              <w:rPr>
                                <w:rFonts w:ascii="Times New Roman" w:hAnsi="Times New Roman" w:cs="Times New Roman"/>
                                <w:i w:val="1"/>
                                <w:sz w:val="24"/>
                                <w:szCs w:val="24"/>
                              </w:rPr>
                            </w:pPr>
                            <w:r>
                              <w:rPr>
                                <w:rFonts w:ascii="Times New Roman" w:hAnsi="Times New Roman" w:cs="Times New Roman"/>
                                <w:i w:val="1"/>
                                <w:sz w:val="24"/>
                                <w:szCs w:val="24"/>
                              </w:rPr>
                              <w:t>Внешние акторы</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xmlns:o="urn:schemas-microsoft-com:office:office" type="#_x0000_t202" id="Надпись 96" o:spid="_x0000_s1282" style="position:absolute;width:136.45pt;height:167.3pt;z-index:16;mso-wrap-distance-left:9pt;mso-wrap-distance-top:0pt;mso-wrap-distance-right:9pt;mso-wrap-distance-bottom:0pt;margin-left:29.15pt;margin-top:1.85pt;mso-position-horizontal:absolute;mso-position-horizontal-relative:text;mso-position-vertical:absolute;mso-position-vertical-relative:text" o:allowincell="t" filled="f" strokecolor="#000000" strokeweight="0.5pt" stroked="t">
                <v:textbox inset="3mm,1mm,3mm,1mm">
                  <w:txbxContent>
                    <w:p>
                      <w:pPr>
                        <w:jc w:val="center"/>
                        <w:rPr>
                          <w:rFonts w:ascii="Times New Roman" w:hAnsi="Times New Roman" w:cs="Times New Roman"/>
                          <w:i w:val="1"/>
                          <w:sz w:val="24"/>
                          <w:szCs w:val="24"/>
                        </w:rPr>
                      </w:pPr>
                      <w:r>
                        <w:rPr>
                          <w:rFonts w:ascii="Times New Roman" w:hAnsi="Times New Roman" w:cs="Times New Roman"/>
                          <w:i w:val="1"/>
                          <w:sz w:val="24"/>
                          <w:szCs w:val="24"/>
                        </w:rPr>
                        <w:t>Внешние акторы</w:t>
                      </w:r>
                    </w:p>
                  </w:txbxContent>
                </v:textbox>
                <v:stroke dashstyle="dash"/>
              </v:shape>
            </w:pict>
          </mc:Fallback>
        </mc:AlternateContent>
      </w:r>
      <w:r>
        <w:rPr>
          <w:rFonts w:ascii="Times New Roman" w:hAnsi="Times New Roman" w:cs="Times New Roman"/>
          <w:noProof w:val="1"/>
          <w:sz w:val="28"/>
          <w:szCs w:val="28"/>
          <w:lang w:eastAsia="ru-RU"/>
        </w:rPr>
        <mc:AlternateContent>
          <mc:Choice Requires="wps">
            <w:drawing>
              <wp:anchor xmlns:wp="http://schemas.openxmlformats.org/drawingml/2006/wordprocessingDrawing" distT="0" distB="0" distL="114300" distR="114300" simplePos="0" relativeHeight="13" behindDoc="0" locked="0" layoutInCell="1" allowOverlap="1">
                <wp:simplePos x="0" y="0"/>
                <wp:positionH relativeFrom="margin">
                  <wp:posOffset>446405</wp:posOffset>
                </wp:positionH>
                <wp:positionV relativeFrom="paragraph">
                  <wp:posOffset>306070</wp:posOffset>
                </wp:positionV>
                <wp:extent cx="1577340" cy="491490"/>
                <wp:effectExtent l="0" t="0" r="22860" b="22860"/>
                <wp:wrapNone/>
                <wp:docPr id="5" name="Надпись 5"/>
                <wp:cNvGraphicFramePr/>
                <a:graphic xmlns:a="http://schemas.openxmlformats.org/drawingml/2006/main">
                  <a:graphicData uri="http://schemas.microsoft.com/office/word/2010/wordprocessingShape">
                    <wps:wsp>
                      <wps:cNvSpPr txBox="1"/>
                      <wps:spPr>
                        <a:xfrm>
                          <a:off x="0" y="0"/>
                          <a:ext cx="1577340" cy="491557"/>
                        </a:xfrm>
                        <a:prstGeom prst="rect"/>
                        <a:solidFill>
                          <a:schemeClr val="lt1"/>
                        </a:solidFill>
                        <a:ln w="6350">
                          <a:solidFill>
                            <a:prstClr val="black"/>
                          </a:solidFill>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spacing w:lineRule="auto" w:line="240" w:after="0" w:beforeAutospacing="0" w:afterAutospacing="0"/>
                              <w:jc w:val="center"/>
                              <w:rPr>
                                <w:rFonts w:ascii="Times New Roman" w:hAnsi="Times New Roman" w:cs="Times New Roman"/>
                                <w:sz w:val="24"/>
                                <w:szCs w:val="24"/>
                              </w:rPr>
                            </w:pPr>
                            <w:r>
                              <w:rPr>
                                <w:rFonts w:ascii="Times New Roman" w:hAnsi="Times New Roman" w:cs="Times New Roman"/>
                                <w:sz w:val="24"/>
                                <w:szCs w:val="24"/>
                              </w:rPr>
                              <w:t>Международные организации</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xmlns:o="urn:schemas-microsoft-com:office:office" type="#_x0000_t202" id="Надпись 5" o:spid="_x0000_s1283" style="position:absolute;width:124.2pt;height:38.7pt;z-index:13;mso-wrap-distance-left:9pt;mso-wrap-distance-top:0pt;mso-wrap-distance-right:9pt;mso-wrap-distance-bottom:0pt;margin-left:35.15pt;margin-top:24.1pt;mso-position-horizontal:absolute;mso-position-horizontal-relative:margin;mso-position-vertical:absolute;mso-position-vertical-relative:text" o:allowincell="t" fillcolor="#FFFFFF" strokecolor="#000000" strokeweight="0.5pt" stroked="t">
                <v:textbox inset="3mm,1mm,3mm,1mm">
                  <w:txbxContent>
                    <w:p>
                      <w:pPr>
                        <w:spacing w:lineRule="auto" w:line="240" w:after="0" w:beforeAutospacing="0" w:afterAutospacing="0"/>
                        <w:jc w:val="center"/>
                        <w:rPr>
                          <w:rFonts w:ascii="Times New Roman" w:hAnsi="Times New Roman" w:cs="Times New Roman"/>
                          <w:sz w:val="24"/>
                          <w:szCs w:val="24"/>
                        </w:rPr>
                      </w:pPr>
                      <w:r>
                        <w:rPr>
                          <w:rFonts w:ascii="Times New Roman" w:hAnsi="Times New Roman" w:cs="Times New Roman"/>
                          <w:sz w:val="24"/>
                          <w:szCs w:val="24"/>
                        </w:rPr>
                        <w:t>Международные организации</w:t>
                      </w:r>
                    </w:p>
                  </w:txbxContent>
                </v:textbox>
              </v:shape>
            </w:pict>
          </mc:Fallback>
        </mc:AlternateContent>
      </w:r>
    </w:p>
    <w:p>
      <w:pPr>
        <w:tabs>
          <w:tab w:val="left" w:pos="912" w:leader="none"/>
        </w:tabs>
        <w:rPr>
          <w:rFonts w:ascii="Times New Roman" w:hAnsi="Times New Roman" w:cs="Times New Roman"/>
          <w:sz w:val="28"/>
          <w:szCs w:val="28"/>
        </w:rPr>
      </w:pPr>
      <w:r>
        <w:rPr>
          <w:rFonts w:ascii="Times New Roman" w:hAnsi="Times New Roman" w:cs="Times New Roman"/>
          <w:noProof w:val="1"/>
          <w:sz w:val="28"/>
          <w:szCs w:val="28"/>
          <w:lang w:eastAsia="ru-RU"/>
        </w:rPr>
        <mc:AlternateContent>
          <mc:Choice Requires="wps">
            <w:drawing>
              <wp:anchor xmlns:wp="http://schemas.openxmlformats.org/drawingml/2006/wordprocessingDrawing" distT="0" distB="0" distL="114300" distR="114300" simplePos="0" relativeHeight="21" behindDoc="0" locked="0" layoutInCell="1" allowOverlap="1">
                <wp:simplePos x="0" y="0"/>
                <wp:positionH relativeFrom="column">
                  <wp:posOffset>4010025</wp:posOffset>
                </wp:positionH>
                <wp:positionV relativeFrom="paragraph">
                  <wp:posOffset>203835</wp:posOffset>
                </wp:positionV>
                <wp:extent cx="607695" cy="0"/>
                <wp:effectExtent l="38100" t="76200" r="0" b="95250"/>
                <wp:wrapNone/>
                <wp:docPr id="119" name="Прямая со стрелкой 119"/>
                <wp:cNvGraphicFramePr/>
                <a:graphic xmlns:a="http://schemas.openxmlformats.org/drawingml/2006/main">
                  <a:graphicData uri="http://schemas.microsoft.com/office/word/2010/wordprocessingShape">
                    <wps:wsp>
                      <wps:cNvCnPr/>
                      <wps:spPr>
                        <a:xfrm flipH="1">
                          <a:off x="0" y="0"/>
                          <a:ext cx="607843" cy="0"/>
                        </a:xfrm>
                        <a:prstGeom prst="straightConnector1"/>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xmlns:o="urn:schemas-microsoft-com:office:office" type="#_x0000_t32" id="Прямая со стрелкой 119" o:spid="_x0000_s1284" style="position:absolute;width:47.85pt;height:0pt;flip:x;z-index:21;mso-wrap-distance-left:9pt;mso-wrap-distance-top:0pt;mso-wrap-distance-right:9pt;mso-wrap-distance-bottom:0pt;margin-left:315.75pt;margin-top:16.05pt;mso-position-horizontal:absolute;mso-position-horizontal-relative:text;mso-position-vertical:absolute;mso-position-vertical-relative:text" strokecolor="#000000" strokeweight="0.5pt" stroked="t" o:allowincell="t">
                <v:stroke endarrow="block"/>
              </v:shape>
            </w:pict>
          </mc:Fallback>
        </mc:AlternateContent>
      </w:r>
      <w:r>
        <w:rPr>
          <w:rFonts w:ascii="Times New Roman" w:hAnsi="Times New Roman" w:cs="Times New Roman"/>
          <w:noProof w:val="1"/>
          <w:sz w:val="28"/>
          <w:szCs w:val="28"/>
          <w:lang w:eastAsia="ru-RU"/>
        </w:rPr>
        <mc:AlternateContent>
          <mc:Choice Requires="wps">
            <w:drawing>
              <wp:anchor xmlns:wp="http://schemas.openxmlformats.org/drawingml/2006/wordprocessingDrawing" distT="0" distB="0" distL="114300" distR="114300" simplePos="0" relativeHeight="18" behindDoc="0" locked="0" layoutInCell="1" allowOverlap="1">
                <wp:simplePos x="0" y="0"/>
                <wp:positionH relativeFrom="column">
                  <wp:posOffset>2021840</wp:posOffset>
                </wp:positionH>
                <wp:positionV relativeFrom="paragraph">
                  <wp:posOffset>221615</wp:posOffset>
                </wp:positionV>
                <wp:extent cx="575945" cy="0"/>
                <wp:effectExtent l="0" t="76200" r="14605" b="95250"/>
                <wp:wrapNone/>
                <wp:docPr id="107" name="Прямая со стрелкой 107"/>
                <wp:cNvGraphicFramePr/>
                <a:graphic xmlns:a="http://schemas.openxmlformats.org/drawingml/2006/main">
                  <a:graphicData uri="http://schemas.microsoft.com/office/word/2010/wordprocessingShape">
                    <wps:wsp>
                      <wps:cNvCnPr/>
                      <wps:spPr>
                        <a:xfrm>
                          <a:off x="0" y="0"/>
                          <a:ext cx="576266" cy="0"/>
                        </a:xfrm>
                        <a:prstGeom prst="straightConnector1"/>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xmlns:o="urn:schemas-microsoft-com:office:office" type="#_x0000_t32" id="Прямая со стрелкой 107" o:spid="_x0000_s1285" style="position:absolute;width:45.35pt;height:0pt;z-index:18;mso-wrap-distance-left:9pt;mso-wrap-distance-top:0pt;mso-wrap-distance-right:9pt;mso-wrap-distance-bottom:0pt;margin-left:159.2pt;margin-top:17.45pt;mso-position-horizontal:absolute;mso-position-horizontal-relative:text;mso-position-vertical:absolute;mso-position-vertical-relative:text" strokecolor="#000000" strokeweight="0.5pt" stroked="t" o:allowincell="t">
                <v:stroke endarrow="block"/>
              </v:shape>
            </w:pict>
          </mc:Fallback>
        </mc:AlternateContent>
      </w:r>
      <w:r>
        <w:rPr>
          <w:rFonts w:ascii="Times New Roman" w:hAnsi="Times New Roman" w:cs="Times New Roman"/>
          <w:noProof w:val="1"/>
          <w:sz w:val="28"/>
          <w:szCs w:val="28"/>
          <w:lang w:eastAsia="ru-RU"/>
        </w:rPr>
        <mc:AlternateContent>
          <mc:Choice Requires="wps">
            <w:drawing>
              <wp:anchor xmlns:wp="http://schemas.openxmlformats.org/drawingml/2006/wordprocessingDrawing" distT="0" distB="0" distL="114300" distR="114300" simplePos="0" relativeHeight="8" behindDoc="0" locked="0" layoutInCell="1" allowOverlap="1">
                <wp:simplePos x="0" y="0"/>
                <wp:positionH relativeFrom="margin">
                  <wp:posOffset>4616450</wp:posOffset>
                </wp:positionH>
                <wp:positionV relativeFrom="paragraph">
                  <wp:posOffset>67945</wp:posOffset>
                </wp:positionV>
                <wp:extent cx="1129665" cy="301625"/>
                <wp:effectExtent l="0" t="0" r="13335" b="22225"/>
                <wp:wrapNone/>
                <wp:docPr id="144" name="Надпись 144"/>
                <wp:cNvGraphicFramePr/>
                <a:graphic xmlns:a="http://schemas.openxmlformats.org/drawingml/2006/main">
                  <a:graphicData uri="http://schemas.microsoft.com/office/word/2010/wordprocessingShape">
                    <wps:wsp>
                      <wps:cNvSpPr txBox="1"/>
                      <wps:spPr>
                        <a:xfrm>
                          <a:off x="0" y="0"/>
                          <a:ext cx="1130189" cy="301625"/>
                        </a:xfrm>
                        <a:prstGeom prst="rect"/>
                        <a:solidFill>
                          <a:schemeClr val="lt1"/>
                        </a:solidFill>
                        <a:ln w="6350">
                          <a:solidFill>
                            <a:prstClr val="black"/>
                          </a:solidFill>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spacing w:lineRule="auto" w:line="240" w:after="0" w:beforeAutospacing="0" w:afterAutospacing="0"/>
                              <w:jc w:val="center"/>
                              <w:rPr>
                                <w:rFonts w:ascii="Times New Roman" w:hAnsi="Times New Roman" w:cs="Times New Roman"/>
                                <w:sz w:val="24"/>
                                <w:szCs w:val="24"/>
                              </w:rPr>
                            </w:pPr>
                            <w:r>
                              <w:rPr>
                                <w:rFonts w:ascii="Times New Roman" w:hAnsi="Times New Roman" w:cs="Times New Roman"/>
                                <w:sz w:val="24"/>
                                <w:szCs w:val="24"/>
                              </w:rPr>
                              <w:t>Государство</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xmlns:o="urn:schemas-microsoft-com:office:office" type="#_x0000_t202" id="Надпись 144" o:spid="_x0000_s1286" style="position:absolute;width:88.95pt;height:23.75pt;z-index:8;mso-wrap-distance-left:9pt;mso-wrap-distance-top:0pt;mso-wrap-distance-right:9pt;mso-wrap-distance-bottom:0pt;margin-left:363.5pt;margin-top:5.35pt;mso-position-horizontal:absolute;mso-position-horizontal-relative:margin;mso-position-vertical:absolute;mso-position-vertical-relative:text" o:allowincell="t" fillcolor="#FFFFFF" strokecolor="#000000" strokeweight="0.5pt" stroked="t">
                <v:textbox inset="3mm,1mm,3mm,1mm">
                  <w:txbxContent>
                    <w:p>
                      <w:pPr>
                        <w:spacing w:lineRule="auto" w:line="240" w:after="0" w:beforeAutospacing="0" w:afterAutospacing="0"/>
                        <w:jc w:val="center"/>
                        <w:rPr>
                          <w:rFonts w:ascii="Times New Roman" w:hAnsi="Times New Roman" w:cs="Times New Roman"/>
                          <w:sz w:val="24"/>
                          <w:szCs w:val="24"/>
                        </w:rPr>
                      </w:pPr>
                      <w:r>
                        <w:rPr>
                          <w:rFonts w:ascii="Times New Roman" w:hAnsi="Times New Roman" w:cs="Times New Roman"/>
                          <w:sz w:val="24"/>
                          <w:szCs w:val="24"/>
                        </w:rPr>
                        <w:t>Государство</w:t>
                      </w:r>
                    </w:p>
                  </w:txbxContent>
                </v:textbox>
              </v:shape>
            </w:pict>
          </mc:Fallback>
        </mc:AlternateContent>
      </w:r>
    </w:p>
    <w:p>
      <w:pPr>
        <w:tabs>
          <w:tab w:val="left" w:pos="912" w:leader="none"/>
        </w:tabs>
        <w:rPr>
          <w:rFonts w:ascii="Times New Roman" w:hAnsi="Times New Roman" w:cs="Times New Roman"/>
          <w:sz w:val="28"/>
          <w:szCs w:val="28"/>
        </w:rPr>
      </w:pPr>
      <w:r>
        <w:rPr>
          <w:rFonts w:ascii="Times New Roman" w:hAnsi="Times New Roman" w:cs="Times New Roman"/>
          <w:noProof w:val="1"/>
          <w:sz w:val="28"/>
          <w:szCs w:val="28"/>
          <w:lang w:eastAsia="ru-RU"/>
        </w:rPr>
        <mc:AlternateContent>
          <mc:Choice Requires="wps">
            <w:drawing>
              <wp:anchor xmlns:wp="http://schemas.openxmlformats.org/drawingml/2006/wordprocessingDrawing" distT="0" distB="0" distL="114300" distR="114300" simplePos="0" relativeHeight="9" behindDoc="0" locked="0" layoutInCell="1" allowOverlap="1">
                <wp:simplePos x="0" y="0"/>
                <wp:positionH relativeFrom="margin">
                  <wp:posOffset>4616450</wp:posOffset>
                </wp:positionH>
                <wp:positionV relativeFrom="paragraph">
                  <wp:posOffset>312420</wp:posOffset>
                </wp:positionV>
                <wp:extent cx="1129665" cy="301625"/>
                <wp:effectExtent l="0" t="0" r="13335" b="22225"/>
                <wp:wrapNone/>
                <wp:docPr id="145" name="Надпись 145"/>
                <wp:cNvGraphicFramePr/>
                <a:graphic xmlns:a="http://schemas.openxmlformats.org/drawingml/2006/main">
                  <a:graphicData uri="http://schemas.microsoft.com/office/word/2010/wordprocessingShape">
                    <wps:wsp>
                      <wps:cNvSpPr txBox="1"/>
                      <wps:spPr>
                        <a:xfrm>
                          <a:off x="0" y="0"/>
                          <a:ext cx="1130188" cy="302043"/>
                        </a:xfrm>
                        <a:prstGeom prst="rect"/>
                        <a:solidFill>
                          <a:schemeClr val="lt1"/>
                        </a:solidFill>
                        <a:ln w="6350">
                          <a:solidFill>
                            <a:prstClr val="black"/>
                          </a:solidFill>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spacing w:lineRule="auto" w:line="240" w:after="0" w:beforeAutospacing="0" w:afterAutospacing="0"/>
                              <w:jc w:val="center"/>
                              <w:rPr>
                                <w:rFonts w:ascii="Times New Roman" w:hAnsi="Times New Roman" w:cs="Times New Roman"/>
                                <w:sz w:val="24"/>
                                <w:szCs w:val="24"/>
                              </w:rPr>
                            </w:pPr>
                            <w:r>
                              <w:rPr>
                                <w:rFonts w:ascii="Times New Roman" w:hAnsi="Times New Roman" w:cs="Times New Roman"/>
                                <w:sz w:val="24"/>
                                <w:szCs w:val="24"/>
                              </w:rPr>
                              <w:t>Бизнес</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xmlns:o="urn:schemas-microsoft-com:office:office" type="#_x0000_t202" id="Надпись 145" o:spid="_x0000_s1287" style="position:absolute;width:88.95pt;height:23.75pt;z-index:9;mso-wrap-distance-left:9pt;mso-wrap-distance-top:0pt;mso-wrap-distance-right:9pt;mso-wrap-distance-bottom:0pt;margin-left:363.5pt;margin-top:24.6pt;mso-position-horizontal:absolute;mso-position-horizontal-relative:margin;mso-position-vertical:absolute;mso-position-vertical-relative:text" o:allowincell="t" fillcolor="#FFFFFF" strokecolor="#000000" strokeweight="0.5pt" stroked="t">
                <v:textbox inset="3mm,1mm,3mm,1mm">
                  <w:txbxContent>
                    <w:p>
                      <w:pPr>
                        <w:spacing w:lineRule="auto" w:line="240" w:after="0" w:beforeAutospacing="0" w:afterAutospacing="0"/>
                        <w:jc w:val="center"/>
                        <w:rPr>
                          <w:rFonts w:ascii="Times New Roman" w:hAnsi="Times New Roman" w:cs="Times New Roman"/>
                          <w:sz w:val="24"/>
                          <w:szCs w:val="24"/>
                        </w:rPr>
                      </w:pPr>
                      <w:r>
                        <w:rPr>
                          <w:rFonts w:ascii="Times New Roman" w:hAnsi="Times New Roman" w:cs="Times New Roman"/>
                          <w:sz w:val="24"/>
                          <w:szCs w:val="24"/>
                        </w:rPr>
                        <w:t>Бизнес</w:t>
                      </w:r>
                    </w:p>
                  </w:txbxContent>
                </v:textbox>
              </v:shape>
            </w:pict>
          </mc:Fallback>
        </mc:AlternateContent>
      </w:r>
      <w:r>
        <w:rPr>
          <w:rFonts w:ascii="Times New Roman" w:hAnsi="Times New Roman" w:cs="Times New Roman"/>
          <w:noProof w:val="1"/>
          <w:sz w:val="28"/>
          <w:szCs w:val="28"/>
          <w:lang w:eastAsia="ru-RU"/>
        </w:rPr>
        <mc:AlternateContent>
          <mc:Choice Requires="wps">
            <w:drawing>
              <wp:anchor xmlns:wp="http://schemas.openxmlformats.org/drawingml/2006/wordprocessingDrawing" distT="0" distB="0" distL="114300" distR="114300" simplePos="0" relativeHeight="14" behindDoc="0" locked="0" layoutInCell="1" allowOverlap="1">
                <wp:simplePos x="0" y="0"/>
                <wp:positionH relativeFrom="margin">
                  <wp:posOffset>441960</wp:posOffset>
                </wp:positionH>
                <wp:positionV relativeFrom="paragraph">
                  <wp:posOffset>209550</wp:posOffset>
                </wp:positionV>
                <wp:extent cx="1577340" cy="496570"/>
                <wp:effectExtent l="0" t="0" r="22860" b="17780"/>
                <wp:wrapNone/>
                <wp:docPr id="6" name="Надпись 6"/>
                <wp:cNvGraphicFramePr/>
                <a:graphic xmlns:a="http://schemas.openxmlformats.org/drawingml/2006/main">
                  <a:graphicData uri="http://schemas.microsoft.com/office/word/2010/wordprocessingShape">
                    <wps:wsp>
                      <wps:cNvSpPr txBox="1"/>
                      <wps:spPr>
                        <a:xfrm>
                          <a:off x="0" y="0"/>
                          <a:ext cx="1577340" cy="496841"/>
                        </a:xfrm>
                        <a:prstGeom prst="rect"/>
                        <a:solidFill>
                          <a:schemeClr val="lt1"/>
                        </a:solidFill>
                        <a:ln w="6350">
                          <a:solidFill>
                            <a:prstClr val="black"/>
                          </a:solidFill>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spacing w:lineRule="auto" w:line="240" w:after="0" w:beforeAutospacing="0" w:afterAutospacing="0"/>
                              <w:jc w:val="center"/>
                              <w:rPr>
                                <w:rFonts w:ascii="Times New Roman" w:hAnsi="Times New Roman" w:cs="Times New Roman"/>
                                <w:sz w:val="24"/>
                                <w:szCs w:val="24"/>
                              </w:rPr>
                            </w:pPr>
                            <w:r>
                              <w:rPr>
                                <w:rFonts w:ascii="Times New Roman" w:hAnsi="Times New Roman" w:cs="Times New Roman"/>
                                <w:sz w:val="24"/>
                                <w:szCs w:val="24"/>
                              </w:rPr>
                              <w:t>Транснациональные компании</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xmlns:o="urn:schemas-microsoft-com:office:office" type="#_x0000_t202" id="Надпись 6" o:spid="_x0000_s1288" style="position:absolute;width:124.2pt;height:39.1pt;z-index:14;mso-wrap-distance-left:9pt;mso-wrap-distance-top:0pt;mso-wrap-distance-right:9pt;mso-wrap-distance-bottom:0pt;margin-left:34.8pt;margin-top:16.5pt;mso-position-horizontal:absolute;mso-position-horizontal-relative:margin;mso-position-vertical:absolute;mso-position-vertical-relative:text" o:allowincell="t" fillcolor="#FFFFFF" strokecolor="#000000" strokeweight="0.5pt" stroked="t">
                <v:textbox inset="3mm,1mm,3mm,1mm">
                  <w:txbxContent>
                    <w:p>
                      <w:pPr>
                        <w:spacing w:lineRule="auto" w:line="240" w:after="0" w:beforeAutospacing="0" w:afterAutospacing="0"/>
                        <w:jc w:val="center"/>
                        <w:rPr>
                          <w:rFonts w:ascii="Times New Roman" w:hAnsi="Times New Roman" w:cs="Times New Roman"/>
                          <w:sz w:val="24"/>
                          <w:szCs w:val="24"/>
                        </w:rPr>
                      </w:pPr>
                      <w:r>
                        <w:rPr>
                          <w:rFonts w:ascii="Times New Roman" w:hAnsi="Times New Roman" w:cs="Times New Roman"/>
                          <w:sz w:val="24"/>
                          <w:szCs w:val="24"/>
                        </w:rPr>
                        <w:t>Транснациональные компании</w:t>
                      </w:r>
                    </w:p>
                  </w:txbxContent>
                </v:textbox>
              </v:shape>
            </w:pict>
          </mc:Fallback>
        </mc:AlternateContent>
      </w:r>
    </w:p>
    <w:p>
      <w:pPr>
        <w:tabs>
          <w:tab w:val="left" w:pos="912" w:leader="none"/>
        </w:tabs>
        <w:rPr>
          <w:rFonts w:ascii="Times New Roman" w:hAnsi="Times New Roman" w:cs="Times New Roman"/>
          <w:sz w:val="28"/>
          <w:szCs w:val="28"/>
        </w:rPr>
      </w:pPr>
      <w:r>
        <w:rPr>
          <w:rFonts w:ascii="Times New Roman" w:hAnsi="Times New Roman" w:cs="Times New Roman"/>
          <w:noProof w:val="1"/>
          <w:sz w:val="28"/>
          <w:szCs w:val="28"/>
          <w:lang w:eastAsia="ru-RU"/>
        </w:rPr>
        <mc:AlternateContent>
          <mc:Choice Requires="wps">
            <w:drawing>
              <wp:anchor xmlns:wp="http://schemas.openxmlformats.org/drawingml/2006/wordprocessingDrawing" distT="0" distB="0" distL="114300" distR="114300" simplePos="0" relativeHeight="22" behindDoc="0" locked="0" layoutInCell="1" allowOverlap="1">
                <wp:simplePos x="0" y="0"/>
                <wp:positionH relativeFrom="column">
                  <wp:posOffset>4002405</wp:posOffset>
                </wp:positionH>
                <wp:positionV relativeFrom="paragraph">
                  <wp:posOffset>137795</wp:posOffset>
                </wp:positionV>
                <wp:extent cx="607695" cy="0"/>
                <wp:effectExtent l="38100" t="76200" r="0" b="95250"/>
                <wp:wrapNone/>
                <wp:docPr id="128" name="Прямая со стрелкой 128"/>
                <wp:cNvGraphicFramePr/>
                <a:graphic xmlns:a="http://schemas.openxmlformats.org/drawingml/2006/main">
                  <a:graphicData uri="http://schemas.microsoft.com/office/word/2010/wordprocessingShape">
                    <wps:wsp>
                      <wps:cNvCnPr/>
                      <wps:spPr>
                        <a:xfrm flipH="1">
                          <a:off x="0" y="0"/>
                          <a:ext cx="607843" cy="0"/>
                        </a:xfrm>
                        <a:prstGeom prst="straightConnector1"/>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xmlns:o="urn:schemas-microsoft-com:office:office" type="#_x0000_t32" id="Прямая со стрелкой 128" o:spid="_x0000_s1289" style="position:absolute;width:47.85pt;height:0pt;flip:x;z-index:22;mso-wrap-distance-left:9pt;mso-wrap-distance-top:0pt;mso-wrap-distance-right:9pt;mso-wrap-distance-bottom:0pt;margin-left:315.15pt;margin-top:10.85pt;mso-position-horizontal:absolute;mso-position-horizontal-relative:text;mso-position-vertical:absolute;mso-position-vertical-relative:text" strokecolor="#000000" strokeweight="0.5pt" stroked="t" o:allowincell="t">
                <v:stroke endarrow="block"/>
              </v:shape>
            </w:pict>
          </mc:Fallback>
        </mc:AlternateContent>
      </w:r>
      <w:r>
        <w:rPr>
          <w:rFonts w:ascii="Times New Roman" w:hAnsi="Times New Roman" w:cs="Times New Roman"/>
          <w:noProof w:val="1"/>
          <w:sz w:val="28"/>
          <w:szCs w:val="28"/>
          <w:lang w:eastAsia="ru-RU"/>
        </w:rPr>
        <mc:AlternateContent>
          <mc:Choice Requires="wps">
            <w:drawing>
              <wp:anchor xmlns:wp="http://schemas.openxmlformats.org/drawingml/2006/wordprocessingDrawing" distT="0" distB="0" distL="114300" distR="114300" simplePos="0" relativeHeight="19" behindDoc="0" locked="0" layoutInCell="1" allowOverlap="1">
                <wp:simplePos x="0" y="0"/>
                <wp:positionH relativeFrom="column">
                  <wp:posOffset>2021840</wp:posOffset>
                </wp:positionH>
                <wp:positionV relativeFrom="paragraph">
                  <wp:posOffset>130810</wp:posOffset>
                </wp:positionV>
                <wp:extent cx="575945" cy="0"/>
                <wp:effectExtent l="0" t="76200" r="14605" b="95250"/>
                <wp:wrapNone/>
                <wp:docPr id="114" name="Прямая со стрелкой 114"/>
                <wp:cNvGraphicFramePr/>
                <a:graphic xmlns:a="http://schemas.openxmlformats.org/drawingml/2006/main">
                  <a:graphicData uri="http://schemas.microsoft.com/office/word/2010/wordprocessingShape">
                    <wps:wsp>
                      <wps:cNvCnPr/>
                      <wps:spPr>
                        <a:xfrm>
                          <a:off x="0" y="0"/>
                          <a:ext cx="576266" cy="0"/>
                        </a:xfrm>
                        <a:prstGeom prst="straightConnector1"/>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xmlns:o="urn:schemas-microsoft-com:office:office" type="#_x0000_t32" id="Прямая со стрелкой 114" o:spid="_x0000_s1290" style="position:absolute;width:45.35pt;height:0pt;z-index:19;mso-wrap-distance-left:9pt;mso-wrap-distance-top:0pt;mso-wrap-distance-right:9pt;mso-wrap-distance-bottom:0pt;margin-left:159.2pt;margin-top:10.3pt;mso-position-horizontal:absolute;mso-position-horizontal-relative:text;mso-position-vertical:absolute;mso-position-vertical-relative:text" strokecolor="#000000" strokeweight="0.5pt" stroked="t" o:allowincell="t">
                <v:stroke endarrow="block"/>
              </v:shape>
            </w:pict>
          </mc:Fallback>
        </mc:AlternateContent>
      </w:r>
    </w:p>
    <w:p>
      <w:pPr>
        <w:tabs>
          <w:tab w:val="left" w:pos="912" w:leader="none"/>
        </w:tabs>
        <w:rPr>
          <w:rFonts w:ascii="Times New Roman" w:hAnsi="Times New Roman" w:cs="Times New Roman"/>
          <w:sz w:val="28"/>
          <w:szCs w:val="28"/>
        </w:rPr>
      </w:pPr>
      <w:r>
        <w:rPr>
          <w:rFonts w:ascii="Times New Roman" w:hAnsi="Times New Roman" w:cs="Times New Roman"/>
          <w:noProof w:val="1"/>
          <w:sz w:val="28"/>
          <w:szCs w:val="28"/>
          <w:lang w:eastAsia="ru-RU"/>
        </w:rPr>
        <mc:AlternateContent>
          <mc:Choice Requires="wps">
            <w:drawing>
              <wp:anchor xmlns:wp="http://schemas.openxmlformats.org/drawingml/2006/wordprocessingDrawing" distT="0" distB="0" distL="114300" distR="114300" simplePos="0" relativeHeight="15" behindDoc="0" locked="0" layoutInCell="1" allowOverlap="1">
                <wp:simplePos x="0" y="0"/>
                <wp:positionH relativeFrom="margin">
                  <wp:posOffset>441960</wp:posOffset>
                </wp:positionH>
                <wp:positionV relativeFrom="paragraph">
                  <wp:posOffset>130810</wp:posOffset>
                </wp:positionV>
                <wp:extent cx="1567180" cy="632460"/>
                <wp:effectExtent l="0" t="0" r="13970" b="15240"/>
                <wp:wrapNone/>
                <wp:docPr id="7" name="Надпись 7"/>
                <wp:cNvGraphicFramePr/>
                <a:graphic xmlns:a="http://schemas.openxmlformats.org/drawingml/2006/main">
                  <a:graphicData uri="http://schemas.microsoft.com/office/word/2010/wordprocessingShape">
                    <wps:wsp>
                      <wps:cNvSpPr txBox="1"/>
                      <wps:spPr>
                        <a:xfrm>
                          <a:off x="0" y="0"/>
                          <a:ext cx="1567292" cy="633047"/>
                        </a:xfrm>
                        <a:prstGeom prst="rect"/>
                        <a:solidFill>
                          <a:schemeClr val="lt1"/>
                        </a:solidFill>
                        <a:ln w="6350">
                          <a:solidFill>
                            <a:prstClr val="black"/>
                          </a:solidFill>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spacing w:lineRule="auto" w:line="240" w:after="0" w:beforeAutospacing="0" w:afterAutospacing="0"/>
                              <w:jc w:val="center"/>
                              <w:rPr>
                                <w:rFonts w:ascii="Times New Roman" w:hAnsi="Times New Roman" w:cs="Times New Roman"/>
                                <w:sz w:val="24"/>
                                <w:szCs w:val="24"/>
                              </w:rPr>
                            </w:pPr>
                            <w:r>
                              <w:rPr>
                                <w:rFonts w:ascii="Times New Roman" w:hAnsi="Times New Roman" w:cs="Times New Roman"/>
                                <w:sz w:val="24"/>
                                <w:szCs w:val="24"/>
                              </w:rPr>
                              <w:t>Глобальные общественные инициативы</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xmlns:o="urn:schemas-microsoft-com:office:office" type="#_x0000_t202" id="Надпись 7" o:spid="_x0000_s1291" style="position:absolute;width:123.4pt;height:49.8pt;z-index:15;mso-wrap-distance-left:9pt;mso-wrap-distance-top:0pt;mso-wrap-distance-right:9pt;mso-wrap-distance-bottom:0pt;margin-left:34.8pt;margin-top:10.3pt;mso-position-horizontal:absolute;mso-position-horizontal-relative:margin;mso-position-vertical:absolute;mso-position-vertical-relative:text" o:allowincell="t" fillcolor="#FFFFFF" strokecolor="#000000" strokeweight="0.5pt" stroked="t">
                <v:textbox inset="3mm,1mm,3mm,1mm">
                  <w:txbxContent>
                    <w:p>
                      <w:pPr>
                        <w:spacing w:lineRule="auto" w:line="240" w:after="0" w:beforeAutospacing="0" w:afterAutospacing="0"/>
                        <w:jc w:val="center"/>
                        <w:rPr>
                          <w:rFonts w:ascii="Times New Roman" w:hAnsi="Times New Roman" w:cs="Times New Roman"/>
                          <w:sz w:val="24"/>
                          <w:szCs w:val="24"/>
                        </w:rPr>
                      </w:pPr>
                      <w:r>
                        <w:rPr>
                          <w:rFonts w:ascii="Times New Roman" w:hAnsi="Times New Roman" w:cs="Times New Roman"/>
                          <w:sz w:val="24"/>
                          <w:szCs w:val="24"/>
                        </w:rPr>
                        <w:t>Глобальные общественные инициативы</w:t>
                      </w:r>
                    </w:p>
                  </w:txbxContent>
                </v:textbox>
              </v:shape>
            </w:pict>
          </mc:Fallback>
        </mc:AlternateContent>
      </w:r>
    </w:p>
    <w:p>
      <w:pPr>
        <w:tabs>
          <w:tab w:val="left" w:pos="912" w:leader="none"/>
        </w:tabs>
        <w:rPr>
          <w:rFonts w:ascii="Times New Roman" w:hAnsi="Times New Roman" w:cs="Times New Roman"/>
          <w:sz w:val="28"/>
          <w:szCs w:val="28"/>
        </w:rPr>
      </w:pPr>
      <w:r>
        <w:rPr>
          <w:rFonts w:ascii="Times New Roman" w:hAnsi="Times New Roman" w:cs="Times New Roman"/>
          <w:noProof w:val="1"/>
          <w:sz w:val="28"/>
          <w:szCs w:val="28"/>
          <w:lang w:eastAsia="ru-RU"/>
        </w:rPr>
        <mc:AlternateContent>
          <mc:Choice Requires="wps">
            <w:drawing>
              <wp:anchor xmlns:wp="http://schemas.openxmlformats.org/drawingml/2006/wordprocessingDrawing" distT="0" distB="0" distL="114300" distR="114300" simplePos="0" relativeHeight="23" behindDoc="0" locked="0" layoutInCell="1" allowOverlap="1">
                <wp:simplePos x="0" y="0"/>
                <wp:positionH relativeFrom="column">
                  <wp:posOffset>4009390</wp:posOffset>
                </wp:positionH>
                <wp:positionV relativeFrom="paragraph">
                  <wp:posOffset>124460</wp:posOffset>
                </wp:positionV>
                <wp:extent cx="607695" cy="0"/>
                <wp:effectExtent l="38100" t="76200" r="0" b="95250"/>
                <wp:wrapNone/>
                <wp:docPr id="132" name="Прямая со стрелкой 132"/>
                <wp:cNvGraphicFramePr/>
                <a:graphic xmlns:a="http://schemas.openxmlformats.org/drawingml/2006/main">
                  <a:graphicData uri="http://schemas.microsoft.com/office/word/2010/wordprocessingShape">
                    <wps:wsp>
                      <wps:cNvCnPr/>
                      <wps:spPr>
                        <a:xfrm flipH="1">
                          <a:off x="0" y="0"/>
                          <a:ext cx="607843" cy="0"/>
                        </a:xfrm>
                        <a:prstGeom prst="straightConnector1"/>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xmlns:o="urn:schemas-microsoft-com:office:office" type="#_x0000_t32" id="Прямая со стрелкой 132" o:spid="_x0000_s1292" style="position:absolute;width:47.85pt;height:0pt;flip:x;z-index:23;mso-wrap-distance-left:9pt;mso-wrap-distance-top:0pt;mso-wrap-distance-right:9pt;mso-wrap-distance-bottom:0pt;margin-left:315.7pt;margin-top:9.8pt;mso-position-horizontal:absolute;mso-position-horizontal-relative:text;mso-position-vertical:absolute;mso-position-vertical-relative:text" strokecolor="#000000" strokeweight="0.5pt" stroked="t" o:allowincell="t">
                <v:stroke endarrow="block"/>
              </v:shape>
            </w:pict>
          </mc:Fallback>
        </mc:AlternateContent>
      </w:r>
      <w:r>
        <w:rPr>
          <w:rFonts w:ascii="Times New Roman" w:hAnsi="Times New Roman" w:cs="Times New Roman"/>
          <w:noProof w:val="1"/>
          <w:sz w:val="28"/>
          <w:szCs w:val="28"/>
          <w:lang w:eastAsia="ru-RU"/>
        </w:rPr>
        <mc:AlternateContent>
          <mc:Choice Requires="wps">
            <w:drawing>
              <wp:anchor xmlns:wp="http://schemas.openxmlformats.org/drawingml/2006/wordprocessingDrawing" distT="0" distB="0" distL="114300" distR="114300" simplePos="0" relativeHeight="20" behindDoc="0" locked="0" layoutInCell="1" allowOverlap="1">
                <wp:simplePos x="0" y="0"/>
                <wp:positionH relativeFrom="column">
                  <wp:posOffset>2017395</wp:posOffset>
                </wp:positionH>
                <wp:positionV relativeFrom="paragraph">
                  <wp:posOffset>78740</wp:posOffset>
                </wp:positionV>
                <wp:extent cx="575945" cy="0"/>
                <wp:effectExtent l="0" t="76200" r="14605" b="95250"/>
                <wp:wrapNone/>
                <wp:docPr id="117" name="Прямая со стрелкой 117"/>
                <wp:cNvGraphicFramePr/>
                <a:graphic xmlns:a="http://schemas.openxmlformats.org/drawingml/2006/main">
                  <a:graphicData uri="http://schemas.microsoft.com/office/word/2010/wordprocessingShape">
                    <wps:wsp>
                      <wps:cNvCnPr/>
                      <wps:spPr>
                        <a:xfrm>
                          <a:off x="0" y="0"/>
                          <a:ext cx="576266" cy="0"/>
                        </a:xfrm>
                        <a:prstGeom prst="straightConnector1"/>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xmlns:o="urn:schemas-microsoft-com:office:office" type="#_x0000_t32" id="Прямая со стрелкой 117" o:spid="_x0000_s1293" style="position:absolute;width:45.35pt;height:0pt;z-index:20;mso-wrap-distance-left:9pt;mso-wrap-distance-top:0pt;mso-wrap-distance-right:9pt;mso-wrap-distance-bottom:0pt;margin-left:158.85pt;margin-top:6.2pt;mso-position-horizontal:absolute;mso-position-horizontal-relative:text;mso-position-vertical:absolute;mso-position-vertical-relative:text" strokecolor="#000000" strokeweight="0.5pt" stroked="t" o:allowincell="t">
                <v:stroke endarrow="block"/>
              </v:shape>
            </w:pict>
          </mc:Fallback>
        </mc:AlternateContent>
      </w:r>
      <w:r>
        <w:rPr>
          <w:rFonts w:ascii="Times New Roman" w:hAnsi="Times New Roman" w:cs="Times New Roman"/>
          <w:noProof w:val="1"/>
          <w:sz w:val="28"/>
          <w:szCs w:val="28"/>
          <w:lang w:eastAsia="ru-RU"/>
        </w:rPr>
        <mc:AlternateContent>
          <mc:Choice Requires="wps">
            <w:drawing>
              <wp:anchor xmlns:wp="http://schemas.openxmlformats.org/drawingml/2006/wordprocessingDrawing" distT="0" distB="0" distL="114300" distR="114300" simplePos="0" relativeHeight="10" behindDoc="0" locked="0" layoutInCell="1" allowOverlap="1">
                <wp:simplePos x="0" y="0"/>
                <wp:positionH relativeFrom="margin">
                  <wp:posOffset>4621530</wp:posOffset>
                </wp:positionH>
                <wp:positionV relativeFrom="paragraph">
                  <wp:posOffset>4445</wp:posOffset>
                </wp:positionV>
                <wp:extent cx="1124585" cy="301625"/>
                <wp:effectExtent l="0" t="0" r="18415" b="22225"/>
                <wp:wrapNone/>
                <wp:docPr id="146" name="Надпись 146"/>
                <wp:cNvGraphicFramePr/>
                <a:graphic xmlns:a="http://schemas.openxmlformats.org/drawingml/2006/main">
                  <a:graphicData uri="http://schemas.microsoft.com/office/word/2010/wordprocessingShape">
                    <wps:wsp>
                      <wps:cNvSpPr txBox="1"/>
                      <wps:spPr>
                        <a:xfrm>
                          <a:off x="0" y="0"/>
                          <a:ext cx="1125165" cy="301625"/>
                        </a:xfrm>
                        <a:prstGeom prst="rect"/>
                        <a:solidFill>
                          <a:schemeClr val="lt1"/>
                        </a:solidFill>
                        <a:ln w="6350">
                          <a:solidFill>
                            <a:prstClr val="black"/>
                          </a:solidFill>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spacing w:lineRule="auto" w:line="240" w:after="0" w:beforeAutospacing="0" w:afterAutospacing="0"/>
                              <w:jc w:val="center"/>
                              <w:rPr>
                                <w:rFonts w:ascii="Times New Roman" w:hAnsi="Times New Roman" w:cs="Times New Roman"/>
                                <w:sz w:val="24"/>
                                <w:szCs w:val="24"/>
                              </w:rPr>
                            </w:pPr>
                            <w:r>
                              <w:rPr>
                                <w:rFonts w:ascii="Times New Roman" w:hAnsi="Times New Roman" w:cs="Times New Roman"/>
                                <w:sz w:val="24"/>
                                <w:szCs w:val="24"/>
                              </w:rPr>
                              <w:t>Общество</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xmlns:o="urn:schemas-microsoft-com:office:office" type="#_x0000_t202" id="Надпись 146" o:spid="_x0000_s1294" style="position:absolute;width:88.55pt;height:23.75pt;z-index:10;mso-wrap-distance-left:9pt;mso-wrap-distance-top:0pt;mso-wrap-distance-right:9pt;mso-wrap-distance-bottom:0pt;margin-left:363.9pt;margin-top:0.35pt;mso-position-horizontal:absolute;mso-position-horizontal-relative:margin;mso-position-vertical:absolute;mso-position-vertical-relative:text" o:allowincell="t" fillcolor="#FFFFFF" strokecolor="#000000" strokeweight="0.5pt" stroked="t">
                <v:textbox inset="3mm,1mm,3mm,1mm">
                  <w:txbxContent>
                    <w:p>
                      <w:pPr>
                        <w:spacing w:lineRule="auto" w:line="240" w:after="0" w:beforeAutospacing="0" w:afterAutospacing="0"/>
                        <w:jc w:val="center"/>
                        <w:rPr>
                          <w:rFonts w:ascii="Times New Roman" w:hAnsi="Times New Roman" w:cs="Times New Roman"/>
                          <w:sz w:val="24"/>
                          <w:szCs w:val="24"/>
                        </w:rPr>
                      </w:pPr>
                      <w:r>
                        <w:rPr>
                          <w:rFonts w:ascii="Times New Roman" w:hAnsi="Times New Roman" w:cs="Times New Roman"/>
                          <w:sz w:val="24"/>
                          <w:szCs w:val="24"/>
                        </w:rPr>
                        <w:t>Общество</w:t>
                      </w:r>
                    </w:p>
                  </w:txbxContent>
                </v:textbox>
              </v:shape>
            </w:pict>
          </mc:Fallback>
        </mc:AlternateContent>
      </w:r>
    </w:p>
    <w:p>
      <w:pPr>
        <w:tabs>
          <w:tab w:val="left" w:pos="912" w:leader="none"/>
        </w:tabs>
        <w:rPr>
          <w:rFonts w:ascii="Times New Roman" w:hAnsi="Times New Roman" w:cs="Times New Roman"/>
          <w:sz w:val="28"/>
          <w:szCs w:val="28"/>
        </w:rPr>
      </w:pPr>
      <w:r>
        <w:rPr>
          <w:rFonts w:ascii="Times New Roman" w:hAnsi="Times New Roman" w:cs="Times New Roman"/>
          <w:noProof w:val="1"/>
          <w:sz w:val="28"/>
          <w:szCs w:val="28"/>
          <w:lang w:eastAsia="ru-RU"/>
        </w:rPr>
        <mc:AlternateContent>
          <mc:Choice Requires="wps">
            <w:drawing>
              <wp:anchor xmlns:wp="http://schemas.openxmlformats.org/drawingml/2006/wordprocessingDrawing" distT="0" distB="0" distL="114300" distR="114300" simplePos="0" relativeHeight="26" behindDoc="0" locked="0" layoutInCell="1" allowOverlap="1">
                <wp:simplePos x="0" y="0"/>
                <wp:positionH relativeFrom="column">
                  <wp:posOffset>3079750</wp:posOffset>
                </wp:positionH>
                <wp:positionV relativeFrom="paragraph">
                  <wp:posOffset>91440</wp:posOffset>
                </wp:positionV>
                <wp:extent cx="226060" cy="260985"/>
                <wp:effectExtent l="19050" t="0" r="21590" b="43815"/>
                <wp:wrapNone/>
                <wp:docPr id="154" name="Стрелка вниз 154"/>
                <wp:cNvGraphicFramePr/>
                <a:graphic xmlns:a="http://schemas.openxmlformats.org/drawingml/2006/main">
                  <a:graphicData uri="http://schemas.microsoft.com/office/word/2010/wordprocessingShape">
                    <wps:wsp>
                      <wps:cNvSpPr/>
                      <wps:spPr>
                        <a:xfrm>
                          <a:off x="0" y="0"/>
                          <a:ext cx="226060" cy="261100"/>
                        </a:xfrm>
                        <a:prstGeom prst="downArrow"/>
                        <a:solidFill>
                          <a:schemeClr val="bg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xmlns:o="urn:schemas-microsoft-com:office:office" type="#_x0000_t67" id="Стрелка вниз 154" o:spid="_x0000_s1295" style="position:absolute;width:17.8pt;height:20.55pt;z-index:26;mso-wrap-distance-left:9pt;mso-wrap-distance-top:0pt;mso-wrap-distance-right:9pt;mso-wrap-distance-bottom:0pt;margin-left:242.5pt;margin-top:7.2pt;mso-position-horizontal:absolute;mso-position-horizontal-relative:text;mso-position-vertical:absolute;mso-position-vertical-relative:text;v-text-anchor:middle" o:allowincell="t" fillcolor="#FFFFFF" strokecolor="#000000" strokeweight="0.75pt" stroked="t"/>
            </w:pict>
          </mc:Fallback>
        </mc:AlternateContent>
      </w:r>
      <w:r>
        <w:rPr>
          <w:rFonts w:ascii="Times New Roman" w:hAnsi="Times New Roman" w:cs="Times New Roman"/>
          <w:noProof w:val="1"/>
          <w:sz w:val="28"/>
          <w:szCs w:val="28"/>
          <w:lang w:eastAsia="ru-RU"/>
        </w:rPr>
        <mc:AlternateContent>
          <mc:Choice Requires="wps">
            <w:drawing>
              <wp:anchor xmlns:wp="http://schemas.openxmlformats.org/drawingml/2006/wordprocessingDrawing" distT="0" distB="0" distL="114300" distR="114300" simplePos="0" relativeHeight="35" behindDoc="0" locked="0" layoutInCell="1" allowOverlap="1">
                <wp:simplePos x="0" y="0"/>
                <wp:positionH relativeFrom="column">
                  <wp:posOffset>5743575</wp:posOffset>
                </wp:positionH>
                <wp:positionV relativeFrom="paragraph">
                  <wp:posOffset>203835</wp:posOffset>
                </wp:positionV>
                <wp:extent cx="0" cy="754380"/>
                <wp:effectExtent l="76200" t="0" r="57150" b="64770"/>
                <wp:wrapNone/>
                <wp:docPr id="164" name="Прямая со стрелкой 164"/>
                <wp:cNvGraphicFramePr/>
                <a:graphic xmlns:a="http://schemas.openxmlformats.org/drawingml/2006/main">
                  <a:graphicData uri="http://schemas.microsoft.com/office/word/2010/wordprocessingShape">
                    <wps:wsp>
                      <wps:cNvCnPr/>
                      <wps:spPr>
                        <a:xfrm>
                          <a:off x="0" y="0"/>
                          <a:ext cx="0" cy="754380"/>
                        </a:xfrm>
                        <a:prstGeom prst="straightConnector1"/>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xmlns:o="urn:schemas-microsoft-com:office:office" type="#_x0000_t32" id="Прямая со стрелкой 164" o:spid="_x0000_s1296" style="position:absolute;width:0pt;height:59.4pt;z-index:35;mso-wrap-distance-left:9pt;mso-wrap-distance-top:0pt;mso-wrap-distance-right:9pt;mso-wrap-distance-bottom:0pt;margin-left:452.25pt;margin-top:16.05pt;mso-position-horizontal:absolute;mso-position-horizontal-relative:text;mso-position-vertical:absolute;mso-position-vertical-relative:text" strokecolor="#000000" strokeweight="0.5pt" stroked="t" o:allowincell="t">
                <v:stroke endarrow="block"/>
              </v:shape>
            </w:pict>
          </mc:Fallback>
        </mc:AlternateContent>
      </w:r>
      <w:r>
        <w:rPr>
          <w:rFonts w:ascii="Times New Roman" w:hAnsi="Times New Roman" w:cs="Times New Roman"/>
          <w:noProof w:val="1"/>
          <w:sz w:val="28"/>
          <w:szCs w:val="28"/>
          <w:lang w:eastAsia="ru-RU"/>
        </w:rPr>
        <mc:AlternateContent>
          <mc:Choice Requires="wps">
            <w:drawing>
              <wp:anchor xmlns:wp="http://schemas.openxmlformats.org/drawingml/2006/wordprocessingDrawing" distT="0" distB="0" distL="114300" distR="114300" simplePos="0" relativeHeight="34" behindDoc="0" locked="0" layoutInCell="1" allowOverlap="1">
                <wp:simplePos x="0" y="0"/>
                <wp:positionH relativeFrom="column">
                  <wp:posOffset>721995</wp:posOffset>
                </wp:positionH>
                <wp:positionV relativeFrom="paragraph">
                  <wp:posOffset>219075</wp:posOffset>
                </wp:positionV>
                <wp:extent cx="0" cy="754380"/>
                <wp:effectExtent l="76200" t="0" r="57150" b="64770"/>
                <wp:wrapNone/>
                <wp:docPr id="163" name="Прямая со стрелкой 163"/>
                <wp:cNvGraphicFramePr/>
                <a:graphic xmlns:a="http://schemas.openxmlformats.org/drawingml/2006/main">
                  <a:graphicData uri="http://schemas.microsoft.com/office/word/2010/wordprocessingShape">
                    <wps:wsp>
                      <wps:cNvCnPr/>
                      <wps:spPr>
                        <a:xfrm>
                          <a:off x="0" y="0"/>
                          <a:ext cx="0" cy="754380"/>
                        </a:xfrm>
                        <a:prstGeom prst="straightConnector1"/>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xmlns:o="urn:schemas-microsoft-com:office:office" type="#_x0000_t32" id="Прямая со стрелкой 163" o:spid="_x0000_s1297" style="position:absolute;width:0pt;height:59.4pt;z-index:34;mso-wrap-distance-left:9pt;mso-wrap-distance-top:0pt;mso-wrap-distance-right:9pt;mso-wrap-distance-bottom:0pt;margin-left:56.85pt;margin-top:17.25pt;mso-position-horizontal:absolute;mso-position-horizontal-relative:text;mso-position-vertical:absolute;mso-position-vertical-relative:text" strokecolor="#000000" strokeweight="0.5pt" stroked="t" o:allowincell="t">
                <v:stroke endarrow="block"/>
              </v:shape>
            </w:pict>
          </mc:Fallback>
        </mc:AlternateContent>
      </w:r>
    </w:p>
    <w:p>
      <w:pPr>
        <w:tabs>
          <w:tab w:val="left" w:pos="912" w:leader="none"/>
        </w:tabs>
        <w:rPr>
          <w:rFonts w:ascii="Times New Roman" w:hAnsi="Times New Roman" w:cs="Times New Roman"/>
          <w:sz w:val="28"/>
          <w:szCs w:val="28"/>
        </w:rPr>
      </w:pPr>
      <w:r>
        <w:rPr>
          <w:rFonts w:ascii="Times New Roman" w:hAnsi="Times New Roman" w:cs="Times New Roman"/>
          <w:noProof w:val="1"/>
          <w:sz w:val="28"/>
          <w:szCs w:val="28"/>
          <w:lang w:eastAsia="ru-RU"/>
        </w:rPr>
        <mc:AlternateContent>
          <mc:Choice Requires="wps">
            <w:drawing>
              <wp:anchor xmlns:wp="http://schemas.openxmlformats.org/drawingml/2006/wordprocessingDrawing" distT="0" distB="0" distL="114300" distR="114300" simplePos="0" relativeHeight="12" behindDoc="0" locked="0" layoutInCell="1" allowOverlap="1">
                <wp:simplePos x="0" y="0"/>
                <wp:positionH relativeFrom="margin">
                  <wp:posOffset>1104265</wp:posOffset>
                </wp:positionH>
                <wp:positionV relativeFrom="paragraph">
                  <wp:posOffset>40640</wp:posOffset>
                </wp:positionV>
                <wp:extent cx="4446270" cy="485140"/>
                <wp:effectExtent l="0" t="0" r="11430" b="10160"/>
                <wp:wrapNone/>
                <wp:docPr id="151" name="Надпись 151"/>
                <wp:cNvGraphicFramePr/>
                <a:graphic xmlns:a="http://schemas.openxmlformats.org/drawingml/2006/main">
                  <a:graphicData uri="http://schemas.microsoft.com/office/word/2010/wordprocessingShape">
                    <wps:wsp>
                      <wps:cNvSpPr txBox="1"/>
                      <wps:spPr>
                        <a:xfrm>
                          <a:off x="0" y="0"/>
                          <a:ext cx="4446324" cy="485370"/>
                        </a:xfrm>
                        <a:prstGeom prst="rect"/>
                        <a:solidFill>
                          <a:schemeClr val="lt1"/>
                        </a:solidFill>
                        <a:ln w="6350">
                          <a:solidFill>
                            <a:prstClr val="black"/>
                          </a:solidFill>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spacing w:lineRule="auto" w:line="240" w:after="0" w:beforeAutospacing="0" w:afterAutospacing="0"/>
                              <w:jc w:val="center"/>
                              <w:rPr>
                                <w:rFonts w:ascii="Times New Roman" w:hAnsi="Times New Roman" w:cs="Times New Roman"/>
                                <w:b w:val="1"/>
                                <w:sz w:val="24"/>
                                <w:szCs w:val="24"/>
                              </w:rPr>
                            </w:pPr>
                            <w:bookmarkStart w:id="0" w:name="_Hlk138337040"/>
                            <w:bookmarkStart w:id="1" w:name="_Hlk138337041"/>
                            <w:r>
                              <w:rPr>
                                <w:rFonts w:ascii="Times New Roman" w:hAnsi="Times New Roman" w:cs="Times New Roman"/>
                                <w:b w:val="1"/>
                                <w:sz w:val="24"/>
                                <w:szCs w:val="24"/>
                              </w:rPr>
                              <w:t xml:space="preserve">Преодоление разрыва между местными культурными традициями и глобальными стандартами менеджмента </w:t>
                            </w:r>
                            <w:bookmarkEnd w:id="0"/>
                            <w:bookmarkEnd w:id="1"/>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xmlns:o="urn:schemas-microsoft-com:office:office" type="#_x0000_t202" id="Надпись 151" o:spid="_x0000_s1298" style="position:absolute;width:350.1pt;height:38.2pt;z-index:12;mso-wrap-distance-left:9pt;mso-wrap-distance-top:0pt;mso-wrap-distance-right:9pt;mso-wrap-distance-bottom:0pt;margin-left:86.95pt;margin-top:3.2pt;mso-position-horizontal:absolute;mso-position-horizontal-relative:margin;mso-position-vertical:absolute;mso-position-vertical-relative:text" o:allowincell="t" fillcolor="#FFFFFF" strokecolor="#000000" strokeweight="0.5pt" stroked="t">
                <v:textbox inset="3mm,1mm,3mm,1mm">
                  <w:txbxContent>
                    <w:p>
                      <w:pPr>
                        <w:spacing w:lineRule="auto" w:line="240" w:after="0" w:beforeAutospacing="0" w:afterAutospacing="0"/>
                        <w:jc w:val="center"/>
                        <w:rPr>
                          <w:rFonts w:ascii="Times New Roman" w:hAnsi="Times New Roman" w:cs="Times New Roman"/>
                          <w:b w:val="1"/>
                          <w:sz w:val="24"/>
                          <w:szCs w:val="24"/>
                        </w:rPr>
                      </w:pPr>
                      <w:bookmarkStart w:id="0" w:name="_Hlk138337040"/>
                      <w:bookmarkStart w:id="1" w:name="_Hlk138337041"/>
                      <w:r>
                        <w:rPr>
                          <w:rFonts w:ascii="Times New Roman" w:hAnsi="Times New Roman" w:cs="Times New Roman"/>
                          <w:b w:val="1"/>
                          <w:sz w:val="24"/>
                          <w:szCs w:val="24"/>
                        </w:rPr>
                        <w:t xml:space="preserve">Преодоление разрыва между местными культурными традициями и глобальными стандартами менеджмента </w:t>
                      </w:r>
                      <w:bookmarkEnd w:id="0"/>
                      <w:bookmarkEnd w:id="1"/>
                    </w:p>
                  </w:txbxContent>
                </v:textbox>
              </v:shape>
            </w:pict>
          </mc:Fallback>
        </mc:AlternateContent>
      </w:r>
    </w:p>
    <w:p>
      <w:pPr>
        <w:tabs>
          <w:tab w:val="left" w:pos="912" w:leader="none"/>
        </w:tabs>
        <w:rPr>
          <w:rFonts w:ascii="Times New Roman" w:hAnsi="Times New Roman" w:cs="Times New Roman"/>
          <w:sz w:val="28"/>
          <w:szCs w:val="28"/>
        </w:rPr>
      </w:pPr>
      <w:r>
        <w:rPr>
          <w:rFonts w:ascii="Times New Roman" w:hAnsi="Times New Roman" w:cs="Times New Roman"/>
          <w:noProof w:val="1"/>
          <w:sz w:val="28"/>
          <w:szCs w:val="28"/>
          <w:lang w:eastAsia="ru-RU"/>
        </w:rPr>
        <mc:AlternateContent>
          <mc:Choice Requires="wps">
            <w:drawing>
              <wp:anchor xmlns:wp="http://schemas.openxmlformats.org/drawingml/2006/wordprocessingDrawing" distT="0" distB="0" distL="114300" distR="114300" simplePos="0" relativeHeight="27" behindDoc="0" locked="0" layoutInCell="1" allowOverlap="1">
                <wp:simplePos x="0" y="0"/>
                <wp:positionH relativeFrom="column">
                  <wp:posOffset>3079750</wp:posOffset>
                </wp:positionH>
                <wp:positionV relativeFrom="paragraph">
                  <wp:posOffset>201930</wp:posOffset>
                </wp:positionV>
                <wp:extent cx="226060" cy="638175"/>
                <wp:effectExtent l="19050" t="0" r="21590" b="47625"/>
                <wp:wrapNone/>
                <wp:docPr id="155" name="Стрелка вниз 155"/>
                <wp:cNvGraphicFramePr/>
                <a:graphic xmlns:a="http://schemas.openxmlformats.org/drawingml/2006/main">
                  <a:graphicData uri="http://schemas.microsoft.com/office/word/2010/wordprocessingShape">
                    <wps:wsp>
                      <wps:cNvSpPr/>
                      <wps:spPr>
                        <a:xfrm>
                          <a:off x="0" y="0"/>
                          <a:ext cx="226337" cy="638269"/>
                        </a:xfrm>
                        <a:prstGeom prst="downArrow"/>
                        <a:solidFill>
                          <a:schemeClr val="bg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xmlns:o="urn:schemas-microsoft-com:office:office" type="#_x0000_t67" id="Стрелка вниз 155" o:spid="_x0000_s1299" style="position:absolute;width:17.8pt;height:50.25pt;z-index:27;mso-wrap-distance-left:9pt;mso-wrap-distance-top:0pt;mso-wrap-distance-right:9pt;mso-wrap-distance-bottom:0pt;margin-left:242.5pt;margin-top:15.9pt;mso-position-horizontal:absolute;mso-position-horizontal-relative:text;mso-position-vertical:absolute;mso-position-vertical-relative:text;v-text-anchor:middle" o:allowincell="t" fillcolor="#FFFFFF" strokecolor="#000000" strokeweight="0.75pt" stroked="t"/>
            </w:pict>
          </mc:Fallback>
        </mc:AlternateContent>
      </w:r>
    </w:p>
    <w:p>
      <w:pPr>
        <w:tabs>
          <w:tab w:val="left" w:pos="912" w:leader="none"/>
        </w:tabs>
        <w:rPr>
          <w:rFonts w:ascii="Times New Roman" w:hAnsi="Times New Roman" w:cs="Times New Roman"/>
          <w:sz w:val="28"/>
          <w:szCs w:val="28"/>
        </w:rPr>
      </w:pPr>
      <w:r>
        <w:rPr>
          <w:rFonts w:ascii="Times New Roman" w:hAnsi="Times New Roman" w:cs="Times New Roman"/>
          <w:noProof w:val="1"/>
          <w:sz w:val="28"/>
          <w:szCs w:val="28"/>
          <w:lang w:eastAsia="ru-RU"/>
        </w:rPr>
        <mc:AlternateContent>
          <mc:Choice Requires="wps">
            <w:drawing>
              <wp:anchor xmlns:wp="http://schemas.openxmlformats.org/drawingml/2006/wordprocessingDrawing" distT="0" distB="0" distL="114300" distR="114300" simplePos="0" relativeHeight="41" behindDoc="0" locked="0" layoutInCell="1" allowOverlap="1">
                <wp:simplePos x="0" y="0"/>
                <wp:positionH relativeFrom="column">
                  <wp:posOffset>5919470</wp:posOffset>
                </wp:positionH>
                <wp:positionV relativeFrom="paragraph">
                  <wp:posOffset>306705</wp:posOffset>
                </wp:positionV>
                <wp:extent cx="9525" cy="2314575"/>
                <wp:effectExtent l="0" t="0" r="28575" b="28575"/>
                <wp:wrapNone/>
                <wp:docPr id="170" name="Прямая соединительная линия 170"/>
                <wp:cNvGraphicFramePr/>
                <a:graphic xmlns:a="http://schemas.openxmlformats.org/drawingml/2006/main">
                  <a:graphicData uri="http://schemas.microsoft.com/office/word/2010/wordprocessingShape">
                    <wps:wsp>
                      <wps:cNvCnPr/>
                      <wps:spPr>
                        <a:xfrm>
                          <a:off x="0" y="0"/>
                          <a:ext cx="9525" cy="2314575"/>
                        </a:xfrm>
                        <a:prstGeom prst="line"/>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xmlns:o="urn:schemas-microsoft-com:office:office" id="Прямая соединительная линия 170" o:spid="_x0000_s1300" style="position:absolute;z-index:41;mso-wrap-distance-left:9pt;mso-wrap-distance-top:0pt;mso-wrap-distance-right:9pt;mso-wrap-distance-bottom:0pt;mso-position-horizontal:absolute;mso-position-horizontal-relative:text;mso-position-vertical:absolute;mso-position-vertical-relative:text" strokecolor="#000000" strokeweight="0.5pt" stroked="t" o:allowincell="t" from="466.1pt,24.15pt" to="466.85pt,206.4pt"/>
            </w:pict>
          </mc:Fallback>
        </mc:AlternateContent>
      </w:r>
      <w:r>
        <w:rPr>
          <w:rFonts w:ascii="Times New Roman" w:hAnsi="Times New Roman" w:cs="Times New Roman"/>
          <w:noProof w:val="1"/>
          <w:sz w:val="28"/>
          <w:szCs w:val="28"/>
          <w:lang w:eastAsia="ru-RU"/>
        </w:rPr>
        <mc:AlternateContent>
          <mc:Choice Requires="wps">
            <w:drawing>
              <wp:anchor xmlns:wp="http://schemas.openxmlformats.org/drawingml/2006/wordprocessingDrawing" distT="0" distB="0" distL="114300" distR="114300" simplePos="0" relativeHeight="36" behindDoc="0" locked="0" layoutInCell="1" allowOverlap="1">
                <wp:simplePos x="0" y="0"/>
                <wp:positionH relativeFrom="column">
                  <wp:posOffset>360680</wp:posOffset>
                </wp:positionH>
                <wp:positionV relativeFrom="paragraph">
                  <wp:posOffset>305435</wp:posOffset>
                </wp:positionV>
                <wp:extent cx="6350" cy="2304415"/>
                <wp:effectExtent l="0" t="0" r="31750" b="19685"/>
                <wp:wrapNone/>
                <wp:docPr id="165" name="Прямая соединительная линия 165"/>
                <wp:cNvGraphicFramePr/>
                <a:graphic xmlns:a="http://schemas.openxmlformats.org/drawingml/2006/main">
                  <a:graphicData uri="http://schemas.microsoft.com/office/word/2010/wordprocessingShape">
                    <wps:wsp>
                      <wps:cNvCnPr/>
                      <wps:spPr>
                        <a:xfrm flipH="1">
                          <a:off x="0" y="0"/>
                          <a:ext cx="6799" cy="2304697"/>
                        </a:xfrm>
                        <a:prstGeom prst="line"/>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xmlns:o="urn:schemas-microsoft-com:office:office" id="Прямая соединительная линия 165" o:spid="_x0000_s1301" style="position:absolute;flip:x;z-index:36;mso-wrap-distance-left:9pt;mso-wrap-distance-top:0pt;mso-wrap-distance-right:9pt;mso-wrap-distance-bottom:0pt;mso-position-horizontal:absolute;mso-position-horizontal-relative:text;mso-position-vertical:absolute;mso-position-vertical-relative:text" strokecolor="#000000" strokeweight="0.5pt" stroked="t" o:allowincell="t" from="28.4pt,24.05pt" to="28.9pt,205.5pt"/>
            </w:pict>
          </mc:Fallback>
        </mc:AlternateContent>
      </w:r>
      <w:r>
        <w:rPr>
          <w:rFonts w:ascii="Times New Roman" w:hAnsi="Times New Roman" w:cs="Times New Roman"/>
          <w:noProof w:val="1"/>
          <w:sz w:val="28"/>
          <w:szCs w:val="28"/>
          <w:lang w:eastAsia="ru-RU"/>
        </w:rPr>
        <mc:AlternateContent>
          <mc:Choice Requires="wps">
            <w:drawing>
              <wp:anchor xmlns:wp="http://schemas.openxmlformats.org/drawingml/2006/wordprocessingDrawing" distT="0" distB="0" distL="114300" distR="114300" simplePos="0" relativeHeight="29" behindDoc="0" locked="0" layoutInCell="1" allowOverlap="1">
                <wp:simplePos x="0" y="0"/>
                <wp:positionH relativeFrom="column">
                  <wp:posOffset>4836795</wp:posOffset>
                </wp:positionH>
                <wp:positionV relativeFrom="paragraph">
                  <wp:posOffset>300990</wp:posOffset>
                </wp:positionV>
                <wp:extent cx="0" cy="216535"/>
                <wp:effectExtent l="76200" t="0" r="57150" b="50165"/>
                <wp:wrapNone/>
                <wp:docPr id="157" name="Прямая со стрелкой 157"/>
                <wp:cNvGraphicFramePr/>
                <a:graphic xmlns:a="http://schemas.openxmlformats.org/drawingml/2006/main">
                  <a:graphicData uri="http://schemas.microsoft.com/office/word/2010/wordprocessingShape">
                    <wps:wsp>
                      <wps:cNvCnPr/>
                      <wps:spPr>
                        <a:xfrm>
                          <a:off x="0" y="0"/>
                          <a:ext cx="0" cy="216535"/>
                        </a:xfrm>
                        <a:prstGeom prst="straightConnector1"/>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xmlns:o="urn:schemas-microsoft-com:office:office" type="#_x0000_t32" id="Прямая со стрелкой 157" o:spid="_x0000_s1302" style="position:absolute;width:0pt;height:17.05pt;z-index:29;mso-wrap-distance-left:9pt;mso-wrap-distance-top:0pt;mso-wrap-distance-right:9pt;mso-wrap-distance-bottom:0pt;margin-left:380.85pt;margin-top:23.7pt;mso-position-horizontal:absolute;mso-position-horizontal-relative:text;mso-position-vertical:absolute;mso-position-vertical-relative:text" strokecolor="#000000" strokeweight="0.5pt" stroked="t" o:allowincell="t">
                <v:stroke endarrow="block"/>
              </v:shape>
            </w:pict>
          </mc:Fallback>
        </mc:AlternateContent>
      </w:r>
      <w:r>
        <w:rPr>
          <w:rFonts w:ascii="Times New Roman" w:hAnsi="Times New Roman" w:cs="Times New Roman"/>
          <w:noProof w:val="1"/>
          <w:sz w:val="28"/>
          <w:szCs w:val="28"/>
          <w:lang w:eastAsia="ru-RU"/>
        </w:rPr>
        <mc:AlternateContent>
          <mc:Choice Requires="wps">
            <w:drawing>
              <wp:anchor xmlns:wp="http://schemas.openxmlformats.org/drawingml/2006/wordprocessingDrawing" distT="0" distB="0" distL="114300" distR="114300" simplePos="0" relativeHeight="28" behindDoc="0" locked="0" layoutInCell="1" allowOverlap="1">
                <wp:simplePos x="0" y="0"/>
                <wp:positionH relativeFrom="column">
                  <wp:posOffset>1712595</wp:posOffset>
                </wp:positionH>
                <wp:positionV relativeFrom="paragraph">
                  <wp:posOffset>304800</wp:posOffset>
                </wp:positionV>
                <wp:extent cx="0" cy="216535"/>
                <wp:effectExtent l="76200" t="0" r="57150" b="50165"/>
                <wp:wrapNone/>
                <wp:docPr id="156" name="Прямая со стрелкой 156"/>
                <wp:cNvGraphicFramePr/>
                <a:graphic xmlns:a="http://schemas.openxmlformats.org/drawingml/2006/main">
                  <a:graphicData uri="http://schemas.microsoft.com/office/word/2010/wordprocessingShape">
                    <wps:wsp>
                      <wps:cNvCnPr/>
                      <wps:spPr>
                        <a:xfrm>
                          <a:off x="0" y="0"/>
                          <a:ext cx="0" cy="216535"/>
                        </a:xfrm>
                        <a:prstGeom prst="straightConnector1"/>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xmlns:o="urn:schemas-microsoft-com:office:office" type="#_x0000_t32" id="Прямая со стрелкой 156" o:spid="_x0000_s1303" style="position:absolute;width:0pt;height:17.05pt;z-index:28;mso-wrap-distance-left:9pt;mso-wrap-distance-top:0pt;mso-wrap-distance-right:9pt;mso-wrap-distance-bottom:0pt;margin-left:134.85pt;margin-top:24pt;mso-position-horizontal:absolute;mso-position-horizontal-relative:text;mso-position-vertical:absolute;mso-position-vertical-relative:text" strokecolor="#000000" strokeweight="0.5pt" stroked="t" o:allowincell="t">
                <v:stroke endarrow="block"/>
              </v:shape>
            </w:pict>
          </mc:Fallback>
        </mc:AlternateContent>
      </w:r>
      <w:r>
        <w:rPr>
          <w:rFonts w:ascii="Times New Roman" w:hAnsi="Times New Roman" w:cs="Times New Roman"/>
          <w:noProof w:val="1"/>
          <w:sz w:val="28"/>
          <w:szCs w:val="28"/>
          <w:lang w:eastAsia="ru-RU"/>
        </w:rPr>
        <mc:AlternateContent>
          <mc:Choice Requires="wps">
            <w:drawing>
              <wp:anchor xmlns:wp="http://schemas.openxmlformats.org/drawingml/2006/wordprocessingDrawing" distT="0" distB="0" distL="114300" distR="114300" simplePos="0" relativeHeight="24" behindDoc="0" locked="0" layoutInCell="1" allowOverlap="1">
                <wp:simplePos x="0" y="0"/>
                <wp:positionH relativeFrom="margin">
                  <wp:align>right</wp:align>
                </wp:positionH>
                <wp:positionV relativeFrom="paragraph">
                  <wp:posOffset>4445</wp:posOffset>
                </wp:positionV>
                <wp:extent cx="2303780" cy="301625"/>
                <wp:effectExtent l="0" t="0" r="20320" b="22225"/>
                <wp:wrapNone/>
                <wp:docPr id="139" name="Надпись 139"/>
                <wp:cNvGraphicFramePr/>
                <a:graphic xmlns:a="http://schemas.openxmlformats.org/drawingml/2006/main">
                  <a:graphicData uri="http://schemas.microsoft.com/office/word/2010/wordprocessingShape">
                    <wps:wsp>
                      <wps:cNvSpPr txBox="1"/>
                      <wps:spPr>
                        <a:xfrm>
                          <a:off x="0" y="0"/>
                          <a:ext cx="2304107" cy="302043"/>
                        </a:xfrm>
                        <a:prstGeom prst="rect"/>
                        <a:solidFill>
                          <a:schemeClr val="lt1"/>
                        </a:solidFill>
                        <a:ln w="6350">
                          <a:solidFill>
                            <a:prstClr val="black"/>
                          </a:solidFill>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spacing w:lineRule="auto" w:line="240" w:after="0" w:beforeAutospacing="0" w:afterAutospacing="0"/>
                              <w:jc w:val="center"/>
                              <w:rPr>
                                <w:rFonts w:ascii="Times New Roman" w:hAnsi="Times New Roman" w:cs="Times New Roman"/>
                                <w:sz w:val="24"/>
                                <w:szCs w:val="24"/>
                              </w:rPr>
                            </w:pPr>
                            <w:r>
                              <w:rPr>
                                <w:rFonts w:ascii="Times New Roman" w:hAnsi="Times New Roman" w:cs="Times New Roman"/>
                                <w:sz w:val="24"/>
                                <w:szCs w:val="24"/>
                              </w:rPr>
                              <w:t>Концепция Убунту</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xmlns:o="urn:schemas-microsoft-com:office:office" type="#_x0000_t202" id="Надпись 139" o:spid="_x0000_s1304" style="position:absolute;width:181.4pt;height:23.75pt;z-index:24;mso-wrap-distance-left:9pt;mso-wrap-distance-top:0pt;mso-wrap-distance-right:9pt;mso-wrap-distance-bottom:0pt;margin-left:0pt;margin-top:0.35pt;mso-position-horizontal:right;mso-position-horizontal-relative:margin;mso-position-vertical:absolute;mso-position-vertical-relative:text" o:allowincell="t" fillcolor="#FFFFFF" strokecolor="#000000" strokeweight="0.5pt" stroked="t">
                <v:textbox inset="3mm,1mm,3mm,1mm">
                  <w:txbxContent>
                    <w:p>
                      <w:pPr>
                        <w:spacing w:lineRule="auto" w:line="240" w:after="0" w:beforeAutospacing="0" w:afterAutospacing="0"/>
                        <w:jc w:val="center"/>
                        <w:rPr>
                          <w:rFonts w:ascii="Times New Roman" w:hAnsi="Times New Roman" w:cs="Times New Roman"/>
                          <w:sz w:val="24"/>
                          <w:szCs w:val="24"/>
                        </w:rPr>
                      </w:pPr>
                      <w:r>
                        <w:rPr>
                          <w:rFonts w:ascii="Times New Roman" w:hAnsi="Times New Roman" w:cs="Times New Roman"/>
                          <w:sz w:val="24"/>
                          <w:szCs w:val="24"/>
                        </w:rPr>
                        <w:t>Концепция Убунту</w:t>
                      </w:r>
                    </w:p>
                  </w:txbxContent>
                </v:textbox>
              </v:shape>
            </w:pict>
          </mc:Fallback>
        </mc:AlternateContent>
      </w:r>
      <w:r>
        <w:rPr>
          <w:rFonts w:ascii="Times New Roman" w:hAnsi="Times New Roman" w:cs="Times New Roman"/>
          <w:noProof w:val="1"/>
          <w:sz w:val="28"/>
          <w:szCs w:val="28"/>
          <w:lang w:eastAsia="ru-RU"/>
        </w:rPr>
        <mc:AlternateContent>
          <mc:Choice Requires="wps">
            <w:drawing>
              <wp:anchor xmlns:wp="http://schemas.openxmlformats.org/drawingml/2006/wordprocessingDrawing" distT="0" distB="0" distL="114300" distR="114300" simplePos="0" relativeHeight="25" behindDoc="0" locked="0" layoutInCell="1" allowOverlap="1">
                <wp:simplePos x="0" y="0"/>
                <wp:positionH relativeFrom="margin">
                  <wp:posOffset>368935</wp:posOffset>
                </wp:positionH>
                <wp:positionV relativeFrom="paragraph">
                  <wp:posOffset>4445</wp:posOffset>
                </wp:positionV>
                <wp:extent cx="2303780" cy="301625"/>
                <wp:effectExtent l="0" t="0" r="20320" b="22225"/>
                <wp:wrapNone/>
                <wp:docPr id="152" name="Надпись 152"/>
                <wp:cNvGraphicFramePr/>
                <a:graphic xmlns:a="http://schemas.openxmlformats.org/drawingml/2006/main">
                  <a:graphicData uri="http://schemas.microsoft.com/office/word/2010/wordprocessingShape">
                    <wps:wsp>
                      <wps:cNvSpPr txBox="1"/>
                      <wps:spPr>
                        <a:xfrm>
                          <a:off x="0" y="0"/>
                          <a:ext cx="2303780" cy="301625"/>
                        </a:xfrm>
                        <a:prstGeom prst="rect"/>
                        <a:solidFill>
                          <a:schemeClr val="lt1"/>
                        </a:solidFill>
                        <a:ln w="6350">
                          <a:solidFill>
                            <a:prstClr val="black"/>
                          </a:solidFill>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spacing w:lineRule="auto" w:line="240" w:after="0" w:beforeAutospacing="0" w:afterAutospacing="0"/>
                              <w:jc w:val="center"/>
                              <w:rPr>
                                <w:rFonts w:ascii="Times New Roman" w:hAnsi="Times New Roman" w:cs="Times New Roman"/>
                                <w:sz w:val="24"/>
                                <w:szCs w:val="24"/>
                              </w:rPr>
                            </w:pPr>
                            <w:r>
                              <w:rPr>
                                <w:rFonts w:ascii="Times New Roman" w:hAnsi="Times New Roman" w:cs="Times New Roman"/>
                                <w:sz w:val="24"/>
                                <w:szCs w:val="24"/>
                              </w:rPr>
                              <w:t>Корпоративная ответственность</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xmlns:o="urn:schemas-microsoft-com:office:office" type="#_x0000_t202" id="Надпись 152" o:spid="_x0000_s1305" style="position:absolute;width:181.4pt;height:23.75pt;z-index:25;mso-wrap-distance-left:9pt;mso-wrap-distance-top:0pt;mso-wrap-distance-right:9pt;mso-wrap-distance-bottom:0pt;margin-left:29.05pt;margin-top:0.35pt;mso-position-horizontal:absolute;mso-position-horizontal-relative:margin;mso-position-vertical:absolute;mso-position-vertical-relative:text" o:allowincell="t" fillcolor="#FFFFFF" strokecolor="#000000" strokeweight="0.5pt" stroked="t">
                <v:textbox inset="3mm,1mm,3mm,1mm">
                  <w:txbxContent>
                    <w:p>
                      <w:pPr>
                        <w:spacing w:lineRule="auto" w:line="240" w:after="0" w:beforeAutospacing="0" w:afterAutospacing="0"/>
                        <w:jc w:val="center"/>
                        <w:rPr>
                          <w:rFonts w:ascii="Times New Roman" w:hAnsi="Times New Roman" w:cs="Times New Roman"/>
                          <w:sz w:val="24"/>
                          <w:szCs w:val="24"/>
                        </w:rPr>
                      </w:pPr>
                      <w:r>
                        <w:rPr>
                          <w:rFonts w:ascii="Times New Roman" w:hAnsi="Times New Roman" w:cs="Times New Roman"/>
                          <w:sz w:val="24"/>
                          <w:szCs w:val="24"/>
                        </w:rPr>
                        <w:t>Корпоративная ответственность</w:t>
                      </w:r>
                    </w:p>
                  </w:txbxContent>
                </v:textbox>
              </v:shape>
            </w:pict>
          </mc:Fallback>
        </mc:AlternateContent>
      </w:r>
    </w:p>
    <w:p>
      <w:pPr>
        <w:tabs>
          <w:tab w:val="left" w:pos="912" w:leader="none"/>
        </w:tabs>
        <w:rPr>
          <w:rFonts w:ascii="Times New Roman" w:hAnsi="Times New Roman" w:cs="Times New Roman"/>
          <w:sz w:val="28"/>
          <w:szCs w:val="28"/>
        </w:rPr>
      </w:pPr>
      <w:r>
        <w:rPr>
          <w:rFonts w:ascii="Times New Roman" w:hAnsi="Times New Roman" w:cs="Times New Roman"/>
          <w:noProof w:val="1"/>
          <w:sz w:val="28"/>
          <w:szCs w:val="28"/>
          <w:lang w:eastAsia="ru-RU"/>
        </w:rPr>
        <mc:AlternateContent>
          <mc:Choice Requires="wps">
            <w:drawing>
              <wp:anchor xmlns:wp="http://schemas.openxmlformats.org/drawingml/2006/wordprocessingDrawing" distT="0" distB="0" distL="114300" distR="114300" simplePos="0" relativeHeight="11" behindDoc="0" locked="0" layoutInCell="1" allowOverlap="1">
                <wp:simplePos x="0" y="0"/>
                <wp:positionH relativeFrom="margin">
                  <wp:posOffset>1105535</wp:posOffset>
                </wp:positionH>
                <wp:positionV relativeFrom="paragraph">
                  <wp:posOffset>198120</wp:posOffset>
                </wp:positionV>
                <wp:extent cx="4446270" cy="301625"/>
                <wp:effectExtent l="0" t="0" r="11430" b="22225"/>
                <wp:wrapNone/>
                <wp:docPr id="148" name="Надпись 148"/>
                <wp:cNvGraphicFramePr/>
                <a:graphic xmlns:a="http://schemas.openxmlformats.org/drawingml/2006/main">
                  <a:graphicData uri="http://schemas.microsoft.com/office/word/2010/wordprocessingShape">
                    <wps:wsp>
                      <wps:cNvSpPr txBox="1"/>
                      <wps:spPr>
                        <a:xfrm>
                          <a:off x="0" y="0"/>
                          <a:ext cx="4446324" cy="302043"/>
                        </a:xfrm>
                        <a:prstGeom prst="rect"/>
                        <a:solidFill>
                          <a:schemeClr val="lt1"/>
                        </a:solidFill>
                        <a:ln w="6350">
                          <a:solidFill>
                            <a:prstClr val="black"/>
                          </a:solidFill>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spacing w:lineRule="auto" w:line="240" w:after="0" w:beforeAutospacing="0" w:afterAutospacing="0"/>
                              <w:jc w:val="center"/>
                              <w:rPr>
                                <w:rFonts w:ascii="Times New Roman" w:hAnsi="Times New Roman" w:cs="Times New Roman"/>
                                <w:sz w:val="24"/>
                                <w:szCs w:val="24"/>
                              </w:rPr>
                            </w:pPr>
                            <w:bookmarkStart w:id="0" w:name="_Hlk138328392"/>
                            <w:bookmarkStart w:id="1" w:name="_Hlk138337010"/>
                            <w:bookmarkStart w:id="2" w:name="_Hlk138337011"/>
                            <w:bookmarkStart w:id="3" w:name="_Hlk138328393"/>
                            <w:r>
                              <w:rPr>
                                <w:rFonts w:ascii="Times New Roman" w:hAnsi="Times New Roman" w:cs="Times New Roman"/>
                                <w:sz w:val="24"/>
                                <w:szCs w:val="24"/>
                              </w:rPr>
                              <w:t>Система управления с двумя менеджерами проектов</w:t>
                            </w:r>
                            <w:bookmarkEnd w:id="0"/>
                            <w:bookmarkEnd w:id="1"/>
                            <w:bookmarkEnd w:id="2"/>
                            <w:bookmarkEnd w:id="3"/>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xmlns:o="urn:schemas-microsoft-com:office:office" type="#_x0000_t202" id="Надпись 148" o:spid="_x0000_s1306" style="position:absolute;width:350.1pt;height:23.75pt;z-index:11;mso-wrap-distance-left:9pt;mso-wrap-distance-top:0pt;mso-wrap-distance-right:9pt;mso-wrap-distance-bottom:0pt;margin-left:87.05pt;margin-top:15.6pt;mso-position-horizontal:absolute;mso-position-horizontal-relative:margin;mso-position-vertical:absolute;mso-position-vertical-relative:text" o:allowincell="t" fillcolor="#FFFFFF" strokecolor="#000000" strokeweight="0.5pt" stroked="t">
                <v:textbox inset="3mm,1mm,3mm,1mm">
                  <w:txbxContent>
                    <w:p>
                      <w:pPr>
                        <w:spacing w:lineRule="auto" w:line="240" w:after="0" w:beforeAutospacing="0" w:afterAutospacing="0"/>
                        <w:jc w:val="center"/>
                        <w:rPr>
                          <w:rFonts w:ascii="Times New Roman" w:hAnsi="Times New Roman" w:cs="Times New Roman"/>
                          <w:sz w:val="24"/>
                          <w:szCs w:val="24"/>
                        </w:rPr>
                      </w:pPr>
                      <w:bookmarkStart w:id="0" w:name="_Hlk138328392"/>
                      <w:bookmarkStart w:id="1" w:name="_Hlk138337010"/>
                      <w:bookmarkStart w:id="2" w:name="_Hlk138337011"/>
                      <w:bookmarkStart w:id="3" w:name="_Hlk138328393"/>
                      <w:r>
                        <w:rPr>
                          <w:rFonts w:ascii="Times New Roman" w:hAnsi="Times New Roman" w:cs="Times New Roman"/>
                          <w:sz w:val="24"/>
                          <w:szCs w:val="24"/>
                        </w:rPr>
                        <w:t>Система управления с двумя менеджерами проектов</w:t>
                      </w:r>
                      <w:bookmarkEnd w:id="0"/>
                      <w:bookmarkEnd w:id="1"/>
                      <w:bookmarkEnd w:id="2"/>
                      <w:bookmarkEnd w:id="3"/>
                    </w:p>
                  </w:txbxContent>
                </v:textbox>
              </v:shape>
            </w:pict>
          </mc:Fallback>
        </mc:AlternateContent>
      </w:r>
    </w:p>
    <w:p>
      <w:pPr>
        <w:tabs>
          <w:tab w:val="left" w:pos="912" w:leader="none"/>
        </w:tabs>
        <w:rPr>
          <w:rFonts w:ascii="Times New Roman" w:hAnsi="Times New Roman" w:cs="Times New Roman"/>
          <w:sz w:val="28"/>
          <w:szCs w:val="28"/>
        </w:rPr>
      </w:pPr>
      <w:r>
        <w:rPr>
          <w:rFonts w:ascii="Times New Roman" w:hAnsi="Times New Roman" w:cs="Times New Roman"/>
          <w:noProof w:val="1"/>
          <w:sz w:val="28"/>
          <w:szCs w:val="28"/>
          <w:lang w:eastAsia="ru-RU"/>
        </w:rPr>
        <mc:AlternateContent>
          <mc:Choice Requires="wps">
            <w:drawing>
              <wp:anchor xmlns:wp="http://schemas.openxmlformats.org/drawingml/2006/wordprocessingDrawing" distT="0" distB="0" distL="114300" distR="114300" simplePos="0" relativeHeight="58" behindDoc="0" locked="0" layoutInCell="1" allowOverlap="1">
                <wp:simplePos x="0" y="0"/>
                <wp:positionH relativeFrom="column">
                  <wp:posOffset>3077210</wp:posOffset>
                </wp:positionH>
                <wp:positionV relativeFrom="paragraph">
                  <wp:posOffset>181610</wp:posOffset>
                </wp:positionV>
                <wp:extent cx="226060" cy="184150"/>
                <wp:effectExtent l="19050" t="0" r="21590" b="44450"/>
                <wp:wrapNone/>
                <wp:docPr id="187" name="Стрелка вниз 187"/>
                <wp:cNvGraphicFramePr/>
                <a:graphic xmlns:a="http://schemas.openxmlformats.org/drawingml/2006/main">
                  <a:graphicData uri="http://schemas.microsoft.com/office/word/2010/wordprocessingShape">
                    <wps:wsp>
                      <wps:cNvSpPr/>
                      <wps:spPr>
                        <a:xfrm>
                          <a:off x="0" y="0"/>
                          <a:ext cx="226060" cy="184197"/>
                        </a:xfrm>
                        <a:prstGeom prst="downArrow"/>
                        <a:solidFill>
                          <a:schemeClr val="bg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xmlns:o="urn:schemas-microsoft-com:office:office" type="#_x0000_t67" id="Стрелка вниз 187" o:spid="_x0000_s1307" style="position:absolute;width:17.8pt;height:14.5pt;z-index:58;mso-wrap-distance-left:9pt;mso-wrap-distance-top:0pt;mso-wrap-distance-right:9pt;mso-wrap-distance-bottom:0pt;margin-left:242.3pt;margin-top:14.3pt;mso-position-horizontal:absolute;mso-position-horizontal-relative:text;mso-position-vertical:absolute;mso-position-vertical-relative:text;v-text-anchor:middle" o:allowincell="t" fillcolor="#FFFFFF" strokecolor="#000000" strokeweight="0.75pt" stroked="t"/>
            </w:pict>
          </mc:Fallback>
        </mc:AlternateContent>
      </w:r>
    </w:p>
    <w:p>
      <w:pPr>
        <w:tabs>
          <w:tab w:val="left" w:pos="912" w:leader="none"/>
        </w:tabs>
        <w:rPr>
          <w:rFonts w:ascii="Times New Roman" w:hAnsi="Times New Roman" w:cs="Times New Roman"/>
          <w:sz w:val="28"/>
          <w:szCs w:val="28"/>
        </w:rPr>
      </w:pPr>
      <w:r>
        <w:rPr>
          <w:rFonts w:ascii="Times New Roman" w:hAnsi="Times New Roman" w:cs="Times New Roman"/>
          <w:noProof w:val="1"/>
          <w:sz w:val="28"/>
          <w:szCs w:val="28"/>
          <w:lang w:eastAsia="ru-RU"/>
        </w:rPr>
        <mc:AlternateContent>
          <mc:Choice Requires="wps">
            <w:drawing>
              <wp:anchor xmlns:wp="http://schemas.openxmlformats.org/drawingml/2006/wordprocessingDrawing" distT="0" distB="0" distL="114300" distR="114300" simplePos="0" relativeHeight="46" behindDoc="0" locked="0" layoutInCell="1" allowOverlap="1">
                <wp:simplePos x="0" y="0"/>
                <wp:positionH relativeFrom="margin">
                  <wp:posOffset>5741670</wp:posOffset>
                </wp:positionH>
                <wp:positionV relativeFrom="paragraph">
                  <wp:posOffset>156210</wp:posOffset>
                </wp:positionV>
                <wp:extent cx="172720" cy="0"/>
                <wp:effectExtent l="0" t="0" r="17780" b="19050"/>
                <wp:wrapNone/>
                <wp:docPr id="175" name="Прямая соединительная линия 175"/>
                <wp:cNvGraphicFramePr/>
                <a:graphic xmlns:a="http://schemas.openxmlformats.org/drawingml/2006/main">
                  <a:graphicData uri="http://schemas.microsoft.com/office/word/2010/wordprocessingShape">
                    <wps:wsp>
                      <wps:cNvCnPr/>
                      <wps:spPr>
                        <a:xfrm flipH="1">
                          <a:off x="0" y="0"/>
                          <a:ext cx="172720" cy="0"/>
                        </a:xfrm>
                        <a:prstGeom prst="line"/>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xmlns:o="urn:schemas-microsoft-com:office:office" id="Прямая соединительная линия 175" o:spid="_x0000_s1308" style="position:absolute;flip:x;z-index:46;mso-wrap-distance-left:9pt;mso-wrap-distance-top:0pt;mso-wrap-distance-right:9pt;mso-wrap-distance-bottom:0pt;mso-position-horizontal:absolute;mso-position-horizontal-relative:margin;mso-position-vertical:absolute;mso-position-vertical-relative:text" strokecolor="#000000" strokeweight="0.5pt" stroked="t" o:allowincell="t" from="452.1pt,12.3pt" to="465.7pt,12.3pt"/>
            </w:pict>
          </mc:Fallback>
        </mc:AlternateContent>
      </w:r>
      <w:r>
        <w:rPr>
          <w:rFonts w:ascii="Times New Roman" w:hAnsi="Times New Roman" w:cs="Times New Roman"/>
          <w:noProof w:val="1"/>
          <w:sz w:val="28"/>
          <w:szCs w:val="28"/>
          <w:lang w:eastAsia="ru-RU"/>
        </w:rPr>
        <mc:AlternateContent>
          <mc:Choice Requires="wps">
            <w:drawing>
              <wp:anchor xmlns:wp="http://schemas.openxmlformats.org/drawingml/2006/wordprocessingDrawing" distT="0" distB="0" distL="114300" distR="114300" simplePos="0" relativeHeight="52" behindDoc="0" locked="0" layoutInCell="1" allowOverlap="1">
                <wp:simplePos x="0" y="0"/>
                <wp:positionH relativeFrom="column">
                  <wp:posOffset>3923030</wp:posOffset>
                </wp:positionH>
                <wp:positionV relativeFrom="paragraph">
                  <wp:posOffset>181610</wp:posOffset>
                </wp:positionV>
                <wp:extent cx="321310" cy="0"/>
                <wp:effectExtent l="38100" t="76200" r="0" b="95250"/>
                <wp:wrapNone/>
                <wp:docPr id="181" name="Прямая со стрелкой 181"/>
                <wp:cNvGraphicFramePr/>
                <a:graphic xmlns:a="http://schemas.openxmlformats.org/drawingml/2006/main">
                  <a:graphicData uri="http://schemas.microsoft.com/office/word/2010/wordprocessingShape">
                    <wps:wsp>
                      <wps:cNvCnPr/>
                      <wps:spPr>
                        <a:xfrm flipH="1">
                          <a:off x="0" y="0"/>
                          <a:ext cx="321808" cy="0"/>
                        </a:xfrm>
                        <a:prstGeom prst="straightConnector1"/>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xmlns:o="urn:schemas-microsoft-com:office:office" type="#_x0000_t32" id="Прямая со стрелкой 181" o:spid="_x0000_s1309" style="position:absolute;width:25.3pt;height:0pt;flip:x;z-index:52;mso-wrap-distance-left:9pt;mso-wrap-distance-top:0pt;mso-wrap-distance-right:9pt;mso-wrap-distance-bottom:0pt;margin-left:308.9pt;margin-top:14.3pt;mso-position-horizontal:absolute;mso-position-horizontal-relative:text;mso-position-vertical:absolute;mso-position-vertical-relative:text" strokecolor="#000000" strokeweight="0.5pt" stroked="t" o:allowincell="t">
                <v:stroke endarrow="block"/>
              </v:shape>
            </w:pict>
          </mc:Fallback>
        </mc:AlternateContent>
      </w:r>
      <w:r>
        <w:rPr>
          <w:rFonts w:ascii="Times New Roman" w:hAnsi="Times New Roman" w:cs="Times New Roman"/>
          <w:noProof w:val="1"/>
          <w:sz w:val="28"/>
          <w:szCs w:val="28"/>
          <w:lang w:eastAsia="ru-RU"/>
        </w:rPr>
        <mc:AlternateContent>
          <mc:Choice Requires="wps">
            <w:drawing>
              <wp:anchor xmlns:wp="http://schemas.openxmlformats.org/drawingml/2006/wordprocessingDrawing" distT="0" distB="0" distL="114300" distR="114300" simplePos="0" relativeHeight="48" behindDoc="0" locked="0" layoutInCell="1" allowOverlap="1">
                <wp:simplePos x="0" y="0"/>
                <wp:positionH relativeFrom="column">
                  <wp:posOffset>2218690</wp:posOffset>
                </wp:positionH>
                <wp:positionV relativeFrom="paragraph">
                  <wp:posOffset>254000</wp:posOffset>
                </wp:positionV>
                <wp:extent cx="292100" cy="0"/>
                <wp:effectExtent l="0" t="76200" r="12700" b="95250"/>
                <wp:wrapNone/>
                <wp:docPr id="177" name="Прямая со стрелкой 177"/>
                <wp:cNvGraphicFramePr/>
                <a:graphic xmlns:a="http://schemas.openxmlformats.org/drawingml/2006/main">
                  <a:graphicData uri="http://schemas.microsoft.com/office/word/2010/wordprocessingShape">
                    <wps:wsp>
                      <wps:cNvCnPr/>
                      <wps:spPr>
                        <a:xfrm>
                          <a:off x="0" y="0"/>
                          <a:ext cx="292603" cy="0"/>
                        </a:xfrm>
                        <a:prstGeom prst="straightConnector1"/>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xmlns:o="urn:schemas-microsoft-com:office:office" type="#_x0000_t32" id="Прямая со стрелкой 177" o:spid="_x0000_s1310" style="position:absolute;width:23pt;height:0pt;z-index:48;mso-wrap-distance-left:9pt;mso-wrap-distance-top:0pt;mso-wrap-distance-right:9pt;mso-wrap-distance-bottom:0pt;margin-left:174.7pt;margin-top:20pt;mso-position-horizontal:absolute;mso-position-horizontal-relative:text;mso-position-vertical:absolute;mso-position-vertical-relative:text" strokecolor="#000000" strokeweight="0.5pt" stroked="t" o:allowincell="t">
                <v:stroke endarrow="block"/>
              </v:shape>
            </w:pict>
          </mc:Fallback>
        </mc:AlternateContent>
      </w:r>
      <w:r>
        <w:rPr>
          <w:rFonts w:ascii="Times New Roman" w:hAnsi="Times New Roman" w:cs="Times New Roman"/>
          <w:noProof w:val="1"/>
          <w:sz w:val="28"/>
          <w:szCs w:val="28"/>
          <w:lang w:eastAsia="ru-RU"/>
        </w:rPr>
        <mc:AlternateContent>
          <mc:Choice Requires="wps">
            <w:drawing>
              <wp:anchor xmlns:wp="http://schemas.openxmlformats.org/drawingml/2006/wordprocessingDrawing" distT="0" distB="0" distL="114300" distR="114300" simplePos="0" relativeHeight="47" behindDoc="0" locked="0" layoutInCell="1" allowOverlap="1">
                <wp:simplePos x="0" y="0"/>
                <wp:positionH relativeFrom="margin">
                  <wp:posOffset>2512060</wp:posOffset>
                </wp:positionH>
                <wp:positionV relativeFrom="paragraph">
                  <wp:posOffset>53975</wp:posOffset>
                </wp:positionV>
                <wp:extent cx="1411605" cy="1646555"/>
                <wp:effectExtent l="0" t="0" r="17145" b="10795"/>
                <wp:wrapNone/>
                <wp:docPr id="176" name="Надпись 176"/>
                <wp:cNvGraphicFramePr/>
                <a:graphic xmlns:a="http://schemas.openxmlformats.org/drawingml/2006/main">
                  <a:graphicData uri="http://schemas.microsoft.com/office/word/2010/wordprocessingShape">
                    <wps:wsp>
                      <wps:cNvSpPr txBox="1"/>
                      <wps:spPr>
                        <a:xfrm>
                          <a:off x="0" y="0"/>
                          <a:ext cx="1411794" cy="1646787"/>
                        </a:xfrm>
                        <a:prstGeom prst="rect"/>
                        <a:solidFill>
                          <a:schemeClr val="lt1"/>
                        </a:solidFill>
                        <a:ln w="6350">
                          <a:solidFill>
                            <a:prstClr val="black"/>
                          </a:solidFill>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spacing w:lineRule="auto" w:line="240" w:after="0" w:beforeAutospacing="0" w:afterAutospacing="0"/>
                              <w:jc w:val="center"/>
                              <w:rPr>
                                <w:rFonts w:ascii="Times New Roman" w:hAnsi="Times New Roman" w:cs="Times New Roman"/>
                                <w:sz w:val="24"/>
                                <w:szCs w:val="24"/>
                              </w:rPr>
                            </w:pPr>
                          </w:p>
                          <w:p>
                            <w:pPr>
                              <w:spacing w:lineRule="auto" w:line="240" w:after="0" w:beforeAutospacing="0" w:afterAutospacing="0"/>
                              <w:jc w:val="center"/>
                              <w:rPr>
                                <w:rFonts w:ascii="Times New Roman" w:hAnsi="Times New Roman" w:cs="Times New Roman"/>
                                <w:b w:val="1"/>
                                <w:sz w:val="24"/>
                                <w:szCs w:val="24"/>
                              </w:rPr>
                            </w:pPr>
                            <w:r>
                              <w:rPr>
                                <w:rFonts w:ascii="Times New Roman" w:hAnsi="Times New Roman" w:cs="Times New Roman"/>
                                <w:b w:val="1"/>
                                <w:sz w:val="24"/>
                                <w:szCs w:val="24"/>
                              </w:rPr>
                              <w:t xml:space="preserve">Партнерство «Справедливая торговля» в </w:t>
                            </w:r>
                            <w:bookmarkStart w:id="0" w:name="_Hlk138328298"/>
                            <w:r>
                              <w:rPr>
                                <w:rFonts w:ascii="Times New Roman" w:hAnsi="Times New Roman" w:cs="Times New Roman"/>
                                <w:b w:val="1"/>
                                <w:sz w:val="24"/>
                                <w:szCs w:val="24"/>
                              </w:rPr>
                              <w:t xml:space="preserve">Республике </w:t>
                            </w:r>
                            <w:r>
                              <w:rPr>
                                <w:rFonts w:ascii="Times New Roman" w:hAnsi="Times New Roman" w:cs="Times New Roman"/>
                                <w:b w:val="1"/>
                                <w:sz w:val="24"/>
                                <w:szCs w:val="24"/>
                              </w:rPr>
                              <w:br w:type="textWrapping"/>
                            </w:r>
                            <w:r>
                              <w:rPr>
                                <w:rFonts w:ascii="Times New Roman" w:hAnsi="Times New Roman" w:cs="Times New Roman"/>
                                <w:b w:val="1"/>
                                <w:sz w:val="24"/>
                                <w:szCs w:val="24"/>
                              </w:rPr>
                              <w:t>Кот-д’Ивуар</w:t>
                            </w:r>
                            <w:bookmarkEnd w:id="0"/>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xmlns:o="urn:schemas-microsoft-com:office:office" type="#_x0000_t202" id="Надпись 176" o:spid="_x0000_s1311" style="position:absolute;width:111.15pt;height:129.65pt;z-index:47;mso-wrap-distance-left:9pt;mso-wrap-distance-top:0pt;mso-wrap-distance-right:9pt;mso-wrap-distance-bottom:0pt;margin-left:197.8pt;margin-top:4.25pt;mso-position-horizontal:absolute;mso-position-horizontal-relative:margin;mso-position-vertical:absolute;mso-position-vertical-relative:text" o:allowincell="t" fillcolor="#FFFFFF" strokecolor="#000000" strokeweight="0.5pt" stroked="t">
                <v:textbox inset="3mm,1mm,3mm,1mm">
                  <w:txbxContent>
                    <w:p>
                      <w:pPr>
                        <w:spacing w:lineRule="auto" w:line="240" w:after="0" w:beforeAutospacing="0" w:afterAutospacing="0"/>
                        <w:jc w:val="center"/>
                        <w:rPr>
                          <w:rFonts w:ascii="Times New Roman" w:hAnsi="Times New Roman" w:cs="Times New Roman"/>
                          <w:sz w:val="24"/>
                          <w:szCs w:val="24"/>
                        </w:rPr>
                      </w:pPr>
                    </w:p>
                    <w:p>
                      <w:pPr>
                        <w:spacing w:lineRule="auto" w:line="240" w:after="0" w:beforeAutospacing="0" w:afterAutospacing="0"/>
                        <w:jc w:val="center"/>
                        <w:rPr>
                          <w:rFonts w:ascii="Times New Roman" w:hAnsi="Times New Roman" w:cs="Times New Roman"/>
                          <w:b w:val="1"/>
                          <w:sz w:val="24"/>
                          <w:szCs w:val="24"/>
                        </w:rPr>
                      </w:pPr>
                      <w:r>
                        <w:rPr>
                          <w:rFonts w:ascii="Times New Roman" w:hAnsi="Times New Roman" w:cs="Times New Roman"/>
                          <w:b w:val="1"/>
                          <w:sz w:val="24"/>
                          <w:szCs w:val="24"/>
                        </w:rPr>
                        <w:t xml:space="preserve">Партнерство «Справедливая торговля» в </w:t>
                      </w:r>
                      <w:bookmarkStart w:id="0" w:name="_Hlk138328298"/>
                      <w:r>
                        <w:rPr>
                          <w:rFonts w:ascii="Times New Roman" w:hAnsi="Times New Roman" w:cs="Times New Roman"/>
                          <w:b w:val="1"/>
                          <w:sz w:val="24"/>
                          <w:szCs w:val="24"/>
                        </w:rPr>
                        <w:t xml:space="preserve">Республике </w:t>
                      </w:r>
                      <w:r>
                        <w:rPr>
                          <w:rFonts w:ascii="Times New Roman" w:hAnsi="Times New Roman" w:cs="Times New Roman"/>
                          <w:b w:val="1"/>
                          <w:sz w:val="24"/>
                          <w:szCs w:val="24"/>
                        </w:rPr>
                        <w:br w:type="textWrapping"/>
                      </w:r>
                      <w:r>
                        <w:rPr>
                          <w:rFonts w:ascii="Times New Roman" w:hAnsi="Times New Roman" w:cs="Times New Roman"/>
                          <w:b w:val="1"/>
                          <w:sz w:val="24"/>
                          <w:szCs w:val="24"/>
                        </w:rPr>
                        <w:t>Кот-д’Ивуар</w:t>
                      </w:r>
                      <w:bookmarkEnd w:id="0"/>
                    </w:p>
                  </w:txbxContent>
                </v:textbox>
              </v:shape>
            </w:pict>
          </mc:Fallback>
        </mc:AlternateContent>
      </w:r>
      <w:r>
        <w:rPr>
          <w:rFonts w:ascii="Times New Roman" w:hAnsi="Times New Roman" w:cs="Times New Roman"/>
          <w:noProof w:val="1"/>
          <w:sz w:val="28"/>
          <w:szCs w:val="28"/>
          <w:lang w:eastAsia="ru-RU"/>
        </w:rPr>
        <mc:AlternateContent>
          <mc:Choice Requires="wps">
            <w:drawing>
              <wp:anchor xmlns:wp="http://schemas.openxmlformats.org/drawingml/2006/wordprocessingDrawing" distT="0" distB="0" distL="114300" distR="114300" simplePos="0" relativeHeight="2" behindDoc="0" locked="0" layoutInCell="1" allowOverlap="1">
                <wp:simplePos x="0" y="0"/>
                <wp:positionH relativeFrom="margin">
                  <wp:posOffset>4241800</wp:posOffset>
                </wp:positionH>
                <wp:positionV relativeFrom="paragraph">
                  <wp:posOffset>750570</wp:posOffset>
                </wp:positionV>
                <wp:extent cx="1509395" cy="301625"/>
                <wp:effectExtent l="0" t="0" r="14605" b="22225"/>
                <wp:wrapNone/>
                <wp:docPr id="8" name="Надпись 8"/>
                <wp:cNvGraphicFramePr/>
                <a:graphic xmlns:a="http://schemas.openxmlformats.org/drawingml/2006/main">
                  <a:graphicData uri="http://schemas.microsoft.com/office/word/2010/wordprocessingShape">
                    <wps:wsp>
                      <wps:cNvSpPr txBox="1"/>
                      <wps:spPr>
                        <a:xfrm>
                          <a:off x="0" y="0"/>
                          <a:ext cx="1509395" cy="301625"/>
                        </a:xfrm>
                        <a:prstGeom prst="rect"/>
                        <a:solidFill>
                          <a:schemeClr val="lt1"/>
                        </a:solidFill>
                        <a:ln w="6350">
                          <a:solidFill>
                            <a:prstClr val="black"/>
                          </a:solidFill>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spacing w:lineRule="auto" w:line="240" w:after="0" w:beforeAutospacing="0" w:afterAutospacing="0"/>
                              <w:jc w:val="center"/>
                              <w:rPr>
                                <w:rFonts w:ascii="Times New Roman" w:hAnsi="Times New Roman" w:cs="Times New Roman"/>
                                <w:sz w:val="24"/>
                                <w:szCs w:val="24"/>
                              </w:rPr>
                            </w:pPr>
                            <w:r>
                              <w:rPr>
                                <w:rFonts w:ascii="Times New Roman" w:hAnsi="Times New Roman" w:cs="Times New Roman"/>
                                <w:sz w:val="24"/>
                                <w:szCs w:val="24"/>
                              </w:rPr>
                              <w:t>Взаимозависимость</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xmlns:o="urn:schemas-microsoft-com:office:office" type="#_x0000_t202" id="Надпись 8" o:spid="_x0000_s1312" style="position:absolute;width:118.85pt;height:23.75pt;z-index:2;mso-wrap-distance-left:9pt;mso-wrap-distance-top:0pt;mso-wrap-distance-right:9pt;mso-wrap-distance-bottom:0pt;margin-left:334pt;margin-top:59.1pt;mso-position-horizontal:absolute;mso-position-horizontal-relative:margin;mso-position-vertical:absolute;mso-position-vertical-relative:text" o:allowincell="t" fillcolor="#FFFFFF" strokecolor="#000000" strokeweight="0.5pt" stroked="t">
                <v:textbox inset="3mm,1mm,3mm,1mm">
                  <w:txbxContent>
                    <w:p>
                      <w:pPr>
                        <w:spacing w:lineRule="auto" w:line="240" w:after="0" w:beforeAutospacing="0" w:afterAutospacing="0"/>
                        <w:jc w:val="center"/>
                        <w:rPr>
                          <w:rFonts w:ascii="Times New Roman" w:hAnsi="Times New Roman" w:cs="Times New Roman"/>
                          <w:sz w:val="24"/>
                          <w:szCs w:val="24"/>
                        </w:rPr>
                      </w:pPr>
                      <w:r>
                        <w:rPr>
                          <w:rFonts w:ascii="Times New Roman" w:hAnsi="Times New Roman" w:cs="Times New Roman"/>
                          <w:sz w:val="24"/>
                          <w:szCs w:val="24"/>
                        </w:rPr>
                        <w:t>Взаимозависимость</w:t>
                      </w:r>
                    </w:p>
                  </w:txbxContent>
                </v:textbox>
              </v:shape>
            </w:pict>
          </mc:Fallback>
        </mc:AlternateContent>
      </w:r>
      <w:r>
        <w:rPr>
          <w:rFonts w:ascii="Times New Roman" w:hAnsi="Times New Roman" w:cs="Times New Roman"/>
          <w:noProof w:val="1"/>
          <w:sz w:val="28"/>
          <w:szCs w:val="28"/>
          <w:lang w:eastAsia="ru-RU"/>
        </w:rPr>
        <mc:AlternateContent>
          <mc:Choice Requires="wps">
            <w:drawing>
              <wp:anchor xmlns:wp="http://schemas.openxmlformats.org/drawingml/2006/wordprocessingDrawing" distT="0" distB="0" distL="114300" distR="114300" simplePos="0" relativeHeight="6" behindDoc="0" locked="0" layoutInCell="1" allowOverlap="1">
                <wp:simplePos x="0" y="0"/>
                <wp:positionH relativeFrom="margin">
                  <wp:posOffset>4249420</wp:posOffset>
                </wp:positionH>
                <wp:positionV relativeFrom="paragraph">
                  <wp:posOffset>388620</wp:posOffset>
                </wp:positionV>
                <wp:extent cx="1494155" cy="285750"/>
                <wp:effectExtent l="0" t="0" r="10795" b="19050"/>
                <wp:wrapNone/>
                <wp:docPr id="62" name="Надпись 62"/>
                <wp:cNvGraphicFramePr/>
                <a:graphic xmlns:a="http://schemas.openxmlformats.org/drawingml/2006/main">
                  <a:graphicData uri="http://schemas.microsoft.com/office/word/2010/wordprocessingShape">
                    <wps:wsp>
                      <wps:cNvSpPr txBox="1"/>
                      <wps:spPr>
                        <a:xfrm>
                          <a:off x="0" y="0"/>
                          <a:ext cx="1494155" cy="285750"/>
                        </a:xfrm>
                        <a:prstGeom prst="rect"/>
                        <a:solidFill>
                          <a:schemeClr val="lt1"/>
                        </a:solidFill>
                        <a:ln w="6350">
                          <a:solidFill>
                            <a:prstClr val="black"/>
                          </a:solidFill>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spacing w:lineRule="auto" w:line="240" w:after="0" w:beforeAutospacing="0" w:afterAutospacing="0"/>
                              <w:jc w:val="center"/>
                              <w:rPr>
                                <w:rFonts w:ascii="Times New Roman" w:hAnsi="Times New Roman" w:cs="Times New Roman"/>
                                <w:sz w:val="24"/>
                                <w:szCs w:val="24"/>
                              </w:rPr>
                            </w:pPr>
                            <w:r>
                              <w:rPr>
                                <w:rFonts w:ascii="Times New Roman" w:hAnsi="Times New Roman" w:cs="Times New Roman"/>
                                <w:sz w:val="24"/>
                                <w:szCs w:val="24"/>
                              </w:rPr>
                              <w:t>Этическая практика</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xmlns:o="urn:schemas-microsoft-com:office:office" type="#_x0000_t202" id="Надпись 62" o:spid="_x0000_s1313" style="position:absolute;width:117.65pt;height:22.5pt;z-index:6;mso-wrap-distance-left:9pt;mso-wrap-distance-top:0pt;mso-wrap-distance-right:9pt;mso-wrap-distance-bottom:0pt;margin-left:334.6pt;margin-top:30.6pt;mso-position-horizontal:absolute;mso-position-horizontal-relative:margin;mso-position-vertical:absolute;mso-position-vertical-relative:text" o:allowincell="t" fillcolor="#FFFFFF" strokecolor="#000000" strokeweight="0.5pt" stroked="t">
                <v:textbox inset="3mm,1mm,3mm,1mm">
                  <w:txbxContent>
                    <w:p>
                      <w:pPr>
                        <w:spacing w:lineRule="auto" w:line="240" w:after="0" w:beforeAutospacing="0" w:afterAutospacing="0"/>
                        <w:jc w:val="center"/>
                        <w:rPr>
                          <w:rFonts w:ascii="Times New Roman" w:hAnsi="Times New Roman" w:cs="Times New Roman"/>
                          <w:sz w:val="24"/>
                          <w:szCs w:val="24"/>
                        </w:rPr>
                      </w:pPr>
                      <w:r>
                        <w:rPr>
                          <w:rFonts w:ascii="Times New Roman" w:hAnsi="Times New Roman" w:cs="Times New Roman"/>
                          <w:sz w:val="24"/>
                          <w:szCs w:val="24"/>
                        </w:rPr>
                        <w:t>Этическая практика</w:t>
                      </w:r>
                    </w:p>
                  </w:txbxContent>
                </v:textbox>
              </v:shape>
            </w:pict>
          </mc:Fallback>
        </mc:AlternateContent>
      </w:r>
      <w:r>
        <w:rPr>
          <w:rFonts w:ascii="Times New Roman" w:hAnsi="Times New Roman" w:cs="Times New Roman"/>
          <w:noProof w:val="1"/>
          <w:sz w:val="28"/>
          <w:szCs w:val="28"/>
          <w:lang w:eastAsia="ru-RU"/>
        </w:rPr>
        <mc:AlternateContent>
          <mc:Choice Requires="wps">
            <w:drawing>
              <wp:anchor xmlns:wp="http://schemas.openxmlformats.org/drawingml/2006/wordprocessingDrawing" distT="0" distB="0" distL="114300" distR="114300" simplePos="0" relativeHeight="5" behindDoc="0" locked="0" layoutInCell="1" allowOverlap="1">
                <wp:simplePos x="0" y="0"/>
                <wp:positionH relativeFrom="margin">
                  <wp:posOffset>4243705</wp:posOffset>
                </wp:positionH>
                <wp:positionV relativeFrom="paragraph">
                  <wp:posOffset>29210</wp:posOffset>
                </wp:positionV>
                <wp:extent cx="1500505" cy="278130"/>
                <wp:effectExtent l="0" t="0" r="23495" b="26670"/>
                <wp:wrapNone/>
                <wp:docPr id="46" name="Надпись 46"/>
                <wp:cNvGraphicFramePr/>
                <a:graphic xmlns:a="http://schemas.openxmlformats.org/drawingml/2006/main">
                  <a:graphicData uri="http://schemas.microsoft.com/office/word/2010/wordprocessingShape">
                    <wps:wsp>
                      <wps:cNvSpPr txBox="1"/>
                      <wps:spPr>
                        <a:xfrm>
                          <a:off x="0" y="0"/>
                          <a:ext cx="1500505" cy="278130"/>
                        </a:xfrm>
                        <a:prstGeom prst="rect"/>
                        <a:solidFill>
                          <a:schemeClr val="lt1"/>
                        </a:solidFill>
                        <a:ln w="6350">
                          <a:solidFill>
                            <a:prstClr val="black"/>
                          </a:solidFill>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spacing w:lineRule="auto" w:line="240" w:after="0" w:beforeAutospacing="0" w:afterAutospacing="0"/>
                              <w:jc w:val="center"/>
                              <w:rPr>
                                <w:rFonts w:ascii="Times New Roman" w:hAnsi="Times New Roman" w:cs="Times New Roman"/>
                                <w:sz w:val="24"/>
                                <w:szCs w:val="24"/>
                              </w:rPr>
                            </w:pPr>
                            <w:r>
                              <w:rPr>
                                <w:rFonts w:ascii="Times New Roman" w:hAnsi="Times New Roman" w:cs="Times New Roman"/>
                                <w:sz w:val="24"/>
                                <w:szCs w:val="24"/>
                              </w:rPr>
                              <w:t>Глобальные цели</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xmlns:o="urn:schemas-microsoft-com:office:office" type="#_x0000_t202" id="Надпись 46" o:spid="_x0000_s1314" style="position:absolute;width:118.15pt;height:21.9pt;z-index:5;mso-wrap-distance-left:9pt;mso-wrap-distance-top:0pt;mso-wrap-distance-right:9pt;mso-wrap-distance-bottom:0pt;margin-left:334.15pt;margin-top:2.3pt;mso-position-horizontal:absolute;mso-position-horizontal-relative:margin;mso-position-vertical:absolute;mso-position-vertical-relative:text" o:allowincell="t" fillcolor="#FFFFFF" strokecolor="#000000" strokeweight="0.5pt" stroked="t">
                <v:textbox inset="3mm,1mm,3mm,1mm">
                  <w:txbxContent>
                    <w:p>
                      <w:pPr>
                        <w:spacing w:lineRule="auto" w:line="240" w:after="0" w:beforeAutospacing="0" w:afterAutospacing="0"/>
                        <w:jc w:val="center"/>
                        <w:rPr>
                          <w:rFonts w:ascii="Times New Roman" w:hAnsi="Times New Roman" w:cs="Times New Roman"/>
                          <w:sz w:val="24"/>
                          <w:szCs w:val="24"/>
                        </w:rPr>
                      </w:pPr>
                      <w:r>
                        <w:rPr>
                          <w:rFonts w:ascii="Times New Roman" w:hAnsi="Times New Roman" w:cs="Times New Roman"/>
                          <w:sz w:val="24"/>
                          <w:szCs w:val="24"/>
                        </w:rPr>
                        <w:t>Глобальные цели</w:t>
                      </w:r>
                    </w:p>
                  </w:txbxContent>
                </v:textbox>
              </v:shape>
            </w:pict>
          </mc:Fallback>
        </mc:AlternateContent>
      </w:r>
      <w:r>
        <w:rPr>
          <w:rFonts w:ascii="Times New Roman" w:hAnsi="Times New Roman" w:cs="Times New Roman"/>
          <w:noProof w:val="1"/>
          <w:sz w:val="28"/>
          <w:szCs w:val="28"/>
          <w:lang w:eastAsia="ru-RU"/>
        </w:rPr>
        <mc:AlternateContent>
          <mc:Choice Requires="wps">
            <w:drawing>
              <wp:anchor xmlns:wp="http://schemas.openxmlformats.org/drawingml/2006/wordprocessingDrawing" distT="0" distB="0" distL="114300" distR="114300" simplePos="0" relativeHeight="40" behindDoc="0" locked="0" layoutInCell="1" allowOverlap="1">
                <wp:simplePos x="0" y="0"/>
                <wp:positionH relativeFrom="column">
                  <wp:posOffset>367665</wp:posOffset>
                </wp:positionH>
                <wp:positionV relativeFrom="paragraph">
                  <wp:posOffset>215900</wp:posOffset>
                </wp:positionV>
                <wp:extent cx="120650" cy="0"/>
                <wp:effectExtent l="0" t="0" r="31750" b="19050"/>
                <wp:wrapNone/>
                <wp:docPr id="169" name="Прямая соединительная линия 169"/>
                <wp:cNvGraphicFramePr/>
                <a:graphic xmlns:a="http://schemas.openxmlformats.org/drawingml/2006/main">
                  <a:graphicData uri="http://schemas.microsoft.com/office/word/2010/wordprocessingShape">
                    <wps:wsp>
                      <wps:cNvCnPr/>
                      <wps:spPr>
                        <a:xfrm>
                          <a:off x="0" y="0"/>
                          <a:ext cx="120650" cy="0"/>
                        </a:xfrm>
                        <a:prstGeom prst="line"/>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xmlns:o="urn:schemas-microsoft-com:office:office" id="Прямая соединительная линия 169" o:spid="_x0000_s1315" style="position:absolute;z-index:40;mso-wrap-distance-left:9pt;mso-wrap-distance-top:0pt;mso-wrap-distance-right:9pt;mso-wrap-distance-bottom:0pt;mso-position-horizontal:absolute;mso-position-horizontal-relative:text;mso-position-vertical:absolute;mso-position-vertical-relative:text" strokecolor="#000000" strokeweight="0.5pt" stroked="t" o:allowincell="t" from="28.95pt,17pt" to="38.45pt,17pt"/>
            </w:pict>
          </mc:Fallback>
        </mc:AlternateContent>
      </w:r>
      <w:r>
        <w:rPr>
          <w:rFonts w:ascii="Times New Roman" w:hAnsi="Times New Roman" w:cs="Times New Roman"/>
          <w:noProof w:val="1"/>
          <w:sz w:val="28"/>
          <w:szCs w:val="28"/>
          <w:lang w:eastAsia="ru-RU"/>
        </w:rPr>
        <mc:AlternateContent>
          <mc:Choice Requires="wps">
            <w:drawing>
              <wp:anchor xmlns:wp="http://schemas.openxmlformats.org/drawingml/2006/wordprocessingDrawing" distT="0" distB="0" distL="114300" distR="114300" simplePos="0" relativeHeight="33" behindDoc="0" locked="0" layoutInCell="1" allowOverlap="1">
                <wp:simplePos x="0" y="0"/>
                <wp:positionH relativeFrom="margin">
                  <wp:posOffset>492125</wp:posOffset>
                </wp:positionH>
                <wp:positionV relativeFrom="paragraph">
                  <wp:posOffset>5080</wp:posOffset>
                </wp:positionV>
                <wp:extent cx="1728470" cy="445770"/>
                <wp:effectExtent l="0" t="0" r="24130" b="11430"/>
                <wp:wrapNone/>
                <wp:docPr id="161" name="Надпись 161"/>
                <wp:cNvGraphicFramePr/>
                <a:graphic xmlns:a="http://schemas.openxmlformats.org/drawingml/2006/main">
                  <a:graphicData uri="http://schemas.microsoft.com/office/word/2010/wordprocessingShape">
                    <wps:wsp>
                      <wps:cNvSpPr txBox="1"/>
                      <wps:spPr>
                        <a:xfrm>
                          <a:off x="0" y="0"/>
                          <a:ext cx="1728919" cy="445770"/>
                        </a:xfrm>
                        <a:prstGeom prst="rect"/>
                        <a:solidFill>
                          <a:schemeClr val="lt1"/>
                        </a:solidFill>
                        <a:ln w="6350">
                          <a:solidFill>
                            <a:prstClr val="black"/>
                          </a:solidFill>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spacing w:lineRule="auto" w:line="240" w:after="0" w:beforeAutospacing="0" w:afterAutospacing="0"/>
                              <w:jc w:val="center"/>
                              <w:rPr>
                                <w:rFonts w:ascii="Times New Roman" w:hAnsi="Times New Roman" w:cs="Times New Roman"/>
                                <w:sz w:val="24"/>
                                <w:szCs w:val="24"/>
                              </w:rPr>
                            </w:pPr>
                            <w:r>
                              <w:rPr>
                                <w:rFonts w:ascii="Times New Roman" w:hAnsi="Times New Roman" w:cs="Times New Roman"/>
                                <w:sz w:val="24"/>
                                <w:szCs w:val="24"/>
                              </w:rPr>
                              <w:t>Социальная включенность</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xmlns:o="urn:schemas-microsoft-com:office:office" type="#_x0000_t202" id="Надпись 161" o:spid="_x0000_s1316" style="position:absolute;width:136.1pt;height:35.1pt;z-index:33;mso-wrap-distance-left:9pt;mso-wrap-distance-top:0pt;mso-wrap-distance-right:9pt;mso-wrap-distance-bottom:0pt;margin-left:38.75pt;margin-top:0.4pt;mso-position-horizontal:absolute;mso-position-horizontal-relative:margin;mso-position-vertical:absolute;mso-position-vertical-relative:text" o:allowincell="t" fillcolor="#FFFFFF" strokecolor="#000000" strokeweight="0.5pt" stroked="t">
                <v:textbox inset="3mm,1mm,3mm,1mm">
                  <w:txbxContent>
                    <w:p>
                      <w:pPr>
                        <w:spacing w:lineRule="auto" w:line="240" w:after="0" w:beforeAutospacing="0" w:afterAutospacing="0"/>
                        <w:jc w:val="center"/>
                        <w:rPr>
                          <w:rFonts w:ascii="Times New Roman" w:hAnsi="Times New Roman" w:cs="Times New Roman"/>
                          <w:sz w:val="24"/>
                          <w:szCs w:val="24"/>
                        </w:rPr>
                      </w:pPr>
                      <w:r>
                        <w:rPr>
                          <w:rFonts w:ascii="Times New Roman" w:hAnsi="Times New Roman" w:cs="Times New Roman"/>
                          <w:sz w:val="24"/>
                          <w:szCs w:val="24"/>
                        </w:rPr>
                        <w:t>Социальная включенность</w:t>
                      </w:r>
                    </w:p>
                  </w:txbxContent>
                </v:textbox>
              </v:shape>
            </w:pict>
          </mc:Fallback>
        </mc:AlternateContent>
      </w:r>
    </w:p>
    <w:p>
      <w:pPr>
        <w:tabs>
          <w:tab w:val="left" w:pos="912" w:leader="none"/>
        </w:tabs>
        <w:rPr>
          <w:rFonts w:ascii="Times New Roman" w:hAnsi="Times New Roman" w:cs="Times New Roman"/>
          <w:sz w:val="28"/>
          <w:szCs w:val="28"/>
        </w:rPr>
      </w:pPr>
      <w:r>
        <w:rPr>
          <w:rFonts w:ascii="Times New Roman" w:hAnsi="Times New Roman" w:cs="Times New Roman"/>
          <w:noProof w:val="1"/>
          <w:sz w:val="28"/>
          <w:szCs w:val="28"/>
          <w:lang w:eastAsia="ru-RU"/>
        </w:rPr>
        <mc:AlternateContent>
          <mc:Choice Requires="wps">
            <w:drawing>
              <wp:anchor xmlns:wp="http://schemas.openxmlformats.org/drawingml/2006/wordprocessingDrawing" distT="0" distB="0" distL="114300" distR="114300" simplePos="0" relativeHeight="45" behindDoc="0" locked="0" layoutInCell="1" allowOverlap="1">
                <wp:simplePos x="0" y="0"/>
                <wp:positionH relativeFrom="margin">
                  <wp:posOffset>5741670</wp:posOffset>
                </wp:positionH>
                <wp:positionV relativeFrom="paragraph">
                  <wp:posOffset>215265</wp:posOffset>
                </wp:positionV>
                <wp:extent cx="172720" cy="0"/>
                <wp:effectExtent l="0" t="0" r="17780" b="19050"/>
                <wp:wrapNone/>
                <wp:docPr id="174" name="Прямая соединительная линия 174"/>
                <wp:cNvGraphicFramePr/>
                <a:graphic xmlns:a="http://schemas.openxmlformats.org/drawingml/2006/main">
                  <a:graphicData uri="http://schemas.microsoft.com/office/word/2010/wordprocessingShape">
                    <wps:wsp>
                      <wps:cNvCnPr/>
                      <wps:spPr>
                        <a:xfrm flipH="1">
                          <a:off x="0" y="0"/>
                          <a:ext cx="172720" cy="0"/>
                        </a:xfrm>
                        <a:prstGeom prst="line"/>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xmlns:o="urn:schemas-microsoft-com:office:office" id="Прямая соединительная линия 174" o:spid="_x0000_s1317" style="position:absolute;flip:x;z-index:45;mso-wrap-distance-left:9pt;mso-wrap-distance-top:0pt;mso-wrap-distance-right:9pt;mso-wrap-distance-bottom:0pt;mso-position-horizontal:absolute;mso-position-horizontal-relative:margin;mso-position-vertical:absolute;mso-position-vertical-relative:text" strokecolor="#000000" strokeweight="0.5pt" stroked="t" o:allowincell="t" from="452.1pt,16.95pt" to="465.7pt,16.95pt"/>
            </w:pict>
          </mc:Fallback>
        </mc:AlternateContent>
      </w:r>
      <w:r>
        <w:rPr>
          <w:rFonts w:ascii="Times New Roman" w:hAnsi="Times New Roman" w:cs="Times New Roman"/>
          <w:noProof w:val="1"/>
          <w:sz w:val="28"/>
          <w:szCs w:val="28"/>
          <w:lang w:eastAsia="ru-RU"/>
        </w:rPr>
        <mc:AlternateContent>
          <mc:Choice Requires="wps">
            <w:drawing>
              <wp:anchor xmlns:wp="http://schemas.openxmlformats.org/drawingml/2006/wordprocessingDrawing" distT="0" distB="0" distL="114300" distR="114300" simplePos="0" relativeHeight="53" behindDoc="0" locked="0" layoutInCell="1" allowOverlap="1">
                <wp:simplePos x="0" y="0"/>
                <wp:positionH relativeFrom="column">
                  <wp:posOffset>3919855</wp:posOffset>
                </wp:positionH>
                <wp:positionV relativeFrom="paragraph">
                  <wp:posOffset>210820</wp:posOffset>
                </wp:positionV>
                <wp:extent cx="321310" cy="0"/>
                <wp:effectExtent l="38100" t="76200" r="0" b="95250"/>
                <wp:wrapNone/>
                <wp:docPr id="182" name="Прямая со стрелкой 182"/>
                <wp:cNvGraphicFramePr/>
                <a:graphic xmlns:a="http://schemas.openxmlformats.org/drawingml/2006/main">
                  <a:graphicData uri="http://schemas.microsoft.com/office/word/2010/wordprocessingShape">
                    <wps:wsp>
                      <wps:cNvCnPr/>
                      <wps:spPr>
                        <a:xfrm flipH="1">
                          <a:off x="0" y="0"/>
                          <a:ext cx="321808" cy="0"/>
                        </a:xfrm>
                        <a:prstGeom prst="straightConnector1"/>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xmlns:o="urn:schemas-microsoft-com:office:office" type="#_x0000_t32" id="Прямая со стрелкой 182" o:spid="_x0000_s1318" style="position:absolute;width:25.3pt;height:0pt;flip:x;z-index:53;mso-wrap-distance-left:9pt;mso-wrap-distance-top:0pt;mso-wrap-distance-right:9pt;mso-wrap-distance-bottom:0pt;margin-left:308.65pt;margin-top:16.6pt;mso-position-horizontal:absolute;mso-position-horizontal-relative:text;mso-position-vertical:absolute;mso-position-vertical-relative:text" strokecolor="#000000" strokeweight="0.5pt" stroked="t" o:allowincell="t">
                <v:stroke endarrow="block"/>
              </v:shape>
            </w:pict>
          </mc:Fallback>
        </mc:AlternateContent>
      </w:r>
      <w:r>
        <w:rPr>
          <w:rFonts w:ascii="Times New Roman" w:hAnsi="Times New Roman" w:cs="Times New Roman"/>
          <w:noProof w:val="1"/>
          <w:sz w:val="28"/>
          <w:szCs w:val="28"/>
          <w:lang w:eastAsia="ru-RU"/>
        </w:rPr>
        <mc:AlternateContent>
          <mc:Choice Requires="wps">
            <w:drawing>
              <wp:anchor xmlns:wp="http://schemas.openxmlformats.org/drawingml/2006/wordprocessingDrawing" distT="0" distB="0" distL="114300" distR="114300" simplePos="0" relativeHeight="30" behindDoc="0" locked="0" layoutInCell="1" allowOverlap="1">
                <wp:simplePos x="0" y="0"/>
                <wp:positionH relativeFrom="margin">
                  <wp:posOffset>486410</wp:posOffset>
                </wp:positionH>
                <wp:positionV relativeFrom="paragraph">
                  <wp:posOffset>215265</wp:posOffset>
                </wp:positionV>
                <wp:extent cx="1737360" cy="301625"/>
                <wp:effectExtent l="0" t="0" r="15240" b="22225"/>
                <wp:wrapNone/>
                <wp:docPr id="158" name="Надпись 158"/>
                <wp:cNvGraphicFramePr/>
                <a:graphic xmlns:a="http://schemas.openxmlformats.org/drawingml/2006/main">
                  <a:graphicData uri="http://schemas.microsoft.com/office/word/2010/wordprocessingShape">
                    <wps:wsp>
                      <wps:cNvSpPr txBox="1"/>
                      <wps:spPr>
                        <a:xfrm>
                          <a:off x="0" y="0"/>
                          <a:ext cx="1737360" cy="301625"/>
                        </a:xfrm>
                        <a:prstGeom prst="rect"/>
                        <a:solidFill>
                          <a:schemeClr val="lt1"/>
                        </a:solidFill>
                        <a:ln w="6350">
                          <a:solidFill>
                            <a:prstClr val="black"/>
                          </a:solidFill>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spacing w:lineRule="auto" w:line="240" w:after="0" w:beforeAutospacing="0" w:afterAutospacing="0"/>
                              <w:jc w:val="center"/>
                              <w:rPr>
                                <w:rFonts w:ascii="Times New Roman" w:hAnsi="Times New Roman" w:cs="Times New Roman"/>
                                <w:sz w:val="24"/>
                                <w:szCs w:val="24"/>
                              </w:rPr>
                            </w:pPr>
                            <w:r>
                              <w:rPr>
                                <w:rFonts w:ascii="Times New Roman" w:hAnsi="Times New Roman" w:cs="Times New Roman"/>
                                <w:sz w:val="24"/>
                                <w:szCs w:val="24"/>
                              </w:rPr>
                              <w:t>Управление рисками</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xmlns:o="urn:schemas-microsoft-com:office:office" type="#_x0000_t202" id="Надпись 158" o:spid="_x0000_s1319" style="position:absolute;width:136.8pt;height:23.75pt;z-index:30;mso-wrap-distance-left:9pt;mso-wrap-distance-top:0pt;mso-wrap-distance-right:9pt;mso-wrap-distance-bottom:0pt;margin-left:38.3pt;margin-top:16.95pt;mso-position-horizontal:absolute;mso-position-horizontal-relative:margin;mso-position-vertical:absolute;mso-position-vertical-relative:text" o:allowincell="t" fillcolor="#FFFFFF" strokecolor="#000000" strokeweight="0.5pt" stroked="t">
                <v:textbox inset="3mm,1mm,3mm,1mm">
                  <w:txbxContent>
                    <w:p>
                      <w:pPr>
                        <w:spacing w:lineRule="auto" w:line="240" w:after="0" w:beforeAutospacing="0" w:afterAutospacing="0"/>
                        <w:jc w:val="center"/>
                        <w:rPr>
                          <w:rFonts w:ascii="Times New Roman" w:hAnsi="Times New Roman" w:cs="Times New Roman"/>
                          <w:sz w:val="24"/>
                          <w:szCs w:val="24"/>
                        </w:rPr>
                      </w:pPr>
                      <w:r>
                        <w:rPr>
                          <w:rFonts w:ascii="Times New Roman" w:hAnsi="Times New Roman" w:cs="Times New Roman"/>
                          <w:sz w:val="24"/>
                          <w:szCs w:val="24"/>
                        </w:rPr>
                        <w:t>Управление рисками</w:t>
                      </w:r>
                    </w:p>
                  </w:txbxContent>
                </v:textbox>
              </v:shape>
            </w:pict>
          </mc:Fallback>
        </mc:AlternateContent>
      </w:r>
    </w:p>
    <w:p>
      <w:pPr>
        <w:tabs>
          <w:tab w:val="left" w:pos="912" w:leader="none"/>
        </w:tabs>
        <w:rPr>
          <w:rFonts w:ascii="Times New Roman" w:hAnsi="Times New Roman" w:cs="Times New Roman"/>
          <w:sz w:val="28"/>
          <w:szCs w:val="28"/>
        </w:rPr>
      </w:pPr>
      <w:r>
        <w:rPr>
          <w:rFonts w:ascii="Times New Roman" w:hAnsi="Times New Roman" w:cs="Times New Roman"/>
          <w:noProof w:val="1"/>
          <w:sz w:val="28"/>
          <w:szCs w:val="28"/>
          <w:lang w:eastAsia="ru-RU"/>
        </w:rPr>
        <mc:AlternateContent>
          <mc:Choice Requires="wps">
            <w:drawing>
              <wp:anchor xmlns:wp="http://schemas.openxmlformats.org/drawingml/2006/wordprocessingDrawing" distT="0" distB="0" distL="114300" distR="114300" simplePos="0" relativeHeight="44" behindDoc="0" locked="0" layoutInCell="1" allowOverlap="1">
                <wp:simplePos x="0" y="0"/>
                <wp:positionH relativeFrom="margin">
                  <wp:posOffset>5746750</wp:posOffset>
                </wp:positionH>
                <wp:positionV relativeFrom="paragraph">
                  <wp:posOffset>245745</wp:posOffset>
                </wp:positionV>
                <wp:extent cx="172720" cy="0"/>
                <wp:effectExtent l="0" t="0" r="17780" b="19050"/>
                <wp:wrapNone/>
                <wp:docPr id="173" name="Прямая соединительная линия 173"/>
                <wp:cNvGraphicFramePr/>
                <a:graphic xmlns:a="http://schemas.openxmlformats.org/drawingml/2006/main">
                  <a:graphicData uri="http://schemas.microsoft.com/office/word/2010/wordprocessingShape">
                    <wps:wsp>
                      <wps:cNvCnPr/>
                      <wps:spPr>
                        <a:xfrm flipH="1">
                          <a:off x="0" y="0"/>
                          <a:ext cx="172720" cy="0"/>
                        </a:xfrm>
                        <a:prstGeom prst="line"/>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xmlns:o="urn:schemas-microsoft-com:office:office" id="Прямая соединительная линия 173" o:spid="_x0000_s1320" style="position:absolute;flip:x;z-index:44;mso-wrap-distance-left:9pt;mso-wrap-distance-top:0pt;mso-wrap-distance-right:9pt;mso-wrap-distance-bottom:0pt;mso-position-horizontal:absolute;mso-position-horizontal-relative:margin;mso-position-vertical:absolute;mso-position-vertical-relative:text" strokecolor="#000000" strokeweight="0.5pt" stroked="t" o:allowincell="t" from="452.5pt,19.35pt" to="466.1pt,19.35pt"/>
            </w:pict>
          </mc:Fallback>
        </mc:AlternateContent>
      </w:r>
      <w:r>
        <w:rPr>
          <w:rFonts w:ascii="Times New Roman" w:hAnsi="Times New Roman" w:cs="Times New Roman"/>
          <w:noProof w:val="1"/>
          <w:sz w:val="28"/>
          <w:szCs w:val="28"/>
          <w:lang w:eastAsia="ru-RU"/>
        </w:rPr>
        <mc:AlternateContent>
          <mc:Choice Requires="wps">
            <w:drawing>
              <wp:anchor xmlns:wp="http://schemas.openxmlformats.org/drawingml/2006/wordprocessingDrawing" distT="0" distB="0" distL="114300" distR="114300" simplePos="0" relativeHeight="54" behindDoc="0" locked="0" layoutInCell="1" allowOverlap="1">
                <wp:simplePos x="0" y="0"/>
                <wp:positionH relativeFrom="column">
                  <wp:posOffset>3919855</wp:posOffset>
                </wp:positionH>
                <wp:positionV relativeFrom="paragraph">
                  <wp:posOffset>257175</wp:posOffset>
                </wp:positionV>
                <wp:extent cx="321310" cy="0"/>
                <wp:effectExtent l="38100" t="76200" r="0" b="95250"/>
                <wp:wrapNone/>
                <wp:docPr id="183" name="Прямая со стрелкой 183"/>
                <wp:cNvGraphicFramePr/>
                <a:graphic xmlns:a="http://schemas.openxmlformats.org/drawingml/2006/main">
                  <a:graphicData uri="http://schemas.microsoft.com/office/word/2010/wordprocessingShape">
                    <wps:wsp>
                      <wps:cNvCnPr/>
                      <wps:spPr>
                        <a:xfrm flipH="1">
                          <a:off x="0" y="0"/>
                          <a:ext cx="321808" cy="0"/>
                        </a:xfrm>
                        <a:prstGeom prst="straightConnector1"/>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xmlns:o="urn:schemas-microsoft-com:office:office" type="#_x0000_t32" id="Прямая со стрелкой 183" o:spid="_x0000_s1321" style="position:absolute;width:25.3pt;height:0pt;flip:x;z-index:54;mso-wrap-distance-left:9pt;mso-wrap-distance-top:0pt;mso-wrap-distance-right:9pt;mso-wrap-distance-bottom:0pt;margin-left:308.65pt;margin-top:20.25pt;mso-position-horizontal:absolute;mso-position-horizontal-relative:text;mso-position-vertical:absolute;mso-position-vertical-relative:text" strokecolor="#000000" strokeweight="0.5pt" stroked="t" o:allowincell="t">
                <v:stroke endarrow="block"/>
              </v:shape>
            </w:pict>
          </mc:Fallback>
        </mc:AlternateContent>
      </w:r>
      <w:r>
        <w:rPr>
          <w:rFonts w:ascii="Times New Roman" w:hAnsi="Times New Roman" w:cs="Times New Roman"/>
          <w:noProof w:val="1"/>
          <w:sz w:val="28"/>
          <w:szCs w:val="28"/>
          <w:lang w:eastAsia="ru-RU"/>
        </w:rPr>
        <mc:AlternateContent>
          <mc:Choice Requires="wps">
            <w:drawing>
              <wp:anchor xmlns:wp="http://schemas.openxmlformats.org/drawingml/2006/wordprocessingDrawing" distT="0" distB="0" distL="114300" distR="114300" simplePos="0" relativeHeight="49" behindDoc="0" locked="0" layoutInCell="1" allowOverlap="1">
                <wp:simplePos x="0" y="0"/>
                <wp:positionH relativeFrom="column">
                  <wp:posOffset>2222500</wp:posOffset>
                </wp:positionH>
                <wp:positionV relativeFrom="paragraph">
                  <wp:posOffset>50165</wp:posOffset>
                </wp:positionV>
                <wp:extent cx="292100" cy="0"/>
                <wp:effectExtent l="0" t="76200" r="12700" b="95250"/>
                <wp:wrapNone/>
                <wp:docPr id="178" name="Прямая со стрелкой 178"/>
                <wp:cNvGraphicFramePr/>
                <a:graphic xmlns:a="http://schemas.openxmlformats.org/drawingml/2006/main">
                  <a:graphicData uri="http://schemas.microsoft.com/office/word/2010/wordprocessingShape">
                    <wps:wsp>
                      <wps:cNvCnPr/>
                      <wps:spPr>
                        <a:xfrm>
                          <a:off x="0" y="0"/>
                          <a:ext cx="292603" cy="0"/>
                        </a:xfrm>
                        <a:prstGeom prst="straightConnector1"/>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xmlns:o="urn:schemas-microsoft-com:office:office" type="#_x0000_t32" id="Прямая со стрелкой 178" o:spid="_x0000_s1322" style="position:absolute;width:23pt;height:0pt;z-index:49;mso-wrap-distance-left:9pt;mso-wrap-distance-top:0pt;mso-wrap-distance-right:9pt;mso-wrap-distance-bottom:0pt;margin-left:175pt;margin-top:3.95pt;mso-position-horizontal:absolute;mso-position-horizontal-relative:text;mso-position-vertical:absolute;mso-position-vertical-relative:text" strokecolor="#000000" strokeweight="0.5pt" stroked="t" o:allowincell="t">
                <v:stroke endarrow="block"/>
              </v:shape>
            </w:pict>
          </mc:Fallback>
        </mc:AlternateContent>
      </w:r>
      <w:r>
        <w:rPr>
          <w:rFonts w:ascii="Times New Roman" w:hAnsi="Times New Roman" w:cs="Times New Roman"/>
          <w:noProof w:val="1"/>
          <w:sz w:val="28"/>
          <w:szCs w:val="28"/>
          <w:lang w:eastAsia="ru-RU"/>
        </w:rPr>
        <mc:AlternateContent>
          <mc:Choice Requires="wps">
            <w:drawing>
              <wp:anchor xmlns:wp="http://schemas.openxmlformats.org/drawingml/2006/wordprocessingDrawing" distT="0" distB="0" distL="114300" distR="114300" simplePos="0" relativeHeight="39" behindDoc="0" locked="0" layoutInCell="1" allowOverlap="1">
                <wp:simplePos x="0" y="0"/>
                <wp:positionH relativeFrom="column">
                  <wp:posOffset>361315</wp:posOffset>
                </wp:positionH>
                <wp:positionV relativeFrom="paragraph">
                  <wp:posOffset>57785</wp:posOffset>
                </wp:positionV>
                <wp:extent cx="120650" cy="0"/>
                <wp:effectExtent l="0" t="0" r="31750" b="19050"/>
                <wp:wrapNone/>
                <wp:docPr id="168" name="Прямая соединительная линия 168"/>
                <wp:cNvGraphicFramePr/>
                <a:graphic xmlns:a="http://schemas.openxmlformats.org/drawingml/2006/main">
                  <a:graphicData uri="http://schemas.microsoft.com/office/word/2010/wordprocessingShape">
                    <wps:wsp>
                      <wps:cNvCnPr/>
                      <wps:spPr>
                        <a:xfrm>
                          <a:off x="0" y="0"/>
                          <a:ext cx="120650" cy="0"/>
                        </a:xfrm>
                        <a:prstGeom prst="line"/>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xmlns:o="urn:schemas-microsoft-com:office:office" id="Прямая соединительная линия 168" o:spid="_x0000_s1323" style="position:absolute;z-index:39;mso-wrap-distance-left:9pt;mso-wrap-distance-top:0pt;mso-wrap-distance-right:9pt;mso-wrap-distance-bottom:0pt;mso-position-horizontal:absolute;mso-position-horizontal-relative:text;mso-position-vertical:absolute;mso-position-vertical-relative:text" strokecolor="#000000" strokeweight="0.5pt" stroked="t" o:allowincell="t" from="28.45pt,4.55pt" to="37.95pt,4.55pt"/>
            </w:pict>
          </mc:Fallback>
        </mc:AlternateContent>
      </w:r>
      <w:r>
        <w:rPr>
          <w:rFonts w:ascii="Times New Roman" w:hAnsi="Times New Roman" w:cs="Times New Roman"/>
          <w:noProof w:val="1"/>
          <w:sz w:val="28"/>
          <w:szCs w:val="28"/>
          <w:lang w:eastAsia="ru-RU"/>
        </w:rPr>
        <mc:AlternateContent>
          <mc:Choice Requires="wps">
            <w:drawing>
              <wp:anchor xmlns:wp="http://schemas.openxmlformats.org/drawingml/2006/wordprocessingDrawing" distT="0" distB="0" distL="114300" distR="114300" simplePos="0" relativeHeight="32" behindDoc="0" locked="0" layoutInCell="1" allowOverlap="1">
                <wp:simplePos x="0" y="0"/>
                <wp:positionH relativeFrom="margin">
                  <wp:posOffset>486410</wp:posOffset>
                </wp:positionH>
                <wp:positionV relativeFrom="paragraph">
                  <wp:posOffset>251460</wp:posOffset>
                </wp:positionV>
                <wp:extent cx="1733550" cy="476885"/>
                <wp:effectExtent l="0" t="0" r="19050" b="18415"/>
                <wp:wrapNone/>
                <wp:docPr id="160" name="Надпись 160"/>
                <wp:cNvGraphicFramePr/>
                <a:graphic xmlns:a="http://schemas.openxmlformats.org/drawingml/2006/main">
                  <a:graphicData uri="http://schemas.microsoft.com/office/word/2010/wordprocessingShape">
                    <wps:wsp>
                      <wps:cNvSpPr txBox="1"/>
                      <wps:spPr>
                        <a:xfrm>
                          <a:off x="0" y="0"/>
                          <a:ext cx="1733550" cy="476885"/>
                        </a:xfrm>
                        <a:prstGeom prst="rect"/>
                        <a:solidFill>
                          <a:schemeClr val="lt1"/>
                        </a:solidFill>
                        <a:ln w="6350">
                          <a:solidFill>
                            <a:prstClr val="black"/>
                          </a:solidFill>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spacing w:lineRule="auto" w:line="240" w:after="0" w:beforeAutospacing="0" w:afterAutospacing="0"/>
                              <w:jc w:val="center"/>
                              <w:rPr>
                                <w:rFonts w:ascii="Times New Roman" w:hAnsi="Times New Roman" w:cs="Times New Roman"/>
                                <w:sz w:val="24"/>
                                <w:szCs w:val="24"/>
                              </w:rPr>
                            </w:pPr>
                            <w:r>
                              <w:rPr>
                                <w:rFonts w:ascii="Times New Roman" w:hAnsi="Times New Roman" w:cs="Times New Roman"/>
                                <w:sz w:val="24"/>
                                <w:szCs w:val="24"/>
                              </w:rPr>
                              <w:t>Экологические стандарты</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xmlns:o="urn:schemas-microsoft-com:office:office" type="#_x0000_t202" id="Надпись 160" o:spid="_x0000_s1324" style="position:absolute;width:136.5pt;height:37.55pt;z-index:32;mso-wrap-distance-left:9pt;mso-wrap-distance-top:0pt;mso-wrap-distance-right:9pt;mso-wrap-distance-bottom:0pt;margin-left:38.3pt;margin-top:19.8pt;mso-position-horizontal:absolute;mso-position-horizontal-relative:margin;mso-position-vertical:absolute;mso-position-vertical-relative:text" o:allowincell="t" fillcolor="#FFFFFF" strokecolor="#000000" strokeweight="0.5pt" stroked="t">
                <v:textbox inset="3mm,1mm,3mm,1mm">
                  <w:txbxContent>
                    <w:p>
                      <w:pPr>
                        <w:spacing w:lineRule="auto" w:line="240" w:after="0" w:beforeAutospacing="0" w:afterAutospacing="0"/>
                        <w:jc w:val="center"/>
                        <w:rPr>
                          <w:rFonts w:ascii="Times New Roman" w:hAnsi="Times New Roman" w:cs="Times New Roman"/>
                          <w:sz w:val="24"/>
                          <w:szCs w:val="24"/>
                        </w:rPr>
                      </w:pPr>
                      <w:r>
                        <w:rPr>
                          <w:rFonts w:ascii="Times New Roman" w:hAnsi="Times New Roman" w:cs="Times New Roman"/>
                          <w:sz w:val="24"/>
                          <w:szCs w:val="24"/>
                        </w:rPr>
                        <w:t>Экологические стандарты</w:t>
                      </w:r>
                    </w:p>
                  </w:txbxContent>
                </v:textbox>
              </v:shape>
            </w:pict>
          </mc:Fallback>
        </mc:AlternateContent>
      </w:r>
    </w:p>
    <w:p>
      <w:pPr>
        <w:tabs>
          <w:tab w:val="left" w:pos="912" w:leader="none"/>
        </w:tabs>
        <w:rPr>
          <w:rFonts w:ascii="Times New Roman" w:hAnsi="Times New Roman" w:cs="Times New Roman"/>
          <w:sz w:val="28"/>
          <w:szCs w:val="28"/>
        </w:rPr>
      </w:pPr>
      <w:r>
        <w:rPr>
          <w:rFonts w:ascii="Times New Roman" w:hAnsi="Times New Roman" w:cs="Times New Roman"/>
          <w:noProof w:val="1"/>
          <w:sz w:val="28"/>
          <w:szCs w:val="28"/>
          <w:lang w:eastAsia="ru-RU"/>
        </w:rPr>
        <mc:AlternateContent>
          <mc:Choice Requires="wps">
            <w:drawing>
              <wp:anchor xmlns:wp="http://schemas.openxmlformats.org/drawingml/2006/wordprocessingDrawing" distT="0" distB="0" distL="114300" distR="114300" simplePos="0" relativeHeight="43" behindDoc="0" locked="0" layoutInCell="1" allowOverlap="1">
                <wp:simplePos x="0" y="0"/>
                <wp:positionH relativeFrom="margin">
                  <wp:posOffset>5760720</wp:posOffset>
                </wp:positionH>
                <wp:positionV relativeFrom="paragraph">
                  <wp:posOffset>269240</wp:posOffset>
                </wp:positionV>
                <wp:extent cx="172720" cy="0"/>
                <wp:effectExtent l="0" t="0" r="17780" b="19050"/>
                <wp:wrapNone/>
                <wp:docPr id="172" name="Прямая соединительная линия 172"/>
                <wp:cNvGraphicFramePr/>
                <a:graphic xmlns:a="http://schemas.openxmlformats.org/drawingml/2006/main">
                  <a:graphicData uri="http://schemas.microsoft.com/office/word/2010/wordprocessingShape">
                    <wps:wsp>
                      <wps:cNvCnPr/>
                      <wps:spPr>
                        <a:xfrm flipH="1">
                          <a:off x="0" y="0"/>
                          <a:ext cx="172720" cy="0"/>
                        </a:xfrm>
                        <a:prstGeom prst="line"/>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xmlns:o="urn:schemas-microsoft-com:office:office" id="Прямая соединительная линия 172" o:spid="_x0000_s1325" style="position:absolute;flip:x;z-index:43;mso-wrap-distance-left:9pt;mso-wrap-distance-top:0pt;mso-wrap-distance-right:9pt;mso-wrap-distance-bottom:0pt;mso-position-horizontal:absolute;mso-position-horizontal-relative:margin;mso-position-vertical:absolute;mso-position-vertical-relative:text" strokecolor="#000000" strokeweight="0.5pt" stroked="t" o:allowincell="t" from="453.6pt,21.2pt" to="467.2pt,21.2pt"/>
            </w:pict>
          </mc:Fallback>
        </mc:AlternateContent>
      </w:r>
      <w:r>
        <w:rPr>
          <w:rFonts w:ascii="Times New Roman" w:hAnsi="Times New Roman" w:cs="Times New Roman"/>
          <w:noProof w:val="1"/>
          <w:sz w:val="28"/>
          <w:szCs w:val="28"/>
          <w:lang w:eastAsia="ru-RU"/>
        </w:rPr>
        <mc:AlternateContent>
          <mc:Choice Requires="wps">
            <w:drawing>
              <wp:anchor xmlns:wp="http://schemas.openxmlformats.org/drawingml/2006/wordprocessingDrawing" distT="0" distB="0" distL="114300" distR="114300" simplePos="0" relativeHeight="4" behindDoc="0" locked="0" layoutInCell="1" allowOverlap="1">
                <wp:simplePos x="0" y="0"/>
                <wp:positionH relativeFrom="margin">
                  <wp:posOffset>4240530</wp:posOffset>
                </wp:positionH>
                <wp:positionV relativeFrom="paragraph">
                  <wp:posOffset>129540</wp:posOffset>
                </wp:positionV>
                <wp:extent cx="1512570" cy="301625"/>
                <wp:effectExtent l="0" t="0" r="11430" b="22225"/>
                <wp:wrapNone/>
                <wp:docPr id="449" name="Надпись 449"/>
                <wp:cNvGraphicFramePr/>
                <a:graphic xmlns:a="http://schemas.openxmlformats.org/drawingml/2006/main">
                  <a:graphicData uri="http://schemas.microsoft.com/office/word/2010/wordprocessingShape">
                    <wps:wsp>
                      <wps:cNvSpPr txBox="1"/>
                      <wps:spPr>
                        <a:xfrm>
                          <a:off x="0" y="0"/>
                          <a:ext cx="1512626" cy="301625"/>
                        </a:xfrm>
                        <a:prstGeom prst="rect"/>
                        <a:solidFill>
                          <a:schemeClr val="lt1"/>
                        </a:solidFill>
                        <a:ln w="6350">
                          <a:solidFill>
                            <a:prstClr val="black"/>
                          </a:solidFill>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spacing w:lineRule="auto" w:line="240" w:after="0" w:beforeAutospacing="0" w:afterAutospacing="0"/>
                              <w:jc w:val="center"/>
                              <w:rPr>
                                <w:rFonts w:ascii="Times New Roman" w:hAnsi="Times New Roman" w:cs="Times New Roman"/>
                                <w:sz w:val="24"/>
                                <w:szCs w:val="24"/>
                              </w:rPr>
                            </w:pPr>
                            <w:r>
                              <w:rPr>
                                <w:rFonts w:ascii="Times New Roman" w:hAnsi="Times New Roman" w:cs="Times New Roman"/>
                                <w:sz w:val="24"/>
                                <w:szCs w:val="24"/>
                              </w:rPr>
                              <w:t>Гуманизм</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xmlns:o="urn:schemas-microsoft-com:office:office" type="#_x0000_t202" id="Надпись 449" o:spid="_x0000_s1326" style="position:absolute;width:119.1pt;height:23.75pt;z-index:4;mso-wrap-distance-left:9pt;mso-wrap-distance-top:0pt;mso-wrap-distance-right:9pt;mso-wrap-distance-bottom:0pt;margin-left:333.9pt;margin-top:10.2pt;mso-position-horizontal:absolute;mso-position-horizontal-relative:margin;mso-position-vertical:absolute;mso-position-vertical-relative:text" o:allowincell="t" fillcolor="#FFFFFF" strokecolor="#000000" strokeweight="0.5pt" stroked="t">
                <v:textbox inset="3mm,1mm,3mm,1mm">
                  <w:txbxContent>
                    <w:p>
                      <w:pPr>
                        <w:spacing w:lineRule="auto" w:line="240" w:after="0" w:beforeAutospacing="0" w:afterAutospacing="0"/>
                        <w:jc w:val="center"/>
                        <w:rPr>
                          <w:rFonts w:ascii="Times New Roman" w:hAnsi="Times New Roman" w:cs="Times New Roman"/>
                          <w:sz w:val="24"/>
                          <w:szCs w:val="24"/>
                        </w:rPr>
                      </w:pPr>
                      <w:r>
                        <w:rPr>
                          <w:rFonts w:ascii="Times New Roman" w:hAnsi="Times New Roman" w:cs="Times New Roman"/>
                          <w:sz w:val="24"/>
                          <w:szCs w:val="24"/>
                        </w:rPr>
                        <w:t>Гуманизм</w:t>
                      </w:r>
                    </w:p>
                  </w:txbxContent>
                </v:textbox>
              </v:shape>
            </w:pict>
          </mc:Fallback>
        </mc:AlternateContent>
      </w:r>
      <w:r>
        <w:rPr>
          <w:rFonts w:ascii="Times New Roman" w:hAnsi="Times New Roman" w:cs="Times New Roman"/>
          <w:noProof w:val="1"/>
          <w:sz w:val="28"/>
          <w:szCs w:val="28"/>
          <w:lang w:eastAsia="ru-RU"/>
        </w:rPr>
        <mc:AlternateContent>
          <mc:Choice Requires="wps">
            <w:drawing>
              <wp:anchor xmlns:wp="http://schemas.openxmlformats.org/drawingml/2006/wordprocessingDrawing" distT="0" distB="0" distL="114300" distR="114300" simplePos="0" relativeHeight="55" behindDoc="0" locked="0" layoutInCell="1" allowOverlap="1">
                <wp:simplePos x="0" y="0"/>
                <wp:positionH relativeFrom="column">
                  <wp:posOffset>3917315</wp:posOffset>
                </wp:positionH>
                <wp:positionV relativeFrom="paragraph">
                  <wp:posOffset>289560</wp:posOffset>
                </wp:positionV>
                <wp:extent cx="321310" cy="0"/>
                <wp:effectExtent l="38100" t="76200" r="0" b="95250"/>
                <wp:wrapNone/>
                <wp:docPr id="184" name="Прямая со стрелкой 184"/>
                <wp:cNvGraphicFramePr/>
                <a:graphic xmlns:a="http://schemas.openxmlformats.org/drawingml/2006/main">
                  <a:graphicData uri="http://schemas.microsoft.com/office/word/2010/wordprocessingShape">
                    <wps:wsp>
                      <wps:cNvCnPr/>
                      <wps:spPr>
                        <a:xfrm flipH="1">
                          <a:off x="0" y="0"/>
                          <a:ext cx="321808" cy="0"/>
                        </a:xfrm>
                        <a:prstGeom prst="straightConnector1"/>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xmlns:o="urn:schemas-microsoft-com:office:office" type="#_x0000_t32" id="Прямая со стрелкой 184" o:spid="_x0000_s1327" style="position:absolute;width:25.3pt;height:0pt;flip:x;z-index:55;mso-wrap-distance-left:9pt;mso-wrap-distance-top:0pt;mso-wrap-distance-right:9pt;mso-wrap-distance-bottom:0pt;margin-left:308.45pt;margin-top:22.8pt;mso-position-horizontal:absolute;mso-position-horizontal-relative:text;mso-position-vertical:absolute;mso-position-vertical-relative:text" strokecolor="#000000" strokeweight="0.5pt" stroked="t" o:allowincell="t">
                <v:stroke endarrow="block"/>
              </v:shape>
            </w:pict>
          </mc:Fallback>
        </mc:AlternateContent>
      </w:r>
      <w:r>
        <w:rPr>
          <w:rFonts w:ascii="Times New Roman" w:hAnsi="Times New Roman" w:cs="Times New Roman"/>
          <w:noProof w:val="1"/>
          <w:sz w:val="28"/>
          <w:szCs w:val="28"/>
          <w:lang w:eastAsia="ru-RU"/>
        </w:rPr>
        <mc:AlternateContent>
          <mc:Choice Requires="wps">
            <w:drawing>
              <wp:anchor xmlns:wp="http://schemas.openxmlformats.org/drawingml/2006/wordprocessingDrawing" distT="0" distB="0" distL="114300" distR="114300" simplePos="0" relativeHeight="50" behindDoc="0" locked="0" layoutInCell="1" allowOverlap="1">
                <wp:simplePos x="0" y="0"/>
                <wp:positionH relativeFrom="column">
                  <wp:posOffset>2218690</wp:posOffset>
                </wp:positionH>
                <wp:positionV relativeFrom="paragraph">
                  <wp:posOffset>157480</wp:posOffset>
                </wp:positionV>
                <wp:extent cx="292100" cy="0"/>
                <wp:effectExtent l="0" t="76200" r="12700" b="95250"/>
                <wp:wrapNone/>
                <wp:docPr id="179" name="Прямая со стрелкой 179"/>
                <wp:cNvGraphicFramePr/>
                <a:graphic xmlns:a="http://schemas.openxmlformats.org/drawingml/2006/main">
                  <a:graphicData uri="http://schemas.microsoft.com/office/word/2010/wordprocessingShape">
                    <wps:wsp>
                      <wps:cNvCnPr/>
                      <wps:spPr>
                        <a:xfrm>
                          <a:off x="0" y="0"/>
                          <a:ext cx="292603" cy="0"/>
                        </a:xfrm>
                        <a:prstGeom prst="straightConnector1"/>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xmlns:o="urn:schemas-microsoft-com:office:office" type="#_x0000_t32" id="Прямая со стрелкой 179" o:spid="_x0000_s1328" style="position:absolute;width:23pt;height:0pt;z-index:50;mso-wrap-distance-left:9pt;mso-wrap-distance-top:0pt;mso-wrap-distance-right:9pt;mso-wrap-distance-bottom:0pt;margin-left:174.7pt;margin-top:12.4pt;mso-position-horizontal:absolute;mso-position-horizontal-relative:text;mso-position-vertical:absolute;mso-position-vertical-relative:text" strokecolor="#000000" strokeweight="0.5pt" stroked="t" o:allowincell="t">
                <v:stroke endarrow="block"/>
              </v:shape>
            </w:pict>
          </mc:Fallback>
        </mc:AlternateContent>
      </w:r>
      <w:r>
        <w:rPr>
          <w:rFonts w:ascii="Times New Roman" w:hAnsi="Times New Roman" w:cs="Times New Roman"/>
          <w:noProof w:val="1"/>
          <w:sz w:val="28"/>
          <w:szCs w:val="28"/>
          <w:lang w:eastAsia="ru-RU"/>
        </w:rPr>
        <mc:AlternateContent>
          <mc:Choice Requires="wps">
            <w:drawing>
              <wp:anchor xmlns:wp="http://schemas.openxmlformats.org/drawingml/2006/wordprocessingDrawing" distT="0" distB="0" distL="114300" distR="114300" simplePos="0" relativeHeight="38" behindDoc="0" locked="0" layoutInCell="1" allowOverlap="1">
                <wp:simplePos x="0" y="0"/>
                <wp:positionH relativeFrom="column">
                  <wp:posOffset>361315</wp:posOffset>
                </wp:positionH>
                <wp:positionV relativeFrom="paragraph">
                  <wp:posOffset>167005</wp:posOffset>
                </wp:positionV>
                <wp:extent cx="120650" cy="0"/>
                <wp:effectExtent l="0" t="0" r="31750" b="19050"/>
                <wp:wrapNone/>
                <wp:docPr id="167" name="Прямая соединительная линия 167"/>
                <wp:cNvGraphicFramePr/>
                <a:graphic xmlns:a="http://schemas.openxmlformats.org/drawingml/2006/main">
                  <a:graphicData uri="http://schemas.microsoft.com/office/word/2010/wordprocessingShape">
                    <wps:wsp>
                      <wps:cNvCnPr/>
                      <wps:spPr>
                        <a:xfrm>
                          <a:off x="0" y="0"/>
                          <a:ext cx="120650" cy="0"/>
                        </a:xfrm>
                        <a:prstGeom prst="line"/>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xmlns:o="urn:schemas-microsoft-com:office:office" id="Прямая соединительная линия 167" o:spid="_x0000_s1329" style="position:absolute;z-index:38;mso-wrap-distance-left:9pt;mso-wrap-distance-top:0pt;mso-wrap-distance-right:9pt;mso-wrap-distance-bottom:0pt;mso-position-horizontal:absolute;mso-position-horizontal-relative:text;mso-position-vertical:absolute;mso-position-vertical-relative:text" strokecolor="#000000" strokeweight="0.5pt" stroked="t" o:allowincell="t" from="28.45pt,13.15pt" to="37.95pt,13.15pt"/>
            </w:pict>
          </mc:Fallback>
        </mc:AlternateContent>
      </w:r>
    </w:p>
    <w:p>
      <w:pPr>
        <w:tabs>
          <w:tab w:val="left" w:pos="912" w:leader="none"/>
        </w:tabs>
        <w:rPr>
          <w:rFonts w:ascii="Times New Roman" w:hAnsi="Times New Roman" w:cs="Times New Roman"/>
          <w:sz w:val="28"/>
          <w:szCs w:val="28"/>
        </w:rPr>
      </w:pPr>
      <w:r>
        <w:rPr>
          <w:rFonts w:ascii="Times New Roman" w:hAnsi="Times New Roman" w:cs="Times New Roman"/>
          <w:noProof w:val="1"/>
          <w:sz w:val="28"/>
          <w:szCs w:val="28"/>
          <w:lang w:eastAsia="ru-RU"/>
        </w:rPr>
        <mc:AlternateContent>
          <mc:Choice Requires="wps">
            <w:drawing>
              <wp:anchor xmlns:wp="http://schemas.openxmlformats.org/drawingml/2006/wordprocessingDrawing" distT="0" distB="0" distL="114300" distR="114300" simplePos="0" relativeHeight="56" behindDoc="0" locked="0" layoutInCell="1" allowOverlap="1">
                <wp:simplePos x="0" y="0"/>
                <wp:positionH relativeFrom="column">
                  <wp:posOffset>3917315</wp:posOffset>
                </wp:positionH>
                <wp:positionV relativeFrom="paragraph">
                  <wp:posOffset>295910</wp:posOffset>
                </wp:positionV>
                <wp:extent cx="321310" cy="0"/>
                <wp:effectExtent l="38100" t="76200" r="0" b="95250"/>
                <wp:wrapNone/>
                <wp:docPr id="185" name="Прямая со стрелкой 185"/>
                <wp:cNvGraphicFramePr/>
                <a:graphic xmlns:a="http://schemas.openxmlformats.org/drawingml/2006/main">
                  <a:graphicData uri="http://schemas.microsoft.com/office/word/2010/wordprocessingShape">
                    <wps:wsp>
                      <wps:cNvCnPr/>
                      <wps:spPr>
                        <a:xfrm flipH="1">
                          <a:off x="0" y="0"/>
                          <a:ext cx="321808" cy="0"/>
                        </a:xfrm>
                        <a:prstGeom prst="straightConnector1"/>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xmlns:o="urn:schemas-microsoft-com:office:office" type="#_x0000_t32" id="Прямая со стрелкой 185" o:spid="_x0000_s1330" style="position:absolute;width:25.3pt;height:0pt;flip:x;z-index:56;mso-wrap-distance-left:9pt;mso-wrap-distance-top:0pt;mso-wrap-distance-right:9pt;mso-wrap-distance-bottom:0pt;margin-left:308.45pt;margin-top:23.3pt;mso-position-horizontal:absolute;mso-position-horizontal-relative:text;mso-position-vertical:absolute;mso-position-vertical-relative:text" strokecolor="#000000" strokeweight="0.5pt" stroked="t" o:allowincell="t">
                <v:stroke endarrow="block"/>
              </v:shape>
            </w:pict>
          </mc:Fallback>
        </mc:AlternateContent>
      </w:r>
      <w:r>
        <w:rPr>
          <w:rFonts w:ascii="Times New Roman" w:hAnsi="Times New Roman" w:cs="Times New Roman"/>
          <w:noProof w:val="1"/>
          <w:sz w:val="28"/>
          <w:szCs w:val="28"/>
          <w:lang w:eastAsia="ru-RU"/>
        </w:rPr>
        <mc:AlternateContent>
          <mc:Choice Requires="wps">
            <w:drawing>
              <wp:anchor xmlns:wp="http://schemas.openxmlformats.org/drawingml/2006/wordprocessingDrawing" distT="0" distB="0" distL="114300" distR="114300" simplePos="0" relativeHeight="3" behindDoc="0" locked="0" layoutInCell="1" allowOverlap="1">
                <wp:simplePos x="0" y="0"/>
                <wp:positionH relativeFrom="margin">
                  <wp:posOffset>4240530</wp:posOffset>
                </wp:positionH>
                <wp:positionV relativeFrom="paragraph">
                  <wp:posOffset>169545</wp:posOffset>
                </wp:positionV>
                <wp:extent cx="1520190" cy="301625"/>
                <wp:effectExtent l="0" t="0" r="22860" b="22225"/>
                <wp:wrapNone/>
                <wp:docPr id="450" name="Надпись 450"/>
                <wp:cNvGraphicFramePr/>
                <a:graphic xmlns:a="http://schemas.openxmlformats.org/drawingml/2006/main">
                  <a:graphicData uri="http://schemas.microsoft.com/office/word/2010/wordprocessingShape">
                    <wps:wsp>
                      <wps:cNvSpPr txBox="1"/>
                      <wps:spPr>
                        <a:xfrm>
                          <a:off x="0" y="0"/>
                          <a:ext cx="1520246" cy="301625"/>
                        </a:xfrm>
                        <a:prstGeom prst="rect"/>
                        <a:solidFill>
                          <a:schemeClr val="lt1"/>
                        </a:solidFill>
                        <a:ln w="6350">
                          <a:solidFill>
                            <a:prstClr val="black"/>
                          </a:solidFill>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spacing w:lineRule="auto" w:line="240" w:after="0" w:beforeAutospacing="0" w:afterAutospacing="0"/>
                              <w:jc w:val="center"/>
                              <w:rPr>
                                <w:rFonts w:ascii="Times New Roman" w:hAnsi="Times New Roman" w:cs="Times New Roman"/>
                                <w:sz w:val="24"/>
                                <w:szCs w:val="24"/>
                              </w:rPr>
                            </w:pPr>
                            <w:r>
                              <w:rPr>
                                <w:rFonts w:ascii="Times New Roman" w:hAnsi="Times New Roman" w:cs="Times New Roman"/>
                                <w:sz w:val="24"/>
                                <w:szCs w:val="24"/>
                              </w:rPr>
                              <w:t>Теснота интересов</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xmlns:o="urn:schemas-microsoft-com:office:office" type="#_x0000_t202" id="Надпись 450" o:spid="_x0000_s1331" style="position:absolute;width:119.7pt;height:23.75pt;z-index:3;mso-wrap-distance-left:9pt;mso-wrap-distance-top:0pt;mso-wrap-distance-right:9pt;mso-wrap-distance-bottom:0pt;margin-left:333.9pt;margin-top:13.35pt;mso-position-horizontal:absolute;mso-position-horizontal-relative:margin;mso-position-vertical:absolute;mso-position-vertical-relative:text" o:allowincell="t" fillcolor="#FFFFFF" strokecolor="#000000" strokeweight="0.5pt" stroked="t">
                <v:textbox inset="3mm,1mm,3mm,1mm">
                  <w:txbxContent>
                    <w:p>
                      <w:pPr>
                        <w:spacing w:lineRule="auto" w:line="240" w:after="0" w:beforeAutospacing="0" w:afterAutospacing="0"/>
                        <w:jc w:val="center"/>
                        <w:rPr>
                          <w:rFonts w:ascii="Times New Roman" w:hAnsi="Times New Roman" w:cs="Times New Roman"/>
                          <w:sz w:val="24"/>
                          <w:szCs w:val="24"/>
                        </w:rPr>
                      </w:pPr>
                      <w:r>
                        <w:rPr>
                          <w:rFonts w:ascii="Times New Roman" w:hAnsi="Times New Roman" w:cs="Times New Roman"/>
                          <w:sz w:val="24"/>
                          <w:szCs w:val="24"/>
                        </w:rPr>
                        <w:t>Теснота интересов</w:t>
                      </w:r>
                    </w:p>
                  </w:txbxContent>
                </v:textbox>
              </v:shape>
            </w:pict>
          </mc:Fallback>
        </mc:AlternateContent>
      </w:r>
      <w:r>
        <w:rPr>
          <w:rFonts w:ascii="Times New Roman" w:hAnsi="Times New Roman" w:cs="Times New Roman"/>
          <w:noProof w:val="1"/>
          <w:sz w:val="28"/>
          <w:szCs w:val="28"/>
          <w:lang w:eastAsia="ru-RU"/>
        </w:rPr>
        <mc:AlternateContent>
          <mc:Choice Requires="wps">
            <w:drawing>
              <wp:anchor xmlns:wp="http://schemas.openxmlformats.org/drawingml/2006/wordprocessingDrawing" distT="0" distB="0" distL="114300" distR="114300" simplePos="0" relativeHeight="51" behindDoc="0" locked="0" layoutInCell="1" allowOverlap="1">
                <wp:simplePos x="0" y="0"/>
                <wp:positionH relativeFrom="column">
                  <wp:posOffset>2223135</wp:posOffset>
                </wp:positionH>
                <wp:positionV relativeFrom="paragraph">
                  <wp:posOffset>292100</wp:posOffset>
                </wp:positionV>
                <wp:extent cx="292100" cy="0"/>
                <wp:effectExtent l="0" t="76200" r="12700" b="95250"/>
                <wp:wrapNone/>
                <wp:docPr id="180" name="Прямая со стрелкой 180"/>
                <wp:cNvGraphicFramePr/>
                <a:graphic xmlns:a="http://schemas.openxmlformats.org/drawingml/2006/main">
                  <a:graphicData uri="http://schemas.microsoft.com/office/word/2010/wordprocessingShape">
                    <wps:wsp>
                      <wps:cNvCnPr/>
                      <wps:spPr>
                        <a:xfrm>
                          <a:off x="0" y="0"/>
                          <a:ext cx="292603" cy="0"/>
                        </a:xfrm>
                        <a:prstGeom prst="straightConnector1"/>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xmlns:o="urn:schemas-microsoft-com:office:office" type="#_x0000_t32" id="Прямая со стрелкой 180" o:spid="_x0000_s1332" style="position:absolute;width:23pt;height:0pt;z-index:51;mso-wrap-distance-left:9pt;mso-wrap-distance-top:0pt;mso-wrap-distance-right:9pt;mso-wrap-distance-bottom:0pt;margin-left:175.05pt;margin-top:23pt;mso-position-horizontal:absolute;mso-position-horizontal-relative:text;mso-position-vertical:absolute;mso-position-vertical-relative:text" strokecolor="#000000" strokeweight="0.5pt" stroked="t" o:allowincell="t">
                <v:stroke endarrow="block"/>
              </v:shape>
            </w:pict>
          </mc:Fallback>
        </mc:AlternateContent>
      </w:r>
      <w:r>
        <w:rPr>
          <w:rFonts w:ascii="Times New Roman" w:hAnsi="Times New Roman" w:cs="Times New Roman"/>
          <w:noProof w:val="1"/>
          <w:sz w:val="28"/>
          <w:szCs w:val="28"/>
          <w:lang w:eastAsia="ru-RU"/>
        </w:rPr>
        <mc:AlternateContent>
          <mc:Choice Requires="wps">
            <w:drawing>
              <wp:anchor xmlns:wp="http://schemas.openxmlformats.org/drawingml/2006/wordprocessingDrawing" distT="0" distB="0" distL="114300" distR="114300" simplePos="0" relativeHeight="31" behindDoc="0" locked="0" layoutInCell="1" allowOverlap="1">
                <wp:simplePos x="0" y="0"/>
                <wp:positionH relativeFrom="margin">
                  <wp:posOffset>482600</wp:posOffset>
                </wp:positionH>
                <wp:positionV relativeFrom="paragraph">
                  <wp:posOffset>144145</wp:posOffset>
                </wp:positionV>
                <wp:extent cx="1741170" cy="301625"/>
                <wp:effectExtent l="0" t="0" r="11430" b="22225"/>
                <wp:wrapNone/>
                <wp:docPr id="159" name="Надпись 159"/>
                <wp:cNvGraphicFramePr/>
                <a:graphic xmlns:a="http://schemas.openxmlformats.org/drawingml/2006/main">
                  <a:graphicData uri="http://schemas.microsoft.com/office/word/2010/wordprocessingShape">
                    <wps:wsp>
                      <wps:cNvSpPr txBox="1"/>
                      <wps:spPr>
                        <a:xfrm>
                          <a:off x="0" y="0"/>
                          <a:ext cx="1741170" cy="301625"/>
                        </a:xfrm>
                        <a:prstGeom prst="rect"/>
                        <a:solidFill>
                          <a:schemeClr val="lt1"/>
                        </a:solidFill>
                        <a:ln w="6350">
                          <a:solidFill>
                            <a:prstClr val="black"/>
                          </a:solidFill>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spacing w:lineRule="auto" w:line="240" w:after="0" w:beforeAutospacing="0" w:afterAutospacing="0"/>
                              <w:jc w:val="center"/>
                              <w:rPr>
                                <w:rFonts w:ascii="Times New Roman" w:hAnsi="Times New Roman" w:cs="Times New Roman"/>
                                <w:sz w:val="24"/>
                                <w:szCs w:val="24"/>
                              </w:rPr>
                            </w:pPr>
                            <w:r>
                              <w:rPr>
                                <w:rFonts w:ascii="Times New Roman" w:hAnsi="Times New Roman" w:cs="Times New Roman"/>
                                <w:sz w:val="24"/>
                                <w:szCs w:val="24"/>
                              </w:rPr>
                              <w:t>Этическое потребление</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xmlns:o="urn:schemas-microsoft-com:office:office" type="#_x0000_t202" id="Надпись 159" o:spid="_x0000_s1333" style="position:absolute;width:137.1pt;height:23.75pt;z-index:31;mso-wrap-distance-left:9pt;mso-wrap-distance-top:0pt;mso-wrap-distance-right:9pt;mso-wrap-distance-bottom:0pt;margin-left:38pt;margin-top:11.35pt;mso-position-horizontal:absolute;mso-position-horizontal-relative:margin;mso-position-vertical:absolute;mso-position-vertical-relative:text" o:allowincell="t" fillcolor="#FFFFFF" strokecolor="#000000" strokeweight="0.5pt" stroked="t">
                <v:textbox inset="3mm,1mm,3mm,1mm">
                  <w:txbxContent>
                    <w:p>
                      <w:pPr>
                        <w:spacing w:lineRule="auto" w:line="240" w:after="0" w:beforeAutospacing="0" w:afterAutospacing="0"/>
                        <w:jc w:val="center"/>
                        <w:rPr>
                          <w:rFonts w:ascii="Times New Roman" w:hAnsi="Times New Roman" w:cs="Times New Roman"/>
                          <w:sz w:val="24"/>
                          <w:szCs w:val="24"/>
                        </w:rPr>
                      </w:pPr>
                      <w:r>
                        <w:rPr>
                          <w:rFonts w:ascii="Times New Roman" w:hAnsi="Times New Roman" w:cs="Times New Roman"/>
                          <w:sz w:val="24"/>
                          <w:szCs w:val="24"/>
                        </w:rPr>
                        <w:t>Этическое потребление</w:t>
                      </w:r>
                    </w:p>
                  </w:txbxContent>
                </v:textbox>
              </v:shape>
            </w:pict>
          </mc:Fallback>
        </mc:AlternateContent>
      </w:r>
    </w:p>
    <w:p>
      <w:pPr>
        <w:rPr>
          <w:rFonts w:ascii="Times New Roman" w:hAnsi="Times New Roman" w:cs="Times New Roman"/>
          <w:sz w:val="28"/>
          <w:szCs w:val="28"/>
        </w:rPr>
      </w:pPr>
      <w:r>
        <w:rPr>
          <w:rFonts w:ascii="Times New Roman" w:hAnsi="Times New Roman" w:cs="Times New Roman"/>
          <w:noProof w:val="1"/>
          <w:sz w:val="28"/>
          <w:szCs w:val="28"/>
          <w:lang w:eastAsia="ru-RU"/>
        </w:rPr>
        <mc:AlternateContent>
          <mc:Choice Requires="wps">
            <w:drawing>
              <wp:anchor xmlns:wp="http://schemas.openxmlformats.org/drawingml/2006/wordprocessingDrawing" distT="0" distB="0" distL="114300" distR="114300" simplePos="0" relativeHeight="59" behindDoc="0" locked="0" layoutInCell="1" allowOverlap="1">
                <wp:simplePos x="0" y="0"/>
                <wp:positionH relativeFrom="column">
                  <wp:posOffset>3103245</wp:posOffset>
                </wp:positionH>
                <wp:positionV relativeFrom="paragraph">
                  <wp:posOffset>90170</wp:posOffset>
                </wp:positionV>
                <wp:extent cx="226060" cy="226695"/>
                <wp:effectExtent l="19050" t="0" r="21590" b="40005"/>
                <wp:wrapNone/>
                <wp:docPr id="188" name="Стрелка вниз 188"/>
                <wp:cNvGraphicFramePr/>
                <a:graphic xmlns:a="http://schemas.openxmlformats.org/drawingml/2006/main">
                  <a:graphicData uri="http://schemas.microsoft.com/office/word/2010/wordprocessingShape">
                    <wps:wsp>
                      <wps:cNvSpPr/>
                      <wps:spPr>
                        <a:xfrm>
                          <a:off x="0" y="0"/>
                          <a:ext cx="226060" cy="226956"/>
                        </a:xfrm>
                        <a:prstGeom prst="downArrow"/>
                        <a:solidFill>
                          <a:schemeClr val="bg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xmlns:o="urn:schemas-microsoft-com:office:office" type="#_x0000_t67" id="Стрелка вниз 188" o:spid="_x0000_s1334" style="position:absolute;width:17.8pt;height:17.85pt;z-index:59;mso-wrap-distance-left:9pt;mso-wrap-distance-top:0pt;mso-wrap-distance-right:9pt;mso-wrap-distance-bottom:0pt;margin-left:244.35pt;margin-top:7.1pt;mso-position-horizontal:absolute;mso-position-horizontal-relative:text;mso-position-vertical:absolute;mso-position-vertical-relative:text;v-text-anchor:middle" o:allowincell="t" fillcolor="#FFFFFF" strokecolor="#000000" strokeweight="0.75pt" stroked="t"/>
            </w:pict>
          </mc:Fallback>
        </mc:AlternateContent>
      </w:r>
      <w:r>
        <w:rPr>
          <w:rFonts w:ascii="Times New Roman" w:hAnsi="Times New Roman" w:cs="Times New Roman"/>
          <w:noProof w:val="1"/>
          <w:sz w:val="28"/>
          <w:szCs w:val="28"/>
          <w:lang w:eastAsia="ru-RU"/>
        </w:rPr>
        <mc:AlternateContent>
          <mc:Choice Requires="wps">
            <w:drawing>
              <wp:anchor xmlns:wp="http://schemas.openxmlformats.org/drawingml/2006/wordprocessingDrawing" distT="0" distB="0" distL="114300" distR="114300" simplePos="0" relativeHeight="42" behindDoc="0" locked="0" layoutInCell="1" allowOverlap="1">
                <wp:simplePos x="0" y="0"/>
                <wp:positionH relativeFrom="column">
                  <wp:posOffset>5760720</wp:posOffset>
                </wp:positionH>
                <wp:positionV relativeFrom="paragraph">
                  <wp:posOffset>46990</wp:posOffset>
                </wp:positionV>
                <wp:extent cx="172720" cy="0"/>
                <wp:effectExtent l="0" t="0" r="17780" b="19050"/>
                <wp:wrapNone/>
                <wp:docPr id="171" name="Прямая соединительная линия 171"/>
                <wp:cNvGraphicFramePr/>
                <a:graphic xmlns:a="http://schemas.openxmlformats.org/drawingml/2006/main">
                  <a:graphicData uri="http://schemas.microsoft.com/office/word/2010/wordprocessingShape">
                    <wps:wsp>
                      <wps:cNvCnPr/>
                      <wps:spPr>
                        <a:xfrm flipH="1">
                          <a:off x="0" y="0"/>
                          <a:ext cx="172720" cy="0"/>
                        </a:xfrm>
                        <a:prstGeom prst="line"/>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xmlns:o="urn:schemas-microsoft-com:office:office" id="Прямая соединительная линия 171" o:spid="_x0000_s1335" style="position:absolute;flip:x;z-index:42;mso-wrap-distance-left:9pt;mso-wrap-distance-top:0pt;mso-wrap-distance-right:9pt;mso-wrap-distance-bottom:0pt;mso-position-horizontal:absolute;mso-position-horizontal-relative:text;mso-position-vertical:absolute;mso-position-vertical-relative:text" strokecolor="#000000" strokeweight="0.5pt" stroked="t" o:allowincell="t" from="453.6pt,3.7pt" to="467.2pt,3.7pt"/>
            </w:pict>
          </mc:Fallback>
        </mc:AlternateContent>
      </w:r>
      <w:r>
        <w:rPr>
          <w:rFonts w:ascii="Times New Roman" w:hAnsi="Times New Roman" w:cs="Times New Roman"/>
          <w:noProof w:val="1"/>
          <w:sz w:val="28"/>
          <w:szCs w:val="28"/>
          <w:lang w:eastAsia="ru-RU"/>
        </w:rPr>
        <mc:AlternateContent>
          <mc:Choice Requires="wps">
            <w:drawing>
              <wp:anchor xmlns:wp="http://schemas.openxmlformats.org/drawingml/2006/wordprocessingDrawing" distT="0" distB="0" distL="114300" distR="114300" simplePos="0" relativeHeight="37" behindDoc="0" locked="0" layoutInCell="1" allowOverlap="1">
                <wp:simplePos x="0" y="0"/>
                <wp:positionH relativeFrom="column">
                  <wp:posOffset>361315</wp:posOffset>
                </wp:positionH>
                <wp:positionV relativeFrom="paragraph">
                  <wp:posOffset>30480</wp:posOffset>
                </wp:positionV>
                <wp:extent cx="120650" cy="0"/>
                <wp:effectExtent l="0" t="0" r="31750" b="19050"/>
                <wp:wrapNone/>
                <wp:docPr id="166" name="Прямая соединительная линия 166"/>
                <wp:cNvGraphicFramePr/>
                <a:graphic xmlns:a="http://schemas.openxmlformats.org/drawingml/2006/main">
                  <a:graphicData uri="http://schemas.microsoft.com/office/word/2010/wordprocessingShape">
                    <wps:wsp>
                      <wps:cNvCnPr/>
                      <wps:spPr>
                        <a:xfrm>
                          <a:off x="0" y="0"/>
                          <a:ext cx="120650" cy="0"/>
                        </a:xfrm>
                        <a:prstGeom prst="line"/>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xmlns:o="urn:schemas-microsoft-com:office:office" id="Прямая соединительная линия 166" o:spid="_x0000_s1336" style="position:absolute;z-index:37;mso-wrap-distance-left:9pt;mso-wrap-distance-top:0pt;mso-wrap-distance-right:9pt;mso-wrap-distance-bottom:0pt;mso-position-horizontal:absolute;mso-position-horizontal-relative:text;mso-position-vertical:absolute;mso-position-vertical-relative:text" strokecolor="#000000" strokeweight="0.5pt" stroked="t" o:allowincell="t" from="28.45pt,2.4pt" to="37.95pt,2.4pt"/>
            </w:pict>
          </mc:Fallback>
        </mc:AlternateContent>
      </w:r>
    </w:p>
    <w:p>
      <w:pPr>
        <w:rPr>
          <w:rFonts w:ascii="Times New Roman" w:hAnsi="Times New Roman" w:cs="Times New Roman"/>
          <w:sz w:val="28"/>
          <w:szCs w:val="28"/>
        </w:rPr>
      </w:pPr>
      <w:r>
        <w:rPr>
          <w:rFonts w:ascii="Times New Roman" w:hAnsi="Times New Roman" w:cs="Times New Roman"/>
          <w:noProof w:val="1"/>
          <w:sz w:val="28"/>
          <w:szCs w:val="28"/>
          <w:lang w:eastAsia="ru-RU"/>
        </w:rPr>
        <mc:AlternateContent>
          <mc:Choice Requires="wps">
            <w:drawing>
              <wp:anchor xmlns:wp="http://schemas.openxmlformats.org/drawingml/2006/wordprocessingDrawing" distT="0" distB="0" distL="114300" distR="114300" simplePos="0" relativeHeight="57" behindDoc="0" locked="0" layoutInCell="1" allowOverlap="1">
                <wp:simplePos x="0" y="0"/>
                <wp:positionH relativeFrom="margin">
                  <wp:posOffset>110490</wp:posOffset>
                </wp:positionH>
                <wp:positionV relativeFrom="paragraph">
                  <wp:posOffset>4445</wp:posOffset>
                </wp:positionV>
                <wp:extent cx="5821045" cy="971550"/>
                <wp:effectExtent l="0" t="0" r="27305" b="19050"/>
                <wp:wrapNone/>
                <wp:docPr id="186" name="Надпись 186"/>
                <wp:cNvGraphicFramePr/>
                <a:graphic xmlns:a="http://schemas.openxmlformats.org/drawingml/2006/main">
                  <a:graphicData uri="http://schemas.microsoft.com/office/word/2010/wordprocessingShape">
                    <wps:wsp>
                      <wps:cNvSpPr txBox="1"/>
                      <wps:spPr>
                        <a:xfrm>
                          <a:off x="0" y="0"/>
                          <a:ext cx="5821045" cy="971550"/>
                        </a:xfrm>
                        <a:prstGeom prst="rect"/>
                        <a:solidFill>
                          <a:schemeClr val="lt1"/>
                        </a:solidFill>
                        <a:ln w="6350">
                          <a:solidFill>
                            <a:prstClr val="black"/>
                          </a:solidFill>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spacing w:lineRule="auto" w:line="240" w:after="0" w:beforeAutospacing="0" w:afterAutospacing="0"/>
                              <w:jc w:val="center"/>
                              <w:rPr>
                                <w:rFonts w:ascii="Times New Roman" w:hAnsi="Times New Roman" w:cs="Times New Roman"/>
                                <w:sz w:val="24"/>
                                <w:szCs w:val="24"/>
                                <w:u w:val="single"/>
                              </w:rPr>
                            </w:pPr>
                            <w:r>
                              <w:rPr>
                                <w:rFonts w:ascii="Times New Roman" w:hAnsi="Times New Roman" w:cs="Times New Roman"/>
                                <w:sz w:val="24"/>
                                <w:szCs w:val="24"/>
                                <w:u w:val="single"/>
                              </w:rPr>
                              <w:t xml:space="preserve">Партнерство </w:t>
                            </w:r>
                            <w:bookmarkStart w:id="0" w:name="_Hlk138328550"/>
                            <w:r>
                              <w:rPr>
                                <w:rFonts w:ascii="Times New Roman" w:hAnsi="Times New Roman" w:cs="Times New Roman"/>
                                <w:sz w:val="24"/>
                                <w:szCs w:val="24"/>
                                <w:u w:val="single"/>
                                <w:lang w:val="en-US"/>
                              </w:rPr>
                              <w:t>Fairtrade</w:t>
                            </w:r>
                            <w:r>
                              <w:rPr>
                                <w:rFonts w:ascii="Times New Roman" w:hAnsi="Times New Roman" w:cs="Times New Roman"/>
                                <w:sz w:val="24"/>
                                <w:szCs w:val="24"/>
                                <w:u w:val="single"/>
                              </w:rPr>
                              <w:t xml:space="preserve"> </w:t>
                            </w:r>
                            <w:r>
                              <w:rPr>
                                <w:rFonts w:ascii="Times New Roman" w:hAnsi="Times New Roman" w:cs="Times New Roman"/>
                                <w:sz w:val="24"/>
                                <w:szCs w:val="24"/>
                                <w:u w:val="single"/>
                                <w:lang w:val="en-US"/>
                              </w:rPr>
                              <w:t>International</w:t>
                            </w:r>
                            <w:r>
                              <w:rPr>
                                <w:rFonts w:ascii="Times New Roman" w:hAnsi="Times New Roman" w:cs="Times New Roman"/>
                                <w:sz w:val="24"/>
                                <w:szCs w:val="24"/>
                                <w:u w:val="single"/>
                              </w:rPr>
                              <w:t xml:space="preserve"> и </w:t>
                            </w:r>
                            <w:r>
                              <w:rPr>
                                <w:rFonts w:ascii="Times New Roman" w:hAnsi="Times New Roman" w:cs="Times New Roman"/>
                                <w:sz w:val="24"/>
                                <w:szCs w:val="24"/>
                                <w:u w:val="single"/>
                                <w:lang w:val="en-US"/>
                              </w:rPr>
                              <w:t>Fairtrade</w:t>
                            </w:r>
                            <w:r>
                              <w:rPr>
                                <w:rFonts w:ascii="Times New Roman" w:hAnsi="Times New Roman" w:cs="Times New Roman"/>
                                <w:sz w:val="24"/>
                                <w:szCs w:val="24"/>
                                <w:u w:val="single"/>
                              </w:rPr>
                              <w:t xml:space="preserve"> </w:t>
                            </w:r>
                            <w:r>
                              <w:rPr>
                                <w:rFonts w:ascii="Times New Roman" w:hAnsi="Times New Roman" w:cs="Times New Roman"/>
                                <w:sz w:val="24"/>
                                <w:szCs w:val="24"/>
                                <w:u w:val="single"/>
                                <w:lang w:val="en-US"/>
                              </w:rPr>
                              <w:t>Africa</w:t>
                            </w:r>
                            <w:r>
                              <w:rPr>
                                <w:rFonts w:ascii="Times New Roman" w:hAnsi="Times New Roman" w:cs="Times New Roman"/>
                                <w:sz w:val="24"/>
                                <w:szCs w:val="24"/>
                                <w:u w:val="single"/>
                              </w:rPr>
                              <w:t xml:space="preserve"> на рынке какао-продуктов</w:t>
                            </w:r>
                            <w:bookmarkEnd w:id="0"/>
                          </w:p>
                          <w:p>
                            <w:pPr>
                              <w:spacing w:lineRule="auto" w:line="240" w:after="0" w:beforeAutospacing="0" w:afterAutospacing="0"/>
                              <w:rPr>
                                <w:rFonts w:ascii="Times New Roman" w:hAnsi="Times New Roman" w:cs="Times New Roman"/>
                                <w:sz w:val="24"/>
                                <w:szCs w:val="24"/>
                              </w:rPr>
                            </w:pPr>
                            <w:r>
                              <w:rPr>
                                <w:rFonts w:ascii="Times New Roman" w:hAnsi="Times New Roman" w:cs="Times New Roman"/>
                                <w:sz w:val="20"/>
                                <w:szCs w:val="20"/>
                              </w:rPr>
                              <w:t xml:space="preserve">- </w:t>
                            </w:r>
                            <w:r>
                              <w:rPr>
                                <w:rFonts w:ascii="Times New Roman" w:hAnsi="Times New Roman" w:cs="Times New Roman"/>
                                <w:sz w:val="24"/>
                                <w:szCs w:val="24"/>
                              </w:rPr>
                              <w:t xml:space="preserve">объединение 25 кооперативов (190 тыс. фермеров), имеющих сертификаты </w:t>
                            </w:r>
                            <w:bookmarkStart w:id="1" w:name="_Hlk138328678"/>
                            <w:r>
                              <w:rPr>
                                <w:rFonts w:ascii="Times New Roman" w:hAnsi="Times New Roman" w:cs="Times New Roman"/>
                                <w:sz w:val="24"/>
                                <w:szCs w:val="24"/>
                              </w:rPr>
                              <w:t>Fairtrade</w:t>
                            </w:r>
                            <w:bookmarkEnd w:id="1"/>
                            <w:r>
                              <w:rPr>
                                <w:rFonts w:ascii="Times New Roman" w:hAnsi="Times New Roman" w:cs="Times New Roman"/>
                                <w:sz w:val="24"/>
                                <w:szCs w:val="24"/>
                              </w:rPr>
                              <w:t>;</w:t>
                            </w:r>
                          </w:p>
                          <w:p>
                            <w:pPr>
                              <w:spacing w:lineRule="auto" w:line="240" w:after="0" w:beforeAutospacing="0" w:afterAutospacing="0"/>
                              <w:rPr>
                                <w:rFonts w:ascii="Times New Roman" w:hAnsi="Times New Roman" w:cs="Times New Roman"/>
                                <w:sz w:val="24"/>
                                <w:szCs w:val="24"/>
                              </w:rPr>
                            </w:pPr>
                            <w:r>
                              <w:rPr>
                                <w:rFonts w:ascii="Times New Roman" w:hAnsi="Times New Roman" w:cs="Times New Roman"/>
                                <w:sz w:val="24"/>
                                <w:szCs w:val="24"/>
                              </w:rPr>
                              <w:t>- внедрение интеллектуальной системы управления данными;</w:t>
                            </w:r>
                          </w:p>
                          <w:p>
                            <w:pPr>
                              <w:spacing w:lineRule="auto" w:line="240" w:after="0" w:beforeAutospacing="0" w:afterAutospacing="0"/>
                              <w:rPr>
                                <w:rFonts w:ascii="Times New Roman" w:hAnsi="Times New Roman" w:cs="Times New Roman"/>
                                <w:sz w:val="24"/>
                                <w:szCs w:val="24"/>
                              </w:rPr>
                            </w:pPr>
                            <w:r>
                              <w:rPr>
                                <w:rFonts w:ascii="Times New Roman" w:hAnsi="Times New Roman" w:cs="Times New Roman"/>
                                <w:sz w:val="24"/>
                                <w:szCs w:val="24"/>
                              </w:rPr>
                              <w:t>- гарантия стабильной цены в условиях высокой волатильности;</w:t>
                            </w:r>
                          </w:p>
                          <w:p>
                            <w:pPr>
                              <w:spacing w:lineRule="auto" w:line="240" w:after="0" w:beforeAutospacing="0" w:afterAutospacing="0"/>
                              <w:rPr>
                                <w:rFonts w:ascii="Times New Roman" w:hAnsi="Times New Roman" w:cs="Times New Roman"/>
                                <w:sz w:val="24"/>
                                <w:szCs w:val="24"/>
                              </w:rPr>
                            </w:pPr>
                            <w:r>
                              <w:rPr>
                                <w:rFonts w:ascii="Times New Roman" w:hAnsi="Times New Roman" w:cs="Times New Roman"/>
                                <w:sz w:val="24"/>
                                <w:szCs w:val="24"/>
                              </w:rPr>
                              <w:t>- дополнительные премии за инвестиции в общественно значимые проекты.</w:t>
                            </w:r>
                          </w:p>
                          <w:p>
                            <w:pPr>
                              <w:spacing w:lineRule="auto" w:line="240" w:after="0" w:beforeAutospacing="0" w:afterAutospacing="0"/>
                              <w:rPr>
                                <w:rFonts w:ascii="Times New Roman" w:hAnsi="Times New Roman" w:cs="Times New Roman"/>
                                <w:sz w:val="24"/>
                                <w:szCs w:val="24"/>
                              </w:rPr>
                            </w:pPr>
                          </w:p>
                          <w:p>
                            <w:pPr>
                              <w:spacing w:lineRule="auto" w:line="240" w:after="0" w:beforeAutospacing="0" w:afterAutospacing="0"/>
                              <w:rPr>
                                <w:rFonts w:ascii="Times New Roman" w:hAnsi="Times New Roman" w:cs="Times New Roman"/>
                                <w:sz w:val="24"/>
                                <w:szCs w:val="24"/>
                              </w:rPr>
                            </w:pPr>
                          </w:p>
                          <w:p>
                            <w:pPr>
                              <w:spacing w:lineRule="auto" w:line="240" w:after="0" w:beforeAutospacing="0" w:afterAutospacing="0"/>
                              <w:rPr>
                                <w:rFonts w:ascii="Times New Roman" w:hAnsi="Times New Roman" w:cs="Times New Roman"/>
                                <w:sz w:val="24"/>
                                <w:szCs w:val="24"/>
                              </w:rPr>
                            </w:pPr>
                          </w:p>
                          <w:p>
                            <w:pPr>
                              <w:spacing w:lineRule="auto" w:line="240" w:after="0" w:beforeAutospacing="0" w:afterAutospacing="0"/>
                              <w:rPr>
                                <w:rFonts w:ascii="Times New Roman" w:hAnsi="Times New Roman" w:cs="Times New Roman"/>
                                <w:sz w:val="20"/>
                                <w:szCs w:val="20"/>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xmlns:o="urn:schemas-microsoft-com:office:office" type="#_x0000_t202" id="Надпись 186" o:spid="_x0000_s1337" style="position:absolute;width:458.35pt;height:76.5pt;z-index:57;mso-wrap-distance-left:9pt;mso-wrap-distance-top:0pt;mso-wrap-distance-right:9pt;mso-wrap-distance-bottom:0pt;margin-left:8.7pt;margin-top:0.35pt;mso-position-horizontal:absolute;mso-position-horizontal-relative:margin;mso-position-vertical:absolute;mso-position-vertical-relative:text" o:allowincell="t" fillcolor="#FFFFFF" strokecolor="#000000" strokeweight="0.5pt" stroked="t">
                <v:textbox inset="3mm,1mm,3mm,1mm">
                  <w:txbxContent>
                    <w:p>
                      <w:pPr>
                        <w:spacing w:lineRule="auto" w:line="240" w:after="0" w:beforeAutospacing="0" w:afterAutospacing="0"/>
                        <w:jc w:val="center"/>
                        <w:rPr>
                          <w:rFonts w:ascii="Times New Roman" w:hAnsi="Times New Roman" w:cs="Times New Roman"/>
                          <w:sz w:val="24"/>
                          <w:szCs w:val="24"/>
                          <w:u w:val="single"/>
                        </w:rPr>
                      </w:pPr>
                      <w:r>
                        <w:rPr>
                          <w:rFonts w:ascii="Times New Roman" w:hAnsi="Times New Roman" w:cs="Times New Roman"/>
                          <w:sz w:val="24"/>
                          <w:szCs w:val="24"/>
                          <w:u w:val="single"/>
                        </w:rPr>
                        <w:t xml:space="preserve">Партнерство </w:t>
                      </w:r>
                      <w:bookmarkStart w:id="0" w:name="_Hlk138328550"/>
                      <w:r>
                        <w:rPr>
                          <w:rFonts w:ascii="Times New Roman" w:hAnsi="Times New Roman" w:cs="Times New Roman"/>
                          <w:sz w:val="24"/>
                          <w:szCs w:val="24"/>
                          <w:u w:val="single"/>
                          <w:lang w:val="en-US"/>
                        </w:rPr>
                        <w:t>Fairtrade</w:t>
                      </w:r>
                      <w:r>
                        <w:rPr>
                          <w:rFonts w:ascii="Times New Roman" w:hAnsi="Times New Roman" w:cs="Times New Roman"/>
                          <w:sz w:val="24"/>
                          <w:szCs w:val="24"/>
                          <w:u w:val="single"/>
                        </w:rPr>
                        <w:t xml:space="preserve"> </w:t>
                      </w:r>
                      <w:r>
                        <w:rPr>
                          <w:rFonts w:ascii="Times New Roman" w:hAnsi="Times New Roman" w:cs="Times New Roman"/>
                          <w:sz w:val="24"/>
                          <w:szCs w:val="24"/>
                          <w:u w:val="single"/>
                          <w:lang w:val="en-US"/>
                        </w:rPr>
                        <w:t>International</w:t>
                      </w:r>
                      <w:r>
                        <w:rPr>
                          <w:rFonts w:ascii="Times New Roman" w:hAnsi="Times New Roman" w:cs="Times New Roman"/>
                          <w:sz w:val="24"/>
                          <w:szCs w:val="24"/>
                          <w:u w:val="single"/>
                        </w:rPr>
                        <w:t xml:space="preserve"> и </w:t>
                      </w:r>
                      <w:r>
                        <w:rPr>
                          <w:rFonts w:ascii="Times New Roman" w:hAnsi="Times New Roman" w:cs="Times New Roman"/>
                          <w:sz w:val="24"/>
                          <w:szCs w:val="24"/>
                          <w:u w:val="single"/>
                          <w:lang w:val="en-US"/>
                        </w:rPr>
                        <w:t>Fairtrade</w:t>
                      </w:r>
                      <w:r>
                        <w:rPr>
                          <w:rFonts w:ascii="Times New Roman" w:hAnsi="Times New Roman" w:cs="Times New Roman"/>
                          <w:sz w:val="24"/>
                          <w:szCs w:val="24"/>
                          <w:u w:val="single"/>
                        </w:rPr>
                        <w:t xml:space="preserve"> </w:t>
                      </w:r>
                      <w:r>
                        <w:rPr>
                          <w:rFonts w:ascii="Times New Roman" w:hAnsi="Times New Roman" w:cs="Times New Roman"/>
                          <w:sz w:val="24"/>
                          <w:szCs w:val="24"/>
                          <w:u w:val="single"/>
                          <w:lang w:val="en-US"/>
                        </w:rPr>
                        <w:t>Africa</w:t>
                      </w:r>
                      <w:r>
                        <w:rPr>
                          <w:rFonts w:ascii="Times New Roman" w:hAnsi="Times New Roman" w:cs="Times New Roman"/>
                          <w:sz w:val="24"/>
                          <w:szCs w:val="24"/>
                          <w:u w:val="single"/>
                        </w:rPr>
                        <w:t xml:space="preserve"> на рынке какао-продуктов</w:t>
                      </w:r>
                      <w:bookmarkEnd w:id="0"/>
                    </w:p>
                    <w:p>
                      <w:pPr>
                        <w:spacing w:lineRule="auto" w:line="240" w:after="0" w:beforeAutospacing="0" w:afterAutospacing="0"/>
                        <w:rPr>
                          <w:rFonts w:ascii="Times New Roman" w:hAnsi="Times New Roman" w:cs="Times New Roman"/>
                          <w:sz w:val="24"/>
                          <w:szCs w:val="24"/>
                        </w:rPr>
                      </w:pPr>
                      <w:r>
                        <w:rPr>
                          <w:rFonts w:ascii="Times New Roman" w:hAnsi="Times New Roman" w:cs="Times New Roman"/>
                          <w:sz w:val="20"/>
                          <w:szCs w:val="20"/>
                        </w:rPr>
                        <w:t xml:space="preserve">- </w:t>
                      </w:r>
                      <w:r>
                        <w:rPr>
                          <w:rFonts w:ascii="Times New Roman" w:hAnsi="Times New Roman" w:cs="Times New Roman"/>
                          <w:sz w:val="24"/>
                          <w:szCs w:val="24"/>
                        </w:rPr>
                        <w:t xml:space="preserve">объединение 25 кооперативов (190 тыс. фермеров), имеющих сертификаты </w:t>
                      </w:r>
                      <w:bookmarkStart w:id="1" w:name="_Hlk138328678"/>
                      <w:r>
                        <w:rPr>
                          <w:rFonts w:ascii="Times New Roman" w:hAnsi="Times New Roman" w:cs="Times New Roman"/>
                          <w:sz w:val="24"/>
                          <w:szCs w:val="24"/>
                        </w:rPr>
                        <w:t>Fairtrade</w:t>
                      </w:r>
                      <w:bookmarkEnd w:id="1"/>
                      <w:r>
                        <w:rPr>
                          <w:rFonts w:ascii="Times New Roman" w:hAnsi="Times New Roman" w:cs="Times New Roman"/>
                          <w:sz w:val="24"/>
                          <w:szCs w:val="24"/>
                        </w:rPr>
                        <w:t>;</w:t>
                      </w:r>
                    </w:p>
                    <w:p>
                      <w:pPr>
                        <w:spacing w:lineRule="auto" w:line="240" w:after="0" w:beforeAutospacing="0" w:afterAutospacing="0"/>
                        <w:rPr>
                          <w:rFonts w:ascii="Times New Roman" w:hAnsi="Times New Roman" w:cs="Times New Roman"/>
                          <w:sz w:val="24"/>
                          <w:szCs w:val="24"/>
                        </w:rPr>
                      </w:pPr>
                      <w:r>
                        <w:rPr>
                          <w:rFonts w:ascii="Times New Roman" w:hAnsi="Times New Roman" w:cs="Times New Roman"/>
                          <w:sz w:val="24"/>
                          <w:szCs w:val="24"/>
                        </w:rPr>
                        <w:t>- внедрение интеллектуальной системы управления данными;</w:t>
                      </w:r>
                    </w:p>
                    <w:p>
                      <w:pPr>
                        <w:spacing w:lineRule="auto" w:line="240" w:after="0" w:beforeAutospacing="0" w:afterAutospacing="0"/>
                        <w:rPr>
                          <w:rFonts w:ascii="Times New Roman" w:hAnsi="Times New Roman" w:cs="Times New Roman"/>
                          <w:sz w:val="24"/>
                          <w:szCs w:val="24"/>
                        </w:rPr>
                      </w:pPr>
                      <w:r>
                        <w:rPr>
                          <w:rFonts w:ascii="Times New Roman" w:hAnsi="Times New Roman" w:cs="Times New Roman"/>
                          <w:sz w:val="24"/>
                          <w:szCs w:val="24"/>
                        </w:rPr>
                        <w:t>- гарантия стабильной цены в условиях высокой волатильности;</w:t>
                      </w:r>
                    </w:p>
                    <w:p>
                      <w:pPr>
                        <w:spacing w:lineRule="auto" w:line="240" w:after="0" w:beforeAutospacing="0" w:afterAutospacing="0"/>
                        <w:rPr>
                          <w:rFonts w:ascii="Times New Roman" w:hAnsi="Times New Roman" w:cs="Times New Roman"/>
                          <w:sz w:val="24"/>
                          <w:szCs w:val="24"/>
                        </w:rPr>
                      </w:pPr>
                      <w:r>
                        <w:rPr>
                          <w:rFonts w:ascii="Times New Roman" w:hAnsi="Times New Roman" w:cs="Times New Roman"/>
                          <w:sz w:val="24"/>
                          <w:szCs w:val="24"/>
                        </w:rPr>
                        <w:t>- дополнительные премии за инвестиции в общественно значимые проекты.</w:t>
                      </w:r>
                    </w:p>
                    <w:p>
                      <w:pPr>
                        <w:spacing w:lineRule="auto" w:line="240" w:after="0" w:beforeAutospacing="0" w:afterAutospacing="0"/>
                        <w:rPr>
                          <w:rFonts w:ascii="Times New Roman" w:hAnsi="Times New Roman" w:cs="Times New Roman"/>
                          <w:sz w:val="24"/>
                          <w:szCs w:val="24"/>
                        </w:rPr>
                      </w:pPr>
                    </w:p>
                    <w:p>
                      <w:pPr>
                        <w:spacing w:lineRule="auto" w:line="240" w:after="0" w:beforeAutospacing="0" w:afterAutospacing="0"/>
                        <w:rPr>
                          <w:rFonts w:ascii="Times New Roman" w:hAnsi="Times New Roman" w:cs="Times New Roman"/>
                          <w:sz w:val="24"/>
                          <w:szCs w:val="24"/>
                        </w:rPr>
                      </w:pPr>
                    </w:p>
                    <w:p>
                      <w:pPr>
                        <w:spacing w:lineRule="auto" w:line="240" w:after="0" w:beforeAutospacing="0" w:afterAutospacing="0"/>
                        <w:rPr>
                          <w:rFonts w:ascii="Times New Roman" w:hAnsi="Times New Roman" w:cs="Times New Roman"/>
                          <w:sz w:val="24"/>
                          <w:szCs w:val="24"/>
                        </w:rPr>
                      </w:pPr>
                    </w:p>
                    <w:p>
                      <w:pPr>
                        <w:spacing w:lineRule="auto" w:line="240" w:after="0" w:beforeAutospacing="0" w:afterAutospacing="0"/>
                        <w:rPr>
                          <w:rFonts w:ascii="Times New Roman" w:hAnsi="Times New Roman" w:cs="Times New Roman"/>
                          <w:sz w:val="20"/>
                          <w:szCs w:val="20"/>
                        </w:rPr>
                      </w:pPr>
                    </w:p>
                  </w:txbxContent>
                </v:textbox>
              </v:shape>
            </w:pict>
          </mc:Fallback>
        </mc:AlternateContent>
      </w:r>
    </w:p>
    <w:p>
      <w:pPr>
        <w:jc w:val="center"/>
        <w:rPr>
          <w:rFonts w:ascii="Times New Roman" w:hAnsi="Times New Roman" w:cs="Times New Roman"/>
          <w:sz w:val="28"/>
          <w:szCs w:val="28"/>
        </w:rPr>
      </w:pPr>
    </w:p>
    <w:p>
      <w:pPr>
        <w:jc w:val="center"/>
        <w:rPr>
          <w:rFonts w:ascii="Times New Roman" w:hAnsi="Times New Roman" w:cs="Times New Roman"/>
          <w:sz w:val="28"/>
          <w:szCs w:val="28"/>
        </w:rPr>
      </w:pPr>
    </w:p>
    <w:p>
      <w:pPr>
        <w:jc w:val="center"/>
        <w:rPr>
          <w:rFonts w:ascii="Times New Roman" w:hAnsi="Times New Roman" w:cs="Times New Roman"/>
          <w:sz w:val="28"/>
          <w:szCs w:val="28"/>
        </w:rPr>
      </w:pPr>
    </w:p>
    <w:p>
      <w:pPr>
        <w:spacing w:lineRule="auto" w:line="360" w:after="0" w:beforeAutospacing="0" w:afterAutospacing="0"/>
        <w:jc w:val="center"/>
        <w:rPr>
          <w:rFonts w:ascii="Times New Roman" w:hAnsi="Times New Roman" w:cs="Times New Roman"/>
          <w:sz w:val="28"/>
          <w:szCs w:val="28"/>
        </w:rPr>
      </w:pPr>
      <w:r>
        <w:rPr>
          <w:rFonts w:ascii="Times New Roman" w:hAnsi="Times New Roman" w:cs="Times New Roman"/>
          <w:sz w:val="28"/>
          <w:szCs w:val="28"/>
        </w:rPr>
        <w:t xml:space="preserve">Рисунок </w:t>
      </w:r>
      <w:r>
        <w:rPr>
          <w:rFonts w:ascii="Times New Roman" w:hAnsi="Times New Roman" w:cs="Times New Roman"/>
          <w:sz w:val="28"/>
          <w:szCs w:val="28"/>
          <w:highlight w:val="yellow"/>
        </w:rPr>
        <w:t>3.4</w:t>
      </w:r>
      <w:r>
        <w:rPr>
          <w:rFonts w:ascii="Times New Roman" w:hAnsi="Times New Roman" w:cs="Times New Roman"/>
          <w:sz w:val="28"/>
          <w:szCs w:val="28"/>
        </w:rPr>
        <w:t xml:space="preserve"> – Интеграция подхода «Система управления с двумя менеджерами проектов» в модель инклюзивного роста Республики </w:t>
      </w:r>
      <w:r>
        <w:rPr>
          <w:rFonts w:ascii="Times New Roman" w:hAnsi="Times New Roman" w:cs="Times New Roman"/>
          <w:sz w:val="28"/>
          <w:szCs w:val="28"/>
        </w:rPr>
        <w:br w:type="textWrapping"/>
      </w:r>
      <w:r>
        <w:rPr>
          <w:rFonts w:ascii="Times New Roman" w:hAnsi="Times New Roman" w:cs="Times New Roman"/>
          <w:sz w:val="28"/>
          <w:szCs w:val="28"/>
        </w:rPr>
        <w:t>Кот-Д’Ивуар (составлено автором)</w:t>
      </w:r>
    </w:p>
    <w:p>
      <w:pPr>
        <w:pStyle w:val="P13"/>
        <w:spacing w:lineRule="auto" w:line="360" w:beforeAutospacing="0" w:afterAutospacing="0"/>
        <w:ind w:firstLine="709"/>
        <w:jc w:val="both"/>
        <w:rPr>
          <w:sz w:val="28"/>
          <w:szCs w:val="28"/>
          <w:lang w:val="ru-RU"/>
        </w:rPr>
      </w:pPr>
    </w:p>
    <w:p>
      <w:pPr>
        <w:pStyle w:val="P13"/>
        <w:spacing w:lineRule="auto" w:line="360" w:beforeAutospacing="0" w:afterAutospacing="0"/>
        <w:ind w:firstLine="709"/>
        <w:jc w:val="both"/>
        <w:rPr>
          <w:sz w:val="28"/>
          <w:szCs w:val="28"/>
          <w:lang w:val="ru-RU"/>
        </w:rPr>
      </w:pPr>
      <w:r>
        <w:rPr>
          <w:sz w:val="28"/>
          <w:szCs w:val="28"/>
          <w:lang w:val="ru-RU"/>
        </w:rPr>
        <w:t xml:space="preserve">В свою очередь, местный менеджер отвечает за достижение социальных результатов, включая поиск, обучение и набор персонала, разработку оперативной бизнес-модели, а также поиск компромиссов между международными, национальными и местными заинтересованными сторонами. При использовании такого подхода с двумя менеджерами проектов возможно преодоление разрыва между местными заинтересованными сторонами и их культурными традициями, с одной стороны, и глобальными стандартами и политикой, с другой. При этом местный менеджер, действующий в рамках концепции Убунту, будет руководствоваться не только принципом «целесообразных действий», но и искать практические решения имеющихся проблем руководствуясь этическими, политическими, социальными или иными принципами корпоративной ответственности. </w:t>
      </w:r>
    </w:p>
    <w:p>
      <w:pPr>
        <w:pStyle w:val="P13"/>
        <w:spacing w:lineRule="auto" w:line="360" w:beforeAutospacing="0" w:afterAutospacing="0"/>
        <w:ind w:firstLine="709"/>
        <w:jc w:val="both"/>
        <w:rPr>
          <w:sz w:val="28"/>
          <w:szCs w:val="28"/>
          <w:lang w:val="ru-RU"/>
        </w:rPr>
      </w:pPr>
      <w:r>
        <w:rPr>
          <w:sz w:val="28"/>
          <w:szCs w:val="28"/>
          <w:lang w:val="ru-RU"/>
        </w:rPr>
        <w:t>Для МСБ, которые, как правило, играют более важную роль в качестве заинтересованных сторон в африканских развивающихся странах, концепция Убунту также может быть использована для продвижения их интересов в сфере устойчивого развития и инклюзивного роста. Актуальные данные свидетельствуют о высокой роли МСП в экономике Республики Кот-д’Ивуар. Так, в 2024 г. МСП обеспечили создание более 45 тыс. рабочих мест, или 48% новых рабочих мест, и составляли около 98% частного сектора</w:t>
      </w:r>
      <w:r>
        <w:rPr>
          <w:rStyle w:val="C42"/>
          <w:sz w:val="28"/>
          <w:szCs w:val="28"/>
          <w:lang w:val="ru-RU"/>
        </w:rPr>
        <w:footnoteReference w:id="123"/>
      </w:r>
      <w:r>
        <w:rPr>
          <w:sz w:val="28"/>
          <w:szCs w:val="28"/>
          <w:lang w:val="ru-RU"/>
        </w:rPr>
        <w:t>. Вместе с тем их вклад в ВВП, по данным правительственного отчета, достигал 8,6%</w:t>
      </w:r>
      <w:r>
        <w:rPr>
          <w:rStyle w:val="C42"/>
          <w:sz w:val="28"/>
          <w:szCs w:val="28"/>
          <w:lang w:val="ru-RU"/>
        </w:rPr>
        <w:footnoteReference w:id="124"/>
      </w:r>
      <w:r>
        <w:rPr>
          <w:sz w:val="28"/>
          <w:szCs w:val="28"/>
          <w:lang w:val="ru-RU"/>
        </w:rPr>
        <w:t>, что указывает на значимость сектора при сохраняющемся разрыве между его количественным присутствием и макроэкономическим вкладом. Это означает, что в будущем, вместо того чтобы тратить большие деньги на импорт товаров, африканские государства могли бы в большей степени полагаться на свои МСБ для производства и продажи этих товаров на местной основе.</w:t>
      </w:r>
    </w:p>
    <w:p>
      <w:pPr>
        <w:pStyle w:val="P13"/>
        <w:spacing w:lineRule="auto" w:line="360" w:beforeAutospacing="0" w:afterAutospacing="0"/>
        <w:ind w:firstLine="709"/>
        <w:jc w:val="both"/>
        <w:rPr>
          <w:sz w:val="28"/>
          <w:szCs w:val="28"/>
          <w:lang w:val="ru-RU"/>
        </w:rPr>
      </w:pPr>
      <w:r>
        <w:rPr>
          <w:sz w:val="28"/>
          <w:szCs w:val="28"/>
          <w:lang w:val="ru-RU"/>
        </w:rPr>
        <w:t xml:space="preserve">В этой связи основополагающим фактором формирования траекторий инновационно-инклюзивного роста является создание институциональных условия для облегчения ведения бизнеса. Как видно из таблицы </w:t>
      </w:r>
      <w:r>
        <w:rPr>
          <w:sz w:val="28"/>
          <w:szCs w:val="28"/>
          <w:highlight w:val="yellow"/>
          <w:lang w:val="ru-RU"/>
        </w:rPr>
        <w:t>3.11</w:t>
      </w:r>
      <w:r>
        <w:rPr>
          <w:sz w:val="28"/>
          <w:szCs w:val="28"/>
          <w:lang w:val="ru-RU"/>
        </w:rPr>
        <w:t>, органы государственной власти Республики Кот-д’Ивуар достигли определенного успеха в этом направлении. Так, время необходимое на строительство склада сократилось с 550 дней в 2013 году до 163 дней в 2024 году, а время на открытие бизнеса также сократилось на 28 дней (с 32 в 2013 году до 4 в 2024 году) (таблица 3.11).</w:t>
      </w:r>
    </w:p>
    <w:p>
      <w:pPr>
        <w:pStyle w:val="P13"/>
        <w:spacing w:lineRule="auto" w:line="360" w:beforeAutospacing="0" w:afterAutospacing="0"/>
        <w:ind w:firstLine="709"/>
        <w:jc w:val="both"/>
        <w:rPr>
          <w:sz w:val="28"/>
          <w:szCs w:val="28"/>
          <w:lang w:val="ru-RU"/>
        </w:rPr>
      </w:pPr>
    </w:p>
    <w:p>
      <w:pPr>
        <w:spacing w:lineRule="auto" w:line="360" w:after="0" w:beforeAutospacing="0" w:afterAutospacing="0"/>
        <w:jc w:val="both"/>
        <w:rPr>
          <w:rFonts w:ascii="Times New Roman" w:hAnsi="Times New Roman" w:cs="Times New Roman"/>
          <w:color w:val="00B0F0"/>
          <w:sz w:val="28"/>
          <w:szCs w:val="28"/>
        </w:rPr>
      </w:pPr>
      <w:r>
        <w:rPr>
          <w:rFonts w:ascii="Times New Roman" w:hAnsi="Times New Roman" w:cs="Times New Roman"/>
          <w:sz w:val="28"/>
          <w:szCs w:val="28"/>
        </w:rPr>
        <w:t xml:space="preserve">Таблица </w:t>
      </w:r>
      <w:r>
        <w:rPr>
          <w:rFonts w:ascii="Times New Roman" w:hAnsi="Times New Roman" w:cs="Times New Roman"/>
          <w:sz w:val="28"/>
          <w:szCs w:val="28"/>
          <w:highlight w:val="yellow"/>
        </w:rPr>
        <w:t>3.11</w:t>
      </w:r>
      <w:r>
        <w:rPr>
          <w:rFonts w:ascii="Times New Roman" w:hAnsi="Times New Roman" w:cs="Times New Roman"/>
          <w:sz w:val="28"/>
          <w:szCs w:val="28"/>
        </w:rPr>
        <w:t xml:space="preserve"> – Динамика показателей, характеризующих институциональных условия для субъектов МСБ в Республике Кот-д’Ивуар</w:t>
      </w:r>
      <w:r>
        <w:rPr>
          <w:rStyle w:val="C42"/>
          <w:rFonts w:ascii="Times New Roman" w:hAnsi="Times New Roman" w:cs="Times New Roman"/>
          <w:sz w:val="28"/>
          <w:szCs w:val="28"/>
        </w:rPr>
        <w:footnoteReference w:id="125"/>
      </w:r>
    </w:p>
    <w:tbl>
      <w:tblPr>
        <w:tblW w:w="10017" w:type="dxa"/>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Look w:val="04A0"/>
      </w:tblPr>
      <w:tblGrid>
        <w:gridCol w:w="3096"/>
        <w:gridCol w:w="876"/>
        <w:gridCol w:w="985"/>
        <w:gridCol w:w="992"/>
        <w:gridCol w:w="992"/>
        <w:gridCol w:w="992"/>
        <w:gridCol w:w="971"/>
        <w:gridCol w:w="1113"/>
      </w:tblGrid>
      <w:tr>
        <w:trPr>
          <w:trHeight w:hRule="atLeast" w:val="241"/>
        </w:trPr>
        <w:tc>
          <w:tcPr>
            <w:tcW w:w="3096" w:type="dxa"/>
            <w:vAlign w:val="center"/>
          </w:tcPr>
          <w:p>
            <w:pPr>
              <w:spacing w:lineRule="auto" w:line="240" w:after="0" w:beforeAutospacing="0" w:afterAutospacing="0"/>
              <w:jc w:val="center"/>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Показатель</w:t>
            </w:r>
          </w:p>
        </w:tc>
        <w:tc>
          <w:tcPr>
            <w:tcW w:w="876" w:type="dxa"/>
            <w:vAlign w:val="center"/>
          </w:tcPr>
          <w:p>
            <w:pPr>
              <w:spacing w:lineRule="auto" w:line="240" w:after="0" w:beforeAutospacing="0" w:afterAutospacing="0"/>
              <w:ind w:right="-100"/>
              <w:jc w:val="center"/>
              <w:rPr>
                <w:rFonts w:ascii="Times New Roman" w:hAnsi="Times New Roman" w:cs="Times New Roman"/>
              </w:rPr>
            </w:pPr>
            <w:r>
              <w:rPr>
                <w:rFonts w:ascii="Times New Roman" w:hAnsi="Times New Roman" w:cs="Times New Roman" w:eastAsia="Times New Roman"/>
                <w:sz w:val="24"/>
                <w:szCs w:val="24"/>
                <w:lang w:eastAsia="ru-RU"/>
              </w:rPr>
              <w:t>2013 г.</w:t>
            </w:r>
          </w:p>
        </w:tc>
        <w:tc>
          <w:tcPr>
            <w:tcW w:w="985" w:type="dxa"/>
            <w:vAlign w:val="center"/>
          </w:tcPr>
          <w:p>
            <w:pPr>
              <w:spacing w:lineRule="auto" w:line="240" w:after="0" w:beforeAutospacing="0" w:afterAutospacing="0"/>
              <w:jc w:val="center"/>
              <w:rPr>
                <w:rFonts w:ascii="Times New Roman" w:hAnsi="Times New Roman" w:cs="Times New Roman" w:eastAsia="Times New Roman"/>
                <w:sz w:val="24"/>
                <w:szCs w:val="24"/>
                <w:lang w:eastAsia="ru-RU"/>
              </w:rPr>
            </w:pPr>
            <w:r>
              <w:rPr>
                <w:rFonts w:ascii="Times New Roman" w:hAnsi="Times New Roman" w:cs="Times New Roman"/>
              </w:rPr>
              <w:t xml:space="preserve">2019 г. </w:t>
            </w:r>
          </w:p>
        </w:tc>
        <w:tc>
          <w:tcPr>
            <w:tcW w:w="992" w:type="dxa"/>
            <w:noWrap/>
            <w:vAlign w:val="center"/>
          </w:tcPr>
          <w:p>
            <w:pPr>
              <w:spacing w:lineRule="auto" w:line="240" w:after="0" w:beforeAutospacing="0" w:afterAutospacing="0"/>
              <w:jc w:val="center"/>
              <w:rPr>
                <w:rFonts w:ascii="Times New Roman" w:hAnsi="Times New Roman" w:cs="Times New Roman" w:eastAsia="Times New Roman"/>
                <w:sz w:val="24"/>
                <w:szCs w:val="24"/>
                <w:lang w:eastAsia="ru-RU"/>
              </w:rPr>
            </w:pPr>
            <w:r>
              <w:rPr>
                <w:rFonts w:ascii="Times New Roman" w:hAnsi="Times New Roman" w:cs="Times New Roman"/>
              </w:rPr>
              <w:t>2020 г.</w:t>
            </w:r>
          </w:p>
        </w:tc>
        <w:tc>
          <w:tcPr>
            <w:tcW w:w="992" w:type="dxa"/>
            <w:noWrap/>
            <w:vAlign w:val="center"/>
          </w:tcPr>
          <w:p>
            <w:pPr>
              <w:spacing w:lineRule="auto" w:line="240" w:after="0" w:beforeAutospacing="0" w:afterAutospacing="0"/>
              <w:jc w:val="center"/>
              <w:rPr>
                <w:rFonts w:ascii="Times New Roman" w:hAnsi="Times New Roman" w:cs="Times New Roman" w:eastAsia="Times New Roman"/>
                <w:sz w:val="24"/>
                <w:szCs w:val="24"/>
                <w:lang w:eastAsia="ru-RU"/>
              </w:rPr>
            </w:pPr>
            <w:r>
              <w:rPr>
                <w:rFonts w:ascii="Times New Roman" w:hAnsi="Times New Roman" w:cs="Times New Roman"/>
              </w:rPr>
              <w:t>2021 г.*</w:t>
            </w:r>
          </w:p>
        </w:tc>
        <w:tc>
          <w:tcPr>
            <w:tcW w:w="992" w:type="dxa"/>
            <w:noWrap/>
            <w:vAlign w:val="center"/>
          </w:tcPr>
          <w:p>
            <w:pPr>
              <w:spacing w:lineRule="auto" w:line="240" w:after="0" w:beforeAutospacing="0" w:afterAutospacing="0"/>
              <w:jc w:val="center"/>
              <w:rPr>
                <w:rFonts w:ascii="Times New Roman" w:hAnsi="Times New Roman" w:cs="Times New Roman" w:eastAsia="Times New Roman"/>
                <w:sz w:val="24"/>
                <w:szCs w:val="24"/>
                <w:lang w:eastAsia="ru-RU"/>
              </w:rPr>
            </w:pPr>
            <w:r>
              <w:rPr>
                <w:rFonts w:ascii="Times New Roman" w:hAnsi="Times New Roman" w:cs="Times New Roman"/>
              </w:rPr>
              <w:t>2022 г.*</w:t>
            </w:r>
          </w:p>
        </w:tc>
        <w:tc>
          <w:tcPr>
            <w:tcW w:w="971" w:type="dxa"/>
            <w:noWrap/>
            <w:vAlign w:val="center"/>
          </w:tcPr>
          <w:p>
            <w:pPr>
              <w:spacing w:lineRule="auto" w:line="240" w:after="0" w:beforeAutospacing="0" w:afterAutospacing="0"/>
              <w:jc w:val="center"/>
              <w:rPr>
                <w:rFonts w:ascii="Times New Roman" w:hAnsi="Times New Roman" w:cs="Times New Roman" w:eastAsia="Times New Roman"/>
                <w:sz w:val="24"/>
                <w:szCs w:val="24"/>
                <w:lang w:eastAsia="ru-RU"/>
              </w:rPr>
            </w:pPr>
            <w:r>
              <w:rPr>
                <w:rFonts w:ascii="Times New Roman" w:hAnsi="Times New Roman" w:cs="Times New Roman"/>
              </w:rPr>
              <w:t>2023 г.*</w:t>
            </w:r>
          </w:p>
        </w:tc>
        <w:tc>
          <w:tcPr>
            <w:tcW w:w="1113" w:type="dxa"/>
            <w:noWrap/>
            <w:vAlign w:val="center"/>
          </w:tcPr>
          <w:p>
            <w:pPr>
              <w:spacing w:lineRule="auto" w:line="240" w:after="0" w:beforeAutospacing="0" w:afterAutospacing="0"/>
              <w:jc w:val="center"/>
              <w:rPr>
                <w:rFonts w:ascii="Times New Roman" w:hAnsi="Times New Roman" w:cs="Times New Roman" w:eastAsia="Times New Roman"/>
                <w:sz w:val="24"/>
                <w:szCs w:val="24"/>
                <w:lang w:eastAsia="ru-RU"/>
              </w:rPr>
            </w:pPr>
            <w:r>
              <w:rPr>
                <w:rFonts w:ascii="Times New Roman" w:hAnsi="Times New Roman" w:cs="Times New Roman"/>
              </w:rPr>
              <w:t>2024 г.**</w:t>
            </w:r>
          </w:p>
        </w:tc>
      </w:tr>
      <w:tr>
        <w:trPr>
          <w:trHeight w:hRule="atLeast" w:val="616"/>
        </w:trPr>
        <w:tc>
          <w:tcPr>
            <w:tcW w:w="3096" w:type="dxa"/>
            <w:vAlign w:val="center"/>
          </w:tcPr>
          <w:p>
            <w:pPr>
              <w:spacing w:lineRule="auto" w:line="240" w:after="0" w:beforeAutospacing="0" w:afterAutospacing="0"/>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Время, необходимое для строительства склада, дн.</w:t>
            </w:r>
          </w:p>
        </w:tc>
        <w:tc>
          <w:tcPr>
            <w:tcW w:w="876" w:type="dxa"/>
            <w:vAlign w:val="center"/>
          </w:tcPr>
          <w:p>
            <w:pPr>
              <w:spacing w:lineRule="auto" w:line="240" w:after="0" w:beforeAutospacing="0" w:afterAutospacing="0"/>
              <w:jc w:val="center"/>
              <w:rPr>
                <w:rFonts w:ascii="Times New Roman" w:hAnsi="Times New Roman" w:cs="Times New Roman"/>
              </w:rPr>
            </w:pPr>
            <w:r>
              <w:rPr>
                <w:rFonts w:ascii="Times New Roman" w:hAnsi="Times New Roman" w:cs="Times New Roman" w:eastAsia="Times New Roman"/>
                <w:sz w:val="24"/>
                <w:szCs w:val="24"/>
                <w:lang w:eastAsia="ru-RU"/>
              </w:rPr>
              <w:t>550</w:t>
            </w:r>
          </w:p>
        </w:tc>
        <w:tc>
          <w:tcPr>
            <w:tcW w:w="985" w:type="dxa"/>
            <w:vAlign w:val="center"/>
          </w:tcPr>
          <w:p>
            <w:pPr>
              <w:spacing w:lineRule="auto" w:line="240" w:after="0" w:beforeAutospacing="0" w:afterAutospacing="0"/>
              <w:jc w:val="center"/>
              <w:rPr>
                <w:rFonts w:ascii="Times New Roman" w:hAnsi="Times New Roman" w:cs="Times New Roman" w:eastAsia="Times New Roman"/>
                <w:sz w:val="24"/>
                <w:szCs w:val="24"/>
                <w:lang w:eastAsia="ru-RU"/>
              </w:rPr>
            </w:pPr>
            <w:r>
              <w:rPr>
                <w:rFonts w:ascii="Times New Roman" w:hAnsi="Times New Roman" w:cs="Times New Roman"/>
              </w:rPr>
              <w:t>163</w:t>
            </w:r>
          </w:p>
        </w:tc>
        <w:tc>
          <w:tcPr>
            <w:tcW w:w="992" w:type="dxa"/>
            <w:noWrap/>
            <w:vAlign w:val="center"/>
          </w:tcPr>
          <w:p>
            <w:pPr>
              <w:spacing w:lineRule="auto" w:line="240" w:after="0" w:beforeAutospacing="0" w:afterAutospacing="0"/>
              <w:jc w:val="center"/>
              <w:rPr>
                <w:rFonts w:ascii="Times New Roman" w:hAnsi="Times New Roman" w:cs="Times New Roman" w:eastAsia="Times New Roman"/>
                <w:sz w:val="24"/>
                <w:szCs w:val="24"/>
                <w:lang w:eastAsia="ru-RU"/>
              </w:rPr>
            </w:pPr>
            <w:r>
              <w:rPr>
                <w:rFonts w:ascii="Times New Roman" w:hAnsi="Times New Roman" w:cs="Times New Roman"/>
              </w:rPr>
              <w:t>163</w:t>
            </w:r>
          </w:p>
        </w:tc>
        <w:tc>
          <w:tcPr>
            <w:tcW w:w="992" w:type="dxa"/>
            <w:noWrap/>
            <w:vAlign w:val="center"/>
          </w:tcPr>
          <w:p>
            <w:pPr>
              <w:spacing w:lineRule="auto" w:line="240" w:after="0" w:beforeAutospacing="0" w:afterAutospacing="0"/>
              <w:jc w:val="center"/>
              <w:rPr>
                <w:rFonts w:ascii="Times New Roman" w:hAnsi="Times New Roman" w:cs="Times New Roman" w:eastAsia="Times New Roman"/>
                <w:sz w:val="24"/>
                <w:szCs w:val="24"/>
                <w:lang w:eastAsia="ru-RU"/>
              </w:rPr>
            </w:pPr>
            <w:r>
              <w:rPr>
                <w:rFonts w:ascii="Times New Roman" w:hAnsi="Times New Roman" w:cs="Times New Roman"/>
              </w:rPr>
              <w:t>163</w:t>
            </w:r>
          </w:p>
        </w:tc>
        <w:tc>
          <w:tcPr>
            <w:tcW w:w="992" w:type="dxa"/>
            <w:noWrap/>
            <w:vAlign w:val="center"/>
          </w:tcPr>
          <w:p>
            <w:pPr>
              <w:spacing w:lineRule="auto" w:line="240" w:after="0" w:beforeAutospacing="0" w:afterAutospacing="0"/>
              <w:jc w:val="center"/>
              <w:rPr>
                <w:rFonts w:ascii="Times New Roman" w:hAnsi="Times New Roman" w:cs="Times New Roman" w:eastAsia="Times New Roman"/>
                <w:sz w:val="24"/>
                <w:szCs w:val="24"/>
                <w:lang w:eastAsia="ru-RU"/>
              </w:rPr>
            </w:pPr>
            <w:r>
              <w:rPr>
                <w:rFonts w:ascii="Times New Roman" w:hAnsi="Times New Roman" w:cs="Times New Roman"/>
              </w:rPr>
              <w:t>163</w:t>
            </w:r>
          </w:p>
        </w:tc>
        <w:tc>
          <w:tcPr>
            <w:tcW w:w="971" w:type="dxa"/>
            <w:noWrap/>
            <w:vAlign w:val="center"/>
          </w:tcPr>
          <w:p>
            <w:pPr>
              <w:spacing w:lineRule="auto" w:line="240" w:after="0" w:beforeAutospacing="0" w:afterAutospacing="0"/>
              <w:jc w:val="center"/>
              <w:rPr>
                <w:rFonts w:ascii="Times New Roman" w:hAnsi="Times New Roman" w:cs="Times New Roman" w:eastAsia="Times New Roman"/>
                <w:sz w:val="24"/>
                <w:szCs w:val="24"/>
                <w:lang w:eastAsia="ru-RU"/>
              </w:rPr>
            </w:pPr>
            <w:r>
              <w:rPr>
                <w:rFonts w:ascii="Times New Roman" w:hAnsi="Times New Roman" w:cs="Times New Roman"/>
              </w:rPr>
              <w:t>163</w:t>
            </w:r>
          </w:p>
        </w:tc>
        <w:tc>
          <w:tcPr>
            <w:tcW w:w="1113" w:type="dxa"/>
            <w:noWrap/>
            <w:vAlign w:val="center"/>
          </w:tcPr>
          <w:p>
            <w:pPr>
              <w:spacing w:lineRule="auto" w:line="240" w:after="0" w:beforeAutospacing="0" w:afterAutospacing="0"/>
              <w:jc w:val="center"/>
              <w:rPr>
                <w:rFonts w:ascii="Times New Roman" w:hAnsi="Times New Roman" w:cs="Times New Roman" w:eastAsia="Times New Roman"/>
                <w:sz w:val="24"/>
                <w:szCs w:val="24"/>
                <w:lang w:eastAsia="ru-RU"/>
              </w:rPr>
            </w:pPr>
            <w:r>
              <w:rPr>
                <w:rFonts w:ascii="Times New Roman" w:hAnsi="Times New Roman" w:cs="Times New Roman"/>
              </w:rPr>
              <w:t>163</w:t>
            </w:r>
          </w:p>
        </w:tc>
      </w:tr>
      <w:tr>
        <w:trPr>
          <w:trHeight w:hRule="atLeast" w:val="315"/>
        </w:trPr>
        <w:tc>
          <w:tcPr>
            <w:tcW w:w="3096" w:type="dxa"/>
            <w:vAlign w:val="center"/>
            <w:hideMark/>
          </w:tcPr>
          <w:p>
            <w:pPr>
              <w:spacing w:lineRule="auto" w:line="240" w:after="0" w:beforeAutospacing="0" w:afterAutospacing="0"/>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Срок исполнения контракта, дн.</w:t>
            </w:r>
          </w:p>
        </w:tc>
        <w:tc>
          <w:tcPr>
            <w:tcW w:w="876" w:type="dxa"/>
            <w:vAlign w:val="center"/>
          </w:tcPr>
          <w:p>
            <w:pPr>
              <w:spacing w:lineRule="auto" w:line="240" w:after="0" w:beforeAutospacing="0" w:afterAutospacing="0"/>
              <w:jc w:val="center"/>
              <w:rPr>
                <w:rFonts w:ascii="Times New Roman" w:hAnsi="Times New Roman" w:cs="Times New Roman"/>
              </w:rPr>
            </w:pPr>
            <w:r>
              <w:rPr>
                <w:rFonts w:ascii="Times New Roman" w:hAnsi="Times New Roman" w:cs="Times New Roman" w:eastAsia="Times New Roman"/>
                <w:sz w:val="24"/>
                <w:szCs w:val="24"/>
                <w:lang w:eastAsia="ru-RU"/>
              </w:rPr>
              <w:t>770</w:t>
            </w:r>
          </w:p>
        </w:tc>
        <w:tc>
          <w:tcPr>
            <w:tcW w:w="985" w:type="dxa"/>
            <w:vAlign w:val="center"/>
          </w:tcPr>
          <w:p>
            <w:pPr>
              <w:spacing w:lineRule="auto" w:line="240" w:after="0" w:beforeAutospacing="0" w:afterAutospacing="0"/>
              <w:jc w:val="center"/>
              <w:rPr>
                <w:rFonts w:ascii="Times New Roman" w:hAnsi="Times New Roman" w:cs="Times New Roman" w:eastAsia="Times New Roman"/>
                <w:sz w:val="24"/>
                <w:szCs w:val="24"/>
                <w:lang w:eastAsia="ru-RU"/>
              </w:rPr>
            </w:pPr>
            <w:r>
              <w:rPr>
                <w:rFonts w:ascii="Times New Roman" w:hAnsi="Times New Roman" w:cs="Times New Roman"/>
              </w:rPr>
              <w:t>525</w:t>
            </w:r>
          </w:p>
        </w:tc>
        <w:tc>
          <w:tcPr>
            <w:tcW w:w="992" w:type="dxa"/>
            <w:noWrap/>
            <w:vAlign w:val="center"/>
            <w:hideMark/>
          </w:tcPr>
          <w:p>
            <w:pPr>
              <w:spacing w:lineRule="auto" w:line="240" w:after="0" w:beforeAutospacing="0" w:afterAutospacing="0"/>
              <w:jc w:val="center"/>
              <w:rPr>
                <w:rFonts w:ascii="Times New Roman" w:hAnsi="Times New Roman" w:cs="Times New Roman" w:eastAsia="Times New Roman"/>
                <w:sz w:val="24"/>
                <w:szCs w:val="24"/>
                <w:lang w:eastAsia="ru-RU"/>
              </w:rPr>
            </w:pPr>
            <w:r>
              <w:rPr>
                <w:rFonts w:ascii="Times New Roman" w:hAnsi="Times New Roman" w:cs="Times New Roman"/>
              </w:rPr>
              <w:t>525</w:t>
            </w:r>
          </w:p>
        </w:tc>
        <w:tc>
          <w:tcPr>
            <w:tcW w:w="992" w:type="dxa"/>
            <w:noWrap/>
            <w:vAlign w:val="center"/>
            <w:hideMark/>
          </w:tcPr>
          <w:p>
            <w:pPr>
              <w:spacing w:lineRule="auto" w:line="240" w:after="0" w:beforeAutospacing="0" w:afterAutospacing="0"/>
              <w:jc w:val="center"/>
              <w:rPr>
                <w:rFonts w:ascii="Times New Roman" w:hAnsi="Times New Roman" w:cs="Times New Roman" w:eastAsia="Times New Roman"/>
                <w:sz w:val="24"/>
                <w:szCs w:val="24"/>
                <w:lang w:eastAsia="ru-RU"/>
              </w:rPr>
            </w:pPr>
            <w:r>
              <w:rPr>
                <w:rFonts w:ascii="Times New Roman" w:hAnsi="Times New Roman" w:cs="Times New Roman"/>
              </w:rPr>
              <w:t>525</w:t>
            </w:r>
          </w:p>
        </w:tc>
        <w:tc>
          <w:tcPr>
            <w:tcW w:w="992" w:type="dxa"/>
            <w:noWrap/>
            <w:vAlign w:val="center"/>
            <w:hideMark/>
          </w:tcPr>
          <w:p>
            <w:pPr>
              <w:spacing w:lineRule="auto" w:line="240" w:after="0" w:beforeAutospacing="0" w:afterAutospacing="0"/>
              <w:jc w:val="center"/>
              <w:rPr>
                <w:rFonts w:ascii="Times New Roman" w:hAnsi="Times New Roman" w:cs="Times New Roman" w:eastAsia="Times New Roman"/>
                <w:sz w:val="24"/>
                <w:szCs w:val="24"/>
                <w:lang w:eastAsia="ru-RU"/>
              </w:rPr>
            </w:pPr>
            <w:r>
              <w:rPr>
                <w:rFonts w:ascii="Times New Roman" w:hAnsi="Times New Roman" w:cs="Times New Roman"/>
              </w:rPr>
              <w:t>525</w:t>
            </w:r>
          </w:p>
        </w:tc>
        <w:tc>
          <w:tcPr>
            <w:tcW w:w="971" w:type="dxa"/>
            <w:noWrap/>
            <w:vAlign w:val="center"/>
            <w:hideMark/>
          </w:tcPr>
          <w:p>
            <w:pPr>
              <w:spacing w:lineRule="auto" w:line="240" w:after="0" w:beforeAutospacing="0" w:afterAutospacing="0"/>
              <w:jc w:val="center"/>
              <w:rPr>
                <w:rFonts w:ascii="Times New Roman" w:hAnsi="Times New Roman" w:cs="Times New Roman" w:eastAsia="Times New Roman"/>
                <w:sz w:val="24"/>
                <w:szCs w:val="24"/>
                <w:lang w:eastAsia="ru-RU"/>
              </w:rPr>
            </w:pPr>
            <w:r>
              <w:rPr>
                <w:rFonts w:ascii="Times New Roman" w:hAnsi="Times New Roman" w:cs="Times New Roman"/>
              </w:rPr>
              <w:t>525</w:t>
            </w:r>
          </w:p>
        </w:tc>
        <w:tc>
          <w:tcPr>
            <w:tcW w:w="1113" w:type="dxa"/>
            <w:noWrap/>
            <w:vAlign w:val="center"/>
            <w:hideMark/>
          </w:tcPr>
          <w:p>
            <w:pPr>
              <w:spacing w:lineRule="auto" w:line="240" w:after="0" w:beforeAutospacing="0" w:afterAutospacing="0"/>
              <w:jc w:val="center"/>
              <w:rPr>
                <w:rFonts w:ascii="Times New Roman" w:hAnsi="Times New Roman" w:cs="Times New Roman" w:eastAsia="Times New Roman"/>
                <w:sz w:val="24"/>
                <w:szCs w:val="24"/>
                <w:lang w:eastAsia="ru-RU"/>
              </w:rPr>
            </w:pPr>
            <w:r>
              <w:rPr>
                <w:rFonts w:ascii="Times New Roman" w:hAnsi="Times New Roman" w:cs="Times New Roman"/>
              </w:rPr>
              <w:t>525</w:t>
            </w:r>
          </w:p>
        </w:tc>
      </w:tr>
      <w:tr>
        <w:trPr>
          <w:trHeight w:hRule="atLeast" w:val="616"/>
        </w:trPr>
        <w:tc>
          <w:tcPr>
            <w:tcW w:w="3096" w:type="dxa"/>
            <w:vAlign w:val="center"/>
            <w:hideMark/>
          </w:tcPr>
          <w:p>
            <w:pPr>
              <w:spacing w:lineRule="auto" w:line="240" w:after="0" w:beforeAutospacing="0" w:afterAutospacing="0"/>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Время, необходимое для получения электроэнергии, дн.</w:t>
            </w:r>
          </w:p>
        </w:tc>
        <w:tc>
          <w:tcPr>
            <w:tcW w:w="876" w:type="dxa"/>
            <w:vAlign w:val="center"/>
          </w:tcPr>
          <w:p>
            <w:pPr>
              <w:spacing w:lineRule="auto" w:line="240" w:after="0" w:beforeAutospacing="0" w:afterAutospacing="0"/>
              <w:jc w:val="center"/>
              <w:rPr>
                <w:rFonts w:ascii="Times New Roman" w:hAnsi="Times New Roman" w:cs="Times New Roman"/>
              </w:rPr>
            </w:pPr>
            <w:r>
              <w:rPr>
                <w:rFonts w:ascii="Times New Roman" w:hAnsi="Times New Roman" w:cs="Times New Roman" w:eastAsia="Times New Roman"/>
                <w:sz w:val="24"/>
                <w:szCs w:val="24"/>
                <w:lang w:eastAsia="ru-RU"/>
              </w:rPr>
              <w:t>59</w:t>
            </w:r>
          </w:p>
        </w:tc>
        <w:tc>
          <w:tcPr>
            <w:tcW w:w="985" w:type="dxa"/>
            <w:vAlign w:val="center"/>
          </w:tcPr>
          <w:p>
            <w:pPr>
              <w:spacing w:lineRule="auto" w:line="240" w:after="0" w:beforeAutospacing="0" w:afterAutospacing="0"/>
              <w:jc w:val="center"/>
              <w:rPr>
                <w:rFonts w:ascii="Times New Roman" w:hAnsi="Times New Roman" w:cs="Times New Roman" w:eastAsia="Times New Roman"/>
                <w:sz w:val="24"/>
                <w:szCs w:val="24"/>
                <w:lang w:eastAsia="ru-RU"/>
              </w:rPr>
            </w:pPr>
            <w:r>
              <w:rPr>
                <w:rFonts w:ascii="Times New Roman" w:hAnsi="Times New Roman" w:cs="Times New Roman"/>
              </w:rPr>
              <w:t>53</w:t>
            </w:r>
          </w:p>
        </w:tc>
        <w:tc>
          <w:tcPr>
            <w:tcW w:w="992" w:type="dxa"/>
            <w:noWrap/>
            <w:vAlign w:val="center"/>
            <w:hideMark/>
          </w:tcPr>
          <w:p>
            <w:pPr>
              <w:spacing w:lineRule="auto" w:line="240" w:after="0" w:beforeAutospacing="0" w:afterAutospacing="0"/>
              <w:jc w:val="center"/>
              <w:rPr>
                <w:rFonts w:ascii="Times New Roman" w:hAnsi="Times New Roman" w:cs="Times New Roman" w:eastAsia="Times New Roman"/>
                <w:sz w:val="24"/>
                <w:szCs w:val="24"/>
                <w:lang w:eastAsia="ru-RU"/>
              </w:rPr>
            </w:pPr>
            <w:r>
              <w:rPr>
                <w:rFonts w:ascii="Times New Roman" w:hAnsi="Times New Roman" w:cs="Times New Roman"/>
              </w:rPr>
              <w:t>53</w:t>
            </w:r>
          </w:p>
        </w:tc>
        <w:tc>
          <w:tcPr>
            <w:tcW w:w="992" w:type="dxa"/>
            <w:noWrap/>
            <w:vAlign w:val="center"/>
            <w:hideMark/>
          </w:tcPr>
          <w:p>
            <w:pPr>
              <w:spacing w:lineRule="auto" w:line="240" w:after="0" w:beforeAutospacing="0" w:afterAutospacing="0"/>
              <w:jc w:val="center"/>
              <w:rPr>
                <w:rFonts w:ascii="Times New Roman" w:hAnsi="Times New Roman" w:cs="Times New Roman" w:eastAsia="Times New Roman"/>
                <w:sz w:val="24"/>
                <w:szCs w:val="24"/>
                <w:lang w:eastAsia="ru-RU"/>
              </w:rPr>
            </w:pPr>
            <w:r>
              <w:rPr>
                <w:rFonts w:ascii="Times New Roman" w:hAnsi="Times New Roman" w:cs="Times New Roman"/>
              </w:rPr>
              <w:t>53</w:t>
            </w:r>
          </w:p>
        </w:tc>
        <w:tc>
          <w:tcPr>
            <w:tcW w:w="992" w:type="dxa"/>
            <w:noWrap/>
            <w:vAlign w:val="center"/>
            <w:hideMark/>
          </w:tcPr>
          <w:p>
            <w:pPr>
              <w:spacing w:lineRule="auto" w:line="240" w:after="0" w:beforeAutospacing="0" w:afterAutospacing="0"/>
              <w:jc w:val="center"/>
              <w:rPr>
                <w:rFonts w:ascii="Times New Roman" w:hAnsi="Times New Roman" w:cs="Times New Roman" w:eastAsia="Times New Roman"/>
                <w:sz w:val="24"/>
                <w:szCs w:val="24"/>
                <w:lang w:eastAsia="ru-RU"/>
              </w:rPr>
            </w:pPr>
            <w:r>
              <w:rPr>
                <w:rFonts w:ascii="Times New Roman" w:hAnsi="Times New Roman" w:cs="Times New Roman"/>
              </w:rPr>
              <w:t>53</w:t>
            </w:r>
          </w:p>
        </w:tc>
        <w:tc>
          <w:tcPr>
            <w:tcW w:w="971" w:type="dxa"/>
            <w:noWrap/>
            <w:vAlign w:val="center"/>
            <w:hideMark/>
          </w:tcPr>
          <w:p>
            <w:pPr>
              <w:spacing w:lineRule="auto" w:line="240" w:after="0" w:beforeAutospacing="0" w:afterAutospacing="0"/>
              <w:jc w:val="center"/>
              <w:rPr>
                <w:rFonts w:ascii="Times New Roman" w:hAnsi="Times New Roman" w:cs="Times New Roman" w:eastAsia="Times New Roman"/>
                <w:sz w:val="24"/>
                <w:szCs w:val="24"/>
                <w:lang w:eastAsia="ru-RU"/>
              </w:rPr>
            </w:pPr>
            <w:r>
              <w:rPr>
                <w:rFonts w:ascii="Times New Roman" w:hAnsi="Times New Roman" w:cs="Times New Roman"/>
              </w:rPr>
              <w:t>53</w:t>
            </w:r>
          </w:p>
        </w:tc>
        <w:tc>
          <w:tcPr>
            <w:tcW w:w="1113" w:type="dxa"/>
            <w:noWrap/>
            <w:vAlign w:val="center"/>
            <w:hideMark/>
          </w:tcPr>
          <w:p>
            <w:pPr>
              <w:spacing w:lineRule="auto" w:line="240" w:after="0" w:beforeAutospacing="0" w:afterAutospacing="0"/>
              <w:jc w:val="center"/>
              <w:rPr>
                <w:rFonts w:ascii="Times New Roman" w:hAnsi="Times New Roman" w:cs="Times New Roman" w:eastAsia="Times New Roman"/>
                <w:sz w:val="24"/>
                <w:szCs w:val="24"/>
                <w:lang w:eastAsia="ru-RU"/>
              </w:rPr>
            </w:pPr>
            <w:r>
              <w:rPr>
                <w:rFonts w:ascii="Times New Roman" w:hAnsi="Times New Roman" w:cs="Times New Roman"/>
              </w:rPr>
              <w:t>~50</w:t>
            </w:r>
          </w:p>
        </w:tc>
      </w:tr>
      <w:tr>
        <w:trPr>
          <w:trHeight w:hRule="atLeast" w:val="616"/>
        </w:trPr>
        <w:tc>
          <w:tcPr>
            <w:tcW w:w="3096" w:type="dxa"/>
            <w:vAlign w:val="center"/>
            <w:hideMark/>
          </w:tcPr>
          <w:p>
            <w:pPr>
              <w:spacing w:lineRule="auto" w:line="240" w:after="0" w:beforeAutospacing="0" w:afterAutospacing="0"/>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Время, необходимое для регистрации собственности, дн.</w:t>
            </w:r>
          </w:p>
        </w:tc>
        <w:tc>
          <w:tcPr>
            <w:tcW w:w="876" w:type="dxa"/>
            <w:vAlign w:val="center"/>
          </w:tcPr>
          <w:p>
            <w:pPr>
              <w:spacing w:lineRule="auto" w:line="240" w:after="0" w:beforeAutospacing="0" w:afterAutospacing="0"/>
              <w:jc w:val="center"/>
              <w:rPr>
                <w:rFonts w:ascii="Times New Roman" w:hAnsi="Times New Roman" w:cs="Times New Roman"/>
              </w:rPr>
            </w:pPr>
            <w:r>
              <w:rPr>
                <w:rFonts w:ascii="Times New Roman" w:hAnsi="Times New Roman" w:cs="Times New Roman" w:eastAsia="Times New Roman"/>
                <w:sz w:val="24"/>
                <w:szCs w:val="24"/>
                <w:lang w:eastAsia="ru-RU"/>
              </w:rPr>
              <w:t>51</w:t>
            </w:r>
          </w:p>
        </w:tc>
        <w:tc>
          <w:tcPr>
            <w:tcW w:w="985" w:type="dxa"/>
            <w:vAlign w:val="center"/>
          </w:tcPr>
          <w:p>
            <w:pPr>
              <w:spacing w:lineRule="auto" w:line="240" w:after="0" w:beforeAutospacing="0" w:afterAutospacing="0"/>
              <w:jc w:val="center"/>
              <w:rPr>
                <w:rFonts w:ascii="Times New Roman" w:hAnsi="Times New Roman" w:cs="Times New Roman" w:eastAsia="Times New Roman"/>
                <w:sz w:val="24"/>
                <w:szCs w:val="24"/>
                <w:lang w:eastAsia="ru-RU"/>
              </w:rPr>
            </w:pPr>
            <w:r>
              <w:rPr>
                <w:rFonts w:ascii="Times New Roman" w:hAnsi="Times New Roman" w:cs="Times New Roman"/>
              </w:rPr>
              <w:t>39</w:t>
            </w:r>
          </w:p>
        </w:tc>
        <w:tc>
          <w:tcPr>
            <w:tcW w:w="992" w:type="dxa"/>
            <w:noWrap/>
            <w:vAlign w:val="center"/>
            <w:hideMark/>
          </w:tcPr>
          <w:p>
            <w:pPr>
              <w:spacing w:lineRule="auto" w:line="240" w:after="0" w:beforeAutospacing="0" w:afterAutospacing="0"/>
              <w:jc w:val="center"/>
              <w:rPr>
                <w:rFonts w:ascii="Times New Roman" w:hAnsi="Times New Roman" w:cs="Times New Roman" w:eastAsia="Times New Roman"/>
                <w:sz w:val="24"/>
                <w:szCs w:val="24"/>
                <w:lang w:eastAsia="ru-RU"/>
              </w:rPr>
            </w:pPr>
            <w:r>
              <w:rPr>
                <w:rFonts w:ascii="Times New Roman" w:hAnsi="Times New Roman" w:cs="Times New Roman"/>
              </w:rPr>
              <w:t>39</w:t>
            </w:r>
          </w:p>
        </w:tc>
        <w:tc>
          <w:tcPr>
            <w:tcW w:w="992" w:type="dxa"/>
            <w:noWrap/>
            <w:vAlign w:val="center"/>
            <w:hideMark/>
          </w:tcPr>
          <w:p>
            <w:pPr>
              <w:spacing w:lineRule="auto" w:line="240" w:after="0" w:beforeAutospacing="0" w:afterAutospacing="0"/>
              <w:jc w:val="center"/>
              <w:rPr>
                <w:rFonts w:ascii="Times New Roman" w:hAnsi="Times New Roman" w:cs="Times New Roman" w:eastAsia="Times New Roman"/>
                <w:sz w:val="24"/>
                <w:szCs w:val="24"/>
                <w:lang w:eastAsia="ru-RU"/>
              </w:rPr>
            </w:pPr>
            <w:r>
              <w:rPr>
                <w:rFonts w:ascii="Times New Roman" w:hAnsi="Times New Roman" w:cs="Times New Roman"/>
              </w:rPr>
              <w:t>39</w:t>
            </w:r>
          </w:p>
        </w:tc>
        <w:tc>
          <w:tcPr>
            <w:tcW w:w="992" w:type="dxa"/>
            <w:noWrap/>
            <w:vAlign w:val="center"/>
            <w:hideMark/>
          </w:tcPr>
          <w:p>
            <w:pPr>
              <w:spacing w:lineRule="auto" w:line="240" w:after="0" w:beforeAutospacing="0" w:afterAutospacing="0"/>
              <w:jc w:val="center"/>
              <w:rPr>
                <w:rFonts w:ascii="Times New Roman" w:hAnsi="Times New Roman" w:cs="Times New Roman" w:eastAsia="Times New Roman"/>
                <w:sz w:val="24"/>
                <w:szCs w:val="24"/>
                <w:lang w:eastAsia="ru-RU"/>
              </w:rPr>
            </w:pPr>
            <w:r>
              <w:rPr>
                <w:rFonts w:ascii="Times New Roman" w:hAnsi="Times New Roman" w:cs="Times New Roman"/>
              </w:rPr>
              <w:t>39</w:t>
            </w:r>
          </w:p>
        </w:tc>
        <w:tc>
          <w:tcPr>
            <w:tcW w:w="971" w:type="dxa"/>
            <w:noWrap/>
            <w:vAlign w:val="center"/>
            <w:hideMark/>
          </w:tcPr>
          <w:p>
            <w:pPr>
              <w:spacing w:lineRule="auto" w:line="240" w:after="0" w:beforeAutospacing="0" w:afterAutospacing="0"/>
              <w:jc w:val="center"/>
              <w:rPr>
                <w:rFonts w:ascii="Times New Roman" w:hAnsi="Times New Roman" w:cs="Times New Roman" w:eastAsia="Times New Roman"/>
                <w:sz w:val="24"/>
                <w:szCs w:val="24"/>
                <w:lang w:eastAsia="ru-RU"/>
              </w:rPr>
            </w:pPr>
            <w:r>
              <w:rPr>
                <w:rFonts w:ascii="Times New Roman" w:hAnsi="Times New Roman" w:cs="Times New Roman"/>
              </w:rPr>
              <w:t>39</w:t>
            </w:r>
          </w:p>
        </w:tc>
        <w:tc>
          <w:tcPr>
            <w:tcW w:w="1113" w:type="dxa"/>
            <w:noWrap/>
            <w:vAlign w:val="center"/>
            <w:hideMark/>
          </w:tcPr>
          <w:p>
            <w:pPr>
              <w:spacing w:lineRule="auto" w:line="240" w:after="0" w:beforeAutospacing="0" w:afterAutospacing="0"/>
              <w:jc w:val="center"/>
              <w:rPr>
                <w:rFonts w:ascii="Times New Roman" w:hAnsi="Times New Roman" w:cs="Times New Roman" w:eastAsia="Times New Roman"/>
                <w:sz w:val="24"/>
                <w:szCs w:val="24"/>
                <w:lang w:eastAsia="ru-RU"/>
              </w:rPr>
            </w:pPr>
            <w:r>
              <w:rPr>
                <w:rFonts w:ascii="Times New Roman" w:hAnsi="Times New Roman" w:cs="Times New Roman"/>
              </w:rPr>
              <w:t>~35</w:t>
            </w:r>
          </w:p>
        </w:tc>
      </w:tr>
      <w:tr>
        <w:trPr>
          <w:trHeight w:hRule="atLeast" w:val="616"/>
        </w:trPr>
        <w:tc>
          <w:tcPr>
            <w:tcW w:w="3096" w:type="dxa"/>
            <w:vAlign w:val="center"/>
            <w:hideMark/>
          </w:tcPr>
          <w:p>
            <w:pPr>
              <w:spacing w:lineRule="auto" w:line="240" w:after="0" w:beforeAutospacing="0" w:afterAutospacing="0"/>
              <w:jc w:val="both"/>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Время, необходимое для открытия бизнеса, дн.</w:t>
            </w:r>
          </w:p>
        </w:tc>
        <w:tc>
          <w:tcPr>
            <w:tcW w:w="876" w:type="dxa"/>
            <w:vAlign w:val="center"/>
          </w:tcPr>
          <w:p>
            <w:pPr>
              <w:spacing w:lineRule="auto" w:line="240" w:after="0" w:beforeAutospacing="0" w:afterAutospacing="0"/>
              <w:jc w:val="center"/>
              <w:rPr>
                <w:rFonts w:ascii="Times New Roman" w:hAnsi="Times New Roman" w:cs="Times New Roman"/>
              </w:rPr>
            </w:pPr>
            <w:r>
              <w:rPr>
                <w:rFonts w:ascii="Times New Roman" w:hAnsi="Times New Roman" w:cs="Times New Roman" w:eastAsia="Times New Roman"/>
                <w:sz w:val="24"/>
                <w:szCs w:val="24"/>
                <w:lang w:eastAsia="ru-RU"/>
              </w:rPr>
              <w:t>32</w:t>
            </w:r>
          </w:p>
        </w:tc>
        <w:tc>
          <w:tcPr>
            <w:tcW w:w="985" w:type="dxa"/>
            <w:vAlign w:val="center"/>
          </w:tcPr>
          <w:p>
            <w:pPr>
              <w:spacing w:lineRule="auto" w:line="240" w:after="0" w:beforeAutospacing="0" w:afterAutospacing="0"/>
              <w:jc w:val="center"/>
              <w:rPr>
                <w:rFonts w:ascii="Times New Roman" w:hAnsi="Times New Roman" w:cs="Times New Roman" w:eastAsia="Times New Roman"/>
                <w:sz w:val="24"/>
                <w:szCs w:val="24"/>
                <w:lang w:eastAsia="ru-RU"/>
              </w:rPr>
            </w:pPr>
            <w:r>
              <w:rPr>
                <w:rFonts w:ascii="Times New Roman" w:hAnsi="Times New Roman" w:cs="Times New Roman"/>
              </w:rPr>
              <w:t>6</w:t>
            </w:r>
          </w:p>
        </w:tc>
        <w:tc>
          <w:tcPr>
            <w:tcW w:w="992" w:type="dxa"/>
            <w:noWrap/>
            <w:vAlign w:val="center"/>
            <w:hideMark/>
          </w:tcPr>
          <w:p>
            <w:pPr>
              <w:spacing w:lineRule="auto" w:line="240" w:after="0" w:beforeAutospacing="0" w:afterAutospacing="0"/>
              <w:jc w:val="center"/>
              <w:rPr>
                <w:rFonts w:ascii="Times New Roman" w:hAnsi="Times New Roman" w:cs="Times New Roman" w:eastAsia="Times New Roman"/>
                <w:sz w:val="24"/>
                <w:szCs w:val="24"/>
                <w:lang w:eastAsia="ru-RU"/>
              </w:rPr>
            </w:pPr>
            <w:r>
              <w:rPr>
                <w:rFonts w:ascii="Times New Roman" w:hAnsi="Times New Roman" w:cs="Times New Roman"/>
              </w:rPr>
              <w:t>6</w:t>
            </w:r>
          </w:p>
        </w:tc>
        <w:tc>
          <w:tcPr>
            <w:tcW w:w="992" w:type="dxa"/>
            <w:noWrap/>
            <w:vAlign w:val="center"/>
            <w:hideMark/>
          </w:tcPr>
          <w:p>
            <w:pPr>
              <w:spacing w:lineRule="auto" w:line="240" w:after="0" w:beforeAutospacing="0" w:afterAutospacing="0"/>
              <w:jc w:val="center"/>
              <w:rPr>
                <w:rFonts w:ascii="Times New Roman" w:hAnsi="Times New Roman" w:cs="Times New Roman" w:eastAsia="Times New Roman"/>
                <w:sz w:val="24"/>
                <w:szCs w:val="24"/>
                <w:lang w:eastAsia="ru-RU"/>
              </w:rPr>
            </w:pPr>
            <w:r>
              <w:rPr>
                <w:rFonts w:ascii="Times New Roman" w:hAnsi="Times New Roman" w:cs="Times New Roman"/>
              </w:rPr>
              <w:t>6</w:t>
            </w:r>
          </w:p>
        </w:tc>
        <w:tc>
          <w:tcPr>
            <w:tcW w:w="992" w:type="dxa"/>
            <w:noWrap/>
            <w:vAlign w:val="center"/>
            <w:hideMark/>
          </w:tcPr>
          <w:p>
            <w:pPr>
              <w:spacing w:lineRule="auto" w:line="240" w:after="0" w:beforeAutospacing="0" w:afterAutospacing="0"/>
              <w:jc w:val="center"/>
              <w:rPr>
                <w:rFonts w:ascii="Times New Roman" w:hAnsi="Times New Roman" w:cs="Times New Roman" w:eastAsia="Times New Roman"/>
                <w:sz w:val="24"/>
                <w:szCs w:val="24"/>
                <w:lang w:eastAsia="ru-RU"/>
              </w:rPr>
            </w:pPr>
            <w:r>
              <w:rPr>
                <w:rFonts w:ascii="Times New Roman" w:hAnsi="Times New Roman" w:cs="Times New Roman"/>
              </w:rPr>
              <w:t>4–6</w:t>
            </w:r>
          </w:p>
        </w:tc>
        <w:tc>
          <w:tcPr>
            <w:tcW w:w="971" w:type="dxa"/>
            <w:noWrap/>
            <w:vAlign w:val="center"/>
            <w:hideMark/>
          </w:tcPr>
          <w:p>
            <w:pPr>
              <w:spacing w:lineRule="auto" w:line="240" w:after="0" w:beforeAutospacing="0" w:afterAutospacing="0"/>
              <w:jc w:val="center"/>
              <w:rPr>
                <w:rFonts w:ascii="Times New Roman" w:hAnsi="Times New Roman" w:cs="Times New Roman" w:eastAsia="Times New Roman"/>
                <w:sz w:val="24"/>
                <w:szCs w:val="24"/>
                <w:lang w:eastAsia="ru-RU"/>
              </w:rPr>
            </w:pPr>
            <w:r>
              <w:rPr>
                <w:rFonts w:ascii="Times New Roman" w:hAnsi="Times New Roman" w:cs="Times New Roman"/>
              </w:rPr>
              <w:t>4</w:t>
            </w:r>
          </w:p>
        </w:tc>
        <w:tc>
          <w:tcPr>
            <w:tcW w:w="1113" w:type="dxa"/>
            <w:noWrap/>
            <w:vAlign w:val="center"/>
            <w:hideMark/>
          </w:tcPr>
          <w:p>
            <w:pPr>
              <w:spacing w:lineRule="auto" w:line="240" w:after="0" w:beforeAutospacing="0" w:afterAutospacing="0"/>
              <w:jc w:val="center"/>
              <w:rPr>
                <w:rFonts w:ascii="Times New Roman" w:hAnsi="Times New Roman" w:cs="Times New Roman" w:eastAsia="Times New Roman"/>
                <w:sz w:val="24"/>
                <w:szCs w:val="24"/>
                <w:lang w:eastAsia="ru-RU"/>
              </w:rPr>
            </w:pPr>
            <w:r>
              <w:rPr>
                <w:rFonts w:ascii="Times New Roman" w:hAnsi="Times New Roman" w:cs="Times New Roman"/>
              </w:rPr>
              <w:t>4</w:t>
            </w:r>
          </w:p>
        </w:tc>
      </w:tr>
      <w:tr>
        <w:trPr>
          <w:trHeight w:hRule="atLeast" w:val="315"/>
        </w:trPr>
        <w:tc>
          <w:tcPr>
            <w:tcW w:w="3096" w:type="dxa"/>
            <w:vAlign w:val="center"/>
            <w:hideMark/>
          </w:tcPr>
          <w:p>
            <w:pPr>
              <w:spacing w:lineRule="auto" w:line="240" w:after="0" w:beforeAutospacing="0" w:afterAutospacing="0"/>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Время на подготовку и уплату налогов, ч.</w:t>
            </w:r>
          </w:p>
        </w:tc>
        <w:tc>
          <w:tcPr>
            <w:tcW w:w="876" w:type="dxa"/>
            <w:vAlign w:val="center"/>
          </w:tcPr>
          <w:p>
            <w:pPr>
              <w:spacing w:lineRule="auto" w:line="240" w:after="0" w:beforeAutospacing="0" w:afterAutospacing="0"/>
              <w:jc w:val="center"/>
              <w:rPr>
                <w:rFonts w:ascii="Times New Roman" w:hAnsi="Times New Roman" w:cs="Times New Roman"/>
              </w:rPr>
            </w:pPr>
            <w:r>
              <w:rPr>
                <w:rFonts w:ascii="Times New Roman" w:hAnsi="Times New Roman" w:cs="Times New Roman" w:eastAsia="Times New Roman"/>
                <w:sz w:val="24"/>
                <w:szCs w:val="24"/>
                <w:lang w:eastAsia="ru-RU"/>
              </w:rPr>
              <w:t>272</w:t>
            </w:r>
          </w:p>
        </w:tc>
        <w:tc>
          <w:tcPr>
            <w:tcW w:w="985" w:type="dxa"/>
            <w:vAlign w:val="center"/>
          </w:tcPr>
          <w:p>
            <w:pPr>
              <w:spacing w:lineRule="auto" w:line="240" w:after="0" w:beforeAutospacing="0" w:afterAutospacing="0"/>
              <w:jc w:val="center"/>
              <w:rPr>
                <w:rFonts w:ascii="Times New Roman" w:hAnsi="Times New Roman" w:cs="Times New Roman" w:eastAsia="Times New Roman"/>
                <w:sz w:val="24"/>
                <w:szCs w:val="24"/>
                <w:lang w:eastAsia="ru-RU"/>
              </w:rPr>
            </w:pPr>
            <w:r>
              <w:rPr>
                <w:rFonts w:ascii="Times New Roman" w:hAnsi="Times New Roman" w:cs="Times New Roman"/>
              </w:rPr>
              <w:t>205</w:t>
            </w:r>
          </w:p>
        </w:tc>
        <w:tc>
          <w:tcPr>
            <w:tcW w:w="992" w:type="dxa"/>
            <w:noWrap/>
            <w:vAlign w:val="center"/>
            <w:hideMark/>
          </w:tcPr>
          <w:p>
            <w:pPr>
              <w:spacing w:lineRule="auto" w:line="240" w:after="0" w:beforeAutospacing="0" w:afterAutospacing="0"/>
              <w:jc w:val="center"/>
              <w:rPr>
                <w:rFonts w:ascii="Times New Roman" w:hAnsi="Times New Roman" w:cs="Times New Roman" w:eastAsia="Times New Roman"/>
                <w:sz w:val="24"/>
                <w:szCs w:val="24"/>
                <w:lang w:eastAsia="ru-RU"/>
              </w:rPr>
            </w:pPr>
            <w:r>
              <w:rPr>
                <w:rFonts w:ascii="Times New Roman" w:hAnsi="Times New Roman" w:cs="Times New Roman"/>
              </w:rPr>
              <w:t>187</w:t>
            </w:r>
          </w:p>
        </w:tc>
        <w:tc>
          <w:tcPr>
            <w:tcW w:w="992" w:type="dxa"/>
            <w:noWrap/>
            <w:vAlign w:val="center"/>
            <w:hideMark/>
          </w:tcPr>
          <w:p>
            <w:pPr>
              <w:spacing w:lineRule="auto" w:line="240" w:after="0" w:beforeAutospacing="0" w:afterAutospacing="0"/>
              <w:jc w:val="center"/>
              <w:rPr>
                <w:rFonts w:ascii="Times New Roman" w:hAnsi="Times New Roman" w:cs="Times New Roman" w:eastAsia="Times New Roman"/>
                <w:sz w:val="24"/>
                <w:szCs w:val="24"/>
                <w:lang w:eastAsia="ru-RU"/>
              </w:rPr>
            </w:pPr>
            <w:r>
              <w:rPr>
                <w:rFonts w:ascii="Times New Roman" w:hAnsi="Times New Roman" w:cs="Times New Roman"/>
              </w:rPr>
              <w:t>187</w:t>
            </w:r>
          </w:p>
        </w:tc>
        <w:tc>
          <w:tcPr>
            <w:tcW w:w="992" w:type="dxa"/>
            <w:noWrap/>
            <w:vAlign w:val="center"/>
            <w:hideMark/>
          </w:tcPr>
          <w:p>
            <w:pPr>
              <w:spacing w:lineRule="auto" w:line="240" w:after="0" w:beforeAutospacing="0" w:afterAutospacing="0"/>
              <w:jc w:val="center"/>
              <w:rPr>
                <w:rFonts w:ascii="Times New Roman" w:hAnsi="Times New Roman" w:cs="Times New Roman" w:eastAsia="Times New Roman"/>
                <w:sz w:val="24"/>
                <w:szCs w:val="24"/>
                <w:lang w:eastAsia="ru-RU"/>
              </w:rPr>
            </w:pPr>
            <w:r>
              <w:rPr>
                <w:rFonts w:ascii="Times New Roman" w:hAnsi="Times New Roman" w:cs="Times New Roman"/>
              </w:rPr>
              <w:t>187</w:t>
            </w:r>
          </w:p>
        </w:tc>
        <w:tc>
          <w:tcPr>
            <w:tcW w:w="971" w:type="dxa"/>
            <w:noWrap/>
            <w:vAlign w:val="center"/>
            <w:hideMark/>
          </w:tcPr>
          <w:p>
            <w:pPr>
              <w:spacing w:lineRule="auto" w:line="240" w:after="0" w:beforeAutospacing="0" w:afterAutospacing="0"/>
              <w:jc w:val="center"/>
              <w:rPr>
                <w:rFonts w:ascii="Times New Roman" w:hAnsi="Times New Roman" w:cs="Times New Roman" w:eastAsia="Times New Roman"/>
                <w:sz w:val="24"/>
                <w:szCs w:val="24"/>
                <w:lang w:eastAsia="ru-RU"/>
              </w:rPr>
            </w:pPr>
            <w:r>
              <w:rPr>
                <w:rFonts w:ascii="Times New Roman" w:hAnsi="Times New Roman" w:cs="Times New Roman"/>
              </w:rPr>
              <w:t>187</w:t>
            </w:r>
          </w:p>
        </w:tc>
        <w:tc>
          <w:tcPr>
            <w:tcW w:w="1113" w:type="dxa"/>
            <w:noWrap/>
            <w:vAlign w:val="center"/>
            <w:hideMark/>
          </w:tcPr>
          <w:p>
            <w:pPr>
              <w:spacing w:lineRule="auto" w:line="240" w:after="0" w:beforeAutospacing="0" w:afterAutospacing="0"/>
              <w:jc w:val="center"/>
              <w:rPr>
                <w:rFonts w:ascii="Times New Roman" w:hAnsi="Times New Roman" w:cs="Times New Roman" w:eastAsia="Times New Roman"/>
                <w:sz w:val="24"/>
                <w:szCs w:val="24"/>
                <w:lang w:eastAsia="ru-RU"/>
              </w:rPr>
            </w:pPr>
            <w:r>
              <w:rPr>
                <w:rFonts w:ascii="Times New Roman" w:hAnsi="Times New Roman" w:cs="Times New Roman"/>
              </w:rPr>
              <w:t>~180</w:t>
            </w:r>
          </w:p>
        </w:tc>
      </w:tr>
      <w:tr>
        <w:trPr>
          <w:trHeight w:hRule="atLeast" w:val="616"/>
        </w:trPr>
        <w:tc>
          <w:tcPr>
            <w:tcW w:w="3096" w:type="dxa"/>
            <w:vAlign w:val="center"/>
            <w:hideMark/>
          </w:tcPr>
          <w:p>
            <w:pPr>
              <w:spacing w:lineRule="auto" w:line="240" w:after="0" w:beforeAutospacing="0" w:afterAutospacing="0"/>
              <w:rPr>
                <w:rFonts w:ascii="Times New Roman" w:hAnsi="Times New Roman" w:cs="Times New Roman" w:eastAsia="Times New Roman"/>
                <w:sz w:val="24"/>
                <w:szCs w:val="24"/>
                <w:lang w:eastAsia="ru-RU"/>
              </w:rPr>
            </w:pPr>
            <w:r>
              <w:rPr>
                <w:rFonts w:ascii="Times New Roman" w:hAnsi="Times New Roman" w:cs="Times New Roman" w:eastAsia="Times New Roman"/>
                <w:sz w:val="24"/>
                <w:szCs w:val="24"/>
                <w:lang w:eastAsia="ru-RU"/>
              </w:rPr>
              <w:t>Срок рассмотрения дела о неплатежеспособности, лет</w:t>
            </w:r>
          </w:p>
        </w:tc>
        <w:tc>
          <w:tcPr>
            <w:tcW w:w="876" w:type="dxa"/>
            <w:vAlign w:val="center"/>
          </w:tcPr>
          <w:p>
            <w:pPr>
              <w:spacing w:lineRule="auto" w:line="240" w:after="0" w:beforeAutospacing="0" w:afterAutospacing="0"/>
              <w:jc w:val="center"/>
              <w:rPr>
                <w:rFonts w:ascii="Times New Roman" w:hAnsi="Times New Roman" w:cs="Times New Roman"/>
              </w:rPr>
            </w:pPr>
            <w:r>
              <w:rPr>
                <w:rFonts w:ascii="Times New Roman" w:hAnsi="Times New Roman" w:cs="Times New Roman" w:eastAsia="Times New Roman"/>
                <w:sz w:val="24"/>
                <w:szCs w:val="24"/>
                <w:lang w:eastAsia="ru-RU"/>
              </w:rPr>
              <w:t>2,2</w:t>
            </w:r>
          </w:p>
        </w:tc>
        <w:tc>
          <w:tcPr>
            <w:tcW w:w="985" w:type="dxa"/>
            <w:vAlign w:val="center"/>
          </w:tcPr>
          <w:p>
            <w:pPr>
              <w:spacing w:lineRule="auto" w:line="240" w:after="0" w:beforeAutospacing="0" w:afterAutospacing="0"/>
              <w:jc w:val="center"/>
              <w:rPr>
                <w:rFonts w:ascii="Times New Roman" w:hAnsi="Times New Roman" w:cs="Times New Roman" w:eastAsia="Times New Roman"/>
                <w:sz w:val="24"/>
                <w:szCs w:val="24"/>
                <w:lang w:eastAsia="ru-RU"/>
              </w:rPr>
            </w:pPr>
            <w:r>
              <w:rPr>
                <w:rFonts w:ascii="Times New Roman" w:hAnsi="Times New Roman" w:cs="Times New Roman"/>
              </w:rPr>
              <w:t>2,2</w:t>
            </w:r>
          </w:p>
        </w:tc>
        <w:tc>
          <w:tcPr>
            <w:tcW w:w="992" w:type="dxa"/>
            <w:noWrap/>
            <w:vAlign w:val="center"/>
            <w:hideMark/>
          </w:tcPr>
          <w:p>
            <w:pPr>
              <w:spacing w:lineRule="auto" w:line="240" w:after="0" w:beforeAutospacing="0" w:afterAutospacing="0"/>
              <w:jc w:val="center"/>
              <w:rPr>
                <w:rFonts w:ascii="Times New Roman" w:hAnsi="Times New Roman" w:cs="Times New Roman" w:eastAsia="Times New Roman"/>
                <w:sz w:val="24"/>
                <w:szCs w:val="24"/>
                <w:lang w:eastAsia="ru-RU"/>
              </w:rPr>
            </w:pPr>
            <w:r>
              <w:rPr>
                <w:rFonts w:ascii="Times New Roman" w:hAnsi="Times New Roman" w:cs="Times New Roman"/>
              </w:rPr>
              <w:t>2,2</w:t>
            </w:r>
          </w:p>
        </w:tc>
        <w:tc>
          <w:tcPr>
            <w:tcW w:w="992" w:type="dxa"/>
            <w:noWrap/>
            <w:vAlign w:val="center"/>
            <w:hideMark/>
          </w:tcPr>
          <w:p>
            <w:pPr>
              <w:spacing w:lineRule="auto" w:line="240" w:after="0" w:beforeAutospacing="0" w:afterAutospacing="0"/>
              <w:jc w:val="center"/>
              <w:rPr>
                <w:rFonts w:ascii="Times New Roman" w:hAnsi="Times New Roman" w:cs="Times New Roman" w:eastAsia="Times New Roman"/>
                <w:sz w:val="24"/>
                <w:szCs w:val="24"/>
                <w:lang w:eastAsia="ru-RU"/>
              </w:rPr>
            </w:pPr>
            <w:r>
              <w:rPr>
                <w:rFonts w:ascii="Times New Roman" w:hAnsi="Times New Roman" w:cs="Times New Roman"/>
              </w:rPr>
              <w:t>2,2</w:t>
            </w:r>
          </w:p>
        </w:tc>
        <w:tc>
          <w:tcPr>
            <w:tcW w:w="992" w:type="dxa"/>
            <w:noWrap/>
            <w:vAlign w:val="center"/>
            <w:hideMark/>
          </w:tcPr>
          <w:p>
            <w:pPr>
              <w:spacing w:lineRule="auto" w:line="240" w:after="0" w:beforeAutospacing="0" w:afterAutospacing="0"/>
              <w:jc w:val="center"/>
              <w:rPr>
                <w:rFonts w:ascii="Times New Roman" w:hAnsi="Times New Roman" w:cs="Times New Roman" w:eastAsia="Times New Roman"/>
                <w:sz w:val="24"/>
                <w:szCs w:val="24"/>
                <w:lang w:eastAsia="ru-RU"/>
              </w:rPr>
            </w:pPr>
            <w:r>
              <w:rPr>
                <w:rFonts w:ascii="Times New Roman" w:hAnsi="Times New Roman" w:cs="Times New Roman"/>
              </w:rPr>
              <w:t>2,2</w:t>
            </w:r>
          </w:p>
        </w:tc>
        <w:tc>
          <w:tcPr>
            <w:tcW w:w="971" w:type="dxa"/>
            <w:noWrap/>
            <w:vAlign w:val="center"/>
            <w:hideMark/>
          </w:tcPr>
          <w:p>
            <w:pPr>
              <w:spacing w:lineRule="auto" w:line="240" w:after="0" w:beforeAutospacing="0" w:afterAutospacing="0"/>
              <w:jc w:val="center"/>
              <w:rPr>
                <w:rFonts w:ascii="Times New Roman" w:hAnsi="Times New Roman" w:cs="Times New Roman" w:eastAsia="Times New Roman"/>
                <w:sz w:val="24"/>
                <w:szCs w:val="24"/>
                <w:lang w:eastAsia="ru-RU"/>
              </w:rPr>
            </w:pPr>
            <w:r>
              <w:rPr>
                <w:rFonts w:ascii="Times New Roman" w:hAnsi="Times New Roman" w:cs="Times New Roman"/>
              </w:rPr>
              <w:t>2,2</w:t>
            </w:r>
          </w:p>
        </w:tc>
        <w:tc>
          <w:tcPr>
            <w:tcW w:w="1113" w:type="dxa"/>
            <w:noWrap/>
            <w:vAlign w:val="center"/>
            <w:hideMark/>
          </w:tcPr>
          <w:p>
            <w:pPr>
              <w:spacing w:lineRule="auto" w:line="240" w:after="0" w:beforeAutospacing="0" w:afterAutospacing="0"/>
              <w:jc w:val="center"/>
              <w:rPr>
                <w:rFonts w:ascii="Times New Roman" w:hAnsi="Times New Roman" w:cs="Times New Roman" w:eastAsia="Times New Roman"/>
                <w:sz w:val="24"/>
                <w:szCs w:val="24"/>
                <w:lang w:eastAsia="ru-RU"/>
              </w:rPr>
            </w:pPr>
            <w:r>
              <w:rPr>
                <w:rFonts w:ascii="Times New Roman" w:hAnsi="Times New Roman" w:cs="Times New Roman"/>
              </w:rPr>
              <w:t>2,2</w:t>
            </w:r>
          </w:p>
        </w:tc>
      </w:tr>
    </w:tbl>
    <w:p>
      <w:pPr>
        <w:pStyle w:val="P13"/>
        <w:jc w:val="both"/>
        <w:rPr>
          <w:sz w:val="24"/>
          <w:szCs w:val="24"/>
          <w:lang w:val="ru-RU"/>
        </w:rPr>
      </w:pPr>
      <w:r>
        <w:rPr>
          <w:sz w:val="24"/>
          <w:szCs w:val="24"/>
          <w:lang w:val="ru-RU"/>
        </w:rPr>
        <w:t>Примечания:</w:t>
      </w:r>
    </w:p>
    <w:p>
      <w:pPr>
        <w:pStyle w:val="P13"/>
        <w:jc w:val="both"/>
        <w:rPr>
          <w:sz w:val="24"/>
          <w:szCs w:val="24"/>
          <w:lang w:val="ru-RU"/>
        </w:rPr>
      </w:pPr>
      <w:r>
        <w:rPr>
          <w:sz w:val="24"/>
          <w:szCs w:val="24"/>
          <w:lang w:val="ru-RU"/>
        </w:rPr>
        <w:t>* Проект Doing Business был официально прекращен Всемирным банком в сентябре 2021 г. в связи с выявленными нарушениями методологии сбора данных; выпуск DB 2021 так и не был опубликован. В 2021–2023 гг. новые данные по методологии Doing Business не публиковались. Значения за 2021–2023 гг. воспроизводятся из последней верифицированной оценки DB 2020 при отсутствии задокументированных административных реформ по соответствующим показателям.</w:t>
      </w:r>
    </w:p>
    <w:p>
      <w:pPr>
        <w:pStyle w:val="P13"/>
        <w:jc w:val="both"/>
        <w:rPr>
          <w:sz w:val="24"/>
          <w:szCs w:val="24"/>
          <w:lang w:val="ru-RU"/>
        </w:rPr>
      </w:pPr>
      <w:r>
        <w:rPr>
          <w:sz w:val="24"/>
          <w:szCs w:val="24"/>
          <w:lang w:val="ru-RU"/>
        </w:rPr>
        <w:t xml:space="preserve">** С 2024 г. Всемирный банк перешел на платформу B-READY (Business Ready), методология которой кардинально отличается от Doing Business и не обеспечивает прямой сопоставимости показателей. Значения за 2024 г., помеченные знаком «~», представляют собой оценки автора на основе аналитических материалов Всемирного банка  и данных CEPICI Côte d'Ivoire.</w:t>
      </w:r>
    </w:p>
    <w:p>
      <w:pPr>
        <w:spacing w:lineRule="auto" w:line="360" w:after="0" w:beforeAutospacing="0" w:afterAutospacing="0"/>
        <w:ind w:firstLine="709"/>
        <w:jc w:val="both"/>
        <w:rPr>
          <w:rFonts w:ascii="Times New Roman" w:hAnsi="Times New Roman" w:cs="Times New Roman"/>
          <w:sz w:val="28"/>
          <w:szCs w:val="28"/>
        </w:rPr>
      </w:pPr>
    </w:p>
    <w:p>
      <w:pPr>
        <w:spacing w:lineRule="auto" w:line="360" w:after="0" w:beforeAutospacing="0" w:afterAutospacing="0"/>
        <w:ind w:firstLine="709"/>
        <w:jc w:val="both"/>
        <w:rPr>
          <w:rFonts w:ascii="Times New Roman" w:hAnsi="Times New Roman" w:cs="Times New Roman"/>
          <w:sz w:val="28"/>
          <w:szCs w:val="28"/>
        </w:rPr>
      </w:pPr>
      <w:r>
        <w:rPr>
          <w:rFonts w:ascii="Times New Roman" w:hAnsi="Times New Roman" w:cs="Times New Roman"/>
          <w:sz w:val="28"/>
          <w:szCs w:val="28"/>
        </w:rPr>
        <w:t>Развитие малого и среднего бизнеса является одним из ключевых факторов формирования устойчивых траекторий инновационно-инклюзивного развития в странах с формирующимися рынками. В условиях экономики Республики Кот-д’Ивуар субъекты МСБ выполняют не только экономическую, но и важную социальную функцию, обеспечивая занятость, формирование локальных производственных цепочек и удовлетворение значительной части внутреннего спроса на товары и услуги. Через развитие предпринимательской активности происходит постепенный переход от преимущественно аграрной структуры экономики к индустриально-ориентированной модели развития, основанной на расширении переработки сырья, формировании новых отраслей и росте добавленной стоимости.</w:t>
      </w:r>
    </w:p>
    <w:p>
      <w:pPr>
        <w:widowControl w:val="0"/>
        <w:spacing w:lineRule="auto" w:line="360" w:after="0" w:beforeAutospacing="0" w:afterAutospacing="0"/>
        <w:ind w:firstLine="709"/>
        <w:jc w:val="both"/>
        <w:rPr>
          <w:rFonts w:ascii="Times New Roman" w:hAnsi="Times New Roman" w:cs="Times New Roman"/>
          <w:sz w:val="28"/>
          <w:szCs w:val="28"/>
        </w:rPr>
      </w:pPr>
      <w:r>
        <w:rPr>
          <w:rFonts w:ascii="Times New Roman" w:hAnsi="Times New Roman" w:cs="Times New Roman"/>
          <w:sz w:val="28"/>
          <w:szCs w:val="28"/>
        </w:rPr>
        <w:t>Однако потенциал МСБ в странах Африки, включая Республику Кот-д’Ивуар, во многом ограничивается рядом структурных барьеров. К числу наиболее значимых из них относятся ограниченный доступ к финансовым ресурсам, высокая стоимость кредитования, недостаток современных технологий, а также дефицит предпринимательских и управленческих компетенций. Дополнительным фактором выступает слабая интеграция малого бизнеса в организованные производственные и логистические цепочки, что снижает его способность участвовать в экспортных операциях и ограничивает возможности роста производительности. В результате значительная часть экономической активности продолжает оставаться в неформальном секторе, что препятствует формированию устойчивой инновационной экосистемы.</w:t>
      </w:r>
    </w:p>
    <w:p>
      <w:pPr>
        <w:spacing w:lineRule="auto" w:line="360" w:after="0" w:beforeAutospacing="0" w:afterAutospacing="0"/>
        <w:ind w:firstLine="709"/>
        <w:jc w:val="both"/>
        <w:rPr>
          <w:rFonts w:ascii="Times New Roman" w:hAnsi="Times New Roman" w:cs="Times New Roman"/>
          <w:sz w:val="28"/>
          <w:szCs w:val="28"/>
        </w:rPr>
      </w:pPr>
      <w:r>
        <w:rPr>
          <w:rFonts w:ascii="Times New Roman" w:hAnsi="Times New Roman" w:cs="Times New Roman"/>
          <w:sz w:val="28"/>
          <w:szCs w:val="28"/>
        </w:rPr>
        <w:t>Предлагаемый в рамках настоящего исследования платформенный механизм инновационно-инклюзивного развития позволяет частично преодолеть указанные ограничения за счет формирования единого цифрового пространства взаимодействия экономических акторов. Интеграция субъектов МСБ в платформенную экосистему обеспечивает им доступ к рынкам сбыта, логистическим и финансовым сервисам, цифровым инструментам управления и образовательным ресурсам. Тем самым создаются предпосылки для постепенной институционализации предпринимательской деятельности, повышения прозрачности экономических операций и роста производительности малого бизнеса.</w:t>
      </w:r>
    </w:p>
    <w:p>
      <w:pPr>
        <w:spacing w:lineRule="auto" w:line="360" w:after="0" w:beforeAutospacing="0" w:afterAutospacing="0"/>
        <w:ind w:firstLine="709"/>
        <w:jc w:val="both"/>
        <w:rPr>
          <w:rFonts w:ascii="Times New Roman" w:hAnsi="Times New Roman" w:cs="Times New Roman"/>
          <w:sz w:val="28"/>
          <w:szCs w:val="28"/>
        </w:rPr>
      </w:pPr>
      <w:r>
        <w:rPr>
          <w:rFonts w:ascii="Times New Roman" w:hAnsi="Times New Roman" w:cs="Times New Roman"/>
          <w:sz w:val="28"/>
          <w:szCs w:val="28"/>
        </w:rPr>
        <w:t>Вместе с тем устойчивость платформенной трансформации экономики во многом зависит от качества социально-институциональной среды, в которой реализуются данные процессы. В условиях африканских стран формирование такой среды требует учета культурных и ценностных особенностей общества, а также согласования интересов различных групп заинтересованных сторон. Именно поэтому важным элементом институциональной архитектуры инновационно-инклюзивного развития становится интеграция принципов корпоративной ответственности и африканской философии Убунту.</w:t>
      </w:r>
    </w:p>
    <w:p>
      <w:pPr>
        <w:spacing w:lineRule="auto" w:line="360" w:after="0" w:beforeAutospacing="0" w:afterAutospacing="0"/>
        <w:ind w:firstLine="709"/>
        <w:jc w:val="both"/>
        <w:rPr>
          <w:rFonts w:ascii="Times New Roman" w:hAnsi="Times New Roman" w:cs="Times New Roman"/>
          <w:sz w:val="28"/>
          <w:szCs w:val="28"/>
        </w:rPr>
      </w:pPr>
      <w:r>
        <w:rPr>
          <w:rFonts w:ascii="Times New Roman" w:hAnsi="Times New Roman" w:cs="Times New Roman"/>
          <w:sz w:val="28"/>
          <w:szCs w:val="28"/>
        </w:rPr>
        <w:t>В отличие от традиционных западных подходов к корпоративной социальной ответственности, нередко ориентированных на филантропические или репутационные проекты, африканская модель корпоративной ответственности предполагает более тесную интеграцию бизнеса в социальную и экономическую ткань общества. В рамках данной модели компании рассматриваются не только как экономические агенты, но и как участники более широкой системы общественных отношений, несущие ответственность за долгосрочное развитие территорий, на которых они осуществляют свою деятельность. Такая логика соответствует философии Убунту, согласно которой устойчивое развитие общества достигается через взаимозависимость и сотрудничество всех его участников.</w:t>
      </w:r>
    </w:p>
    <w:p>
      <w:pPr>
        <w:spacing w:lineRule="auto" w:line="360" w:after="0" w:beforeAutospacing="0" w:afterAutospacing="0"/>
        <w:ind w:firstLine="709"/>
        <w:jc w:val="both"/>
        <w:rPr>
          <w:rFonts w:ascii="Times New Roman" w:hAnsi="Times New Roman" w:cs="Times New Roman"/>
          <w:sz w:val="28"/>
          <w:szCs w:val="28"/>
        </w:rPr>
      </w:pPr>
      <w:r>
        <w:rPr>
          <w:rFonts w:ascii="Times New Roman" w:hAnsi="Times New Roman" w:cs="Times New Roman"/>
          <w:sz w:val="28"/>
          <w:szCs w:val="28"/>
        </w:rPr>
        <w:t>Использование принципов Убунту в сочетании с механизмами корпоративной ответственности позволяет сформировать институциональную основу для более справедливого распределения экономических выгод цифровой трансформации и повышения уровня доверия между государством, бизнесом и обществом. В рамках предлагаемой модели важную роль играют механизмы партнерства между государственными институтами, местными предпринимателями, международными компаниями и общественными организациями, направленные на развитие инфраструктуры, подготовку кадров и поддержку инновационной деятельности.</w:t>
      </w:r>
    </w:p>
    <w:p>
      <w:pPr>
        <w:spacing w:lineRule="auto" w:line="360" w:after="0" w:beforeAutospacing="0" w:afterAutospacing="0"/>
        <w:ind w:firstLine="709"/>
        <w:jc w:val="both"/>
        <w:rPr>
          <w:rFonts w:ascii="Times New Roman" w:hAnsi="Times New Roman" w:cs="Times New Roman"/>
          <w:sz w:val="28"/>
          <w:szCs w:val="28"/>
        </w:rPr>
      </w:pPr>
      <w:r>
        <w:rPr>
          <w:rFonts w:ascii="Times New Roman" w:hAnsi="Times New Roman" w:cs="Times New Roman"/>
          <w:sz w:val="28"/>
          <w:szCs w:val="28"/>
        </w:rPr>
        <w:t>Особое значение в данном контексте приобретает участие транснациональных компаний, обладающих значительными финансовыми и технологическими ресурсами. При условии соблюдения принципов корпоративной ответственности такие компании способны выступать катализаторами технологического развития, способствуя передаче знаний, формированию новых производственных цепочек и созданию высококвалифицированных рабочих мест. Для повышения эффективности такого взаимодействия в работе предлагается использование модели двойного управленческого контура, предполагающей сочетание международных стандартов корпоративного управления с локальными управленческими практиками, основанными на принципах Убунту и участии местных сообществ.</w:t>
      </w:r>
    </w:p>
    <w:p>
      <w:pPr>
        <w:spacing w:lineRule="auto" w:line="360" w:after="0" w:beforeAutospacing="0" w:afterAutospacing="0"/>
        <w:ind w:firstLine="709"/>
        <w:jc w:val="both"/>
        <w:rPr>
          <w:rFonts w:ascii="Times New Roman" w:hAnsi="Times New Roman" w:cs="Times New Roman"/>
          <w:sz w:val="28"/>
          <w:szCs w:val="28"/>
        </w:rPr>
      </w:pPr>
      <w:r>
        <w:rPr>
          <w:rFonts w:ascii="Times New Roman" w:hAnsi="Times New Roman" w:cs="Times New Roman"/>
          <w:sz w:val="28"/>
          <w:szCs w:val="28"/>
        </w:rPr>
        <w:t>Таким образом, социально-институциональное обеспечение платформенного механизма инновационно-инклюзивного развития предполагает формирование комплексной системы взаимодействия экономических, социальных и культурных институтов. В рамках данной системы цифровая платформа обеспечивает технологическую координацию экономических процессов, концепция фронтира выполняет функцию адаптационного регулирования внедрения инноваций, корпоративная ответственность формирует механизмы согласования интересов различных экономических акторов, а философия Убунту выступает ценностной основой устойчивого и инклюзивного развития.</w:t>
      </w:r>
    </w:p>
    <w:p>
      <w:pPr>
        <w:spacing w:lineRule="auto" w:line="360" w:after="0" w:beforeAutospacing="0" w:afterAutospacing="0"/>
        <w:ind w:firstLine="709"/>
        <w:jc w:val="both"/>
        <w:rPr>
          <w:rFonts w:ascii="Times New Roman" w:hAnsi="Times New Roman" w:cs="Times New Roman"/>
          <w:sz w:val="28"/>
          <w:szCs w:val="28"/>
        </w:rPr>
      </w:pPr>
      <w:r>
        <w:rPr>
          <w:rFonts w:ascii="Times New Roman" w:hAnsi="Times New Roman" w:cs="Times New Roman"/>
          <w:sz w:val="28"/>
          <w:szCs w:val="28"/>
        </w:rPr>
        <w:t>В совокупности указанные элементы формируют институциональный контур платформенной трансформации экономики Республики Кот-д’Ивуар, обеспечивающий не только повышение эффективности хозяйственной деятельности, но и создание условий для долгосрочного роста благосостояния населения, расширения предпринимательской активности и устойчивой интеграции страны в глобальную экономическую систему.</w:t>
      </w:r>
    </w:p>
    <w:p>
      <w:pPr>
        <w:widowControl w:val="0"/>
        <w:spacing w:lineRule="auto" w:line="360" w:after="0" w:beforeAutospacing="0" w:afterAutospacing="0"/>
        <w:ind w:firstLine="709"/>
        <w:jc w:val="both"/>
        <w:rPr>
          <w:rFonts w:ascii="Times New Roman" w:hAnsi="Times New Roman" w:cs="Times New Roman"/>
          <w:sz w:val="28"/>
          <w:szCs w:val="28"/>
        </w:rPr>
      </w:pPr>
      <w:r>
        <w:rPr>
          <w:rFonts w:ascii="Times New Roman" w:hAnsi="Times New Roman" w:cs="Times New Roman"/>
          <w:sz w:val="28"/>
          <w:szCs w:val="28"/>
        </w:rPr>
        <w:t>Проведенное в третьей главе исследование было направлено на разработку механизмов инновационно-инклюзивного развития Республики Кот-д’Ивуар в условиях цифровой трансформации экономики. В отличие от традиционных подходов, ориентированных преимущественно на технологическую модернизацию или отраслевую индустриализацию, в работе предложена комплексная концепция платформенной структурной трансформации экономики, основанная на интеграции цифровых технологий, кластерного развития и социально-институциональных механизмов координации экономических процессов.</w:t>
      </w:r>
    </w:p>
    <w:p>
      <w:pPr>
        <w:widowControl w:val="0"/>
        <w:spacing w:lineRule="auto" w:line="360" w:after="0" w:beforeAutospacing="0" w:afterAutospacing="0"/>
        <w:ind w:firstLine="709"/>
        <w:jc w:val="both"/>
        <w:rPr>
          <w:rFonts w:ascii="Times New Roman" w:hAnsi="Times New Roman" w:cs="Times New Roman"/>
          <w:sz w:val="28"/>
          <w:szCs w:val="28"/>
        </w:rPr>
      </w:pPr>
      <w:r>
        <w:rPr>
          <w:rFonts w:ascii="Times New Roman" w:hAnsi="Times New Roman" w:cs="Times New Roman"/>
          <w:sz w:val="28"/>
          <w:szCs w:val="28"/>
        </w:rPr>
        <w:t>На первом этапе исследования была разработана концептуальная модель платформенного механизма структурной трансформации экономики, в рамках которой цифровая платформа рассматривается не только как технологическая инфраструктура обработки данных и организации цифровых сервисов, но и как институциональный механизм координации экономического взаимодействия между предприятиями, государственными институтами, финансовыми организациями и обществом. Показано, что в условиях развивающихся экономик цифровые платформы способны существенно снижать транзакционные издержки, ускорять обмен информацией и формировать новые формы кооперации между участниками экономической системы. За счет сетевых эффектов платформенная модель обеспечивает нелинейное расширение экономических связей, что способствует ускоренному распространению инноваций и повышению производительности.</w:t>
      </w:r>
    </w:p>
    <w:p>
      <w:pPr>
        <w:widowControl w:val="0"/>
        <w:spacing w:lineRule="auto" w:line="360" w:after="0" w:beforeAutospacing="0" w:afterAutospacing="0"/>
        <w:ind w:firstLine="709"/>
        <w:jc w:val="both"/>
        <w:rPr>
          <w:rFonts w:ascii="Times New Roman" w:hAnsi="Times New Roman" w:cs="Times New Roman"/>
          <w:sz w:val="28"/>
          <w:szCs w:val="28"/>
        </w:rPr>
      </w:pPr>
      <w:r>
        <w:rPr>
          <w:rFonts w:ascii="Times New Roman" w:hAnsi="Times New Roman" w:cs="Times New Roman"/>
          <w:sz w:val="28"/>
          <w:szCs w:val="28"/>
        </w:rPr>
        <w:t>В ходе исследования было обосновано, что платформенная модель экономической трансформации должна базироваться на кластерном принципе организации производства. В отличие от фрагментарного развития отдельных отраслей, кластерная структура позволяет формировать устойчивые производственные и логистические цепочки, объединяющие сельское хозяйство, переработку сырья, промышленность, логистику, финансовые услуги, образование и научно-исследовательскую деятельность. Координация таких кластеров через цифровую платформу обеспечивает синергетический эффект, позволяющий значительно повысить эффективность использования ресурсов и расширить участие предприятий в региональных и глобальных цепочках создания стоимости.</w:t>
      </w:r>
    </w:p>
    <w:p>
      <w:pPr>
        <w:widowControl w:val="0"/>
        <w:spacing w:lineRule="auto" w:line="360" w:after="0" w:beforeAutospacing="0" w:afterAutospacing="0"/>
        <w:ind w:firstLine="709"/>
        <w:jc w:val="both"/>
        <w:rPr>
          <w:rFonts w:ascii="Times New Roman" w:hAnsi="Times New Roman" w:cs="Times New Roman"/>
          <w:sz w:val="28"/>
          <w:szCs w:val="28"/>
        </w:rPr>
      </w:pPr>
      <w:r>
        <w:rPr>
          <w:rFonts w:ascii="Times New Roman" w:hAnsi="Times New Roman" w:cs="Times New Roman"/>
          <w:sz w:val="28"/>
          <w:szCs w:val="28"/>
        </w:rPr>
        <w:t>Практическая реализация предложенного подхода была рассмотрена на примере инновационного проекта «Берег Восхода», который в работе представлен как интегрированная модель платформенной экономики, направленная на структурную модернизацию прибрежной зоны Республики Кот-д’Ивуар. Проведенный анализ показал, что прибрежный регион обладает рядом ключевых конкурентных преимуществ, включая развитую портовую инфраструктуру, высокую концентрацию экономической активности, наличие человеческого капитала и относительно развитую цифровую инфраструктуру. Эти факторы создают благоприятные условия для формирования многоотраслевой кластерной экосистемы, включающей агропромышленный, индустриальный, логистический, финансовый, образовательный, энергетический, социальный и экологический кластеры.</w:t>
      </w:r>
    </w:p>
    <w:p>
      <w:pPr>
        <w:widowControl w:val="0"/>
        <w:spacing w:lineRule="auto" w:line="360" w:after="0" w:beforeAutospacing="0" w:afterAutospacing="0"/>
        <w:ind w:firstLine="709"/>
        <w:jc w:val="both"/>
        <w:rPr>
          <w:rFonts w:ascii="Times New Roman" w:hAnsi="Times New Roman" w:cs="Times New Roman"/>
          <w:sz w:val="28"/>
          <w:szCs w:val="28"/>
        </w:rPr>
      </w:pPr>
      <w:r>
        <w:rPr>
          <w:rFonts w:ascii="Times New Roman" w:hAnsi="Times New Roman" w:cs="Times New Roman"/>
          <w:sz w:val="28"/>
          <w:szCs w:val="28"/>
        </w:rPr>
        <w:t>Особое внимание в работе уделено роли цифровой платформы «Берег Восхода», которая рассматривается как оператор координации национальной инновационной системы. Показано, что цифровая платформа способна интегрировать различные кластеры в единую экономическую экосистему, обеспечивая управление информационными потоками, организацию торговых и финансовых операций, поддержку логистических цепочек и расширение доступа субъектов малого и среднего бизнеса к цифровым сервисам. Благодаря этому формируются условия для включения локальных предприятий в региональные и глобальные рынки, что способствует росту добавленной стоимости и повышению конкурентоспособности национальной экономики.</w:t>
      </w:r>
    </w:p>
    <w:p>
      <w:pPr>
        <w:widowControl w:val="0"/>
        <w:spacing w:lineRule="auto" w:line="360" w:after="0" w:beforeAutospacing="0" w:afterAutospacing="0"/>
        <w:ind w:firstLine="709"/>
        <w:jc w:val="both"/>
        <w:rPr>
          <w:rFonts w:ascii="Times New Roman" w:hAnsi="Times New Roman" w:cs="Times New Roman"/>
          <w:sz w:val="28"/>
          <w:szCs w:val="28"/>
        </w:rPr>
      </w:pPr>
      <w:r>
        <w:rPr>
          <w:rFonts w:ascii="Times New Roman" w:hAnsi="Times New Roman" w:cs="Times New Roman"/>
          <w:sz w:val="28"/>
          <w:szCs w:val="28"/>
        </w:rPr>
        <w:t>Вместе с тем в ходе исследования установлено, что эффективность платформенной трансформации экономики во многом определяется не только технологическими и инфраструктурными факторами, но и качеством социально-институциональной среды. В условиях стран Африки к югу от Сахары внедрение цифровых платформ часто сопровождается институциональными разрывами, связанными с несовместимостью формальных цифровых процедур и традиционных социальных практик. Это может приводить к росту недоверия к новым экономическим механизмам, усилению неформальных практик и неравномерному распределению выгод цифровой трансформации.</w:t>
      </w:r>
    </w:p>
    <w:p>
      <w:pPr>
        <w:widowControl w:val="0"/>
        <w:spacing w:lineRule="auto" w:line="360" w:after="0" w:beforeAutospacing="0" w:afterAutospacing="0"/>
        <w:ind w:firstLine="709"/>
        <w:jc w:val="both"/>
        <w:rPr>
          <w:rFonts w:ascii="Times New Roman" w:hAnsi="Times New Roman" w:cs="Times New Roman"/>
          <w:sz w:val="28"/>
          <w:szCs w:val="28"/>
        </w:rPr>
      </w:pPr>
      <w:r>
        <w:rPr>
          <w:rFonts w:ascii="Times New Roman" w:hAnsi="Times New Roman" w:cs="Times New Roman"/>
          <w:sz w:val="28"/>
          <w:szCs w:val="28"/>
        </w:rPr>
        <w:t>В связи с этим в работе предложена модель социально-институционального обеспечения платформенного механизма инновационно-инклюзивного развития, основанная на интеграции трех взаимодополняющих концептуальных элементов: концепции фронтира, модели корпоративной ответственности и философии Убунту. Концепция фронтира рассматривается как адаптационный механизм регулирования процессов цифровой трансформации, позволяющий согласовывать новые экономические практики с существующими социальными институтами и снижать риски институциональной нестабильности. Модель корпоративной ответственности обеспечивает распределение экономических выгод и рисков между государством, бизнесом и обществом, способствуя формированию устойчивых партнерских отношений между заинтересованными сторонами. В свою очередь философия Убунту формирует культурную основу коллективной ответственности и взаимозависимости участников экономической системы, обеспечивая социальную легитимность экономических преобразований.</w:t>
      </w:r>
    </w:p>
    <w:p>
      <w:pPr>
        <w:widowControl w:val="0"/>
        <w:spacing w:lineRule="auto" w:line="360" w:after="0" w:beforeAutospacing="0" w:afterAutospacing="0"/>
        <w:ind w:firstLine="709"/>
        <w:jc w:val="both"/>
        <w:rPr>
          <w:rFonts w:ascii="Times New Roman" w:hAnsi="Times New Roman" w:cs="Times New Roman"/>
          <w:sz w:val="28"/>
          <w:szCs w:val="28"/>
        </w:rPr>
      </w:pPr>
      <w:r>
        <w:rPr>
          <w:rFonts w:ascii="Times New Roman" w:hAnsi="Times New Roman" w:cs="Times New Roman"/>
          <w:sz w:val="28"/>
          <w:szCs w:val="28"/>
        </w:rPr>
        <w:t>Показано, что интеграция указанных механизмов позволяет сформировать институциональный контур платформенной экономики, обеспечивающий устойчивость и социальную включенность процессов цифровой трансформации. В рамках такой модели цифровая платформа выступает технологическим ядром экономической экосистемы, кластерная структура обеспечивает структурную модернизацию экономики, а социально-институциональные механизмы создают условия для справедливого распределения экономических результатов и повышения уровня доверия между экономическими агентами.</w:t>
      </w:r>
    </w:p>
    <w:p>
      <w:pPr>
        <w:widowControl w:val="0"/>
        <w:spacing w:lineRule="auto" w:line="360" w:after="0" w:beforeAutospacing="0" w:afterAutospacing="0"/>
        <w:ind w:firstLine="709"/>
        <w:jc w:val="both"/>
        <w:rPr>
          <w:rFonts w:ascii="Times New Roman" w:hAnsi="Times New Roman" w:cs="Times New Roman"/>
          <w:sz w:val="28"/>
          <w:szCs w:val="28"/>
        </w:rPr>
      </w:pPr>
      <w:r>
        <w:rPr>
          <w:rFonts w:ascii="Times New Roman" w:hAnsi="Times New Roman" w:cs="Times New Roman"/>
          <w:sz w:val="28"/>
          <w:szCs w:val="28"/>
        </w:rPr>
        <w:t>Таким образом, предложенный в работе платформенный механизм инновационно-инклюзивного развития представляет собой комплексную систему взаимодействия технологических, экономических и институциональных факторов, направленных на формирование устойчивых траекторий экономического роста Республики Кот-д’Ивуар. Реализация данной модели способна обеспечить переход национальной экономики от сырьевой экспортной специализации к более диверсифицированной и инновационно-ориентированной структуре, расширить участие субъектов малого и среднего бизнеса в международных экономических процессах и создать условия для долгосрочного повышения благосостояния населения.</w:t>
      </w:r>
    </w:p>
    <w:p>
      <w:pPr>
        <w:widowControl w:val="0"/>
        <w:spacing w:lineRule="auto" w:line="360" w:after="0" w:beforeAutospacing="0" w:afterAutospacing="0"/>
        <w:ind w:firstLine="709"/>
        <w:jc w:val="both"/>
        <w:rPr>
          <w:rFonts w:ascii="Times New Roman" w:hAnsi="Times New Roman" w:cs="Times New Roman" w:eastAsia="Times New Roman"/>
          <w:sz w:val="28"/>
          <w:szCs w:val="28"/>
        </w:rPr>
      </w:pPr>
      <w:r>
        <w:rPr>
          <w:rFonts w:ascii="Times New Roman" w:hAnsi="Times New Roman" w:cs="Times New Roman"/>
          <w:sz w:val="28"/>
          <w:szCs w:val="28"/>
        </w:rPr>
        <w:t>Полученные результаты подтверждают, что цифровая трансформация может стать эффективным инструментом развития стран с формирующимися рынками при условии ее интеграции с механизмами институциональной адаптации, кластерного развития и социально ориентированной экономической политики. В этом контексте Республика Кот-д’Ивуар обладает значительным потенциалом для формирования новой модели экономического роста, основанной на сочетании цифровых технологий, инновационного предпринимательства и инклюзивных институтов развития.</w:t>
      </w:r>
      <w:r>
        <w:rPr>
          <w:sz w:val="28"/>
          <w:szCs w:val="28"/>
        </w:rPr>
        <w:br w:type="page"/>
      </w:r>
    </w:p>
    <w:p>
      <w:pPr>
        <w:pStyle w:val="P13"/>
        <w:spacing w:lineRule="auto" w:line="360" w:beforeAutospacing="0" w:afterAutospacing="0"/>
        <w:ind w:firstLine="709"/>
        <w:jc w:val="center"/>
        <w:rPr>
          <w:rFonts w:ascii="Times New Roman Полужирный" w:hAnsi="Times New Roman Полужирный"/>
          <w:b w:val="1"/>
          <w:bCs w:val="1"/>
          <w:caps w:val="1"/>
          <w:sz w:val="28"/>
          <w:szCs w:val="28"/>
          <w:lang w:val="ru-RU"/>
        </w:rPr>
      </w:pPr>
      <w:r>
        <w:rPr>
          <w:rFonts w:ascii="Times New Roman Полужирный" w:hAnsi="Times New Roman Полужирный"/>
          <w:b w:val="1"/>
          <w:bCs w:val="1"/>
          <w:caps w:val="1"/>
          <w:sz w:val="28"/>
          <w:szCs w:val="28"/>
          <w:lang w:val="ru-RU"/>
        </w:rPr>
        <w:t>Заключение</w:t>
      </w:r>
    </w:p>
    <w:p>
      <w:pPr>
        <w:pStyle w:val="P13"/>
        <w:spacing w:lineRule="auto" w:line="360" w:beforeAutospacing="0" w:afterAutospacing="0"/>
        <w:ind w:firstLine="709"/>
        <w:jc w:val="center"/>
        <w:rPr>
          <w:b w:val="1"/>
          <w:bCs w:val="1"/>
          <w:sz w:val="28"/>
          <w:szCs w:val="28"/>
          <w:lang w:val="ru-RU"/>
        </w:rPr>
      </w:pPr>
    </w:p>
    <w:p>
      <w:pPr>
        <w:pStyle w:val="P13"/>
        <w:spacing w:lineRule="auto" w:line="360" w:beforeAutospacing="0" w:afterAutospacing="0"/>
        <w:ind w:firstLine="709"/>
        <w:jc w:val="center"/>
        <w:rPr>
          <w:b w:val="1"/>
          <w:bCs w:val="1"/>
          <w:sz w:val="28"/>
          <w:szCs w:val="28"/>
          <w:lang w:val="ru-RU"/>
        </w:rPr>
      </w:pPr>
    </w:p>
    <w:p>
      <w:pPr>
        <w:pStyle w:val="P13"/>
        <w:spacing w:lineRule="auto" w:line="360" w:beforeAutospacing="0" w:afterAutospacing="0"/>
        <w:ind w:firstLine="709"/>
        <w:jc w:val="center"/>
        <w:rPr>
          <w:b w:val="1"/>
          <w:bCs w:val="1"/>
          <w:sz w:val="28"/>
          <w:szCs w:val="28"/>
          <w:lang w:val="ru-RU"/>
        </w:rPr>
      </w:pPr>
    </w:p>
    <w:p>
      <w:pPr>
        <w:spacing w:lineRule="auto" w:line="360" w:after="0" w:beforeAutospacing="0" w:afterAutospacing="0"/>
        <w:ind w:firstLine="709"/>
        <w:jc w:val="both"/>
        <w:rPr>
          <w:rFonts w:ascii="Times New Roman" w:hAnsi="Times New Roman" w:cs="Times New Roman"/>
          <w:strike w:val="1"/>
          <w:sz w:val="28"/>
          <w:szCs w:val="28"/>
          <w:highlight w:val="yellow"/>
        </w:rPr>
      </w:pPr>
      <w:r>
        <w:rPr>
          <w:rFonts w:ascii="Times New Roman" w:hAnsi="Times New Roman" w:cs="Times New Roman"/>
          <w:strike w:val="1"/>
          <w:sz w:val="28"/>
          <w:szCs w:val="28"/>
          <w:highlight w:val="yellow"/>
        </w:rPr>
        <w:t xml:space="preserve">Современная концепция устойчивого развития основана на «треугольнике устойчивости», включающем экономические, экологические и социальные аспекты. При этом необходимо учитывать, что в периоды экономического роста социальные и экологические аспекты устойчивого развития начинают доминировать над экономическими и наоборот – во времена кризисов абсолютный приоритет отдается экономическим аспектам. Как результат, цикличность экономического развития стимулирует рассинхронизацию интересов государства, бизнеса и общества, что особенно актуально для стран африканского континента. </w:t>
      </w:r>
    </w:p>
    <w:p>
      <w:pPr>
        <w:widowControl w:val="0"/>
        <w:spacing w:lineRule="auto" w:line="360" w:after="0" w:beforeAutospacing="0" w:afterAutospacing="0"/>
        <w:ind w:firstLine="709"/>
        <w:jc w:val="both"/>
        <w:rPr>
          <w:rFonts w:ascii="Times New Roman" w:hAnsi="Times New Roman" w:cs="Times New Roman"/>
          <w:strike w:val="1"/>
          <w:sz w:val="28"/>
          <w:szCs w:val="28"/>
          <w:highlight w:val="yellow"/>
        </w:rPr>
      </w:pPr>
      <w:r>
        <w:rPr>
          <w:rFonts w:ascii="Times New Roman" w:hAnsi="Times New Roman" w:cs="Times New Roman"/>
          <w:strike w:val="1"/>
          <w:sz w:val="28"/>
          <w:szCs w:val="28"/>
          <w:highlight w:val="yellow"/>
        </w:rPr>
        <w:t xml:space="preserve">Для устранения объективных противоречий между интересами государства общества, связанными с решение социальных и экологических проблем и потребностями бизнеса в максимизации прибыли целесообразно использовать концепцию инклюзивного экономического роста. Ключевым элементом этого подхода является внедрение эндогенной корпоративной устойчивости в структуры управления и стратегии развития компаний, так как именно они являются основными проводниками внедрения концепции устойчивого развития в силу наличия необходимых ресурсов начиная от финансовых, заканчивая технологиями и квалифицированными кадрами. </w:t>
      </w:r>
    </w:p>
    <w:p>
      <w:pPr>
        <w:spacing w:lineRule="auto" w:line="360" w:after="0" w:beforeAutospacing="0" w:afterAutospacing="0"/>
        <w:ind w:firstLine="709"/>
        <w:jc w:val="both"/>
        <w:rPr>
          <w:rFonts w:ascii="Times New Roman" w:hAnsi="Times New Roman" w:cs="Times New Roman"/>
          <w:strike w:val="1"/>
          <w:sz w:val="28"/>
          <w:szCs w:val="28"/>
          <w:highlight w:val="yellow"/>
        </w:rPr>
      </w:pPr>
      <w:r>
        <w:rPr>
          <w:rFonts w:ascii="Times New Roman" w:hAnsi="Times New Roman" w:cs="Times New Roman"/>
          <w:strike w:val="1"/>
          <w:sz w:val="28"/>
          <w:szCs w:val="28"/>
          <w:highlight w:val="yellow"/>
        </w:rPr>
        <w:t>В настоящее время продолжается поиск новых методик для оценки экономического прогресса, а также осуществляется переход от общепринятых критериев, таких как среднедушевой ВВП к более комплексным, связанных со справедливым распределением экономических благ, устранением социального и гендерного неравенства, охраной окружающей среды и рациональным использованием природных богатств. С данной точки зрения целесообразно использовать концепцию инклюзивного роста, так как она фокусирует внимание на более широких показателях человеческого развития в отличии от моделей, ориентированных чисто на экономического рост. Для ее применения на практике требуется сосредоточить внимание на конкретных, измеримых целях, что позволит определить оптимальные пути для максимизации имеющегося экономического, социального и экологического потенциала, что особенно актуально для развивающихся стран.</w:t>
      </w:r>
    </w:p>
    <w:p>
      <w:pPr>
        <w:spacing w:lineRule="auto" w:line="360" w:after="0" w:beforeAutospacing="0" w:afterAutospacing="0"/>
        <w:ind w:firstLine="709"/>
        <w:jc w:val="both"/>
        <w:rPr>
          <w:rFonts w:ascii="Times New Roman" w:hAnsi="Times New Roman" w:cs="Times New Roman"/>
          <w:strike w:val="1"/>
          <w:sz w:val="28"/>
          <w:szCs w:val="28"/>
          <w:highlight w:val="yellow"/>
        </w:rPr>
      </w:pPr>
      <w:r>
        <w:rPr>
          <w:rFonts w:ascii="Times New Roman" w:hAnsi="Times New Roman" w:cs="Times New Roman"/>
          <w:strike w:val="1"/>
          <w:sz w:val="28"/>
          <w:szCs w:val="28"/>
          <w:highlight w:val="yellow"/>
        </w:rPr>
        <w:t xml:space="preserve">В работе доказано, что основным препятствием формирования траектории инклюзивного роста для стран африканского континента является максимально низкий уровень экономического потенциала, поэтому для достижения целей устойчивого развития мы предлагаем использовать модель, ориентированную на количественное и качественное улучшение экономической составляющей модели инклюзивного роста. </w:t>
      </w:r>
    </w:p>
    <w:p>
      <w:pPr>
        <w:pStyle w:val="P13"/>
        <w:spacing w:lineRule="auto" w:line="360" w:beforeAutospacing="0" w:afterAutospacing="0"/>
        <w:ind w:firstLine="709"/>
        <w:jc w:val="both"/>
        <w:rPr>
          <w:strike w:val="1"/>
          <w:sz w:val="28"/>
          <w:szCs w:val="28"/>
          <w:highlight w:val="yellow"/>
          <w:lang w:val="ru-RU"/>
        </w:rPr>
      </w:pPr>
      <w:r>
        <w:rPr>
          <w:strike w:val="1"/>
          <w:sz w:val="28"/>
          <w:szCs w:val="28"/>
          <w:highlight w:val="yellow"/>
          <w:lang w:val="ru-RU"/>
        </w:rPr>
        <w:t xml:space="preserve">В условиях слаборазвитых рыночных институтов в африканских странах государство должно минимизировать прямое вмешательство в экономику для формирования траекторий инклюзивного роста, а меры регулирования должны касаться улучшения инвестиционного климата и стимулирования экономической активности. В силу высокой значимости для африканских стран международной финансовой помощи особую важность приобретает решение проблемы повышения эффективности расходования выделяемых средств. При этом мы выделяем три базовых принципа, формирующих экономическую составляющую инклюзивного роста: сбалансированность, эффективность и комплексность. Их применение на практике будет способствовать устранению структурных диспропорций в развитии национальных экономических систем и диверсификации ВВП.    </w:t>
      </w:r>
    </w:p>
    <w:p>
      <w:pPr>
        <w:pStyle w:val="P13"/>
        <w:spacing w:lineRule="auto" w:line="360" w:beforeAutospacing="0" w:afterAutospacing="0"/>
        <w:ind w:firstLine="709"/>
        <w:jc w:val="both"/>
        <w:rPr>
          <w:strike w:val="1"/>
          <w:color w:val="FF0000"/>
          <w:sz w:val="28"/>
          <w:szCs w:val="28"/>
          <w:highlight w:val="yellow"/>
          <w:lang w:val="ru-RU"/>
        </w:rPr>
      </w:pPr>
      <w:r>
        <w:rPr>
          <w:strike w:val="1"/>
          <w:sz w:val="28"/>
          <w:szCs w:val="28"/>
          <w:highlight w:val="yellow"/>
          <w:lang w:val="ru-RU"/>
        </w:rPr>
        <w:t xml:space="preserve">Экономическая компонента инклюзивного роста способствует возникновению максимального синергетического эффекта при достижении целей устойчивого развития. С учетом этого модель оценки </w:t>
      </w:r>
      <w:bookmarkStart w:id="48" w:name="_Hlk138330103"/>
      <w:r>
        <w:rPr>
          <w:strike w:val="1"/>
          <w:sz w:val="28"/>
          <w:szCs w:val="28"/>
          <w:highlight w:val="yellow"/>
          <w:lang w:val="ru-RU"/>
        </w:rPr>
        <w:t>должна задавать общие рамки для определения уровня инклюзивности, которая зависит также от факторов социального и экологического характера</w:t>
      </w:r>
      <w:bookmarkEnd w:id="48"/>
      <w:r>
        <w:rPr>
          <w:strike w:val="1"/>
          <w:sz w:val="28"/>
          <w:szCs w:val="28"/>
          <w:highlight w:val="yellow"/>
          <w:lang w:val="ru-RU"/>
        </w:rPr>
        <w:t>. Количественная мера должна быть выражена через набор статистических показателей каждый из которых может быть представлен различными комбинациями индикативных характеристик. При этом необходимо учитывать, что разработка единого универсального индекса инклюзивного развития является невозможным в силу множества разноплановых факторов, которые необходимо интегрировать в модель. В этой связи более продуктивным является применение селективного подхода, когда состав индикаторов, формирующих количественные и качественные показатели инклюзивности, зависит от утвержденных стратегических ориентиров и целей устойчивого развития.</w:t>
      </w:r>
    </w:p>
    <w:p>
      <w:pPr>
        <w:pStyle w:val="P13"/>
        <w:spacing w:lineRule="auto" w:line="360" w:beforeAutospacing="0" w:afterAutospacing="0"/>
        <w:ind w:firstLine="709" w:right="-1"/>
        <w:jc w:val="both"/>
        <w:rPr>
          <w:strike w:val="1"/>
          <w:sz w:val="28"/>
          <w:szCs w:val="28"/>
          <w:highlight w:val="yellow"/>
          <w:lang w:val="ru-RU"/>
        </w:rPr>
      </w:pPr>
      <w:r>
        <w:rPr>
          <w:strike w:val="1"/>
          <w:sz w:val="28"/>
          <w:szCs w:val="28"/>
          <w:highlight w:val="yellow"/>
          <w:lang w:val="ru-RU"/>
        </w:rPr>
        <w:t xml:space="preserve">Формирование траекторий устойчивого развития и инклюзивного роста в </w:t>
      </w:r>
      <w:bookmarkStart w:id="49" w:name="_Hlk138331007"/>
      <w:r>
        <w:rPr>
          <w:strike w:val="1"/>
          <w:sz w:val="28"/>
          <w:szCs w:val="28"/>
          <w:highlight w:val="yellow"/>
          <w:lang w:val="ru-RU"/>
        </w:rPr>
        <w:t>Республике Кот-д’Ивуар</w:t>
      </w:r>
      <w:bookmarkEnd w:id="49"/>
      <w:r>
        <w:rPr>
          <w:strike w:val="1"/>
          <w:sz w:val="28"/>
          <w:szCs w:val="28"/>
          <w:highlight w:val="yellow"/>
          <w:lang w:val="ru-RU"/>
        </w:rPr>
        <w:t xml:space="preserve"> невозможно без </w:t>
      </w:r>
      <w:bookmarkStart w:id="50" w:name="_Hlk138331332"/>
      <w:r>
        <w:rPr>
          <w:strike w:val="1"/>
          <w:sz w:val="28"/>
          <w:szCs w:val="28"/>
          <w:highlight w:val="yellow"/>
          <w:lang w:val="ru-RU"/>
        </w:rPr>
        <w:t>участия международных организаций, роль которых не ограничивается только предоставлением финансовой помощи, но и заключается в формировании эффективных форм взаимодействия между государством, обществом и бизнесом</w:t>
      </w:r>
      <w:bookmarkEnd w:id="50"/>
      <w:r>
        <w:rPr>
          <w:strike w:val="1"/>
          <w:sz w:val="28"/>
          <w:szCs w:val="28"/>
          <w:highlight w:val="yellow"/>
          <w:lang w:val="ru-RU"/>
        </w:rPr>
        <w:t>. В 2021 г. размер официальной помощи, полученной в целях развития, превысил размер прямых иностранных инвестиций в 9 раз и только в 2017 г. наблюдалась обратная картина. Следует отметить, что такие позитивные сдвиги связаны не только с грантовой помощью международных организаций, но и обусловлены рядом эндогенных факторов экономического характера. В Республике Кот-Д’Ивуар средине темпы роста ВВП начиная с 2013 года превышают 7 %. При этом ключевую роль в данной динамике сыграл агропромышленный комплекс, так доля которого в структуре ВВП выросла с 15,3 % в 2013 году до 19,9 % в 2021 году, а удельный вес промышленности оставался на стабильном уровне около 20 %. В результате среднедушевой доход, рассчитанный по паритету покупательской способности, имеет устойчивые темпы роста, но начиная с 2017 г. его темпы минимальны.</w:t>
      </w:r>
    </w:p>
    <w:p>
      <w:pPr>
        <w:spacing w:lineRule="auto" w:line="360" w:after="0" w:beforeAutospacing="0" w:afterAutospacing="0"/>
        <w:ind w:firstLine="708"/>
        <w:jc w:val="both"/>
        <w:rPr>
          <w:rFonts w:ascii="Times New Roman" w:hAnsi="Times New Roman" w:cs="Times New Roman"/>
          <w:strike w:val="1"/>
          <w:sz w:val="28"/>
          <w:szCs w:val="28"/>
          <w:highlight w:val="yellow"/>
        </w:rPr>
      </w:pPr>
      <w:r>
        <w:rPr>
          <w:rFonts w:ascii="Times New Roman" w:hAnsi="Times New Roman" w:cs="Times New Roman"/>
          <w:strike w:val="1"/>
          <w:sz w:val="28"/>
          <w:szCs w:val="28"/>
          <w:highlight w:val="yellow"/>
        </w:rPr>
        <w:t>В Республике Кот-Д’Ивуар при формировании траектории инклюзивного роста основную роль играла помощь от международных организаций, селективный характер которой позволял решать конкретные проблемы, связанные с устойчивым развитием. Однако характер и масштабы ее предоставления не позволяют в полной мере достичь плановых значений целевых показателей, поэтому необходимо отказаться от традиционных форм международной помощи, которая является нестабильной и фрагментарной, а также способствует формированию зависимости страны от финансирования из внешних источников. Для этого необходимо уделить особое внимание новым инициативам, таким как развитие частного сектора, мобилизация дополнительных внутренних ресурсов, прежде всего, налоговых поступлений, и выход на глобальные рынки с помощью инновационных инструментов, например, выпуска зеленых облигаций. Также необходимо улучшить систему сбора статистических данных и предоставления отчетности, чтобы обеспечить более качественный мониторинг за адресностью и эффективностью расходованию выделяемых средств.</w:t>
      </w:r>
    </w:p>
    <w:p>
      <w:pPr>
        <w:pStyle w:val="P13"/>
        <w:spacing w:lineRule="auto" w:line="360" w:beforeAutospacing="0" w:afterAutospacing="0"/>
        <w:ind w:firstLine="709"/>
        <w:jc w:val="both"/>
        <w:rPr>
          <w:strike w:val="1"/>
          <w:sz w:val="28"/>
          <w:szCs w:val="28"/>
          <w:highlight w:val="yellow"/>
          <w:lang w:val="ru-RU"/>
        </w:rPr>
      </w:pPr>
      <w:r>
        <w:rPr>
          <w:strike w:val="1"/>
          <w:sz w:val="28"/>
          <w:szCs w:val="28"/>
          <w:highlight w:val="yellow"/>
          <w:lang w:val="ru-RU"/>
        </w:rPr>
        <w:t>Цели устойчивого развития и факторы, формирующие инклюзивный рост тесно взаимосвязаны друг с другом и изолированное достижение одной цели независимо от других практически невозможно. Учитывая наличие таких взаимозависимостей необходимо выявить характер их проявления, что особенно важно для африканских стран, действующих в условиях жесткой ограниченности внутренних ресурсов и сильной зависимости от внешнего финансирования. В данном контексте для правительства Республики Кот-Д’Ивуар актуальным является ранжирования целей и задач для выявления потенциальных точек роста, финансирование которых даст максимальный синергетический эффект и будет способствовать формированию устойчивых траекторий инклюзивного развития.</w:t>
      </w:r>
    </w:p>
    <w:p>
      <w:pPr>
        <w:spacing w:lineRule="auto" w:line="360" w:after="0" w:beforeAutospacing="0" w:afterAutospacing="0"/>
        <w:ind w:firstLine="709"/>
        <w:jc w:val="both"/>
        <w:rPr>
          <w:rFonts w:ascii="Times New Roman" w:hAnsi="Times New Roman" w:cs="Times New Roman"/>
          <w:strike w:val="1"/>
          <w:sz w:val="28"/>
          <w:szCs w:val="28"/>
          <w:highlight w:val="yellow"/>
        </w:rPr>
      </w:pPr>
      <w:r>
        <w:rPr>
          <w:rFonts w:ascii="Times New Roman" w:hAnsi="Times New Roman" w:cs="Times New Roman"/>
          <w:strike w:val="1"/>
          <w:sz w:val="28"/>
          <w:szCs w:val="28"/>
          <w:highlight w:val="yellow"/>
        </w:rPr>
        <w:t xml:space="preserve">Результаты проведенного моделирования показали, что взаимозависимость задач в рамках существующих целей устойчивого развития в </w:t>
      </w:r>
      <w:bookmarkStart w:id="51" w:name="_Hlk138331950"/>
      <w:r>
        <w:rPr>
          <w:rFonts w:ascii="Times New Roman" w:hAnsi="Times New Roman" w:cs="Times New Roman"/>
          <w:strike w:val="1"/>
          <w:sz w:val="28"/>
          <w:szCs w:val="28"/>
          <w:highlight w:val="yellow"/>
        </w:rPr>
        <w:t xml:space="preserve">Республике Кот-Д’Ивуар </w:t>
      </w:r>
      <w:bookmarkEnd w:id="51"/>
      <w:r>
        <w:rPr>
          <w:rFonts w:ascii="Times New Roman" w:hAnsi="Times New Roman" w:cs="Times New Roman"/>
          <w:strike w:val="1"/>
          <w:sz w:val="28"/>
          <w:szCs w:val="28"/>
          <w:highlight w:val="yellow"/>
        </w:rPr>
        <w:t xml:space="preserve">существует. Максимально высокий уровень положительной синергии демонстрирует цель «повышение доступности ИКТ», поэтому ее целесообразно использовать   как инструмент для достижения других целей, а не как отдельный фактор с заданными значениями. Аналогично, если мы сосредоточим внимание на образовании, то базовым императивом будет повышение качества учебных заведений для среднего и высшего образования, а не только обеспечение более высоких показателей баллов при зачислении, как это имеет место в рамках существующих целей устойчивого развития. </w:t>
      </w:r>
    </w:p>
    <w:p>
      <w:pPr>
        <w:pStyle w:val="P13"/>
        <w:spacing w:lineRule="auto" w:line="360" w:beforeAutospacing="0" w:afterAutospacing="0"/>
        <w:ind w:firstLine="709"/>
        <w:jc w:val="both"/>
        <w:rPr>
          <w:strike w:val="1"/>
          <w:sz w:val="28"/>
          <w:szCs w:val="28"/>
          <w:highlight w:val="yellow"/>
          <w:lang w:val="ru-RU"/>
        </w:rPr>
      </w:pPr>
      <w:r>
        <w:rPr>
          <w:strike w:val="1"/>
          <w:sz w:val="28"/>
          <w:szCs w:val="28"/>
          <w:highlight w:val="yellow"/>
          <w:lang w:val="ru-RU"/>
        </w:rPr>
        <w:t>Для Республики Кот-Д’Ивуар, политика индустриализации и государственное регулирование, ориентированное на инклюзивный рост, где главной целью является не только повышение производительности, но и глобальной конкурентоспособности местных компаний, остаются наиболее прагматичным вариантом достижения целей устойчивого развития. Ключевая роль в такой политике отводится финансовой системе, так как наличие доступных источников финансирования сильно влияет на результативность деятельности бизнеса. Следовательно, наличие доступных кредитных ресурсов является важным фактором, который может стимулировать инклюзивный рост, поэтому в работе была проведена оценка влияния фактора доступности качественных финансовых услуг государственных, частных и международных финансовых учреждений на внешнеэкономическую активность компаний Республики Кот-Д’Ивуар.</w:t>
      </w:r>
    </w:p>
    <w:p>
      <w:pPr>
        <w:pStyle w:val="P13"/>
        <w:spacing w:lineRule="auto" w:line="360" w:beforeAutospacing="0" w:afterAutospacing="0"/>
        <w:ind w:firstLine="709" w:right="-1"/>
        <w:jc w:val="both"/>
        <w:rPr>
          <w:strike w:val="1"/>
          <w:sz w:val="28"/>
          <w:szCs w:val="28"/>
          <w:highlight w:val="yellow"/>
          <w:lang w:val="ru-RU"/>
        </w:rPr>
      </w:pPr>
      <w:r>
        <w:rPr>
          <w:strike w:val="1"/>
          <w:sz w:val="28"/>
          <w:szCs w:val="28"/>
          <w:highlight w:val="yellow"/>
          <w:lang w:val="ru-RU"/>
        </w:rPr>
        <w:t xml:space="preserve">Результаты проведенного анализа выявили высокий уровень дисбаланса в экономическом развитии отдельных территорий Республики Кот-д’Ивуар. Основной причиной этого является наличие единственного делового центра, которым является г. Абиджан, где сосредоточены крупнейшие банковские учреждения, развита инфраструктура и информационно-коммуникационные технологии, а также расположены представительства иностранных компаний. Данные преимущества имеет основополагающее значение для определения степени важности доступа к финансовым услугам. В этой связи для более точного обоснования полученных результатов была проведена оценка текущей бизнес-среды и экспортной активности фирм, а также влияния экономического пространственного распределения на развитие Республики Кот-д’Ивуар. Для этого исходная выборка была разделена на две группы: в первую были включены фирмы, которые расположены в г. Абиджан, во вторую – компании, которые расположены в других районах страны. </w:t>
      </w:r>
    </w:p>
    <w:p>
      <w:pPr>
        <w:pStyle w:val="P13"/>
        <w:spacing w:lineRule="auto" w:line="360" w:beforeAutospacing="0" w:afterAutospacing="0"/>
        <w:ind w:firstLine="709" w:right="-1"/>
        <w:jc w:val="both"/>
        <w:rPr>
          <w:strike w:val="1"/>
          <w:sz w:val="28"/>
          <w:szCs w:val="28"/>
          <w:highlight w:val="yellow"/>
          <w:lang w:val="ru-RU"/>
        </w:rPr>
      </w:pPr>
      <w:r>
        <w:rPr>
          <w:strike w:val="1"/>
          <w:sz w:val="28"/>
          <w:szCs w:val="28"/>
          <w:highlight w:val="yellow"/>
          <w:lang w:val="ru-RU"/>
        </w:rPr>
        <w:t xml:space="preserve">Таким образом, </w:t>
      </w:r>
      <w:bookmarkStart w:id="52" w:name="_Hlk138332425"/>
      <w:r>
        <w:rPr>
          <w:strike w:val="1"/>
          <w:sz w:val="28"/>
          <w:szCs w:val="28"/>
          <w:highlight w:val="yellow"/>
          <w:lang w:val="ru-RU"/>
        </w:rPr>
        <w:t xml:space="preserve">для повышения конкурентоспособности и стимулирования экспортной активности компаний в Республике Кот-д’Ивуар необходимо эффективное взаимодействие финансовых институтов и реального сектора экономики, которое должно включать не только расширение доступа к кредитным ресурсам, но и к программам льготного кредитования, особенно в сельских районах. Для этого необходима унификация регламентов деятельности коммерческих местных и иностранных финансовых учреждений, а также международных организаций. </w:t>
      </w:r>
      <w:bookmarkEnd w:id="52"/>
    </w:p>
    <w:p>
      <w:pPr>
        <w:pStyle w:val="P13"/>
        <w:spacing w:lineRule="auto" w:line="360" w:beforeAutospacing="0" w:afterAutospacing="0"/>
        <w:jc w:val="both"/>
        <w:rPr>
          <w:strike w:val="1"/>
          <w:sz w:val="28"/>
          <w:szCs w:val="28"/>
          <w:highlight w:val="yellow"/>
          <w:lang w:val="ru-RU"/>
        </w:rPr>
      </w:pPr>
      <w:r>
        <w:rPr>
          <w:strike w:val="1"/>
          <w:sz w:val="28"/>
          <w:szCs w:val="28"/>
          <w:highlight w:val="yellow"/>
          <w:lang w:val="ru-RU"/>
        </w:rPr>
        <w:tab/>
        <w:t xml:space="preserve">Несмотря на накопленный негативный опыт, транснациональные компании (ТНК) остаются основными проводниками достижений корпоративной ответственности и инклюзивного роста в странах африканского континента. При этом остаются проблемы, связанные с «вестернизацией» корпоративной деятельности в Африке, а также низким уровнем «социальной включенности» ТНК, так как менеджмент не может эффективно использовать сильные стороны местного окружения, работать с заинтересованными сторонами и успешно удовлетворять их требования и потребности. Это предопределяет необходимость интеграции в структуру корпоративного управления местных менеджеров, которые лучше понимают национальную специфику и в состоянии успешно взаимодействовать с локальными сообществами. </w:t>
      </w:r>
    </w:p>
    <w:p>
      <w:pPr>
        <w:pStyle w:val="P13"/>
        <w:spacing w:lineRule="auto" w:line="360" w:beforeAutospacing="0" w:afterAutospacing="0"/>
        <w:ind w:firstLine="709"/>
        <w:jc w:val="both"/>
        <w:rPr>
          <w:bCs w:val="1"/>
          <w:strike w:val="1"/>
          <w:sz w:val="28"/>
          <w:szCs w:val="28"/>
          <w:highlight w:val="yellow"/>
          <w:lang w:val="ru-RU"/>
        </w:rPr>
      </w:pPr>
      <w:r>
        <w:rPr>
          <w:strike w:val="1"/>
          <w:sz w:val="28"/>
          <w:szCs w:val="28"/>
          <w:highlight w:val="yellow"/>
          <w:lang w:val="ru-RU"/>
        </w:rPr>
        <w:t xml:space="preserve">Для решения этой проблемы в работе обоснована целесообразность использования концепции «профессиональная система с двумя менеджерами проектов». В соответствии с ней международный менеджер отвечает за стандартный функционал в сфере стратегического управления, включая удовлетворение требований заинтересованных сторон, прежде всего акционеров, при разработке моделей развития, составления отчетов, публичных заявлений и презентаций инвестиционных проектов. В свою очередь, местный менеджер отвечает за достижение социальных результатов и кадровую политику, включая поиск, обучение и набор персонала, разработку оперативной бизнес-модели, а также поиск компромиссов между международными, национальными и местными акторами. </w:t>
      </w:r>
      <w:r>
        <w:rPr>
          <w:bCs w:val="1"/>
          <w:strike w:val="1"/>
          <w:sz w:val="28"/>
          <w:szCs w:val="28"/>
          <w:highlight w:val="yellow"/>
          <w:lang w:val="ru-RU"/>
        </w:rPr>
        <w:t>Это позволит преодолеть разрыв между культурными традициями стран Африки и глобальными стандартами менеджмента. При этом международные менеджеры должны руководствоваться в своей деятельности принципами корпоративной ответственности, а местный менеджмент действовать в рамках концепции Убунту.</w:t>
      </w:r>
    </w:p>
    <w:p>
      <w:pPr>
        <w:pStyle w:val="P13"/>
        <w:spacing w:lineRule="auto" w:line="360" w:beforeAutospacing="0" w:afterAutospacing="0"/>
        <w:ind w:firstLine="709"/>
        <w:jc w:val="both"/>
        <w:rPr>
          <w:strike w:val="1"/>
          <w:sz w:val="28"/>
          <w:szCs w:val="28"/>
          <w:highlight w:val="yellow"/>
          <w:lang w:val="ru-RU"/>
        </w:rPr>
      </w:pPr>
      <w:r>
        <w:rPr>
          <w:strike w:val="1"/>
          <w:sz w:val="28"/>
          <w:szCs w:val="28"/>
          <w:highlight w:val="yellow"/>
          <w:lang w:val="ru-RU"/>
        </w:rPr>
        <w:t>Использование концепции Убунту в управлении африканскими компаниями предполагает интеграцию в систему менеджмента принципов устойчивого развития, таких как этичное поведение, прозрачность, приверженность инклюзивному росту и рационального использования окружающей среды. Это означает, что аспекты устойчивого развития стран африканского континента будут оставаться доминирующими, а корпоративное управление в рамках концепции Убунту не будет противоречить долгосрочным стратегиям, так как экономические интересы ТНК будут гармонизировать с экологическими и социальными целями развития местных сообществ.</w:t>
      </w:r>
    </w:p>
    <w:p>
      <w:pPr>
        <w:pStyle w:val="P13"/>
        <w:spacing w:lineRule="auto" w:line="360" w:beforeAutospacing="0" w:afterAutospacing="0"/>
        <w:ind w:firstLine="709"/>
        <w:jc w:val="both"/>
        <w:rPr>
          <w:strike w:val="1"/>
          <w:sz w:val="28"/>
          <w:szCs w:val="28"/>
          <w:lang w:val="ru-RU"/>
        </w:rPr>
      </w:pPr>
      <w:r>
        <w:rPr>
          <w:strike w:val="1"/>
          <w:sz w:val="28"/>
          <w:szCs w:val="28"/>
          <w:highlight w:val="yellow"/>
          <w:lang w:val="ru-RU"/>
        </w:rPr>
        <w:t>Для ее внедрения необходимо, чтобы африканские страны рассматривали ТНК, работающие в их юрисдикциях, в качестве партнеров, а компании, в свою очередь, не должны воспринимать африканский континент только как территории для генерации прибыли. Это окажет положительное влияние на формирование институциональной деловой среды и будет способствовать формированию траекторий инклюзивного роста, а также повысит эффективность взаимодействия правительств африканских стран не только с ТНК, но и международными организациями.</w:t>
      </w:r>
    </w:p>
    <w:p>
      <w:pPr>
        <w:pStyle w:val="P13"/>
        <w:spacing w:lineRule="auto" w:line="360" w:beforeAutospacing="0" w:afterAutospacing="0"/>
        <w:ind w:firstLine="709"/>
        <w:jc w:val="center"/>
        <w:rPr>
          <w:b w:val="1"/>
          <w:bCs w:val="1"/>
          <w:sz w:val="28"/>
          <w:szCs w:val="28"/>
          <w:lang w:val="ru-RU"/>
        </w:rPr>
      </w:pPr>
    </w:p>
    <w:p>
      <w:pPr>
        <w:rPr>
          <w:rFonts w:ascii="Times New Roman" w:hAnsi="Times New Roman" w:cs="Times New Roman" w:eastAsia="Times New Roman"/>
          <w:b w:val="1"/>
          <w:bCs w:val="1"/>
          <w:sz w:val="28"/>
          <w:szCs w:val="28"/>
        </w:rPr>
      </w:pPr>
      <w:r>
        <w:rPr>
          <w:b w:val="1"/>
          <w:bCs w:val="1"/>
          <w:sz w:val="28"/>
          <w:szCs w:val="28"/>
        </w:rPr>
        <w:br w:type="page"/>
      </w:r>
    </w:p>
    <w:p>
      <w:pPr>
        <w:pStyle w:val="P13"/>
        <w:spacing w:lineRule="auto" w:line="360" w:beforeAutospacing="0" w:afterAutospacing="0"/>
        <w:ind w:firstLine="709"/>
        <w:jc w:val="center"/>
        <w:rPr>
          <w:rFonts w:ascii="Times New Roman Полужирный" w:hAnsi="Times New Roman Полужирный"/>
          <w:b w:val="1"/>
          <w:bCs w:val="1"/>
          <w:caps w:val="1"/>
          <w:sz w:val="28"/>
          <w:szCs w:val="28"/>
          <w:lang w:val="ru-RU"/>
        </w:rPr>
      </w:pPr>
      <w:r>
        <w:rPr>
          <w:rFonts w:ascii="Times New Roman Полужирный" w:hAnsi="Times New Roman Полужирный"/>
          <w:b w:val="1"/>
          <w:bCs w:val="1"/>
          <w:caps w:val="1"/>
          <w:sz w:val="28"/>
          <w:szCs w:val="28"/>
          <w:lang w:val="ru-RU"/>
        </w:rPr>
        <w:t>Список литературы</w:t>
      </w:r>
    </w:p>
    <w:p>
      <w:pPr>
        <w:pStyle w:val="P13"/>
        <w:spacing w:lineRule="auto" w:line="360" w:beforeAutospacing="0" w:afterAutospacing="0"/>
        <w:ind w:firstLine="709"/>
        <w:jc w:val="center"/>
        <w:rPr>
          <w:b w:val="1"/>
          <w:bCs w:val="1"/>
          <w:sz w:val="28"/>
          <w:szCs w:val="28"/>
          <w:lang w:val="ru-RU"/>
        </w:rPr>
      </w:pPr>
    </w:p>
    <w:p>
      <w:pPr>
        <w:pStyle w:val="P13"/>
        <w:spacing w:lineRule="auto" w:line="360" w:beforeAutospacing="0" w:afterAutospacing="0"/>
        <w:ind w:firstLine="709"/>
        <w:jc w:val="center"/>
        <w:rPr>
          <w:b w:val="1"/>
          <w:bCs w:val="1"/>
          <w:sz w:val="28"/>
          <w:szCs w:val="28"/>
          <w:lang w:val="ru-RU"/>
        </w:rPr>
      </w:pPr>
    </w:p>
    <w:p>
      <w:pPr>
        <w:pStyle w:val="P13"/>
        <w:spacing w:lineRule="auto" w:line="360" w:beforeAutospacing="0" w:afterAutospacing="0"/>
        <w:ind w:firstLine="709"/>
        <w:jc w:val="center"/>
        <w:rPr>
          <w:b w:val="1"/>
          <w:bCs w:val="1"/>
          <w:sz w:val="28"/>
          <w:szCs w:val="28"/>
          <w:lang w:val="ru-RU"/>
        </w:rPr>
      </w:pPr>
    </w:p>
    <w:p>
      <w:pPr>
        <w:pStyle w:val="P13"/>
        <w:numPr>
          <w:ilvl w:val="0"/>
          <w:numId w:val="6"/>
        </w:numPr>
        <w:spacing w:lineRule="auto" w:line="360" w:beforeAutospacing="0" w:afterAutospacing="0"/>
        <w:ind w:firstLine="709" w:left="0"/>
        <w:jc w:val="both"/>
        <w:rPr>
          <w:bCs w:val="1"/>
          <w:sz w:val="28"/>
          <w:szCs w:val="28"/>
          <w:highlight w:val="green"/>
          <w:lang w:val="ru-RU"/>
        </w:rPr>
      </w:pPr>
      <w:r>
        <w:rPr>
          <w:sz w:val="28"/>
          <w:szCs w:val="28"/>
          <w:highlight w:val="green"/>
          <w:lang w:val="ru-RU"/>
        </w:rPr>
        <w:t>Айвазян С.А.,</w:t>
      </w:r>
      <w:r>
        <w:rPr>
          <w:sz w:val="28"/>
          <w:szCs w:val="28"/>
          <w:highlight w:val="green"/>
        </w:rPr>
        <w:t> </w:t>
      </w:r>
      <w:r>
        <w:rPr>
          <w:sz w:val="28"/>
          <w:szCs w:val="28"/>
          <w:highlight w:val="green"/>
          <w:lang w:val="ru-RU"/>
        </w:rPr>
        <w:t>Мхитарян В.С. Прикладная статистика. Основы эконометрики. – М.: Магистр; ИНФРА-М, 2010.</w:t>
      </w:r>
      <w:r>
        <w:rPr>
          <w:bCs w:val="1"/>
          <w:sz w:val="28"/>
          <w:szCs w:val="28"/>
          <w:highlight w:val="green"/>
          <w:lang w:val="ru-RU"/>
        </w:rPr>
        <w:t xml:space="preserve">  518 с.</w:t>
      </w:r>
    </w:p>
    <w:p>
      <w:pPr>
        <w:numPr>
          <w:ilvl w:val="0"/>
          <w:numId w:val="6"/>
        </w:numPr>
        <w:shd w:val="clear" w:fill="FFFFFF"/>
        <w:tabs>
          <w:tab w:val="left" w:pos="993" w:leader="none"/>
        </w:tabs>
        <w:spacing w:lineRule="auto" w:line="360" w:after="0" w:beforeAutospacing="0" w:afterAutospacing="0"/>
        <w:ind w:firstLine="709" w:left="0"/>
        <w:jc w:val="both"/>
        <w:rPr>
          <w:rFonts w:ascii="Times New Roman" w:hAnsi="Times New Roman" w:cs="Times New Roman" w:eastAsia="Times New Roman"/>
          <w:sz w:val="28"/>
          <w:szCs w:val="28"/>
          <w:highlight w:val="green"/>
          <w:lang w:eastAsia="ru-RU"/>
        </w:rPr>
      </w:pPr>
      <w:r>
        <w:rPr>
          <w:rFonts w:ascii="Times New Roman" w:hAnsi="Times New Roman" w:cs="Times New Roman" w:eastAsia="Times New Roman"/>
          <w:sz w:val="28"/>
          <w:szCs w:val="28"/>
          <w:highlight w:val="green"/>
          <w:lang w:eastAsia="ru-RU"/>
        </w:rPr>
        <w:t xml:space="preserve">  Бринчук М.М. Концепция устойчивого развития как методологическая основа цивилизационного развития // Государство и право. 2019. № 10. С. 15-24.</w:t>
      </w:r>
    </w:p>
    <w:p>
      <w:pPr>
        <w:numPr>
          <w:ilvl w:val="0"/>
          <w:numId w:val="6"/>
        </w:numPr>
        <w:shd w:val="clear" w:fill="FFFFFF"/>
        <w:tabs>
          <w:tab w:val="left" w:pos="993" w:leader="none"/>
        </w:tabs>
        <w:spacing w:lineRule="auto" w:line="360" w:after="0" w:beforeAutospacing="0" w:afterAutospacing="0"/>
        <w:ind w:firstLine="709" w:left="0"/>
        <w:jc w:val="both"/>
        <w:rPr>
          <w:rFonts w:ascii="Times New Roman" w:hAnsi="Times New Roman" w:cs="Times New Roman" w:eastAsia="Times New Roman"/>
          <w:sz w:val="28"/>
          <w:szCs w:val="28"/>
          <w:highlight w:val="green"/>
          <w:lang w:eastAsia="ru-RU"/>
        </w:rPr>
      </w:pPr>
      <w:r>
        <w:rPr>
          <w:rFonts w:ascii="Times New Roman" w:hAnsi="Times New Roman" w:cs="Times New Roman"/>
          <w:sz w:val="28"/>
          <w:szCs w:val="28"/>
          <w:highlight w:val="green"/>
        </w:rPr>
        <w:t>Глобальный договор ООН [Электронный ресурс]. Режим доступа: https://www.un.org/ru/36167 (дата обращения 17.04.2023).</w:t>
      </w:r>
    </w:p>
    <w:p>
      <w:pPr>
        <w:numPr>
          <w:ilvl w:val="0"/>
          <w:numId w:val="6"/>
        </w:numPr>
        <w:shd w:val="clear" w:fill="FFFFFF"/>
        <w:tabs>
          <w:tab w:val="left" w:pos="993" w:leader="none"/>
        </w:tabs>
        <w:spacing w:lineRule="auto" w:line="360" w:after="0" w:beforeAutospacing="0" w:afterAutospacing="0"/>
        <w:ind w:firstLine="709" w:left="0"/>
        <w:jc w:val="both"/>
        <w:rPr>
          <w:rFonts w:ascii="Times New Roman" w:hAnsi="Times New Roman" w:cs="Times New Roman" w:eastAsia="Times New Roman"/>
          <w:sz w:val="28"/>
          <w:szCs w:val="28"/>
          <w:highlight w:val="green"/>
          <w:lang w:eastAsia="ru-RU"/>
        </w:rPr>
      </w:pPr>
      <w:r>
        <w:rPr>
          <w:rFonts w:ascii="Times New Roman" w:hAnsi="Times New Roman" w:cs="Times New Roman"/>
          <w:sz w:val="28"/>
          <w:szCs w:val="28"/>
          <w:highlight w:val="green"/>
        </w:rPr>
        <w:t xml:space="preserve">Давосский манифест [Электронный ресурс]. Режим доступа: weforum.org </w:t>
      </w:r>
      <w:r>
        <w:rPr>
          <w:rFonts w:ascii="Times New Roman" w:hAnsi="Times New Roman" w:cs="Times New Roman"/>
          <w:sz w:val="28"/>
          <w:szCs w:val="28"/>
          <w:highlight w:val="green"/>
          <w:lang w:val="en-US"/>
        </w:rPr>
        <w:t>Davoser</w:t>
      </w:r>
      <w:r>
        <w:rPr>
          <w:rFonts w:ascii="Times New Roman" w:hAnsi="Times New Roman" w:cs="Times New Roman"/>
          <w:sz w:val="28"/>
          <w:szCs w:val="28"/>
          <w:highlight w:val="green"/>
        </w:rPr>
        <w:t>_</w:t>
      </w:r>
      <w:r>
        <w:rPr>
          <w:rFonts w:ascii="Times New Roman" w:hAnsi="Times New Roman" w:cs="Times New Roman"/>
          <w:sz w:val="28"/>
          <w:szCs w:val="28"/>
          <w:highlight w:val="green"/>
          <w:lang w:val="en-US"/>
        </w:rPr>
        <w:t>Manifest</w:t>
      </w:r>
      <w:r>
        <w:rPr>
          <w:rFonts w:ascii="Times New Roman" w:hAnsi="Times New Roman" w:cs="Times New Roman"/>
          <w:sz w:val="28"/>
          <w:szCs w:val="28"/>
          <w:highlight w:val="green"/>
        </w:rPr>
        <w:t>_(1973) (дата обращения 22.11.2022).</w:t>
      </w:r>
    </w:p>
    <w:p>
      <w:pPr>
        <w:pStyle w:val="P15"/>
        <w:widowControl w:val="1"/>
        <w:numPr>
          <w:ilvl w:val="0"/>
          <w:numId w:val="6"/>
        </w:numPr>
        <w:spacing w:lineRule="auto" w:line="360" w:beforeAutospacing="0" w:afterAutospacing="0"/>
        <w:ind w:firstLine="709" w:left="0"/>
        <w:contextualSpacing w:val="1"/>
        <w:jc w:val="both"/>
        <w:rPr>
          <w:sz w:val="28"/>
          <w:szCs w:val="28"/>
          <w:highlight w:val="green"/>
          <w:lang w:val="ru-RU"/>
        </w:rPr>
      </w:pPr>
      <w:r>
        <w:rPr>
          <w:sz w:val="28"/>
          <w:szCs w:val="28"/>
          <w:highlight w:val="green"/>
          <w:lang w:val="ru-RU"/>
        </w:rPr>
        <w:t xml:space="preserve">Йео Наннеин Государственное регулирование инновационной политики сельского хозяйства республики Кот-д'Ивуар // экономика и предпринимательство журнал – 2016 - № 12 (ч. 1) (77-1), - С.1176-1179  </w:t>
      </w:r>
    </w:p>
    <w:p>
      <w:pPr>
        <w:pStyle w:val="P15"/>
        <w:widowControl w:val="1"/>
        <w:numPr>
          <w:ilvl w:val="0"/>
          <w:numId w:val="6"/>
        </w:numPr>
        <w:spacing w:lineRule="auto" w:line="360" w:beforeAutospacing="0" w:afterAutospacing="0"/>
        <w:ind w:firstLine="709" w:left="0"/>
        <w:contextualSpacing w:val="1"/>
        <w:jc w:val="both"/>
        <w:rPr>
          <w:sz w:val="28"/>
          <w:szCs w:val="28"/>
          <w:highlight w:val="green"/>
          <w:lang w:val="ru-RU"/>
        </w:rPr>
      </w:pPr>
      <w:r>
        <w:rPr>
          <w:sz w:val="28"/>
          <w:szCs w:val="28"/>
          <w:highlight w:val="green"/>
          <w:lang w:val="ru-RU"/>
        </w:rPr>
        <w:t xml:space="preserve">Йео Наннеин К вопросу роста экономики Республики Кот-д'Ивуар посредством инноваций в сфере сельского хозяйства // Конкурентоспособность в глобальном мире: экономика, наука, технологии, научный журнал, 2017 - № 3 (ч. 2), - С.63-65  </w:t>
      </w:r>
    </w:p>
    <w:p>
      <w:pPr>
        <w:pStyle w:val="P15"/>
        <w:widowControl w:val="1"/>
        <w:numPr>
          <w:ilvl w:val="0"/>
          <w:numId w:val="6"/>
        </w:numPr>
        <w:spacing w:lineRule="auto" w:line="360" w:beforeAutospacing="0" w:afterAutospacing="0"/>
        <w:ind w:firstLine="709" w:left="0"/>
        <w:contextualSpacing w:val="1"/>
        <w:jc w:val="both"/>
        <w:rPr>
          <w:sz w:val="28"/>
          <w:szCs w:val="28"/>
          <w:highlight w:val="green"/>
          <w:lang w:val="ru-RU"/>
        </w:rPr>
      </w:pPr>
      <w:r>
        <w:rPr>
          <w:sz w:val="28"/>
          <w:szCs w:val="28"/>
          <w:highlight w:val="green"/>
          <w:lang w:val="ru-RU"/>
        </w:rPr>
        <w:t xml:space="preserve">Йео Наннеин Основные направления оптимизации инновационной политики в сельском хозяйстве Кот-д'Ивуар // Международный научно-исследовательский журнал –  Екатеринбург 2017. - № 01(55) (ч. 1), - С. 21-23 </w:t>
      </w:r>
    </w:p>
    <w:p>
      <w:pPr>
        <w:pStyle w:val="P15"/>
        <w:widowControl w:val="1"/>
        <w:numPr>
          <w:ilvl w:val="0"/>
          <w:numId w:val="6"/>
        </w:numPr>
        <w:spacing w:lineRule="auto" w:line="360" w:beforeAutospacing="0" w:afterAutospacing="0"/>
        <w:ind w:firstLine="709" w:left="0"/>
        <w:contextualSpacing w:val="1"/>
        <w:jc w:val="both"/>
        <w:rPr>
          <w:sz w:val="28"/>
          <w:szCs w:val="28"/>
          <w:highlight w:val="green"/>
          <w:lang w:val="ru-RU"/>
        </w:rPr>
      </w:pPr>
      <w:r>
        <w:rPr>
          <w:sz w:val="28"/>
          <w:szCs w:val="28"/>
          <w:highlight w:val="green"/>
          <w:lang w:val="ru-RU"/>
        </w:rPr>
        <w:t xml:space="preserve">Йео Наннеин Определение понятий инновации и инновационный процесс // Экономика и мы – новые идеи. </w:t>
      </w:r>
      <w:r>
        <w:rPr>
          <w:sz w:val="28"/>
          <w:szCs w:val="28"/>
          <w:highlight w:val="green"/>
        </w:rPr>
        <w:t>V</w:t>
      </w:r>
      <w:r>
        <w:rPr>
          <w:sz w:val="28"/>
          <w:szCs w:val="28"/>
          <w:highlight w:val="green"/>
          <w:lang w:val="ru-RU"/>
        </w:rPr>
        <w:t xml:space="preserve"> Международная научно-практическая конференция студентов, аспирантов и молодых ученых, Астрахань, 20 апреля 2016 года: сборник научных статей / под общ. ред. Е. П. Карлиной, Н. А. Дубининой; Астрахан. гос. техн. ун-т. – Астрахань: Изд-во АГТУ, 2016. – 332 с. - С. 195-198</w:t>
      </w:r>
    </w:p>
    <w:p>
      <w:pPr>
        <w:pStyle w:val="P15"/>
        <w:widowControl w:val="1"/>
        <w:numPr>
          <w:ilvl w:val="0"/>
          <w:numId w:val="6"/>
        </w:numPr>
        <w:spacing w:lineRule="auto" w:line="360" w:beforeAutospacing="0" w:afterAutospacing="0"/>
        <w:ind w:firstLine="709" w:left="0"/>
        <w:contextualSpacing w:val="1"/>
        <w:jc w:val="both"/>
        <w:rPr>
          <w:sz w:val="28"/>
          <w:szCs w:val="28"/>
          <w:highlight w:val="yellow"/>
          <w:lang w:val="ru-RU"/>
        </w:rPr>
      </w:pPr>
      <w:r>
        <w:rPr>
          <w:sz w:val="28"/>
          <w:szCs w:val="28"/>
          <w:highlight w:val="green"/>
          <w:lang w:val="ru-RU"/>
        </w:rPr>
        <w:t>Йео Нанниен Инновационное развитие Республики Кот-д'Ивуар // Актуальные проблемы экономики и управления на мезо- и макроуровнях в современных условиях; конференции в КГУ, сборник научных статей / Элиста: Изд-во Калм. ун-та, 14 октября 2016</w:t>
      </w:r>
    </w:p>
    <w:p>
      <w:pPr>
        <w:pStyle w:val="P15"/>
        <w:widowControl w:val="1"/>
        <w:numPr>
          <w:ilvl w:val="0"/>
          <w:numId w:val="6"/>
        </w:numPr>
        <w:spacing w:lineRule="auto" w:line="360" w:beforeAutospacing="0" w:afterAutospacing="0"/>
        <w:ind w:firstLine="709" w:left="0"/>
        <w:contextualSpacing w:val="1"/>
        <w:jc w:val="both"/>
        <w:rPr>
          <w:bCs w:val="1"/>
          <w:sz w:val="18"/>
          <w:szCs w:val="18"/>
          <w:highlight w:val="magenta"/>
          <w:spacing w:val="-2"/>
        </w:rPr>
      </w:pPr>
      <w:r>
        <w:rPr>
          <w:sz w:val="28"/>
          <w:szCs w:val="28"/>
          <w:highlight w:val="magenta"/>
          <w:lang w:val="ru-RU"/>
        </w:rPr>
        <w:t>Йео Нанниен Инновационная политика в сфере сельского хозяйства // «Человеческий капитал как ведущий фактор инновационного развития национальной экономики», межрегиональная науч.-практ. конф. (2015; Элиста). межрег. научно-практическая конф. «Человеческий капитал как ведущий фактор инновационного развития национальной экономики», 28-29 мая 2015 г.: Регион. отд. Научная школа «Экономическая теория» ФГБОУ ВПО «КалмГУ». - С. 77-7</w:t>
      </w:r>
      <w:r>
        <w:rPr>
          <w:sz w:val="28"/>
          <w:szCs w:val="28"/>
          <w:highlight w:val="magenta"/>
        </w:rPr>
        <w:t>8</w:t>
      </w:r>
      <w:r>
        <w:rPr>
          <w:sz w:val="28"/>
          <w:szCs w:val="28"/>
          <w:highlight w:val="magenta"/>
          <w:lang w:val="ru-RU"/>
        </w:rPr>
        <w:t>.</w:t>
      </w:r>
    </w:p>
    <w:p>
      <w:pPr>
        <w:pStyle w:val="P15"/>
        <w:widowControl w:val="1"/>
        <w:numPr>
          <w:ilvl w:val="0"/>
          <w:numId w:val="6"/>
        </w:numPr>
        <w:spacing w:lineRule="auto" w:line="360" w:beforeAutospacing="0" w:afterAutospacing="0"/>
        <w:ind w:firstLine="709" w:left="0"/>
        <w:contextualSpacing w:val="1"/>
        <w:jc w:val="both"/>
        <w:rPr>
          <w:bCs w:val="1"/>
          <w:sz w:val="18"/>
          <w:szCs w:val="18"/>
          <w:highlight w:val="magenta"/>
          <w:spacing w:val="-2"/>
          <w:lang w:val="ru-RU"/>
        </w:rPr>
      </w:pPr>
      <w:r>
        <w:rPr>
          <w:sz w:val="28"/>
          <w:szCs w:val="28"/>
          <w:highlight w:val="magenta"/>
          <w:lang w:val="ru-RU"/>
        </w:rPr>
        <w:t xml:space="preserve">Йео Наннеин </w:t>
      </w:r>
      <w:r>
        <w:rPr>
          <w:bCs w:val="1"/>
          <w:sz w:val="18"/>
          <w:szCs w:val="18"/>
          <w:highlight w:val="magenta"/>
          <w:spacing w:val="-2"/>
          <w:lang w:val="ru-RU"/>
        </w:rPr>
        <w:t>Петров А.А. Импортозамещение: проблемы и прогнозы // Сборник статей Международной научно-практической конференции «НАУЧНЫЕ ИССЛЕДОВАНИЯ В ВЫСШЕЙ ШКОЛЕ: НОВЫЕ ИДЕИ, ПРОБЛЕМЫ ВНЕДРЕНИЯ, ПОИСК РЕШЕНИЙ » (г. Оренбург, 25 августа 2023 г.). – Уфа: Аэтерна, 2023. – с. 50-88</w:t>
      </w:r>
    </w:p>
    <w:p>
      <w:pPr>
        <w:pStyle w:val="P15"/>
        <w:widowControl w:val="1"/>
        <w:numPr>
          <w:ilvl w:val="0"/>
          <w:numId w:val="6"/>
        </w:numPr>
        <w:spacing w:lineRule="auto" w:line="360" w:beforeAutospacing="0" w:afterAutospacing="0"/>
        <w:ind w:firstLine="709" w:left="0"/>
        <w:contextualSpacing w:val="1"/>
        <w:jc w:val="both"/>
        <w:rPr>
          <w:bCs w:val="1"/>
          <w:sz w:val="28"/>
          <w:szCs w:val="28"/>
          <w:highlight w:val="magenta"/>
          <w:lang w:val="ru-RU"/>
        </w:rPr>
      </w:pPr>
      <w:r>
        <w:rPr>
          <w:sz w:val="28"/>
          <w:szCs w:val="28"/>
          <w:highlight w:val="magenta"/>
          <w:lang w:val="ru-RU"/>
        </w:rPr>
        <w:t xml:space="preserve">Йео Наннеин </w:t>
      </w:r>
      <w:r>
        <w:rPr>
          <w:bCs w:val="1"/>
          <w:sz w:val="18"/>
          <w:szCs w:val="18"/>
          <w:highlight w:val="magenta"/>
          <w:spacing w:val="-2"/>
          <w:lang w:val="ru-RU"/>
        </w:rPr>
        <w:t>Петров А.А. Импортозамещение: проблемы и прогнозы // Сборник статей Международной научно-практической конференции «ПРОРЫВНЫЕ НАУЧНЫЕ ИССЛЕДОВАНИЯ КАК ДВИГАТЕЛЬ НАУКИ» (Самара, 15 августа 2023 г.). – Уфа: Аэтерна, 2023. – с. 50-88</w:t>
      </w:r>
    </w:p>
    <w:p>
      <w:pPr>
        <w:pStyle w:val="P15"/>
        <w:widowControl w:val="1"/>
        <w:numPr>
          <w:ilvl w:val="0"/>
          <w:numId w:val="6"/>
        </w:numPr>
        <w:spacing w:lineRule="auto" w:line="360" w:beforeAutospacing="0" w:afterAutospacing="0"/>
        <w:ind w:firstLine="709" w:left="0"/>
        <w:contextualSpacing w:val="1"/>
        <w:jc w:val="both"/>
        <w:rPr>
          <w:bCs w:val="1"/>
          <w:sz w:val="28"/>
          <w:szCs w:val="28"/>
          <w:highlight w:val="magenta"/>
        </w:rPr>
      </w:pPr>
      <w:r>
        <w:rPr>
          <w:sz w:val="28"/>
          <w:szCs w:val="28"/>
          <w:highlight w:val="magenta"/>
        </w:rPr>
        <w:t xml:space="preserve">Йео </w:t>
      </w:r>
      <w:r>
        <w:rPr>
          <w:sz w:val="28"/>
          <w:szCs w:val="28"/>
          <w:highlight w:val="magenta"/>
          <w:lang w:val="ru-RU"/>
        </w:rPr>
        <w:t>Наннеин</w:t>
      </w:r>
      <w:r>
        <w:rPr>
          <w:sz w:val="28"/>
          <w:szCs w:val="28"/>
          <w:highlight w:val="magenta"/>
        </w:rPr>
        <w:t xml:space="preserve"> </w:t>
      </w:r>
      <w:r>
        <w:rPr>
          <w:sz w:val="28"/>
          <w:szCs w:val="28"/>
          <w:highlight w:val="magenta"/>
          <w:lang w:val="ru-RU"/>
        </w:rPr>
        <w:t>Сибак</w:t>
      </w:r>
    </w:p>
    <w:p>
      <w:pPr>
        <w:pStyle w:val="P15"/>
        <w:widowControl w:val="1"/>
        <w:numPr>
          <w:ilvl w:val="0"/>
          <w:numId w:val="6"/>
        </w:numPr>
        <w:spacing w:lineRule="auto" w:line="360" w:beforeAutospacing="0" w:afterAutospacing="0"/>
        <w:ind w:firstLine="709" w:left="0"/>
        <w:contextualSpacing w:val="1"/>
        <w:jc w:val="both"/>
        <w:rPr>
          <w:bCs w:val="1"/>
          <w:sz w:val="28"/>
          <w:szCs w:val="28"/>
          <w:highlight w:val="magenta"/>
        </w:rPr>
      </w:pPr>
      <w:r>
        <w:rPr>
          <w:sz w:val="28"/>
          <w:szCs w:val="28"/>
          <w:highlight w:val="magenta"/>
        </w:rPr>
        <w:t xml:space="preserve">Йео </w:t>
      </w:r>
      <w:r>
        <w:rPr>
          <w:sz w:val="28"/>
          <w:szCs w:val="28"/>
          <w:highlight w:val="magenta"/>
          <w:lang w:val="ru-RU"/>
        </w:rPr>
        <w:t>Наннеин</w:t>
      </w:r>
      <w:r>
        <w:rPr>
          <w:sz w:val="28"/>
          <w:szCs w:val="28"/>
          <w:highlight w:val="magenta"/>
        </w:rPr>
        <w:t xml:space="preserve"> </w:t>
      </w:r>
      <w:r>
        <w:rPr>
          <w:sz w:val="28"/>
          <w:szCs w:val="28"/>
          <w:highlight w:val="magenta"/>
          <w:lang w:val="ru-RU"/>
        </w:rPr>
        <w:t>Вестник СКФУ</w:t>
      </w:r>
    </w:p>
    <w:p>
      <w:pPr>
        <w:pStyle w:val="P15"/>
        <w:widowControl w:val="1"/>
        <w:numPr>
          <w:ilvl w:val="0"/>
          <w:numId w:val="6"/>
        </w:numPr>
        <w:spacing w:lineRule="auto" w:line="360" w:beforeAutospacing="0" w:afterAutospacing="0"/>
        <w:ind w:firstLine="709" w:left="0"/>
        <w:contextualSpacing w:val="1"/>
        <w:jc w:val="both"/>
        <w:rPr>
          <w:bCs w:val="1"/>
          <w:sz w:val="28"/>
          <w:szCs w:val="28"/>
          <w:highlight w:val="magenta"/>
          <w:lang w:val="ru-RU"/>
        </w:rPr>
      </w:pPr>
      <w:r>
        <w:rPr>
          <w:sz w:val="28"/>
          <w:szCs w:val="28"/>
          <w:highlight w:val="magenta"/>
          <w:lang w:val="ru-RU"/>
        </w:rPr>
        <w:t>Йео Наннеин ЭиУ проблемы решения</w:t>
      </w:r>
    </w:p>
    <w:p>
      <w:pPr>
        <w:numPr>
          <w:ilvl w:val="0"/>
          <w:numId w:val="6"/>
        </w:numPr>
        <w:shd w:val="clear" w:fill="FFFFFF"/>
        <w:tabs>
          <w:tab w:val="left" w:pos="993" w:leader="none"/>
        </w:tabs>
        <w:spacing w:lineRule="auto" w:line="360" w:after="0" w:beforeAutospacing="0" w:afterAutospacing="0"/>
        <w:ind w:firstLine="709" w:left="0"/>
        <w:jc w:val="both"/>
        <w:rPr>
          <w:rFonts w:ascii="Times New Roman" w:hAnsi="Times New Roman" w:cs="Times New Roman" w:eastAsia="Times New Roman"/>
          <w:sz w:val="28"/>
          <w:szCs w:val="28"/>
          <w:highlight w:val="green"/>
          <w:lang w:eastAsia="ru-RU"/>
        </w:rPr>
      </w:pPr>
      <w:bookmarkStart w:id="53" w:name="_Hlk143542014"/>
      <w:r>
        <w:rPr>
          <w:rFonts w:ascii="Times New Roman" w:hAnsi="Times New Roman" w:cs="Times New Roman" w:eastAsia="Times New Roman"/>
          <w:sz w:val="28"/>
          <w:szCs w:val="28"/>
          <w:highlight w:val="green"/>
          <w:lang w:eastAsia="ru-RU"/>
        </w:rPr>
        <w:t xml:space="preserve">Кукушкина А.В. </w:t>
      </w:r>
      <w:r>
        <w:rPr>
          <w:rFonts w:ascii="Times New Roman" w:hAnsi="Times New Roman" w:cs="Times New Roman" w:eastAsia="Times New Roman"/>
          <w:sz w:val="28"/>
          <w:szCs w:val="28"/>
          <w:lang w:eastAsia="ru-RU"/>
        </w:rPr>
        <w:t>Международно-правовые аспекты концепции устойчивого развития</w:t>
      </w:r>
      <w:r>
        <w:rPr>
          <w:rFonts w:ascii="Times New Roman" w:hAnsi="Times New Roman" w:cs="Times New Roman" w:eastAsia="Times New Roman"/>
          <w:sz w:val="28"/>
          <w:szCs w:val="28"/>
          <w:highlight w:val="green"/>
          <w:lang w:eastAsia="ru-RU"/>
        </w:rPr>
        <w:t xml:space="preserve">//Московский журнал международного права. 2019. № 1. С. </w:t>
      </w:r>
      <w:r>
        <w:rPr>
          <w:rFonts w:ascii="Times New Roman" w:hAnsi="Times New Roman" w:cs="Times New Roman" w:eastAsia="Times New Roman"/>
          <w:sz w:val="28"/>
          <w:szCs w:val="28"/>
          <w:lang w:eastAsia="ru-RU"/>
        </w:rPr>
        <w:t>54–68</w:t>
      </w:r>
      <w:r>
        <w:rPr>
          <w:rFonts w:ascii="Times New Roman" w:hAnsi="Times New Roman" w:cs="Times New Roman" w:eastAsia="Times New Roman"/>
          <w:sz w:val="28"/>
          <w:szCs w:val="28"/>
          <w:highlight w:val="green"/>
          <w:lang w:eastAsia="ru-RU"/>
        </w:rPr>
        <w:t>. </w:t>
      </w:r>
      <w:bookmarkEnd w:id="53"/>
    </w:p>
    <w:p>
      <w:pPr>
        <w:numPr>
          <w:ilvl w:val="0"/>
          <w:numId w:val="6"/>
        </w:numPr>
        <w:shd w:val="clear" w:fill="FFFFFF"/>
        <w:tabs>
          <w:tab w:val="left" w:pos="993" w:leader="none"/>
        </w:tabs>
        <w:spacing w:lineRule="auto" w:line="360" w:after="0" w:beforeAutospacing="0" w:afterAutospacing="0"/>
        <w:ind w:firstLine="709" w:left="0"/>
        <w:jc w:val="both"/>
        <w:rPr>
          <w:rFonts w:ascii="Times New Roman" w:hAnsi="Times New Roman" w:cs="Times New Roman" w:eastAsia="Times New Roman"/>
          <w:sz w:val="28"/>
          <w:szCs w:val="28"/>
          <w:highlight w:val="green"/>
          <w:lang w:eastAsia="ru-RU"/>
        </w:rPr>
      </w:pPr>
      <w:r>
        <w:rPr>
          <w:rFonts w:ascii="Times New Roman" w:hAnsi="Times New Roman" w:cs="Times New Roman" w:eastAsia="Times New Roman"/>
          <w:sz w:val="28"/>
          <w:szCs w:val="28"/>
          <w:highlight w:val="green"/>
          <w:lang w:eastAsia="ru-RU"/>
        </w:rPr>
        <w:t>Миркин Б.М., Наумова Л.Г. Устойчивое развитие: вводный курс: учеб. пособие. – М.: Университетская книга, 2018. – 312 с.</w:t>
      </w:r>
    </w:p>
    <w:p>
      <w:pPr>
        <w:numPr>
          <w:ilvl w:val="0"/>
          <w:numId w:val="6"/>
        </w:numPr>
        <w:shd w:val="clear" w:fill="FFFFFF"/>
        <w:tabs>
          <w:tab w:val="left" w:pos="993" w:leader="none"/>
        </w:tabs>
        <w:spacing w:lineRule="auto" w:line="360" w:after="0" w:beforeAutospacing="0" w:afterAutospacing="0"/>
        <w:ind w:firstLine="709" w:left="0"/>
        <w:jc w:val="both"/>
        <w:rPr>
          <w:rFonts w:ascii="Times New Roman" w:hAnsi="Times New Roman" w:cs="Times New Roman" w:eastAsia="Times New Roman"/>
          <w:sz w:val="28"/>
          <w:szCs w:val="28"/>
          <w:highlight w:val="green"/>
          <w:lang w:eastAsia="ru-RU"/>
        </w:rPr>
      </w:pPr>
      <w:r>
        <w:rPr>
          <w:rFonts w:ascii="Times New Roman" w:hAnsi="Times New Roman" w:cs="Times New Roman"/>
          <w:sz w:val="28"/>
          <w:szCs w:val="28"/>
          <w:highlight w:val="green"/>
        </w:rPr>
        <w:t xml:space="preserve">Отчет Комиссии Брундтланд </w:t>
      </w:r>
      <w:r>
        <w:rPr>
          <w:rFonts w:ascii="Times New Roman" w:hAnsi="Times New Roman" w:cs="Times New Roman"/>
          <w:sz w:val="28"/>
          <w:szCs w:val="28"/>
        </w:rPr>
        <w:t>ООН — A/42/427</w:t>
      </w:r>
      <w:r>
        <w:rPr>
          <w:rFonts w:ascii="Times New Roman" w:hAnsi="Times New Roman" w:cs="Times New Roman"/>
          <w:sz w:val="28"/>
          <w:szCs w:val="28"/>
          <w:highlight w:val="green"/>
        </w:rPr>
        <w:t xml:space="preserve"> [Электронный ресурс]. Режим доступа: </w:t>
      </w:r>
      <w:r>
        <w:rPr>
          <w:rFonts w:ascii="Times New Roman" w:hAnsi="Times New Roman" w:cs="Times New Roman"/>
          <w:sz w:val="28"/>
          <w:szCs w:val="28"/>
          <w:highlight w:val="green"/>
          <w:lang w:val="en-US"/>
        </w:rPr>
        <w:t>https</w:t>
      </w:r>
      <w:r>
        <w:rPr>
          <w:rFonts w:ascii="Times New Roman" w:hAnsi="Times New Roman" w:cs="Times New Roman"/>
          <w:sz w:val="28"/>
          <w:szCs w:val="28"/>
          <w:highlight w:val="green"/>
        </w:rPr>
        <w:t>://</w:t>
      </w:r>
      <w:r>
        <w:rPr>
          <w:rFonts w:ascii="Times New Roman" w:hAnsi="Times New Roman" w:cs="Times New Roman"/>
          <w:sz w:val="28"/>
          <w:szCs w:val="28"/>
          <w:highlight w:val="green"/>
          <w:lang w:val="en-US"/>
        </w:rPr>
        <w:t>www</w:t>
      </w:r>
      <w:r>
        <w:rPr>
          <w:rFonts w:ascii="Times New Roman" w:hAnsi="Times New Roman" w:cs="Times New Roman"/>
          <w:sz w:val="28"/>
          <w:szCs w:val="28"/>
          <w:highlight w:val="green"/>
        </w:rPr>
        <w:t>.</w:t>
      </w:r>
      <w:r>
        <w:rPr>
          <w:rFonts w:ascii="Times New Roman" w:hAnsi="Times New Roman" w:cs="Times New Roman"/>
          <w:sz w:val="28"/>
          <w:szCs w:val="28"/>
          <w:highlight w:val="green"/>
          <w:lang w:val="en-US"/>
        </w:rPr>
        <w:t>un</w:t>
      </w:r>
      <w:r>
        <w:rPr>
          <w:rFonts w:ascii="Times New Roman" w:hAnsi="Times New Roman" w:cs="Times New Roman"/>
          <w:sz w:val="28"/>
          <w:szCs w:val="28"/>
          <w:highlight w:val="green"/>
        </w:rPr>
        <w:t>.</w:t>
      </w:r>
      <w:r>
        <w:rPr>
          <w:rFonts w:ascii="Times New Roman" w:hAnsi="Times New Roman" w:cs="Times New Roman"/>
          <w:sz w:val="28"/>
          <w:szCs w:val="28"/>
          <w:highlight w:val="green"/>
          <w:lang w:val="en-US"/>
        </w:rPr>
        <w:t>org</w:t>
      </w:r>
      <w:r>
        <w:rPr>
          <w:rFonts w:ascii="Times New Roman" w:hAnsi="Times New Roman" w:cs="Times New Roman"/>
          <w:sz w:val="28"/>
          <w:szCs w:val="28"/>
          <w:highlight w:val="green"/>
        </w:rPr>
        <w:t>/</w:t>
      </w:r>
      <w:r>
        <w:rPr>
          <w:rFonts w:ascii="Times New Roman" w:hAnsi="Times New Roman" w:cs="Times New Roman"/>
          <w:sz w:val="28"/>
          <w:szCs w:val="28"/>
          <w:highlight w:val="green"/>
          <w:lang w:val="en-US"/>
        </w:rPr>
        <w:t>ru</w:t>
      </w:r>
      <w:r>
        <w:rPr>
          <w:rFonts w:ascii="Times New Roman" w:hAnsi="Times New Roman" w:cs="Times New Roman"/>
          <w:sz w:val="28"/>
          <w:szCs w:val="28"/>
          <w:highlight w:val="green"/>
        </w:rPr>
        <w:t>/</w:t>
      </w:r>
      <w:r>
        <w:rPr>
          <w:rFonts w:ascii="Times New Roman" w:hAnsi="Times New Roman" w:cs="Times New Roman"/>
          <w:sz w:val="28"/>
          <w:szCs w:val="28"/>
          <w:highlight w:val="green"/>
          <w:lang w:val="en-US"/>
        </w:rPr>
        <w:t>ga</w:t>
      </w:r>
      <w:r>
        <w:rPr>
          <w:rFonts w:ascii="Times New Roman" w:hAnsi="Times New Roman" w:cs="Times New Roman"/>
          <w:sz w:val="28"/>
          <w:szCs w:val="28"/>
          <w:highlight w:val="green"/>
        </w:rPr>
        <w:t>/</w:t>
      </w:r>
      <w:r>
        <w:rPr>
          <w:rFonts w:ascii="Times New Roman" w:hAnsi="Times New Roman" w:cs="Times New Roman"/>
          <w:sz w:val="28"/>
          <w:szCs w:val="28"/>
          <w:highlight w:val="green"/>
          <w:lang w:val="en-US"/>
        </w:rPr>
        <w:t>pdf</w:t>
      </w:r>
      <w:r>
        <w:rPr>
          <w:rFonts w:ascii="Times New Roman" w:hAnsi="Times New Roman" w:cs="Times New Roman"/>
          <w:sz w:val="28"/>
          <w:szCs w:val="28"/>
          <w:highlight w:val="green"/>
        </w:rPr>
        <w:t>/</w:t>
      </w:r>
      <w:r>
        <w:rPr>
          <w:rFonts w:ascii="Times New Roman" w:hAnsi="Times New Roman" w:cs="Times New Roman"/>
          <w:sz w:val="28"/>
          <w:szCs w:val="28"/>
          <w:highlight w:val="green"/>
          <w:lang w:val="en-US"/>
        </w:rPr>
        <w:t>brundtland</w:t>
      </w:r>
      <w:r>
        <w:rPr>
          <w:rFonts w:ascii="Times New Roman" w:hAnsi="Times New Roman" w:cs="Times New Roman"/>
          <w:sz w:val="28"/>
          <w:szCs w:val="28"/>
          <w:highlight w:val="green"/>
        </w:rPr>
        <w:t>.</w:t>
      </w:r>
      <w:r>
        <w:rPr>
          <w:rFonts w:ascii="Times New Roman" w:hAnsi="Times New Roman" w:cs="Times New Roman"/>
          <w:sz w:val="28"/>
          <w:szCs w:val="28"/>
          <w:highlight w:val="green"/>
          <w:lang w:val="en-US"/>
        </w:rPr>
        <w:t>pdf</w:t>
      </w:r>
      <w:r>
        <w:rPr>
          <w:rFonts w:ascii="Times New Roman" w:hAnsi="Times New Roman" w:cs="Times New Roman"/>
          <w:b w:val="1"/>
          <w:bCs w:val="1"/>
          <w:sz w:val="28"/>
          <w:szCs w:val="28"/>
          <w:highlight w:val="green"/>
        </w:rPr>
        <w:t xml:space="preserve"> </w:t>
      </w:r>
      <w:r>
        <w:rPr>
          <w:rFonts w:ascii="Times New Roman" w:hAnsi="Times New Roman" w:cs="Times New Roman"/>
          <w:sz w:val="28"/>
          <w:szCs w:val="28"/>
          <w:highlight w:val="green"/>
        </w:rPr>
        <w:t>(дата обращения 16.11.2022).</w:t>
      </w:r>
    </w:p>
    <w:p>
      <w:pPr>
        <w:numPr>
          <w:ilvl w:val="0"/>
          <w:numId w:val="6"/>
        </w:numPr>
        <w:shd w:val="clear" w:fill="FFFFFF"/>
        <w:tabs>
          <w:tab w:val="left" w:pos="993" w:leader="none"/>
        </w:tabs>
        <w:spacing w:lineRule="auto" w:line="360" w:after="0" w:beforeAutospacing="0" w:afterAutospacing="0"/>
        <w:ind w:firstLine="709" w:left="0"/>
        <w:jc w:val="both"/>
        <w:rPr>
          <w:rFonts w:ascii="Times New Roman" w:hAnsi="Times New Roman" w:cs="Times New Roman" w:eastAsia="Times New Roman"/>
          <w:sz w:val="28"/>
          <w:szCs w:val="28"/>
          <w:highlight w:val="green"/>
          <w:lang w:eastAsia="ru-RU"/>
        </w:rPr>
      </w:pPr>
      <w:r>
        <w:rPr>
          <w:rFonts w:ascii="Times New Roman" w:hAnsi="Times New Roman" w:cs="Times New Roman" w:eastAsia="Times New Roman"/>
          <w:sz w:val="28"/>
          <w:szCs w:val="28"/>
          <w:highlight w:val="green"/>
          <w:lang w:eastAsia="ru-RU"/>
        </w:rPr>
        <w:t>Сериков С.Г. Концепция устойчивого развития: теоретический аспект // Сибирская финансовая школа. 2019. № 4 (117). С. 36-40.</w:t>
      </w:r>
    </w:p>
    <w:p>
      <w:pPr>
        <w:numPr>
          <w:ilvl w:val="0"/>
          <w:numId w:val="6"/>
        </w:numPr>
        <w:shd w:val="clear" w:fill="FFFFFF"/>
        <w:tabs>
          <w:tab w:val="left" w:pos="993" w:leader="none"/>
        </w:tabs>
        <w:spacing w:lineRule="auto" w:line="360" w:after="0" w:beforeAutospacing="0" w:afterAutospacing="0"/>
        <w:ind w:firstLine="709" w:left="0"/>
        <w:jc w:val="both"/>
        <w:rPr>
          <w:rFonts w:ascii="Times New Roman" w:hAnsi="Times New Roman" w:cs="Times New Roman" w:eastAsia="Times New Roman"/>
          <w:sz w:val="28"/>
          <w:szCs w:val="28"/>
          <w:highlight w:val="green"/>
          <w:lang w:eastAsia="ru-RU"/>
        </w:rPr>
      </w:pPr>
      <w:r>
        <w:rPr>
          <w:rFonts w:ascii="Times New Roman" w:hAnsi="Times New Roman" w:cs="Times New Roman" w:eastAsia="Times New Roman"/>
          <w:sz w:val="28"/>
          <w:szCs w:val="28"/>
          <w:highlight w:val="green"/>
          <w:lang w:eastAsia="ru-RU"/>
        </w:rPr>
        <w:t xml:space="preserve">Скоморохина Е.В. Стратегия (концепция) устойчивого развития: перспективы реализации в мире и России // Вестник Воронежского государственного университета. Серия: Право. 2018. № 4 (23). С. </w:t>
      </w:r>
      <w:r>
        <w:rPr>
          <w:rFonts w:ascii="Times New Roman" w:hAnsi="Times New Roman" w:cs="Times New Roman" w:eastAsia="Times New Roman"/>
          <w:sz w:val="28"/>
          <w:szCs w:val="28"/>
          <w:lang w:eastAsia="ru-RU"/>
        </w:rPr>
        <w:t>297–305</w:t>
      </w:r>
      <w:r>
        <w:rPr>
          <w:rFonts w:ascii="Times New Roman" w:hAnsi="Times New Roman" w:cs="Times New Roman" w:eastAsia="Times New Roman"/>
          <w:sz w:val="28"/>
          <w:szCs w:val="28"/>
          <w:highlight w:val="green"/>
          <w:lang w:eastAsia="ru-RU"/>
        </w:rPr>
        <w:t>.</w:t>
      </w:r>
    </w:p>
    <w:p>
      <w:pPr>
        <w:numPr>
          <w:ilvl w:val="0"/>
          <w:numId w:val="6"/>
        </w:numPr>
        <w:shd w:val="clear" w:fill="FFFFFF"/>
        <w:tabs>
          <w:tab w:val="left" w:pos="993" w:leader="none"/>
        </w:tabs>
        <w:spacing w:lineRule="auto" w:line="360" w:after="0" w:beforeAutospacing="0" w:afterAutospacing="0"/>
        <w:ind w:firstLine="709" w:left="0"/>
        <w:jc w:val="both"/>
        <w:rPr>
          <w:rFonts w:ascii="Times New Roman" w:hAnsi="Times New Roman" w:cs="Times New Roman" w:eastAsia="Times New Roman"/>
          <w:sz w:val="28"/>
          <w:szCs w:val="28"/>
          <w:highlight w:val="green"/>
          <w:lang w:eastAsia="ru-RU"/>
        </w:rPr>
      </w:pPr>
      <w:bookmarkStart w:id="54" w:name="_Hlk143542035"/>
      <w:r>
        <w:rPr>
          <w:rFonts w:ascii="Times New Roman" w:hAnsi="Times New Roman" w:cs="Times New Roman" w:eastAsia="Times New Roman"/>
          <w:sz w:val="28"/>
          <w:szCs w:val="28"/>
          <w:highlight w:val="green"/>
          <w:lang w:eastAsia="ru-RU"/>
        </w:rPr>
        <w:t>Урсул А.Д. Концептуальные проблемы устойчивого развития / А.Д. Усул // Бюллетень РАН. Использование и охрана природных ресурсов в России. 2019. № 1. С. 30-38.</w:t>
      </w:r>
      <w:bookmarkEnd w:id="54"/>
    </w:p>
    <w:p>
      <w:pPr>
        <w:numPr>
          <w:ilvl w:val="0"/>
          <w:numId w:val="6"/>
        </w:numPr>
        <w:shd w:val="clear" w:fill="FFFFFF"/>
        <w:tabs>
          <w:tab w:val="left" w:pos="993" w:leader="none"/>
        </w:tabs>
        <w:spacing w:lineRule="auto" w:line="360" w:after="0" w:beforeAutospacing="0" w:afterAutospacing="0"/>
        <w:ind w:firstLine="709" w:left="0"/>
        <w:jc w:val="both"/>
        <w:rPr>
          <w:rFonts w:ascii="Times New Roman" w:hAnsi="Times New Roman" w:cs="Times New Roman" w:eastAsia="Times New Roman"/>
          <w:sz w:val="28"/>
          <w:szCs w:val="28"/>
          <w:highlight w:val="green"/>
          <w:lang w:eastAsia="ru-RU"/>
        </w:rPr>
      </w:pPr>
      <w:r>
        <w:rPr>
          <w:rFonts w:ascii="Times New Roman" w:hAnsi="Times New Roman" w:cs="Times New Roman" w:eastAsia="Times New Roman"/>
          <w:sz w:val="28"/>
          <w:szCs w:val="28"/>
          <w:highlight w:val="green"/>
          <w:lang w:eastAsia="ru-RU"/>
        </w:rPr>
        <w:t>Шумилов Ю.В., Шумилова М.Ю. О концепции устойчивого развития в неустойчивом мире // Евразийское Научное Объединение. 2017. Т. 2. № 2 (24). С. 159-162.</w:t>
      </w:r>
    </w:p>
    <w:p>
      <w:pPr>
        <w:pStyle w:val="P15"/>
        <w:widowControl w:val="1"/>
        <w:numPr>
          <w:ilvl w:val="0"/>
          <w:numId w:val="6"/>
        </w:numPr>
        <w:spacing w:lineRule="auto" w:line="360" w:beforeAutospacing="0" w:afterAutospacing="0"/>
        <w:ind w:firstLine="709" w:left="0"/>
        <w:contextualSpacing w:val="1"/>
        <w:jc w:val="both"/>
        <w:rPr>
          <w:bCs w:val="1"/>
          <w:sz w:val="28"/>
          <w:szCs w:val="28"/>
          <w:highlight w:val="green"/>
        </w:rPr>
      </w:pPr>
      <w:r>
        <w:rPr>
          <w:bCs w:val="1"/>
          <w:sz w:val="28"/>
          <w:szCs w:val="28"/>
          <w:highlight w:val="green"/>
        </w:rPr>
        <w:t xml:space="preserve">Abdulai D. From charity to mutual benefit: A new and sustainable look at CSR in Africa. // New perspectives on corporate social responsibility. Locating the missing link / L. O’Riordan, P. Zmuda, S. Heinemann (Eds.). Wiesbaden: Springer Gabler, 2015. pp. 427–442. </w:t>
      </w:r>
      <w:bookmarkStart w:id="55" w:name="_Hlk137396134"/>
    </w:p>
    <w:p>
      <w:pPr>
        <w:pStyle w:val="P15"/>
        <w:widowControl w:val="1"/>
        <w:numPr>
          <w:ilvl w:val="0"/>
          <w:numId w:val="6"/>
        </w:numPr>
        <w:spacing w:lineRule="auto" w:line="360" w:beforeAutospacing="0" w:afterAutospacing="0"/>
        <w:ind w:firstLine="709" w:left="0"/>
        <w:contextualSpacing w:val="1"/>
        <w:jc w:val="both"/>
        <w:rPr>
          <w:bCs w:val="1"/>
          <w:sz w:val="28"/>
          <w:szCs w:val="28"/>
          <w:highlight w:val="green"/>
          <w:lang w:val="ru-RU"/>
        </w:rPr>
      </w:pPr>
      <w:r>
        <w:rPr>
          <w:bCs w:val="1"/>
          <w:sz w:val="28"/>
          <w:szCs w:val="28"/>
          <w:highlight w:val="green"/>
        </w:rPr>
        <w:t xml:space="preserve">Abidoye B., Felix </w:t>
      </w:r>
      <w:bookmarkEnd w:id="55"/>
      <w:r>
        <w:rPr>
          <w:bCs w:val="1"/>
          <w:sz w:val="28"/>
          <w:szCs w:val="28"/>
          <w:highlight w:val="green"/>
        </w:rPr>
        <w:t xml:space="preserve">J., Kapto S. Pursuing the Sustainable Development Goals in a World Reshaped by Covid-19. </w:t>
      </w:r>
      <w:r>
        <w:rPr>
          <w:sz w:val="28"/>
          <w:szCs w:val="28"/>
          <w:highlight w:val="green"/>
          <w:lang w:val="ru-RU"/>
        </w:rPr>
        <w:t>[Электронный ресурс]. Режим доступа:</w:t>
      </w:r>
      <w:r>
        <w:rPr>
          <w:bCs w:val="1"/>
          <w:sz w:val="28"/>
          <w:szCs w:val="28"/>
          <w:highlight w:val="green"/>
          <w:lang w:val="ru-RU"/>
        </w:rPr>
        <w:t xml:space="preserve"> </w:t>
      </w:r>
      <w:r>
        <w:rPr>
          <w:bCs w:val="1"/>
          <w:sz w:val="28"/>
          <w:szCs w:val="28"/>
          <w:highlight w:val="green"/>
        </w:rPr>
        <w:t>https</w:t>
      </w:r>
      <w:r>
        <w:rPr>
          <w:bCs w:val="1"/>
          <w:sz w:val="28"/>
          <w:szCs w:val="28"/>
          <w:highlight w:val="green"/>
          <w:lang w:val="ru-RU"/>
        </w:rPr>
        <w:t>://</w:t>
      </w:r>
      <w:r>
        <w:rPr>
          <w:bCs w:val="1"/>
          <w:sz w:val="28"/>
          <w:szCs w:val="28"/>
          <w:highlight w:val="green"/>
        </w:rPr>
        <w:t>sdgintegration</w:t>
      </w:r>
      <w:r>
        <w:rPr>
          <w:bCs w:val="1"/>
          <w:sz w:val="28"/>
          <w:szCs w:val="28"/>
          <w:highlight w:val="green"/>
          <w:lang w:val="ru-RU"/>
        </w:rPr>
        <w:t>.</w:t>
      </w:r>
      <w:r>
        <w:rPr>
          <w:bCs w:val="1"/>
          <w:sz w:val="28"/>
          <w:szCs w:val="28"/>
          <w:highlight w:val="green"/>
        </w:rPr>
        <w:t>undp</w:t>
      </w:r>
      <w:r>
        <w:rPr>
          <w:bCs w:val="1"/>
          <w:sz w:val="28"/>
          <w:szCs w:val="28"/>
          <w:highlight w:val="green"/>
          <w:lang w:val="ru-RU"/>
        </w:rPr>
        <w:t>.</w:t>
      </w:r>
      <w:r>
        <w:rPr>
          <w:bCs w:val="1"/>
          <w:sz w:val="28"/>
          <w:szCs w:val="28"/>
          <w:highlight w:val="green"/>
        </w:rPr>
        <w:t>org</w:t>
      </w:r>
      <w:r>
        <w:rPr>
          <w:bCs w:val="1"/>
          <w:sz w:val="28"/>
          <w:szCs w:val="28"/>
          <w:highlight w:val="green"/>
          <w:lang w:val="ru-RU"/>
        </w:rPr>
        <w:t>/</w:t>
      </w:r>
      <w:r>
        <w:rPr>
          <w:bCs w:val="1"/>
          <w:sz w:val="28"/>
          <w:szCs w:val="28"/>
          <w:highlight w:val="green"/>
        </w:rPr>
        <w:t>sites</w:t>
      </w:r>
      <w:r>
        <w:rPr>
          <w:bCs w:val="1"/>
          <w:sz w:val="28"/>
          <w:szCs w:val="28"/>
          <w:highlight w:val="green"/>
          <w:lang w:val="ru-RU"/>
        </w:rPr>
        <w:t>/</w:t>
      </w:r>
      <w:r>
        <w:rPr>
          <w:bCs w:val="1"/>
          <w:sz w:val="28"/>
          <w:szCs w:val="28"/>
          <w:highlight w:val="green"/>
        </w:rPr>
        <w:t>default</w:t>
      </w:r>
      <w:r>
        <w:rPr>
          <w:bCs w:val="1"/>
          <w:sz w:val="28"/>
          <w:szCs w:val="28"/>
          <w:highlight w:val="green"/>
          <w:lang w:val="ru-RU"/>
        </w:rPr>
        <w:t>/</w:t>
      </w:r>
      <w:r>
        <w:rPr>
          <w:bCs w:val="1"/>
          <w:sz w:val="28"/>
          <w:szCs w:val="28"/>
          <w:highlight w:val="green"/>
        </w:rPr>
        <w:t>files</w:t>
      </w:r>
      <w:r>
        <w:rPr>
          <w:bCs w:val="1"/>
          <w:sz w:val="28"/>
          <w:szCs w:val="28"/>
          <w:highlight w:val="green"/>
          <w:lang w:val="ru-RU"/>
        </w:rPr>
        <w:t xml:space="preserve">/ </w:t>
      </w:r>
      <w:r>
        <w:rPr>
          <w:bCs w:val="1"/>
          <w:sz w:val="28"/>
          <w:szCs w:val="28"/>
          <w:highlight w:val="green"/>
        </w:rPr>
        <w:t>Foundational</w:t>
      </w:r>
      <w:r>
        <w:rPr>
          <w:bCs w:val="1"/>
          <w:sz w:val="28"/>
          <w:szCs w:val="28"/>
          <w:highlight w:val="green"/>
          <w:lang w:val="ru-RU"/>
        </w:rPr>
        <w:t>_</w:t>
      </w:r>
      <w:r>
        <w:rPr>
          <w:bCs w:val="1"/>
          <w:sz w:val="28"/>
          <w:szCs w:val="28"/>
          <w:highlight w:val="green"/>
        </w:rPr>
        <w:t>research</w:t>
      </w:r>
      <w:r>
        <w:rPr>
          <w:bCs w:val="1"/>
          <w:sz w:val="28"/>
          <w:szCs w:val="28"/>
          <w:highlight w:val="green"/>
          <w:lang w:val="ru-RU"/>
        </w:rPr>
        <w:t>_</w:t>
      </w:r>
      <w:r>
        <w:rPr>
          <w:bCs w:val="1"/>
          <w:sz w:val="28"/>
          <w:szCs w:val="28"/>
          <w:highlight w:val="green"/>
        </w:rPr>
        <w:t>report</w:t>
      </w:r>
      <w:r>
        <w:rPr>
          <w:bCs w:val="1"/>
          <w:sz w:val="28"/>
          <w:szCs w:val="28"/>
          <w:highlight w:val="green"/>
          <w:lang w:val="ru-RU"/>
        </w:rPr>
        <w:t>.</w:t>
      </w:r>
      <w:r>
        <w:rPr>
          <w:bCs w:val="1"/>
          <w:sz w:val="28"/>
          <w:szCs w:val="28"/>
          <w:highlight w:val="green"/>
        </w:rPr>
        <w:t>pdf</w:t>
      </w:r>
      <w:r>
        <w:rPr>
          <w:bCs w:val="1"/>
          <w:sz w:val="28"/>
          <w:szCs w:val="28"/>
          <w:highlight w:val="green"/>
          <w:lang w:val="ru-RU"/>
        </w:rPr>
        <w:t xml:space="preserve"> </w:t>
      </w:r>
      <w:r>
        <w:rPr>
          <w:sz w:val="28"/>
          <w:szCs w:val="28"/>
          <w:highlight w:val="green"/>
          <w:lang w:val="ru-RU"/>
        </w:rPr>
        <w:t>(дата обращения 11.12.2022).</w:t>
      </w:r>
    </w:p>
    <w:p>
      <w:pPr>
        <w:pStyle w:val="P13"/>
        <w:numPr>
          <w:ilvl w:val="0"/>
          <w:numId w:val="6"/>
        </w:numPr>
        <w:spacing w:lineRule="auto" w:line="360" w:beforeAutospacing="0" w:afterAutospacing="0"/>
        <w:ind w:firstLine="709" w:left="0"/>
        <w:jc w:val="both"/>
        <w:rPr>
          <w:bCs w:val="1"/>
          <w:sz w:val="28"/>
          <w:szCs w:val="28"/>
          <w:highlight w:val="green"/>
        </w:rPr>
      </w:pPr>
      <w:r>
        <w:rPr>
          <w:bCs w:val="1"/>
          <w:sz w:val="28"/>
          <w:szCs w:val="28"/>
          <w:highlight w:val="green"/>
        </w:rPr>
        <w:t>Abubakar I. R. Access to sanitation facilities among Nigerian households: Determinants and sustainability implications // Sustainability. 2017. 9(4). pp. 534-547.</w:t>
      </w:r>
      <w:bookmarkStart w:id="56" w:name="_Hlk137397305"/>
      <w:bookmarkStart w:id="57" w:name="_Hlk137396631"/>
    </w:p>
    <w:p>
      <w:pPr>
        <w:pStyle w:val="P13"/>
        <w:numPr>
          <w:ilvl w:val="0"/>
          <w:numId w:val="6"/>
        </w:numPr>
        <w:spacing w:lineRule="auto" w:line="360" w:beforeAutospacing="0" w:afterAutospacing="0"/>
        <w:ind w:firstLine="709" w:left="0"/>
        <w:jc w:val="both"/>
        <w:rPr>
          <w:bCs w:val="1"/>
          <w:sz w:val="28"/>
          <w:szCs w:val="28"/>
          <w:highlight w:val="green"/>
        </w:rPr>
      </w:pPr>
      <w:r>
        <w:rPr>
          <w:bCs w:val="1"/>
          <w:sz w:val="28"/>
          <w:szCs w:val="28"/>
          <w:highlight w:val="green"/>
        </w:rPr>
        <w:t xml:space="preserve">ADEA/AU/CIEFFA/APHRC KIX Observatory: Financing Education in Africa during the Covid-19 Pandemic. Abidjan, Ouagadougou, Nairobi. </w:t>
      </w:r>
      <w:r>
        <w:rPr>
          <w:sz w:val="28"/>
          <w:szCs w:val="28"/>
          <w:highlight w:val="green"/>
        </w:rPr>
        <w:t>[Электронный ресурс]. Режим доступа:</w:t>
      </w:r>
      <w:r>
        <w:rPr>
          <w:bCs w:val="1"/>
          <w:sz w:val="28"/>
          <w:szCs w:val="28"/>
          <w:highlight w:val="green"/>
        </w:rPr>
        <w:t xml:space="preserve"> https://www.adeanet.org/sites/ default/files/financing_education_kix_observatory.pdf </w:t>
      </w:r>
      <w:r>
        <w:rPr>
          <w:sz w:val="28"/>
          <w:szCs w:val="28"/>
          <w:highlight w:val="green"/>
        </w:rPr>
        <w:t>(дата обращения 05.02.2023).</w:t>
      </w:r>
    </w:p>
    <w:p>
      <w:pPr>
        <w:pStyle w:val="P13"/>
        <w:numPr>
          <w:ilvl w:val="0"/>
          <w:numId w:val="6"/>
        </w:numPr>
        <w:spacing w:lineRule="auto" w:line="360" w:beforeAutospacing="0" w:afterAutospacing="0"/>
        <w:ind w:firstLine="709" w:left="0"/>
        <w:jc w:val="both"/>
        <w:rPr>
          <w:bCs w:val="1"/>
          <w:sz w:val="28"/>
          <w:szCs w:val="28"/>
          <w:highlight w:val="green"/>
        </w:rPr>
      </w:pPr>
      <w:r>
        <w:rPr>
          <w:bCs w:val="1"/>
          <w:sz w:val="28"/>
          <w:szCs w:val="28"/>
          <w:highlight w:val="green"/>
        </w:rPr>
        <w:t>Adedeji A. 2012</w:t>
      </w:r>
      <w:bookmarkEnd w:id="56"/>
      <w:r>
        <w:rPr>
          <w:bCs w:val="1"/>
          <w:sz w:val="28"/>
          <w:szCs w:val="28"/>
          <w:highlight w:val="green"/>
        </w:rPr>
        <w:t>. The Travails of Regional Integration in Africa // The EU and Africa: From Eurafraque to Afro-Europa / Adebajo, A &amp; Whiteman, K (eds.). Johannesburg: Wits University Press</w:t>
      </w:r>
      <w:r>
        <w:rPr>
          <w:bCs w:val="1"/>
          <w:sz w:val="28"/>
          <w:szCs w:val="28"/>
          <w:highlight w:val="green"/>
          <w:lang w:val="ru-RU"/>
        </w:rPr>
        <w:t xml:space="preserve">, 2012. </w:t>
      </w:r>
      <w:r>
        <w:rPr>
          <w:bCs w:val="1"/>
          <w:sz w:val="28"/>
          <w:szCs w:val="28"/>
          <w:highlight w:val="green"/>
        </w:rPr>
        <w:t>pp.</w:t>
      </w:r>
      <w:r>
        <w:rPr>
          <w:bCs w:val="1"/>
          <w:sz w:val="28"/>
          <w:szCs w:val="28"/>
          <w:highlight w:val="green"/>
          <w:lang w:val="ru-RU"/>
        </w:rPr>
        <w:t xml:space="preserve"> 118-140.</w:t>
      </w:r>
    </w:p>
    <w:p>
      <w:pPr>
        <w:pStyle w:val="P13"/>
        <w:numPr>
          <w:ilvl w:val="0"/>
          <w:numId w:val="6"/>
        </w:numPr>
        <w:spacing w:lineRule="auto" w:line="360" w:beforeAutospacing="0" w:afterAutospacing="0"/>
        <w:ind w:firstLine="709" w:left="0"/>
        <w:jc w:val="both"/>
        <w:rPr>
          <w:bCs w:val="1"/>
          <w:sz w:val="28"/>
          <w:szCs w:val="28"/>
          <w:highlight w:val="green"/>
        </w:rPr>
      </w:pPr>
      <w:r>
        <w:rPr>
          <w:bCs w:val="1"/>
          <w:sz w:val="28"/>
          <w:szCs w:val="28"/>
          <w:highlight w:val="green"/>
        </w:rPr>
        <w:t xml:space="preserve">Adjognon G., Bloem J., Sanoh, A. </w:t>
      </w:r>
      <w:bookmarkEnd w:id="57"/>
      <w:r>
        <w:rPr>
          <w:bCs w:val="1"/>
          <w:sz w:val="28"/>
          <w:szCs w:val="28"/>
          <w:highlight w:val="green"/>
        </w:rPr>
        <w:t xml:space="preserve">The coronavirus pandemic and food security: Evidence from Mali // Food Policy. 2021. 101. </w:t>
      </w:r>
      <w:r>
        <w:rPr>
          <w:bCs w:val="1"/>
          <w:sz w:val="28"/>
          <w:szCs w:val="28"/>
          <w:lang w:val="en-GB"/>
        </w:rPr>
        <w:t xml:space="preserve">ID Article </w:t>
      </w:r>
      <w:r>
        <w:rPr>
          <w:bCs w:val="1"/>
          <w:sz w:val="28"/>
          <w:szCs w:val="28"/>
        </w:rPr>
        <w:t>102050</w:t>
      </w:r>
      <w:r>
        <w:rPr>
          <w:bCs w:val="1"/>
          <w:sz w:val="28"/>
          <w:szCs w:val="28"/>
          <w:highlight w:val="green"/>
        </w:rPr>
        <w:t>.</w:t>
      </w:r>
    </w:p>
    <w:p>
      <w:pPr>
        <w:pStyle w:val="P13"/>
        <w:numPr>
          <w:ilvl w:val="0"/>
          <w:numId w:val="6"/>
        </w:numPr>
        <w:spacing w:lineRule="auto" w:line="360" w:beforeAutospacing="0" w:afterAutospacing="0"/>
        <w:ind w:firstLine="709" w:left="0"/>
        <w:jc w:val="both"/>
        <w:rPr>
          <w:bCs w:val="1"/>
          <w:sz w:val="28"/>
          <w:szCs w:val="28"/>
          <w:highlight w:val="green"/>
          <w:lang w:val="ru-RU"/>
        </w:rPr>
      </w:pPr>
      <w:r>
        <w:rPr>
          <w:sz w:val="28"/>
          <w:szCs w:val="28"/>
          <w:highlight w:val="green"/>
        </w:rPr>
        <w:t xml:space="preserve">African Development Bank [Электронный ресурс]. </w:t>
      </w:r>
      <w:r>
        <w:rPr>
          <w:sz w:val="28"/>
          <w:szCs w:val="28"/>
          <w:highlight w:val="green"/>
          <w:lang w:val="ru-RU"/>
        </w:rPr>
        <w:t xml:space="preserve">Режим доступа: </w:t>
      </w:r>
      <w:r>
        <w:rPr>
          <w:sz w:val="28"/>
          <w:szCs w:val="28"/>
          <w:highlight w:val="green"/>
        </w:rPr>
        <w:t>https</w:t>
      </w:r>
      <w:r>
        <w:rPr>
          <w:sz w:val="28"/>
          <w:szCs w:val="28"/>
          <w:highlight w:val="green"/>
          <w:lang w:val="ru-RU"/>
        </w:rPr>
        <w:t>://</w:t>
      </w:r>
      <w:r>
        <w:rPr>
          <w:sz w:val="28"/>
          <w:szCs w:val="28"/>
          <w:highlight w:val="green"/>
        </w:rPr>
        <w:t>www</w:t>
      </w:r>
      <w:r>
        <w:rPr>
          <w:sz w:val="28"/>
          <w:szCs w:val="28"/>
          <w:highlight w:val="green"/>
          <w:lang w:val="ru-RU"/>
        </w:rPr>
        <w:t>.</w:t>
      </w:r>
      <w:r>
        <w:rPr>
          <w:sz w:val="28"/>
          <w:szCs w:val="28"/>
          <w:highlight w:val="green"/>
        </w:rPr>
        <w:t>afdb</w:t>
      </w:r>
      <w:r>
        <w:rPr>
          <w:sz w:val="28"/>
          <w:szCs w:val="28"/>
          <w:highlight w:val="green"/>
          <w:lang w:val="ru-RU"/>
        </w:rPr>
        <w:t>.</w:t>
      </w:r>
      <w:r>
        <w:rPr>
          <w:sz w:val="28"/>
          <w:szCs w:val="28"/>
          <w:highlight w:val="green"/>
        </w:rPr>
        <w:t>org</w:t>
      </w:r>
      <w:r>
        <w:rPr>
          <w:sz w:val="28"/>
          <w:szCs w:val="28"/>
          <w:highlight w:val="green"/>
          <w:lang w:val="ru-RU"/>
        </w:rPr>
        <w:t>/</w:t>
      </w:r>
      <w:r>
        <w:rPr>
          <w:sz w:val="28"/>
          <w:szCs w:val="28"/>
          <w:highlight w:val="green"/>
        </w:rPr>
        <w:t>en</w:t>
      </w:r>
      <w:r>
        <w:rPr>
          <w:sz w:val="28"/>
          <w:szCs w:val="28"/>
          <w:highlight w:val="green"/>
          <w:lang w:val="ru-RU"/>
        </w:rPr>
        <w:t xml:space="preserve"> (дата обращения 15.03.2023).</w:t>
      </w:r>
    </w:p>
    <w:p>
      <w:pPr>
        <w:pStyle w:val="P13"/>
        <w:numPr>
          <w:ilvl w:val="0"/>
          <w:numId w:val="6"/>
        </w:numPr>
        <w:spacing w:lineRule="auto" w:line="360" w:beforeAutospacing="0" w:afterAutospacing="0"/>
        <w:ind w:firstLine="709" w:left="0"/>
        <w:jc w:val="both"/>
        <w:rPr>
          <w:bCs w:val="1"/>
          <w:sz w:val="28"/>
          <w:szCs w:val="28"/>
          <w:highlight w:val="green"/>
          <w:lang w:val="ru-RU"/>
        </w:rPr>
      </w:pPr>
      <w:r>
        <w:rPr>
          <w:sz w:val="28"/>
          <w:szCs w:val="28"/>
          <w:highlight w:val="green"/>
        </w:rPr>
        <w:t xml:space="preserve">African Union Commissions [Электронный ресурс]. </w:t>
      </w:r>
      <w:r>
        <w:rPr>
          <w:sz w:val="28"/>
          <w:szCs w:val="28"/>
          <w:highlight w:val="green"/>
          <w:lang w:val="ru-RU"/>
        </w:rPr>
        <w:t xml:space="preserve">Режим доступа: </w:t>
      </w:r>
      <w:r>
        <w:rPr>
          <w:sz w:val="28"/>
          <w:szCs w:val="28"/>
          <w:highlight w:val="green"/>
        </w:rPr>
        <w:t>https</w:t>
      </w:r>
      <w:r>
        <w:rPr>
          <w:sz w:val="28"/>
          <w:szCs w:val="28"/>
          <w:highlight w:val="green"/>
          <w:lang w:val="ru-RU"/>
        </w:rPr>
        <w:t>://</w:t>
      </w:r>
      <w:r>
        <w:rPr>
          <w:sz w:val="28"/>
          <w:szCs w:val="28"/>
          <w:highlight w:val="green"/>
        </w:rPr>
        <w:t>au</w:t>
      </w:r>
      <w:r>
        <w:rPr>
          <w:sz w:val="28"/>
          <w:szCs w:val="28"/>
          <w:highlight w:val="green"/>
          <w:lang w:val="ru-RU"/>
        </w:rPr>
        <w:t>.</w:t>
      </w:r>
      <w:r>
        <w:rPr>
          <w:sz w:val="28"/>
          <w:szCs w:val="28"/>
          <w:highlight w:val="green"/>
        </w:rPr>
        <w:t>int</w:t>
      </w:r>
      <w:r>
        <w:rPr>
          <w:sz w:val="28"/>
          <w:szCs w:val="28"/>
          <w:highlight w:val="green"/>
          <w:lang w:val="ru-RU"/>
        </w:rPr>
        <w:t>/</w:t>
      </w:r>
      <w:r>
        <w:rPr>
          <w:sz w:val="28"/>
          <w:szCs w:val="28"/>
          <w:highlight w:val="green"/>
        </w:rPr>
        <w:t>en</w:t>
      </w:r>
      <w:r>
        <w:rPr>
          <w:sz w:val="28"/>
          <w:szCs w:val="28"/>
          <w:highlight w:val="green"/>
          <w:lang w:val="ru-RU"/>
        </w:rPr>
        <w:t>/</w:t>
      </w:r>
      <w:r>
        <w:rPr>
          <w:sz w:val="28"/>
          <w:szCs w:val="28"/>
          <w:highlight w:val="green"/>
        </w:rPr>
        <w:t>commission</w:t>
      </w:r>
      <w:r>
        <w:rPr>
          <w:sz w:val="28"/>
          <w:szCs w:val="28"/>
          <w:highlight w:val="green"/>
          <w:lang w:val="ru-RU"/>
        </w:rPr>
        <w:t xml:space="preserve"> (дата обращения 15.03.2023).</w:t>
      </w:r>
    </w:p>
    <w:p>
      <w:pPr>
        <w:pStyle w:val="P13"/>
        <w:numPr>
          <w:ilvl w:val="0"/>
          <w:numId w:val="6"/>
        </w:numPr>
        <w:spacing w:lineRule="auto" w:line="360" w:beforeAutospacing="0" w:afterAutospacing="0"/>
        <w:ind w:firstLine="709" w:left="0"/>
        <w:jc w:val="both"/>
        <w:rPr>
          <w:bCs w:val="1"/>
          <w:sz w:val="28"/>
          <w:szCs w:val="28"/>
          <w:highlight w:val="green"/>
        </w:rPr>
      </w:pPr>
      <w:r>
        <w:rPr>
          <w:bCs w:val="1"/>
          <w:sz w:val="28"/>
          <w:szCs w:val="28"/>
          <w:highlight w:val="green"/>
        </w:rPr>
        <w:t xml:space="preserve">Andonova L.B., Betsill M.M., Bulkeley H. Transnational climate governance // Global Environmental Politics. 2009. 9(2). pp. 52–73. </w:t>
      </w:r>
    </w:p>
    <w:p>
      <w:pPr>
        <w:pStyle w:val="P13"/>
        <w:numPr>
          <w:ilvl w:val="0"/>
          <w:numId w:val="6"/>
        </w:numPr>
        <w:spacing w:lineRule="auto" w:line="360" w:beforeAutospacing="0" w:afterAutospacing="0"/>
        <w:ind w:firstLine="709" w:left="0"/>
        <w:jc w:val="both"/>
        <w:rPr>
          <w:bCs w:val="1"/>
          <w:sz w:val="28"/>
          <w:szCs w:val="28"/>
          <w:highlight w:val="green"/>
        </w:rPr>
      </w:pPr>
      <w:r>
        <w:rPr>
          <w:bCs w:val="1"/>
          <w:sz w:val="28"/>
          <w:szCs w:val="28"/>
          <w:highlight w:val="green"/>
        </w:rPr>
        <w:t xml:space="preserve">Andonova L.B., Hale T.L., Roger C.B. National policy and transnational governance of climate change: Substitutes or complements? // International Studies Quarterly. 2017. 61(2). pp. 253–268. </w:t>
      </w:r>
    </w:p>
    <w:p>
      <w:pPr>
        <w:pStyle w:val="P13"/>
        <w:numPr>
          <w:ilvl w:val="0"/>
          <w:numId w:val="6"/>
        </w:numPr>
        <w:spacing w:lineRule="auto" w:line="360" w:beforeAutospacing="0" w:afterAutospacing="0"/>
        <w:ind w:firstLine="709" w:left="0"/>
        <w:jc w:val="both"/>
        <w:rPr>
          <w:bCs w:val="1"/>
          <w:sz w:val="28"/>
          <w:szCs w:val="28"/>
          <w:highlight w:val="green"/>
          <w:lang w:val="ru-RU"/>
        </w:rPr>
      </w:pPr>
      <w:r>
        <w:rPr>
          <w:sz w:val="28"/>
          <w:szCs w:val="28"/>
          <w:highlight w:val="green"/>
        </w:rPr>
        <w:t xml:space="preserve">ANNUAL REPORT IISD Annual Report 2021–2022 In Our Nature: Solutions for a sustainable future [Электронный ресурс]. </w:t>
      </w:r>
      <w:r>
        <w:rPr>
          <w:sz w:val="28"/>
          <w:szCs w:val="28"/>
          <w:highlight w:val="green"/>
          <w:lang w:val="ru-RU"/>
        </w:rPr>
        <w:t xml:space="preserve">Режим доступа: </w:t>
      </w:r>
      <w:r>
        <w:rPr>
          <w:sz w:val="28"/>
          <w:szCs w:val="28"/>
          <w:highlight w:val="green"/>
        </w:rPr>
        <w:t>https</w:t>
      </w:r>
      <w:r>
        <w:rPr>
          <w:sz w:val="28"/>
          <w:szCs w:val="28"/>
          <w:highlight w:val="green"/>
          <w:lang w:val="ru-RU"/>
        </w:rPr>
        <w:t>://</w:t>
      </w:r>
      <w:r>
        <w:rPr>
          <w:sz w:val="28"/>
          <w:szCs w:val="28"/>
          <w:highlight w:val="green"/>
        </w:rPr>
        <w:t>www</w:t>
      </w:r>
      <w:r>
        <w:rPr>
          <w:sz w:val="28"/>
          <w:szCs w:val="28"/>
          <w:highlight w:val="green"/>
          <w:lang w:val="ru-RU"/>
        </w:rPr>
        <w:t>.</w:t>
      </w:r>
      <w:r>
        <w:rPr>
          <w:sz w:val="28"/>
          <w:szCs w:val="28"/>
          <w:highlight w:val="green"/>
        </w:rPr>
        <w:t>iisd</w:t>
      </w:r>
      <w:r>
        <w:rPr>
          <w:sz w:val="28"/>
          <w:szCs w:val="28"/>
          <w:highlight w:val="green"/>
          <w:lang w:val="ru-RU"/>
        </w:rPr>
        <w:t>.</w:t>
      </w:r>
      <w:r>
        <w:rPr>
          <w:sz w:val="28"/>
          <w:szCs w:val="28"/>
          <w:highlight w:val="green"/>
        </w:rPr>
        <w:t>org</w:t>
      </w:r>
      <w:r>
        <w:rPr>
          <w:sz w:val="28"/>
          <w:szCs w:val="28"/>
          <w:highlight w:val="green"/>
          <w:lang w:val="ru-RU"/>
        </w:rPr>
        <w:t>/</w:t>
      </w:r>
      <w:r>
        <w:rPr>
          <w:sz w:val="28"/>
          <w:szCs w:val="28"/>
          <w:highlight w:val="green"/>
        </w:rPr>
        <w:t>system</w:t>
      </w:r>
      <w:r>
        <w:rPr>
          <w:sz w:val="28"/>
          <w:szCs w:val="28"/>
          <w:highlight w:val="green"/>
          <w:lang w:val="ru-RU"/>
        </w:rPr>
        <w:t>/</w:t>
      </w:r>
      <w:r>
        <w:rPr>
          <w:sz w:val="28"/>
          <w:szCs w:val="28"/>
          <w:highlight w:val="green"/>
        </w:rPr>
        <w:t>files</w:t>
      </w:r>
      <w:r>
        <w:rPr>
          <w:sz w:val="28"/>
          <w:szCs w:val="28"/>
          <w:highlight w:val="green"/>
          <w:lang w:val="ru-RU"/>
        </w:rPr>
        <w:t>/2022-11/</w:t>
      </w:r>
      <w:r>
        <w:rPr>
          <w:sz w:val="28"/>
          <w:szCs w:val="28"/>
          <w:highlight w:val="green"/>
        </w:rPr>
        <w:t>iisd</w:t>
      </w:r>
      <w:r>
        <w:rPr>
          <w:sz w:val="28"/>
          <w:szCs w:val="28"/>
          <w:highlight w:val="green"/>
          <w:lang w:val="ru-RU"/>
        </w:rPr>
        <w:t>-</w:t>
      </w:r>
      <w:r>
        <w:rPr>
          <w:sz w:val="28"/>
          <w:szCs w:val="28"/>
          <w:highlight w:val="green"/>
        </w:rPr>
        <w:t>annual</w:t>
      </w:r>
      <w:r>
        <w:rPr>
          <w:sz w:val="28"/>
          <w:szCs w:val="28"/>
          <w:highlight w:val="green"/>
          <w:lang w:val="ru-RU"/>
        </w:rPr>
        <w:t>-</w:t>
      </w:r>
      <w:r>
        <w:rPr>
          <w:sz w:val="28"/>
          <w:szCs w:val="28"/>
          <w:highlight w:val="green"/>
        </w:rPr>
        <w:t>report</w:t>
      </w:r>
      <w:r>
        <w:rPr>
          <w:sz w:val="28"/>
          <w:szCs w:val="28"/>
          <w:highlight w:val="green"/>
          <w:lang w:val="ru-RU"/>
        </w:rPr>
        <w:t>-2021-2022.</w:t>
      </w:r>
      <w:r>
        <w:rPr>
          <w:sz w:val="28"/>
          <w:szCs w:val="28"/>
          <w:highlight w:val="green"/>
        </w:rPr>
        <w:t>pdf</w:t>
      </w:r>
      <w:r>
        <w:rPr>
          <w:sz w:val="28"/>
          <w:szCs w:val="28"/>
          <w:highlight w:val="green"/>
          <w:lang w:val="ru-RU"/>
        </w:rPr>
        <w:t xml:space="preserve"> (дата обращения 10.03.2023).</w:t>
      </w:r>
    </w:p>
    <w:p>
      <w:pPr>
        <w:pStyle w:val="P15"/>
        <w:widowControl w:val="1"/>
        <w:numPr>
          <w:ilvl w:val="0"/>
          <w:numId w:val="6"/>
        </w:numPr>
        <w:spacing w:lineRule="auto" w:line="360" w:beforeAutospacing="0" w:afterAutospacing="0"/>
        <w:ind w:firstLine="709" w:left="0"/>
        <w:contextualSpacing w:val="1"/>
        <w:jc w:val="both"/>
        <w:rPr>
          <w:bCs w:val="1"/>
          <w:sz w:val="28"/>
          <w:szCs w:val="28"/>
          <w:highlight w:val="green"/>
        </w:rPr>
      </w:pPr>
      <w:r>
        <w:rPr>
          <w:bCs w:val="1"/>
          <w:sz w:val="28"/>
          <w:szCs w:val="28"/>
          <w:highlight w:val="green"/>
        </w:rPr>
        <w:t xml:space="preserve">Arking R. Biology of aging. Observations and principles.  Oxford: Oxford University Press, 2006. </w:t>
      </w:r>
      <w:r>
        <w:rPr>
          <w:bCs w:val="1"/>
          <w:sz w:val="28"/>
          <w:szCs w:val="28"/>
          <w:highlight w:val="green"/>
          <w:lang w:val="ru-RU"/>
        </w:rPr>
        <w:t>640</w:t>
      </w:r>
      <w:r>
        <w:rPr>
          <w:bCs w:val="1"/>
          <w:sz w:val="28"/>
          <w:szCs w:val="28"/>
          <w:highlight w:val="green"/>
        </w:rPr>
        <w:t xml:space="preserve"> р.</w:t>
      </w:r>
    </w:p>
    <w:p>
      <w:pPr>
        <w:pStyle w:val="P15"/>
        <w:widowControl w:val="1"/>
        <w:numPr>
          <w:ilvl w:val="0"/>
          <w:numId w:val="6"/>
        </w:numPr>
        <w:spacing w:lineRule="auto" w:line="360" w:beforeAutospacing="0" w:afterAutospacing="0"/>
        <w:ind w:firstLine="709" w:left="0"/>
        <w:contextualSpacing w:val="1"/>
        <w:jc w:val="both"/>
        <w:rPr>
          <w:bCs w:val="1"/>
          <w:sz w:val="28"/>
          <w:szCs w:val="28"/>
          <w:highlight w:val="green"/>
        </w:rPr>
      </w:pPr>
      <w:r>
        <w:rPr>
          <w:bCs w:val="1"/>
          <w:sz w:val="28"/>
          <w:szCs w:val="28"/>
          <w:highlight w:val="green"/>
        </w:rPr>
        <w:t>Arnold D.J., Quelch J.A. New strategies in emerging markets // Sloan Management Review. 1998. 40(1). pp. 7–20.</w:t>
      </w:r>
    </w:p>
    <w:p>
      <w:pPr>
        <w:pStyle w:val="P15"/>
        <w:widowControl w:val="1"/>
        <w:numPr>
          <w:ilvl w:val="0"/>
          <w:numId w:val="6"/>
        </w:numPr>
        <w:spacing w:lineRule="auto" w:line="360" w:beforeAutospacing="0" w:afterAutospacing="0"/>
        <w:ind w:firstLine="709" w:left="0"/>
        <w:contextualSpacing w:val="1"/>
        <w:jc w:val="both"/>
        <w:rPr>
          <w:bCs w:val="1"/>
          <w:sz w:val="28"/>
          <w:szCs w:val="28"/>
          <w:highlight w:val="green"/>
          <w:lang w:val="ru-RU"/>
        </w:rPr>
      </w:pPr>
      <w:r>
        <w:rPr>
          <w:bCs w:val="1"/>
          <w:sz w:val="28"/>
          <w:szCs w:val="28"/>
          <w:highlight w:val="green"/>
        </w:rPr>
        <w:t xml:space="preserve">AU and UNICEF Transforming Education in Africa an evidence based overview and recommendations for long-term improvements </w:t>
      </w:r>
      <w:r>
        <w:rPr>
          <w:sz w:val="28"/>
          <w:szCs w:val="28"/>
          <w:highlight w:val="green"/>
        </w:rPr>
        <w:t xml:space="preserve">[Электронный ресурс]. </w:t>
      </w:r>
      <w:r>
        <w:rPr>
          <w:sz w:val="28"/>
          <w:szCs w:val="28"/>
          <w:highlight w:val="green"/>
          <w:lang w:val="ru-RU"/>
        </w:rPr>
        <w:t>Режим доступа:</w:t>
      </w:r>
      <w:r>
        <w:rPr>
          <w:bCs w:val="1"/>
          <w:sz w:val="28"/>
          <w:szCs w:val="28"/>
          <w:highlight w:val="green"/>
          <w:lang w:val="ru-RU"/>
        </w:rPr>
        <w:t xml:space="preserve"> </w:t>
      </w:r>
      <w:r>
        <w:rPr>
          <w:bCs w:val="1"/>
          <w:sz w:val="28"/>
          <w:szCs w:val="28"/>
          <w:highlight w:val="green"/>
        </w:rPr>
        <w:t>https</w:t>
      </w:r>
      <w:r>
        <w:rPr>
          <w:bCs w:val="1"/>
          <w:sz w:val="28"/>
          <w:szCs w:val="28"/>
          <w:highlight w:val="green"/>
          <w:lang w:val="ru-RU"/>
        </w:rPr>
        <w:t>://</w:t>
      </w:r>
      <w:r>
        <w:rPr>
          <w:bCs w:val="1"/>
          <w:sz w:val="28"/>
          <w:szCs w:val="28"/>
          <w:highlight w:val="green"/>
        </w:rPr>
        <w:t>www</w:t>
      </w:r>
      <w:r>
        <w:rPr>
          <w:bCs w:val="1"/>
          <w:sz w:val="28"/>
          <w:szCs w:val="28"/>
          <w:highlight w:val="green"/>
          <w:lang w:val="ru-RU"/>
        </w:rPr>
        <w:t>.</w:t>
      </w:r>
      <w:r>
        <w:rPr>
          <w:bCs w:val="1"/>
          <w:sz w:val="28"/>
          <w:szCs w:val="28"/>
          <w:highlight w:val="green"/>
        </w:rPr>
        <w:t>unicef</w:t>
      </w:r>
      <w:r>
        <w:rPr>
          <w:bCs w:val="1"/>
          <w:sz w:val="28"/>
          <w:szCs w:val="28"/>
          <w:highlight w:val="green"/>
          <w:lang w:val="ru-RU"/>
        </w:rPr>
        <w:t>.</w:t>
      </w:r>
      <w:r>
        <w:rPr>
          <w:bCs w:val="1"/>
          <w:sz w:val="28"/>
          <w:szCs w:val="28"/>
          <w:highlight w:val="green"/>
        </w:rPr>
        <w:t>org</w:t>
      </w:r>
      <w:r>
        <w:rPr>
          <w:bCs w:val="1"/>
          <w:sz w:val="28"/>
          <w:szCs w:val="28"/>
          <w:highlight w:val="green"/>
          <w:lang w:val="ru-RU"/>
        </w:rPr>
        <w:t>/</w:t>
      </w:r>
      <w:r>
        <w:rPr>
          <w:bCs w:val="1"/>
          <w:sz w:val="28"/>
          <w:szCs w:val="28"/>
          <w:highlight w:val="green"/>
        </w:rPr>
        <w:t>reports</w:t>
      </w:r>
      <w:r>
        <w:rPr>
          <w:bCs w:val="1"/>
          <w:sz w:val="28"/>
          <w:szCs w:val="28"/>
          <w:highlight w:val="green"/>
          <w:lang w:val="ru-RU"/>
        </w:rPr>
        <w:t>/</w:t>
      </w:r>
      <w:r>
        <w:rPr>
          <w:bCs w:val="1"/>
          <w:sz w:val="28"/>
          <w:szCs w:val="28"/>
          <w:highlight w:val="green"/>
        </w:rPr>
        <w:t>transforming</w:t>
      </w:r>
      <w:r>
        <w:rPr>
          <w:bCs w:val="1"/>
          <w:sz w:val="28"/>
          <w:szCs w:val="28"/>
          <w:highlight w:val="green"/>
          <w:lang w:val="ru-RU"/>
        </w:rPr>
        <w:t>-</w:t>
      </w:r>
      <w:r>
        <w:rPr>
          <w:bCs w:val="1"/>
          <w:sz w:val="28"/>
          <w:szCs w:val="28"/>
          <w:highlight w:val="green"/>
        </w:rPr>
        <w:t>education</w:t>
      </w:r>
      <w:r>
        <w:rPr>
          <w:bCs w:val="1"/>
          <w:sz w:val="28"/>
          <w:szCs w:val="28"/>
          <w:highlight w:val="green"/>
          <w:lang w:val="ru-RU"/>
        </w:rPr>
        <w:t>-</w:t>
      </w:r>
      <w:r>
        <w:rPr>
          <w:bCs w:val="1"/>
          <w:sz w:val="28"/>
          <w:szCs w:val="28"/>
          <w:highlight w:val="green"/>
        </w:rPr>
        <w:t>africa</w:t>
      </w:r>
      <w:r>
        <w:rPr>
          <w:bCs w:val="1"/>
          <w:sz w:val="28"/>
          <w:szCs w:val="28"/>
          <w:highlight w:val="green"/>
          <w:lang w:val="ru-RU"/>
        </w:rPr>
        <w:t xml:space="preserve"> </w:t>
      </w:r>
      <w:r>
        <w:rPr>
          <w:sz w:val="28"/>
          <w:szCs w:val="28"/>
          <w:highlight w:val="green"/>
          <w:lang w:val="ru-RU"/>
        </w:rPr>
        <w:t>(дата обращения 21.12.2022).</w:t>
      </w:r>
    </w:p>
    <w:p>
      <w:pPr>
        <w:pStyle w:val="P13"/>
        <w:numPr>
          <w:ilvl w:val="0"/>
          <w:numId w:val="6"/>
        </w:numPr>
        <w:spacing w:lineRule="auto" w:line="360" w:beforeAutospacing="0" w:afterAutospacing="0"/>
        <w:ind w:firstLine="709" w:left="0"/>
        <w:jc w:val="both"/>
        <w:rPr>
          <w:bCs w:val="1"/>
          <w:sz w:val="28"/>
          <w:szCs w:val="28"/>
          <w:highlight w:val="green"/>
        </w:rPr>
      </w:pPr>
      <w:r>
        <w:rPr>
          <w:bCs w:val="1"/>
          <w:sz w:val="28"/>
          <w:szCs w:val="28"/>
          <w:highlight w:val="green"/>
        </w:rPr>
        <w:t xml:space="preserve">Bartley T. Institutional emergence in an era of globalization: The rise of transnational private regulation of labour and environment conditions // American Journal of Sociology. 2007. 113(2). pp. 297–351. </w:t>
      </w:r>
    </w:p>
    <w:p>
      <w:pPr>
        <w:pStyle w:val="P13"/>
        <w:numPr>
          <w:ilvl w:val="0"/>
          <w:numId w:val="6"/>
        </w:numPr>
        <w:spacing w:lineRule="auto" w:line="360" w:beforeAutospacing="0" w:afterAutospacing="0"/>
        <w:ind w:firstLine="709" w:left="0"/>
        <w:jc w:val="both"/>
        <w:rPr>
          <w:bCs w:val="1"/>
          <w:sz w:val="28"/>
          <w:szCs w:val="28"/>
          <w:highlight w:val="green"/>
        </w:rPr>
      </w:pPr>
      <w:r>
        <w:rPr>
          <w:bCs w:val="1"/>
          <w:sz w:val="28"/>
          <w:szCs w:val="28"/>
          <w:highlight w:val="green"/>
        </w:rPr>
        <w:t>Beck T. Financial Development and International Trade: Is There a Link? // Journal of International Economics. 2002. 57(1). pp. 107–131.</w:t>
      </w:r>
    </w:p>
    <w:p>
      <w:pPr>
        <w:pStyle w:val="P13"/>
        <w:numPr>
          <w:ilvl w:val="0"/>
          <w:numId w:val="6"/>
        </w:numPr>
        <w:spacing w:lineRule="auto" w:line="360" w:beforeAutospacing="0" w:afterAutospacing="0"/>
        <w:ind w:firstLine="709" w:left="0"/>
        <w:jc w:val="both"/>
        <w:rPr>
          <w:bCs w:val="1"/>
          <w:sz w:val="28"/>
          <w:szCs w:val="28"/>
          <w:highlight w:val="green"/>
        </w:rPr>
      </w:pPr>
      <w:r>
        <w:rPr>
          <w:bCs w:val="1"/>
          <w:sz w:val="28"/>
          <w:szCs w:val="28"/>
          <w:highlight w:val="green"/>
        </w:rPr>
        <w:t>Beck T. Financial Dependence and International Trade // Review of International Economics. 2003. 11(2). pp. 296–316.</w:t>
      </w:r>
    </w:p>
    <w:p>
      <w:pPr>
        <w:pStyle w:val="P15"/>
        <w:widowControl w:val="1"/>
        <w:numPr>
          <w:ilvl w:val="0"/>
          <w:numId w:val="6"/>
        </w:numPr>
        <w:spacing w:lineRule="auto" w:line="360" w:beforeAutospacing="0" w:afterAutospacing="0"/>
        <w:ind w:firstLine="709" w:left="0"/>
        <w:contextualSpacing w:val="1"/>
        <w:jc w:val="both"/>
        <w:rPr>
          <w:bCs w:val="1"/>
          <w:sz w:val="28"/>
          <w:szCs w:val="28"/>
          <w:highlight w:val="green"/>
          <w:lang w:val="ru-RU"/>
        </w:rPr>
      </w:pPr>
      <w:r>
        <w:rPr>
          <w:bCs w:val="1"/>
          <w:sz w:val="28"/>
          <w:szCs w:val="28"/>
          <w:highlight w:val="green"/>
        </w:rPr>
        <w:t xml:space="preserve">Beck T., Cull R. Small- and Medium-Sized Enterprise Finance in Africa </w:t>
      </w:r>
      <w:r>
        <w:rPr>
          <w:sz w:val="28"/>
          <w:szCs w:val="28"/>
          <w:highlight w:val="green"/>
        </w:rPr>
        <w:t xml:space="preserve">[Электронный ресурс]. </w:t>
      </w:r>
      <w:r>
        <w:rPr>
          <w:sz w:val="28"/>
          <w:szCs w:val="28"/>
          <w:highlight w:val="green"/>
          <w:lang w:val="ru-RU"/>
        </w:rPr>
        <w:t>Режим доступа:</w:t>
      </w:r>
      <w:r>
        <w:rPr>
          <w:bCs w:val="1"/>
          <w:sz w:val="28"/>
          <w:szCs w:val="28"/>
          <w:highlight w:val="green"/>
          <w:lang w:val="ru-RU"/>
        </w:rPr>
        <w:t xml:space="preserve">  </w:t>
      </w:r>
      <w:r>
        <w:rPr>
          <w:bCs w:val="1"/>
          <w:sz w:val="28"/>
          <w:szCs w:val="28"/>
          <w:highlight w:val="green"/>
        </w:rPr>
        <w:t>https</w:t>
      </w:r>
      <w:r>
        <w:rPr>
          <w:bCs w:val="1"/>
          <w:sz w:val="28"/>
          <w:szCs w:val="28"/>
          <w:highlight w:val="green"/>
          <w:lang w:val="ru-RU"/>
        </w:rPr>
        <w:t>://</w:t>
      </w:r>
      <w:r>
        <w:rPr>
          <w:bCs w:val="1"/>
          <w:sz w:val="28"/>
          <w:szCs w:val="28"/>
          <w:highlight w:val="green"/>
        </w:rPr>
        <w:t>www</w:t>
      </w:r>
      <w:r>
        <w:rPr>
          <w:bCs w:val="1"/>
          <w:sz w:val="28"/>
          <w:szCs w:val="28"/>
          <w:highlight w:val="green"/>
          <w:lang w:val="ru-RU"/>
        </w:rPr>
        <w:t>.</w:t>
      </w:r>
      <w:r>
        <w:rPr>
          <w:bCs w:val="1"/>
          <w:sz w:val="28"/>
          <w:szCs w:val="28"/>
          <w:highlight w:val="green"/>
        </w:rPr>
        <w:t>brookings</w:t>
      </w:r>
      <w:r>
        <w:rPr>
          <w:bCs w:val="1"/>
          <w:sz w:val="28"/>
          <w:szCs w:val="28"/>
          <w:highlight w:val="green"/>
          <w:lang w:val="ru-RU"/>
        </w:rPr>
        <w:t>.</w:t>
      </w:r>
      <w:r>
        <w:rPr>
          <w:bCs w:val="1"/>
          <w:sz w:val="28"/>
          <w:szCs w:val="28"/>
          <w:highlight w:val="green"/>
        </w:rPr>
        <w:t>edu</w:t>
      </w:r>
      <w:r>
        <w:rPr>
          <w:bCs w:val="1"/>
          <w:sz w:val="28"/>
          <w:szCs w:val="28"/>
          <w:highlight w:val="green"/>
          <w:lang w:val="ru-RU"/>
        </w:rPr>
        <w:t>/</w:t>
      </w:r>
      <w:r>
        <w:rPr>
          <w:bCs w:val="1"/>
          <w:sz w:val="28"/>
          <w:szCs w:val="28"/>
          <w:highlight w:val="green"/>
        </w:rPr>
        <w:t>wp</w:t>
      </w:r>
      <w:r>
        <w:rPr>
          <w:bCs w:val="1"/>
          <w:sz w:val="28"/>
          <w:szCs w:val="28"/>
          <w:highlight w:val="green"/>
          <w:lang w:val="ru-RU"/>
        </w:rPr>
        <w:t>-</w:t>
      </w:r>
      <w:r>
        <w:rPr>
          <w:bCs w:val="1"/>
          <w:sz w:val="28"/>
          <w:szCs w:val="28"/>
          <w:highlight w:val="green"/>
        </w:rPr>
        <w:t>content</w:t>
      </w:r>
      <w:r>
        <w:rPr>
          <w:bCs w:val="1"/>
          <w:sz w:val="28"/>
          <w:szCs w:val="28"/>
          <w:highlight w:val="green"/>
          <w:lang w:val="ru-RU"/>
        </w:rPr>
        <w:t>/</w:t>
      </w:r>
      <w:r>
        <w:rPr>
          <w:bCs w:val="1"/>
          <w:sz w:val="28"/>
          <w:szCs w:val="28"/>
          <w:highlight w:val="green"/>
        </w:rPr>
        <w:t>uploads</w:t>
      </w:r>
      <w:r>
        <w:rPr>
          <w:bCs w:val="1"/>
          <w:sz w:val="28"/>
          <w:szCs w:val="28"/>
          <w:highlight w:val="green"/>
          <w:lang w:val="ru-RU"/>
        </w:rPr>
        <w:t>/2016/06/</w:t>
      </w:r>
      <w:r>
        <w:rPr>
          <w:bCs w:val="1"/>
          <w:sz w:val="28"/>
          <w:szCs w:val="28"/>
          <w:highlight w:val="green"/>
        </w:rPr>
        <w:t>SME</w:t>
      </w:r>
      <w:r>
        <w:rPr>
          <w:bCs w:val="1"/>
          <w:sz w:val="28"/>
          <w:szCs w:val="28"/>
          <w:highlight w:val="green"/>
          <w:lang w:val="ru-RU"/>
        </w:rPr>
        <w:t>-</w:t>
      </w:r>
      <w:r>
        <w:rPr>
          <w:bCs w:val="1"/>
          <w:sz w:val="28"/>
          <w:szCs w:val="28"/>
          <w:highlight w:val="green"/>
        </w:rPr>
        <w:t>Finance</w:t>
      </w:r>
      <w:r>
        <w:rPr>
          <w:bCs w:val="1"/>
          <w:sz w:val="28"/>
          <w:szCs w:val="28"/>
          <w:highlight w:val="green"/>
          <w:lang w:val="ru-RU"/>
        </w:rPr>
        <w:t>-</w:t>
      </w:r>
      <w:r>
        <w:rPr>
          <w:bCs w:val="1"/>
          <w:sz w:val="28"/>
          <w:szCs w:val="28"/>
          <w:highlight w:val="green"/>
        </w:rPr>
        <w:t>in</w:t>
      </w:r>
      <w:r>
        <w:rPr>
          <w:bCs w:val="1"/>
          <w:sz w:val="28"/>
          <w:szCs w:val="28"/>
          <w:highlight w:val="green"/>
          <w:lang w:val="ru-RU"/>
        </w:rPr>
        <w:t>-</w:t>
      </w:r>
      <w:r>
        <w:rPr>
          <w:bCs w:val="1"/>
          <w:sz w:val="28"/>
          <w:szCs w:val="28"/>
          <w:highlight w:val="green"/>
        </w:rPr>
        <w:t>Africa</w:t>
      </w:r>
      <w:r>
        <w:rPr>
          <w:bCs w:val="1"/>
          <w:sz w:val="28"/>
          <w:szCs w:val="28"/>
          <w:highlight w:val="green"/>
          <w:lang w:val="ru-RU"/>
        </w:rPr>
        <w:t>-</w:t>
      </w:r>
      <w:r>
        <w:rPr>
          <w:bCs w:val="1"/>
          <w:sz w:val="28"/>
          <w:szCs w:val="28"/>
          <w:highlight w:val="green"/>
        </w:rPr>
        <w:t>Designed</w:t>
      </w:r>
      <w:r>
        <w:rPr>
          <w:bCs w:val="1"/>
          <w:sz w:val="28"/>
          <w:szCs w:val="28"/>
          <w:highlight w:val="green"/>
          <w:lang w:val="ru-RU"/>
        </w:rPr>
        <w:t>_</w:t>
      </w:r>
      <w:r>
        <w:rPr>
          <w:bCs w:val="1"/>
          <w:sz w:val="28"/>
          <w:szCs w:val="28"/>
          <w:highlight w:val="green"/>
        </w:rPr>
        <w:t>FINAL</w:t>
      </w:r>
      <w:r>
        <w:rPr>
          <w:bCs w:val="1"/>
          <w:sz w:val="28"/>
          <w:szCs w:val="28"/>
          <w:highlight w:val="green"/>
          <w:lang w:val="ru-RU"/>
        </w:rPr>
        <w:t>.</w:t>
      </w:r>
      <w:r>
        <w:rPr>
          <w:bCs w:val="1"/>
          <w:sz w:val="28"/>
          <w:szCs w:val="28"/>
          <w:highlight w:val="green"/>
        </w:rPr>
        <w:t>pdf</w:t>
      </w:r>
      <w:r>
        <w:rPr>
          <w:bCs w:val="1"/>
          <w:sz w:val="28"/>
          <w:szCs w:val="28"/>
          <w:highlight w:val="green"/>
          <w:lang w:val="ru-RU"/>
        </w:rPr>
        <w:t xml:space="preserve"> </w:t>
      </w:r>
      <w:r>
        <w:rPr>
          <w:sz w:val="28"/>
          <w:szCs w:val="28"/>
          <w:highlight w:val="green"/>
          <w:lang w:val="ru-RU"/>
        </w:rPr>
        <w:t>(дата обращения 16.05.2023).</w:t>
      </w:r>
    </w:p>
    <w:p>
      <w:pPr>
        <w:pStyle w:val="P15"/>
        <w:widowControl w:val="1"/>
        <w:numPr>
          <w:ilvl w:val="0"/>
          <w:numId w:val="6"/>
        </w:numPr>
        <w:spacing w:lineRule="auto" w:line="360" w:beforeAutospacing="0" w:afterAutospacing="0"/>
        <w:ind w:firstLine="709" w:left="0"/>
        <w:contextualSpacing w:val="1"/>
        <w:jc w:val="both"/>
        <w:rPr>
          <w:rFonts w:eastAsia="StoneSerifStd-Medium"/>
          <w:bCs w:val="1"/>
          <w:sz w:val="28"/>
          <w:szCs w:val="28"/>
          <w:highlight w:val="green"/>
        </w:rPr>
      </w:pPr>
      <w:r>
        <w:rPr>
          <w:rFonts w:eastAsia="StoneSerifStd-Medium"/>
          <w:bCs w:val="1"/>
          <w:sz w:val="28"/>
          <w:szCs w:val="28"/>
          <w:highlight w:val="green"/>
        </w:rPr>
        <w:t xml:space="preserve">Becker G. </w:t>
      </w:r>
      <w:r>
        <w:rPr>
          <w:rFonts w:eastAsia="StoneSerifStd-MediumItalic"/>
          <w:bCs w:val="1"/>
          <w:sz w:val="28"/>
          <w:szCs w:val="28"/>
          <w:highlight w:val="green"/>
        </w:rPr>
        <w:t xml:space="preserve">A Treatise on the Family. </w:t>
      </w:r>
      <w:r>
        <w:rPr>
          <w:rFonts w:eastAsia="StoneSerifStd-Medium"/>
          <w:bCs w:val="1"/>
          <w:sz w:val="28"/>
          <w:szCs w:val="28"/>
          <w:highlight w:val="green"/>
        </w:rPr>
        <w:t>Cambridge, MA: Harvard University Press</w:t>
      </w:r>
      <w:bookmarkStart w:id="58" w:name="_Hlk137399046"/>
      <w:r>
        <w:rPr>
          <w:rFonts w:eastAsia="StoneSerifStd-Medium"/>
          <w:bCs w:val="1"/>
          <w:sz w:val="28"/>
          <w:szCs w:val="28"/>
          <w:highlight w:val="green"/>
        </w:rPr>
        <w:t>, 1981. 386 р.</w:t>
      </w:r>
    </w:p>
    <w:p>
      <w:pPr>
        <w:pStyle w:val="P15"/>
        <w:widowControl w:val="1"/>
        <w:numPr>
          <w:ilvl w:val="0"/>
          <w:numId w:val="6"/>
        </w:numPr>
        <w:spacing w:lineRule="auto" w:line="360" w:beforeAutospacing="0" w:afterAutospacing="0"/>
        <w:ind w:firstLine="709" w:left="0"/>
        <w:contextualSpacing w:val="1"/>
        <w:jc w:val="both"/>
        <w:rPr>
          <w:rFonts w:eastAsia="StoneSerifStd-Medium"/>
          <w:bCs w:val="1"/>
          <w:sz w:val="28"/>
          <w:szCs w:val="28"/>
          <w:highlight w:val="green"/>
        </w:rPr>
      </w:pPr>
      <w:r>
        <w:rPr>
          <w:bCs w:val="1"/>
          <w:sz w:val="28"/>
          <w:szCs w:val="28"/>
          <w:highlight w:val="green"/>
        </w:rPr>
        <w:t xml:space="preserve">Bellone F., Musso P., Nesta L., Schiavo S. </w:t>
      </w:r>
      <w:bookmarkEnd w:id="58"/>
      <w:r>
        <w:rPr>
          <w:bCs w:val="1"/>
          <w:sz w:val="28"/>
          <w:szCs w:val="28"/>
          <w:highlight w:val="green"/>
        </w:rPr>
        <w:t>Financial Constraints and Firm Export Behaviour // The World Economy. 2010. 33(3). pp. 347–373.</w:t>
      </w:r>
    </w:p>
    <w:p>
      <w:pPr>
        <w:pStyle w:val="P15"/>
        <w:widowControl w:val="1"/>
        <w:numPr>
          <w:ilvl w:val="0"/>
          <w:numId w:val="6"/>
        </w:numPr>
        <w:spacing w:lineRule="auto" w:line="360" w:beforeAutospacing="0" w:afterAutospacing="0"/>
        <w:ind w:firstLine="709" w:left="0"/>
        <w:contextualSpacing w:val="1"/>
        <w:jc w:val="both"/>
        <w:rPr>
          <w:rFonts w:eastAsia="StoneSerifStd-Medium"/>
          <w:bCs w:val="1"/>
          <w:sz w:val="28"/>
          <w:szCs w:val="28"/>
          <w:highlight w:val="green"/>
        </w:rPr>
      </w:pPr>
      <w:r>
        <w:rPr>
          <w:bCs w:val="1"/>
          <w:sz w:val="28"/>
          <w:szCs w:val="28"/>
          <w:highlight w:val="green"/>
        </w:rPr>
        <w:t xml:space="preserve">Betsill M.M., Bulkeley H.H. Transnational networks and global environmental governance: The cities for climate protection program // International Studies Quarterly. 2004. 48(2). pp. 471–493. </w:t>
      </w:r>
    </w:p>
    <w:p>
      <w:pPr>
        <w:pStyle w:val="P13"/>
        <w:numPr>
          <w:ilvl w:val="0"/>
          <w:numId w:val="6"/>
        </w:numPr>
        <w:spacing w:lineRule="auto" w:line="360" w:beforeAutospacing="0" w:afterAutospacing="0"/>
        <w:ind w:firstLine="709" w:left="0"/>
        <w:jc w:val="both"/>
        <w:rPr>
          <w:bCs w:val="1"/>
          <w:sz w:val="28"/>
          <w:szCs w:val="28"/>
          <w:highlight w:val="green"/>
        </w:rPr>
      </w:pPr>
      <w:r>
        <w:rPr>
          <w:bCs w:val="1"/>
          <w:sz w:val="28"/>
          <w:szCs w:val="28"/>
          <w:highlight w:val="green"/>
        </w:rPr>
        <w:t xml:space="preserve">Biekart K., Fowler A. Ownership dynamics in local multi-stakeholder initiatives // Third World Quarterly. 2018. 39(9). pp. </w:t>
      </w:r>
      <w:r>
        <w:rPr>
          <w:bCs w:val="1"/>
          <w:sz w:val="28"/>
          <w:szCs w:val="28"/>
        </w:rPr>
        <w:t>1692–1707</w:t>
      </w:r>
      <w:r>
        <w:rPr>
          <w:bCs w:val="1"/>
          <w:sz w:val="28"/>
          <w:szCs w:val="28"/>
          <w:highlight w:val="green"/>
        </w:rPr>
        <w:t xml:space="preserve">. </w:t>
      </w:r>
    </w:p>
    <w:p>
      <w:pPr>
        <w:pStyle w:val="P13"/>
        <w:numPr>
          <w:ilvl w:val="0"/>
          <w:numId w:val="6"/>
        </w:numPr>
        <w:spacing w:lineRule="auto" w:line="360" w:beforeAutospacing="0" w:afterAutospacing="0"/>
        <w:ind w:firstLine="709" w:left="0"/>
        <w:jc w:val="both"/>
        <w:rPr>
          <w:bCs w:val="1"/>
          <w:sz w:val="28"/>
          <w:szCs w:val="28"/>
          <w:highlight w:val="green"/>
        </w:rPr>
      </w:pPr>
      <w:r>
        <w:rPr>
          <w:bCs w:val="1"/>
          <w:sz w:val="28"/>
          <w:szCs w:val="28"/>
          <w:highlight w:val="green"/>
        </w:rPr>
        <w:t>Bochańczyk-Kupka D., Pęciak R. Institutions in the context of sustainable development // The Macrotheme Review. 2015. 4(5). pp. 29–41.</w:t>
      </w:r>
    </w:p>
    <w:p>
      <w:pPr>
        <w:pStyle w:val="P13"/>
        <w:numPr>
          <w:ilvl w:val="0"/>
          <w:numId w:val="6"/>
        </w:numPr>
        <w:spacing w:lineRule="auto" w:line="360" w:beforeAutospacing="0" w:afterAutospacing="0"/>
        <w:ind w:firstLine="709" w:left="0"/>
        <w:jc w:val="both"/>
        <w:rPr>
          <w:bCs w:val="1"/>
          <w:sz w:val="28"/>
          <w:szCs w:val="28"/>
          <w:highlight w:val="green"/>
        </w:rPr>
      </w:pPr>
      <w:r>
        <w:rPr>
          <w:bCs w:val="1"/>
          <w:sz w:val="28"/>
          <w:szCs w:val="28"/>
        </w:rPr>
        <w:t xml:space="preserve">Börzel </w:t>
      </w:r>
      <w:r>
        <w:rPr>
          <w:bCs w:val="1"/>
          <w:sz w:val="28"/>
          <w:szCs w:val="28"/>
          <w:highlight w:val="green"/>
        </w:rPr>
        <w:t>T. Theorizing Regionalism: Cooperation, Integration and Governance // The Oxford Handbook of Comparative Regionalism / T. Bosrzel, and T, Risse (eds). Oxford: Oxford University Press, 2016. pp. 41–63.</w:t>
      </w:r>
    </w:p>
    <w:p>
      <w:pPr>
        <w:pStyle w:val="P13"/>
        <w:numPr>
          <w:ilvl w:val="0"/>
          <w:numId w:val="6"/>
        </w:numPr>
        <w:spacing w:lineRule="auto" w:line="360" w:beforeAutospacing="0" w:afterAutospacing="0"/>
        <w:ind w:firstLine="709" w:left="0"/>
        <w:jc w:val="both"/>
        <w:rPr>
          <w:bCs w:val="1"/>
          <w:sz w:val="28"/>
          <w:szCs w:val="28"/>
          <w:highlight w:val="green"/>
        </w:rPr>
      </w:pPr>
      <w:r>
        <w:rPr>
          <w:bCs w:val="1"/>
          <w:sz w:val="28"/>
          <w:szCs w:val="28"/>
          <w:highlight w:val="green"/>
        </w:rPr>
        <w:t xml:space="preserve">Borzel T.A., Risse T. Governance without a state: Can it work? // Regulation &amp; Governance. 2010. 4(2). pp. 113–134. </w:t>
      </w:r>
    </w:p>
    <w:p>
      <w:pPr>
        <w:pStyle w:val="P15"/>
        <w:widowControl w:val="1"/>
        <w:numPr>
          <w:ilvl w:val="0"/>
          <w:numId w:val="6"/>
        </w:numPr>
        <w:spacing w:lineRule="auto" w:line="360" w:beforeAutospacing="0" w:afterAutospacing="0"/>
        <w:ind w:firstLine="709" w:left="0"/>
        <w:contextualSpacing w:val="1"/>
        <w:jc w:val="both"/>
        <w:rPr>
          <w:bCs w:val="1"/>
          <w:sz w:val="28"/>
          <w:szCs w:val="28"/>
          <w:highlight w:val="green"/>
        </w:rPr>
      </w:pPr>
      <w:r>
        <w:rPr>
          <w:sz w:val="28"/>
          <w:szCs w:val="28"/>
          <w:highlight w:val="green"/>
          <w:shd w:val="clear" w:color="auto" w:fill="FFFFFF"/>
        </w:rPr>
        <w:t>Bosselmann K. The principle of sustainability: transforming law and governance. – Taylor &amp; Francis, 2016. 414 р</w:t>
      </w:r>
      <w:r>
        <w:rPr>
          <w:bCs w:val="1"/>
          <w:sz w:val="28"/>
          <w:szCs w:val="28"/>
          <w:highlight w:val="green"/>
        </w:rPr>
        <w:t>.</w:t>
      </w:r>
      <w:bookmarkStart w:id="59" w:name="_Hlk137399018"/>
    </w:p>
    <w:p>
      <w:pPr>
        <w:pStyle w:val="P15"/>
        <w:widowControl w:val="1"/>
        <w:numPr>
          <w:ilvl w:val="0"/>
          <w:numId w:val="6"/>
        </w:numPr>
        <w:spacing w:lineRule="auto" w:line="360" w:beforeAutospacing="0" w:afterAutospacing="0"/>
        <w:ind w:firstLine="709" w:left="0"/>
        <w:contextualSpacing w:val="1"/>
        <w:jc w:val="both"/>
        <w:rPr>
          <w:bCs w:val="1"/>
          <w:sz w:val="28"/>
          <w:szCs w:val="28"/>
          <w:highlight w:val="green"/>
        </w:rPr>
      </w:pPr>
      <w:r>
        <w:rPr>
          <w:bCs w:val="1"/>
          <w:sz w:val="28"/>
          <w:szCs w:val="28"/>
          <w:highlight w:val="green"/>
        </w:rPr>
        <w:t xml:space="preserve">Bridges S., Guariglia A. </w:t>
      </w:r>
      <w:bookmarkEnd w:id="59"/>
      <w:r>
        <w:rPr>
          <w:bCs w:val="1"/>
          <w:sz w:val="28"/>
          <w:szCs w:val="28"/>
          <w:highlight w:val="green"/>
        </w:rPr>
        <w:t xml:space="preserve">Financial Constraints, Global Engagement, and Firm Survival in the United Kingdom: Evidence from Micro Data // Scottish Journal of Political Economy. 2008. 55. pp. 444–464. </w:t>
      </w:r>
    </w:p>
    <w:p>
      <w:pPr>
        <w:pStyle w:val="P15"/>
        <w:widowControl w:val="1"/>
        <w:numPr>
          <w:ilvl w:val="0"/>
          <w:numId w:val="6"/>
        </w:numPr>
        <w:spacing w:lineRule="auto" w:line="360" w:beforeAutospacing="0" w:afterAutospacing="0"/>
        <w:ind w:firstLine="709" w:left="0"/>
        <w:contextualSpacing w:val="1"/>
        <w:jc w:val="both"/>
        <w:rPr>
          <w:rFonts w:eastAsia="StoneSerifStd-Medium"/>
          <w:bCs w:val="1"/>
          <w:sz w:val="28"/>
          <w:szCs w:val="28"/>
          <w:highlight w:val="green"/>
        </w:rPr>
      </w:pPr>
      <w:r>
        <w:rPr>
          <w:rFonts w:eastAsia="StoneSerifStd-Medium"/>
          <w:bCs w:val="1"/>
          <w:sz w:val="28"/>
          <w:szCs w:val="28"/>
          <w:highlight w:val="green"/>
        </w:rPr>
        <w:t xml:space="preserve">Bryant H., Bessler D., Haigh M. Disproving Causal Relationships Using Observational Data // </w:t>
      </w:r>
      <w:r>
        <w:rPr>
          <w:rFonts w:eastAsia="StoneSerifStd-MediumItalic"/>
          <w:bCs w:val="1"/>
          <w:sz w:val="28"/>
          <w:szCs w:val="28"/>
          <w:highlight w:val="green"/>
        </w:rPr>
        <w:t>Oxford Bulletin of Economics and Statistics</w:t>
      </w:r>
      <w:r>
        <w:rPr>
          <w:rFonts w:eastAsia="StoneSerifStd-Medium"/>
          <w:bCs w:val="1"/>
          <w:sz w:val="28"/>
          <w:szCs w:val="28"/>
          <w:highlight w:val="green"/>
        </w:rPr>
        <w:t>. 2009.</w:t>
      </w:r>
    </w:p>
    <w:p>
      <w:pPr>
        <w:pStyle w:val="P15"/>
        <w:widowControl w:val="1"/>
        <w:numPr>
          <w:ilvl w:val="0"/>
          <w:numId w:val="6"/>
        </w:numPr>
        <w:spacing w:lineRule="auto" w:line="360" w:beforeAutospacing="0" w:afterAutospacing="0"/>
        <w:ind w:firstLine="709" w:left="0"/>
        <w:contextualSpacing w:val="1"/>
        <w:jc w:val="both"/>
        <w:rPr>
          <w:rFonts w:eastAsia="StoneSerifStd-Medium"/>
          <w:bCs w:val="1"/>
          <w:sz w:val="28"/>
          <w:szCs w:val="28"/>
          <w:highlight w:val="green"/>
        </w:rPr>
      </w:pPr>
      <w:r>
        <w:rPr>
          <w:bCs w:val="1"/>
          <w:sz w:val="28"/>
          <w:szCs w:val="28"/>
          <w:highlight w:val="green"/>
        </w:rPr>
        <w:t>Burke L., Logsdon J. M. How corporate social responsibility pays off // Long Range Planning. 1996. 29(4). pp. 495–502.</w:t>
      </w:r>
    </w:p>
    <w:p>
      <w:pPr>
        <w:pStyle w:val="P15"/>
        <w:widowControl w:val="1"/>
        <w:numPr>
          <w:ilvl w:val="0"/>
          <w:numId w:val="6"/>
        </w:numPr>
        <w:spacing w:lineRule="auto" w:line="360" w:beforeAutospacing="0" w:afterAutospacing="0"/>
        <w:ind w:firstLine="709" w:left="0"/>
        <w:contextualSpacing w:val="1"/>
        <w:jc w:val="both"/>
        <w:rPr>
          <w:bCs w:val="1"/>
          <w:sz w:val="28"/>
          <w:szCs w:val="28"/>
          <w:highlight w:val="green"/>
          <w:lang w:val="ru-RU"/>
        </w:rPr>
      </w:pPr>
      <w:bookmarkStart w:id="60" w:name="_Hlk137398993"/>
      <w:r>
        <w:rPr>
          <w:sz w:val="28"/>
          <w:szCs w:val="28"/>
          <w:highlight w:val="green"/>
        </w:rPr>
        <w:t xml:space="preserve">Business for Social Responsibility (BSR) [Электронный ресурс]. </w:t>
      </w:r>
      <w:r>
        <w:rPr>
          <w:sz w:val="28"/>
          <w:szCs w:val="28"/>
          <w:highlight w:val="green"/>
          <w:lang w:val="ru-RU"/>
        </w:rPr>
        <w:t xml:space="preserve">Режим доступа: </w:t>
      </w:r>
      <w:r>
        <w:rPr>
          <w:sz w:val="28"/>
          <w:szCs w:val="28"/>
          <w:highlight w:val="green"/>
        </w:rPr>
        <w:t>https</w:t>
      </w:r>
      <w:r>
        <w:rPr>
          <w:sz w:val="28"/>
          <w:szCs w:val="28"/>
          <w:highlight w:val="green"/>
          <w:lang w:val="ru-RU"/>
        </w:rPr>
        <w:t>://</w:t>
      </w:r>
      <w:r>
        <w:rPr>
          <w:sz w:val="28"/>
          <w:szCs w:val="28"/>
          <w:highlight w:val="green"/>
        </w:rPr>
        <w:t>www</w:t>
      </w:r>
      <w:r>
        <w:rPr>
          <w:sz w:val="28"/>
          <w:szCs w:val="28"/>
          <w:highlight w:val="green"/>
          <w:lang w:val="ru-RU"/>
        </w:rPr>
        <w:t>.</w:t>
      </w:r>
      <w:r>
        <w:rPr>
          <w:sz w:val="28"/>
          <w:szCs w:val="28"/>
          <w:highlight w:val="green"/>
        </w:rPr>
        <w:t>devex</w:t>
      </w:r>
      <w:r>
        <w:rPr>
          <w:sz w:val="28"/>
          <w:szCs w:val="28"/>
          <w:highlight w:val="green"/>
          <w:lang w:val="ru-RU"/>
        </w:rPr>
        <w:t>.</w:t>
      </w:r>
      <w:r>
        <w:rPr>
          <w:sz w:val="28"/>
          <w:szCs w:val="28"/>
          <w:highlight w:val="green"/>
        </w:rPr>
        <w:t>com</w:t>
      </w:r>
      <w:r>
        <w:rPr>
          <w:sz w:val="28"/>
          <w:szCs w:val="28"/>
          <w:highlight w:val="green"/>
          <w:lang w:val="ru-RU"/>
        </w:rPr>
        <w:t>/</w:t>
      </w:r>
      <w:r>
        <w:rPr>
          <w:sz w:val="28"/>
          <w:szCs w:val="28"/>
          <w:highlight w:val="green"/>
        </w:rPr>
        <w:t>organizations</w:t>
      </w:r>
      <w:r>
        <w:rPr>
          <w:sz w:val="28"/>
          <w:szCs w:val="28"/>
          <w:highlight w:val="green"/>
          <w:lang w:val="ru-RU"/>
        </w:rPr>
        <w:t>/</w:t>
      </w:r>
      <w:r>
        <w:rPr>
          <w:sz w:val="28"/>
          <w:szCs w:val="28"/>
          <w:highlight w:val="green"/>
        </w:rPr>
        <w:t>business</w:t>
      </w:r>
      <w:r>
        <w:rPr>
          <w:sz w:val="28"/>
          <w:szCs w:val="28"/>
          <w:highlight w:val="green"/>
          <w:lang w:val="ru-RU"/>
        </w:rPr>
        <w:t>-</w:t>
      </w:r>
      <w:r>
        <w:rPr>
          <w:sz w:val="28"/>
          <w:szCs w:val="28"/>
          <w:highlight w:val="green"/>
        </w:rPr>
        <w:t>for</w:t>
      </w:r>
      <w:r>
        <w:rPr>
          <w:sz w:val="28"/>
          <w:szCs w:val="28"/>
          <w:highlight w:val="green"/>
          <w:lang w:val="ru-RU"/>
        </w:rPr>
        <w:t>-</w:t>
      </w:r>
      <w:r>
        <w:rPr>
          <w:sz w:val="28"/>
          <w:szCs w:val="28"/>
          <w:highlight w:val="green"/>
        </w:rPr>
        <w:t>social</w:t>
      </w:r>
      <w:r>
        <w:rPr>
          <w:sz w:val="28"/>
          <w:szCs w:val="28"/>
          <w:highlight w:val="green"/>
          <w:lang w:val="ru-RU"/>
        </w:rPr>
        <w:t>-</w:t>
      </w:r>
      <w:r>
        <w:rPr>
          <w:sz w:val="28"/>
          <w:szCs w:val="28"/>
          <w:highlight w:val="green"/>
        </w:rPr>
        <w:t>responsibility</w:t>
      </w:r>
      <w:r>
        <w:rPr>
          <w:sz w:val="28"/>
          <w:szCs w:val="28"/>
          <w:highlight w:val="green"/>
          <w:lang w:val="ru-RU"/>
        </w:rPr>
        <w:t>-</w:t>
      </w:r>
      <w:r>
        <w:rPr>
          <w:sz w:val="28"/>
          <w:szCs w:val="28"/>
          <w:highlight w:val="green"/>
        </w:rPr>
        <w:t>bsr</w:t>
      </w:r>
      <w:r>
        <w:rPr>
          <w:sz w:val="28"/>
          <w:szCs w:val="28"/>
          <w:highlight w:val="green"/>
          <w:lang w:val="ru-RU"/>
        </w:rPr>
        <w:t>-49469 (дата обращения 08.12.2022).</w:t>
      </w:r>
    </w:p>
    <w:p>
      <w:pPr>
        <w:pStyle w:val="P15"/>
        <w:widowControl w:val="1"/>
        <w:numPr>
          <w:ilvl w:val="0"/>
          <w:numId w:val="6"/>
        </w:numPr>
        <w:spacing w:lineRule="auto" w:line="360" w:beforeAutospacing="0" w:afterAutospacing="0"/>
        <w:ind w:firstLine="709" w:left="0"/>
        <w:contextualSpacing w:val="1"/>
        <w:jc w:val="both"/>
        <w:rPr>
          <w:bCs w:val="1"/>
          <w:sz w:val="28"/>
          <w:szCs w:val="28"/>
          <w:highlight w:val="green"/>
        </w:rPr>
      </w:pPr>
      <w:r>
        <w:rPr>
          <w:bCs w:val="1"/>
          <w:sz w:val="28"/>
          <w:szCs w:val="28"/>
          <w:highlight w:val="green"/>
        </w:rPr>
        <w:t xml:space="preserve">Campa J.M., Shaver J.M. </w:t>
      </w:r>
      <w:bookmarkEnd w:id="60"/>
      <w:r>
        <w:rPr>
          <w:bCs w:val="1"/>
          <w:sz w:val="28"/>
          <w:szCs w:val="28"/>
          <w:highlight w:val="green"/>
        </w:rPr>
        <w:t>Exporting and Capital Investment: On the Strategic Investment Behavior of Exporters // Working Paper 469. 2002. Navarra: IESE Business School, University of Navarra.</w:t>
      </w:r>
    </w:p>
    <w:p>
      <w:pPr>
        <w:pStyle w:val="P15"/>
        <w:widowControl w:val="1"/>
        <w:numPr>
          <w:ilvl w:val="0"/>
          <w:numId w:val="6"/>
        </w:numPr>
        <w:spacing w:lineRule="auto" w:line="360" w:beforeAutospacing="0" w:afterAutospacing="0"/>
        <w:ind w:firstLine="709" w:left="0"/>
        <w:contextualSpacing w:val="1"/>
        <w:jc w:val="both"/>
        <w:rPr>
          <w:bCs w:val="1"/>
          <w:sz w:val="28"/>
          <w:szCs w:val="28"/>
          <w:highlight w:val="green"/>
        </w:rPr>
      </w:pPr>
      <w:r>
        <w:rPr>
          <w:bCs w:val="1"/>
          <w:sz w:val="28"/>
          <w:szCs w:val="28"/>
          <w:highlight w:val="green"/>
        </w:rPr>
        <w:t xml:space="preserve">Carroll A.B. A history of corporate social responsibility – Concepts and practices // </w:t>
      </w:r>
      <w:r>
        <w:rPr>
          <w:bCs w:val="1"/>
          <w:sz w:val="28"/>
          <w:szCs w:val="28"/>
        </w:rPr>
        <w:t>The Oxford Handbook of Corporate Social Responsibility</w:t>
      </w:r>
      <w:r>
        <w:rPr>
          <w:bCs w:val="1"/>
          <w:sz w:val="28"/>
          <w:szCs w:val="28"/>
          <w:highlight w:val="green"/>
        </w:rPr>
        <w:t xml:space="preserve">/ A. Crane, A. MacWilliams, D. Matten, J. Moon, D.S. Siegel (Eds.). Oxford: Oxford University Press, 2008. pp. 19–46. </w:t>
      </w:r>
    </w:p>
    <w:p>
      <w:pPr>
        <w:pStyle w:val="P15"/>
        <w:widowControl w:val="1"/>
        <w:numPr>
          <w:ilvl w:val="0"/>
          <w:numId w:val="6"/>
        </w:numPr>
        <w:spacing w:lineRule="auto" w:line="360" w:beforeAutospacing="0" w:afterAutospacing="0"/>
        <w:ind w:firstLine="709" w:left="0"/>
        <w:contextualSpacing w:val="1"/>
        <w:jc w:val="both"/>
        <w:rPr>
          <w:bCs w:val="1"/>
          <w:sz w:val="28"/>
          <w:szCs w:val="28"/>
          <w:highlight w:val="green"/>
        </w:rPr>
      </w:pPr>
      <w:r>
        <w:rPr>
          <w:bCs w:val="1"/>
          <w:sz w:val="28"/>
          <w:szCs w:val="28"/>
          <w:highlight w:val="green"/>
        </w:rPr>
        <w:t>Carroll A.B., Buchholtz A.K. Business and society, ethics and stakeholder management. Mason Publishing Group: Fairfax, VA, 2003. 258 р.</w:t>
      </w:r>
    </w:p>
    <w:p>
      <w:pPr>
        <w:pStyle w:val="P15"/>
        <w:widowControl w:val="1"/>
        <w:numPr>
          <w:ilvl w:val="0"/>
          <w:numId w:val="6"/>
        </w:numPr>
        <w:spacing w:lineRule="auto" w:line="360" w:beforeAutospacing="0" w:afterAutospacing="0"/>
        <w:ind w:firstLine="709" w:left="0"/>
        <w:contextualSpacing w:val="1"/>
        <w:jc w:val="both"/>
        <w:rPr>
          <w:bCs w:val="1"/>
          <w:sz w:val="28"/>
          <w:szCs w:val="28"/>
          <w:highlight w:val="green"/>
        </w:rPr>
      </w:pPr>
      <w:bookmarkStart w:id="61" w:name="_bookmark79"/>
      <w:bookmarkEnd w:id="61"/>
      <w:r>
        <w:rPr>
          <w:bCs w:val="1"/>
          <w:sz w:val="28"/>
          <w:szCs w:val="28"/>
          <w:highlight w:val="green"/>
        </w:rPr>
        <w:t>Carson R. Silent spring. London: Penguin Modern Classics, 2000. 312 р.</w:t>
      </w:r>
    </w:p>
    <w:p>
      <w:pPr>
        <w:pStyle w:val="P15"/>
        <w:widowControl w:val="1"/>
        <w:numPr>
          <w:ilvl w:val="0"/>
          <w:numId w:val="6"/>
        </w:numPr>
        <w:spacing w:lineRule="auto" w:line="360" w:beforeAutospacing="0" w:afterAutospacing="0"/>
        <w:ind w:firstLine="709" w:left="0"/>
        <w:contextualSpacing w:val="1"/>
        <w:jc w:val="both"/>
        <w:rPr>
          <w:bCs w:val="1"/>
          <w:sz w:val="28"/>
          <w:szCs w:val="28"/>
          <w:highlight w:val="green"/>
        </w:rPr>
      </w:pPr>
      <w:bookmarkStart w:id="62" w:name="_bookmark80"/>
      <w:bookmarkEnd w:id="62"/>
      <w:r>
        <w:rPr>
          <w:bCs w:val="1"/>
          <w:sz w:val="28"/>
          <w:szCs w:val="28"/>
          <w:highlight w:val="green"/>
        </w:rPr>
        <w:t>Chaney T. Liquidity Constrained Exporters. Chicago: Mimeo and University of Chicago</w:t>
      </w:r>
      <w:bookmarkStart w:id="63" w:name="_Hlk137396545"/>
      <w:r>
        <w:rPr>
          <w:bCs w:val="1"/>
          <w:sz w:val="28"/>
          <w:szCs w:val="28"/>
          <w:highlight w:val="green"/>
        </w:rPr>
        <w:t>, 2005. 168 р.</w:t>
      </w:r>
    </w:p>
    <w:p>
      <w:pPr>
        <w:pStyle w:val="P15"/>
        <w:widowControl w:val="1"/>
        <w:numPr>
          <w:ilvl w:val="0"/>
          <w:numId w:val="6"/>
        </w:numPr>
        <w:spacing w:lineRule="auto" w:line="360" w:beforeAutospacing="0" w:afterAutospacing="0"/>
        <w:ind w:firstLine="709" w:left="0"/>
        <w:contextualSpacing w:val="1"/>
        <w:jc w:val="both"/>
        <w:rPr>
          <w:bCs w:val="1"/>
          <w:sz w:val="28"/>
          <w:szCs w:val="28"/>
          <w:highlight w:val="green"/>
        </w:rPr>
      </w:pPr>
      <w:r>
        <w:rPr>
          <w:bCs w:val="1"/>
          <w:sz w:val="28"/>
          <w:szCs w:val="28"/>
          <w:highlight w:val="green"/>
        </w:rPr>
        <w:t xml:space="preserve">Chauvet L., Jacolin L. </w:t>
      </w:r>
      <w:bookmarkEnd w:id="63"/>
      <w:r>
        <w:rPr>
          <w:bCs w:val="1"/>
          <w:sz w:val="28"/>
          <w:szCs w:val="28"/>
          <w:highlight w:val="green"/>
        </w:rPr>
        <w:t xml:space="preserve">Financial Inclusion and Firms Performance. </w:t>
      </w:r>
      <w:r>
        <w:rPr>
          <w:bCs w:val="1"/>
          <w:sz w:val="28"/>
          <w:szCs w:val="28"/>
          <w:highlight w:val="green"/>
          <w:lang w:val="fr-FR"/>
        </w:rPr>
        <w:t xml:space="preserve">Seminar Banque de France/Ferdi (05/2015), Paris, France. </w:t>
      </w:r>
      <w:r>
        <w:rPr>
          <w:sz w:val="28"/>
          <w:szCs w:val="28"/>
          <w:highlight w:val="green"/>
          <w:lang w:val="fr-FR"/>
        </w:rPr>
        <w:t>[</w:t>
      </w:r>
      <w:r>
        <w:rPr>
          <w:sz w:val="28"/>
          <w:szCs w:val="28"/>
          <w:highlight w:val="green"/>
        </w:rPr>
        <w:t>Электронный</w:t>
      </w:r>
      <w:r>
        <w:rPr>
          <w:sz w:val="28"/>
          <w:szCs w:val="28"/>
          <w:highlight w:val="green"/>
          <w:lang w:val="fr-FR"/>
        </w:rPr>
        <w:t xml:space="preserve"> </w:t>
      </w:r>
      <w:r>
        <w:rPr>
          <w:sz w:val="28"/>
          <w:szCs w:val="28"/>
          <w:highlight w:val="green"/>
        </w:rPr>
        <w:t>ресурс</w:t>
      </w:r>
      <w:r>
        <w:rPr>
          <w:sz w:val="28"/>
          <w:szCs w:val="28"/>
          <w:highlight w:val="green"/>
          <w:lang w:val="fr-FR"/>
        </w:rPr>
        <w:t xml:space="preserve">]. </w:t>
      </w:r>
      <w:r>
        <w:rPr>
          <w:sz w:val="28"/>
          <w:szCs w:val="28"/>
          <w:highlight w:val="green"/>
        </w:rPr>
        <w:t>Режим</w:t>
      </w:r>
      <w:r>
        <w:rPr>
          <w:sz w:val="28"/>
          <w:szCs w:val="28"/>
          <w:highlight w:val="green"/>
          <w:lang w:val="fr-FR"/>
        </w:rPr>
        <w:t xml:space="preserve"> </w:t>
      </w:r>
      <w:r>
        <w:rPr>
          <w:sz w:val="28"/>
          <w:szCs w:val="28"/>
          <w:highlight w:val="green"/>
        </w:rPr>
        <w:t>доступа</w:t>
      </w:r>
      <w:r>
        <w:rPr>
          <w:sz w:val="28"/>
          <w:szCs w:val="28"/>
          <w:highlight w:val="green"/>
          <w:lang w:val="fr-FR"/>
        </w:rPr>
        <w:t>:</w:t>
      </w:r>
      <w:r>
        <w:rPr>
          <w:bCs w:val="1"/>
          <w:sz w:val="28"/>
          <w:szCs w:val="28"/>
          <w:highlight w:val="green"/>
          <w:lang w:val="fr-FR"/>
        </w:rPr>
        <w:t xml:space="preserve">  https://basepub.dauphine.fr/handle/123456789/15070. </w:t>
      </w:r>
      <w:r>
        <w:rPr>
          <w:sz w:val="28"/>
          <w:szCs w:val="28"/>
          <w:highlight w:val="green"/>
        </w:rPr>
        <w:t>(дата обращения 12.11.2022).</w:t>
      </w:r>
    </w:p>
    <w:p>
      <w:pPr>
        <w:pStyle w:val="P15"/>
        <w:widowControl w:val="1"/>
        <w:numPr>
          <w:ilvl w:val="0"/>
          <w:numId w:val="6"/>
        </w:numPr>
        <w:spacing w:lineRule="auto" w:line="360" w:beforeAutospacing="0" w:afterAutospacing="0"/>
        <w:ind w:firstLine="709" w:left="0"/>
        <w:contextualSpacing w:val="1"/>
        <w:jc w:val="both"/>
        <w:rPr>
          <w:bCs w:val="1"/>
          <w:sz w:val="28"/>
          <w:szCs w:val="28"/>
          <w:highlight w:val="green"/>
        </w:rPr>
      </w:pPr>
      <w:r>
        <w:rPr>
          <w:bCs w:val="1"/>
          <w:sz w:val="28"/>
          <w:szCs w:val="28"/>
          <w:highlight w:val="green"/>
        </w:rPr>
        <w:t>Cole M.A., Elliott R.J., Virakul S. Exporting and Financial Health: A Developing Country Perspective // Tenth Annual ETSG Conference, Warsaw. 2008. pp. 11–13.</w:t>
      </w:r>
    </w:p>
    <w:p>
      <w:pPr>
        <w:pStyle w:val="P15"/>
        <w:widowControl w:val="1"/>
        <w:numPr>
          <w:ilvl w:val="0"/>
          <w:numId w:val="6"/>
        </w:numPr>
        <w:spacing w:lineRule="auto" w:line="360" w:beforeAutospacing="0" w:afterAutospacing="0"/>
        <w:ind w:firstLine="709" w:left="0"/>
        <w:contextualSpacing w:val="1"/>
        <w:jc w:val="both"/>
        <w:rPr>
          <w:bCs w:val="1"/>
          <w:sz w:val="28"/>
          <w:szCs w:val="28"/>
          <w:highlight w:val="green"/>
        </w:rPr>
      </w:pPr>
      <w:r>
        <w:rPr>
          <w:bCs w:val="1"/>
          <w:sz w:val="28"/>
          <w:szCs w:val="28"/>
          <w:highlight w:val="green"/>
        </w:rPr>
        <w:t>Committee for Economic Development/CED. Social Responsibilities of Business Cor</w:t>
      </w:r>
      <w:hyperlink r:id="R4">
        <w:r>
          <w:rPr>
            <w:bCs w:val="1"/>
            <w:sz w:val="28"/>
            <w:szCs w:val="28"/>
            <w:highlight w:val="green"/>
          </w:rPr>
          <w:t xml:space="preserve">porations. </w:t>
        </w:r>
        <w:r>
          <w:rPr>
            <w:sz w:val="28"/>
            <w:szCs w:val="28"/>
            <w:highlight w:val="green"/>
            <w:lang w:val="ru-RU"/>
          </w:rPr>
          <w:t>[Электронный ресурс]. Режим доступа:</w:t>
        </w:r>
        <w:r>
          <w:rPr>
            <w:bCs w:val="1"/>
            <w:sz w:val="28"/>
            <w:szCs w:val="28"/>
            <w:highlight w:val="green"/>
            <w:lang w:val="ru-RU"/>
          </w:rPr>
          <w:t xml:space="preserve">  </w:t>
        </w:r>
        <w:r>
          <w:rPr>
            <w:bCs w:val="1"/>
            <w:sz w:val="28"/>
            <w:szCs w:val="28"/>
            <w:highlight w:val="green"/>
          </w:rPr>
          <w:t>http</w:t>
        </w:r>
        <w:r>
          <w:rPr>
            <w:bCs w:val="1"/>
            <w:sz w:val="28"/>
            <w:szCs w:val="28"/>
            <w:highlight w:val="green"/>
            <w:lang w:val="ru-RU"/>
          </w:rPr>
          <w:t>://</w:t>
        </w:r>
        <w:r>
          <w:rPr>
            <w:bCs w:val="1"/>
            <w:sz w:val="28"/>
            <w:szCs w:val="28"/>
            <w:highlight w:val="green"/>
          </w:rPr>
          <w:t>www</w:t>
        </w:r>
        <w:r>
          <w:rPr>
            <w:bCs w:val="1"/>
            <w:sz w:val="28"/>
            <w:szCs w:val="28"/>
            <w:highlight w:val="green"/>
            <w:lang w:val="ru-RU"/>
          </w:rPr>
          <w:t>.</w:t>
        </w:r>
        <w:r>
          <w:rPr>
            <w:bCs w:val="1"/>
            <w:sz w:val="28"/>
            <w:szCs w:val="28"/>
            <w:highlight w:val="green"/>
          </w:rPr>
          <w:t>ced</w:t>
        </w:r>
        <w:r>
          <w:rPr>
            <w:bCs w:val="1"/>
            <w:sz w:val="28"/>
            <w:szCs w:val="28"/>
            <w:highlight w:val="green"/>
            <w:lang w:val="ru-RU"/>
          </w:rPr>
          <w:t>.</w:t>
        </w:r>
        <w:r>
          <w:rPr>
            <w:bCs w:val="1"/>
            <w:sz w:val="28"/>
            <w:szCs w:val="28"/>
            <w:highlight w:val="green"/>
          </w:rPr>
          <w:t>org</w:t>
        </w:r>
        <w:r>
          <w:rPr>
            <w:bCs w:val="1"/>
            <w:sz w:val="28"/>
            <w:szCs w:val="28"/>
            <w:highlight w:val="green"/>
            <w:lang w:val="ru-RU"/>
          </w:rPr>
          <w:t>/</w:t>
        </w:r>
        <w:r>
          <w:rPr>
            <w:bCs w:val="1"/>
            <w:sz w:val="28"/>
            <w:szCs w:val="28"/>
            <w:highlight w:val="green"/>
          </w:rPr>
          <w:t>reports</w:t>
        </w:r>
        <w:r>
          <w:rPr>
            <w:bCs w:val="1"/>
            <w:sz w:val="28"/>
            <w:szCs w:val="28"/>
            <w:highlight w:val="green"/>
            <w:lang w:val="ru-RU"/>
          </w:rPr>
          <w:t>/</w:t>
        </w:r>
        <w:r>
          <w:rPr>
            <w:bCs w:val="1"/>
            <w:sz w:val="28"/>
            <w:szCs w:val="28"/>
            <w:highlight w:val="green"/>
          </w:rPr>
          <w:t>single</w:t>
        </w:r>
        <w:r>
          <w:rPr>
            <w:bCs w:val="1"/>
            <w:sz w:val="28"/>
            <w:szCs w:val="28"/>
            <w:highlight w:val="green"/>
            <w:lang w:val="ru-RU"/>
          </w:rPr>
          <w:t>/</w:t>
        </w:r>
        <w:r>
          <w:rPr>
            <w:bCs w:val="1"/>
            <w:sz w:val="28"/>
            <w:szCs w:val="28"/>
            <w:highlight w:val="green"/>
          </w:rPr>
          <w:t>social</w:t>
        </w:r>
        <w:r>
          <w:rPr>
            <w:bCs w:val="1"/>
            <w:sz w:val="28"/>
            <w:szCs w:val="28"/>
            <w:highlight w:val="green"/>
            <w:lang w:val="ru-RU"/>
          </w:rPr>
          <w:t>-</w:t>
        </w:r>
        <w:r>
          <w:rPr>
            <w:bCs w:val="1"/>
            <w:sz w:val="28"/>
            <w:szCs w:val="28"/>
            <w:highlight w:val="green"/>
          </w:rPr>
          <w:t>responsibilities</w:t>
        </w:r>
        <w:r>
          <w:rPr>
            <w:bCs w:val="1"/>
            <w:sz w:val="28"/>
            <w:szCs w:val="28"/>
            <w:highlight w:val="green"/>
            <w:lang w:val="ru-RU"/>
          </w:rPr>
          <w:t>-</w:t>
        </w:r>
        <w:r>
          <w:rPr>
            <w:bCs w:val="1"/>
            <w:sz w:val="28"/>
            <w:szCs w:val="28"/>
            <w:highlight w:val="green"/>
          </w:rPr>
          <w:t>of</w:t>
        </w:r>
        <w:r>
          <w:rPr>
            <w:bCs w:val="1"/>
            <w:sz w:val="28"/>
            <w:szCs w:val="28"/>
            <w:highlight w:val="green"/>
            <w:lang w:val="ru-RU"/>
          </w:rPr>
          <w:t>-</w:t>
        </w:r>
        <w:r>
          <w:rPr>
            <w:bCs w:val="1"/>
            <w:sz w:val="28"/>
            <w:szCs w:val="28"/>
            <w:highlight w:val="green"/>
          </w:rPr>
          <w:t>business</w:t>
        </w:r>
        <w:r>
          <w:rPr>
            <w:bCs w:val="1"/>
            <w:sz w:val="28"/>
            <w:szCs w:val="28"/>
            <w:highlight w:val="green"/>
            <w:lang w:val="ru-RU"/>
          </w:rPr>
          <w:t xml:space="preserve">- </w:t>
        </w:r>
        <w:r>
          <w:rPr>
            <w:bCs w:val="1"/>
            <w:sz w:val="28"/>
            <w:szCs w:val="28"/>
            <w:highlight w:val="green"/>
          </w:rPr>
          <w:t>corporations</w:t>
        </w:r>
        <w:r>
          <w:rPr>
            <w:bCs w:val="1"/>
            <w:sz w:val="28"/>
            <w:szCs w:val="28"/>
            <w:highlight w:val="green"/>
            <w:lang w:val="ru-RU"/>
          </w:rPr>
          <w:t xml:space="preserve"> </w:t>
        </w:r>
        <w:r>
          <w:rPr>
            <w:bCs w:val="1"/>
            <w:sz w:val="28"/>
            <w:szCs w:val="28"/>
            <w:highlight w:val="green"/>
          </w:rPr>
          <w:t>on</w:t>
        </w:r>
        <w:r>
          <w:rPr>
            <w:bCs w:val="1"/>
            <w:sz w:val="28"/>
            <w:szCs w:val="28"/>
            <w:highlight w:val="green"/>
            <w:lang w:val="ru-RU"/>
          </w:rPr>
          <w:t xml:space="preserve"> 05.03.2018.</w:t>
        </w:r>
      </w:hyperlink>
      <w:r>
        <w:rPr>
          <w:bCs w:val="1"/>
          <w:sz w:val="28"/>
          <w:szCs w:val="28"/>
          <w:highlight w:val="green"/>
          <w:lang w:val="ru-RU"/>
        </w:rPr>
        <w:t xml:space="preserve"> </w:t>
      </w:r>
      <w:r>
        <w:rPr>
          <w:sz w:val="28"/>
          <w:szCs w:val="28"/>
          <w:highlight w:val="green"/>
        </w:rPr>
        <w:t>(дата обращения 29.01.2023).</w:t>
      </w:r>
    </w:p>
    <w:p>
      <w:pPr>
        <w:pStyle w:val="P15"/>
        <w:widowControl w:val="1"/>
        <w:numPr>
          <w:ilvl w:val="0"/>
          <w:numId w:val="6"/>
        </w:numPr>
        <w:spacing w:lineRule="auto" w:line="360" w:beforeAutospacing="0" w:afterAutospacing="0"/>
        <w:ind w:firstLine="709" w:left="0"/>
        <w:contextualSpacing w:val="1"/>
        <w:jc w:val="both"/>
        <w:rPr>
          <w:bCs w:val="1"/>
          <w:sz w:val="28"/>
          <w:szCs w:val="28"/>
          <w:highlight w:val="green"/>
        </w:rPr>
      </w:pPr>
      <w:bookmarkStart w:id="64" w:name="_Hlk137399087"/>
      <w:r>
        <w:rPr>
          <w:bCs w:val="1"/>
          <w:sz w:val="28"/>
          <w:szCs w:val="28"/>
          <w:highlight w:val="green"/>
        </w:rPr>
        <w:t xml:space="preserve">Cook, T.D., Shadish, W.R., Wong, V.C. </w:t>
      </w:r>
      <w:bookmarkEnd w:id="64"/>
      <w:r>
        <w:rPr>
          <w:bCs w:val="1"/>
          <w:sz w:val="28"/>
          <w:szCs w:val="28"/>
          <w:highlight w:val="green"/>
        </w:rPr>
        <w:t>Three Conditions Under Which Experiments and Observational Studies Produce Comparable Causal Estimates: New Findings from Within-Study Comparisons // Journal of Policy Analysis and Management. 2008. 27(4). pp. 724–750.</w:t>
      </w:r>
    </w:p>
    <w:p>
      <w:pPr>
        <w:pStyle w:val="P15"/>
        <w:widowControl w:val="1"/>
        <w:numPr>
          <w:ilvl w:val="0"/>
          <w:numId w:val="6"/>
        </w:numPr>
        <w:spacing w:lineRule="auto" w:line="360" w:beforeAutospacing="0" w:afterAutospacing="0"/>
        <w:ind w:firstLine="709" w:left="0"/>
        <w:contextualSpacing w:val="1"/>
        <w:jc w:val="both"/>
        <w:rPr>
          <w:bCs w:val="1"/>
          <w:sz w:val="28"/>
          <w:szCs w:val="28"/>
          <w:highlight w:val="green"/>
        </w:rPr>
      </w:pPr>
      <w:r>
        <w:rPr>
          <w:rFonts w:eastAsia="StoneSerifStd-Medium"/>
          <w:bCs w:val="1"/>
          <w:sz w:val="28"/>
          <w:szCs w:val="28"/>
          <w:highlight w:val="green"/>
        </w:rPr>
        <w:t xml:space="preserve">Deichmann J., D. Haughton, C. Malgwi and O. Soremekun (2013). Kohonen Self-Organizing Maps as a Tool for Assessing Progress toward the UN Millennium Development Goals // </w:t>
      </w:r>
      <w:r>
        <w:rPr>
          <w:rFonts w:eastAsia="StoneSerifStd-MediumItalic"/>
          <w:bCs w:val="1"/>
          <w:sz w:val="28"/>
          <w:szCs w:val="28"/>
          <w:highlight w:val="green"/>
        </w:rPr>
        <w:t xml:space="preserve">Journal of Human Development and Capabilities. 2013. </w:t>
      </w:r>
      <w:r>
        <w:rPr>
          <w:rFonts w:eastAsia="StoneSerifStd-Medium"/>
          <w:bCs w:val="1"/>
          <w:sz w:val="28"/>
          <w:szCs w:val="28"/>
          <w:highlight w:val="green"/>
        </w:rPr>
        <w:t xml:space="preserve">14(3). </w:t>
      </w:r>
      <w:r>
        <w:rPr>
          <w:bCs w:val="1"/>
          <w:sz w:val="28"/>
          <w:szCs w:val="28"/>
          <w:highlight w:val="green"/>
        </w:rPr>
        <w:t>pp.</w:t>
      </w:r>
      <w:r>
        <w:rPr>
          <w:rFonts w:eastAsia="StoneSerifStd-Medium"/>
          <w:bCs w:val="1"/>
          <w:sz w:val="28"/>
          <w:szCs w:val="28"/>
          <w:highlight w:val="green"/>
        </w:rPr>
        <w:t xml:space="preserve"> 371–392.</w:t>
      </w:r>
    </w:p>
    <w:p>
      <w:pPr>
        <w:pStyle w:val="P15"/>
        <w:widowControl w:val="1"/>
        <w:numPr>
          <w:ilvl w:val="0"/>
          <w:numId w:val="6"/>
        </w:numPr>
        <w:spacing w:lineRule="auto" w:line="360" w:beforeAutospacing="0" w:afterAutospacing="0"/>
        <w:ind w:firstLine="709" w:left="0"/>
        <w:contextualSpacing w:val="1"/>
        <w:jc w:val="both"/>
        <w:rPr>
          <w:bCs w:val="1"/>
          <w:sz w:val="28"/>
          <w:szCs w:val="28"/>
          <w:highlight w:val="green"/>
        </w:rPr>
      </w:pPr>
      <w:bookmarkStart w:id="65" w:name="_Hlk137398527"/>
      <w:r>
        <w:rPr>
          <w:rFonts w:eastAsia="StoneSerifStd-Medium"/>
          <w:bCs w:val="1"/>
          <w:sz w:val="28"/>
          <w:szCs w:val="28"/>
          <w:highlight w:val="green"/>
        </w:rPr>
        <w:t xml:space="preserve">Demiralp, S. Hoover K.D. </w:t>
      </w:r>
      <w:bookmarkEnd w:id="65"/>
      <w:r>
        <w:rPr>
          <w:rFonts w:eastAsia="StoneSerifStd-Medium"/>
          <w:bCs w:val="1"/>
          <w:sz w:val="28"/>
          <w:szCs w:val="28"/>
          <w:highlight w:val="green"/>
        </w:rPr>
        <w:t xml:space="preserve">Searching for the Causal Structure of a Vector Autoregression // </w:t>
      </w:r>
      <w:r>
        <w:rPr>
          <w:rFonts w:eastAsia="StoneSerifStd-MediumItalic"/>
          <w:bCs w:val="1"/>
          <w:sz w:val="28"/>
          <w:szCs w:val="28"/>
          <w:highlight w:val="green"/>
        </w:rPr>
        <w:t xml:space="preserve">Oxford Bulletin of Economics and Statistics. 2003. </w:t>
      </w:r>
      <w:r>
        <w:rPr>
          <w:rFonts w:eastAsia="StoneSerifStd-Medium"/>
          <w:bCs w:val="1"/>
          <w:sz w:val="28"/>
          <w:szCs w:val="28"/>
          <w:highlight w:val="green"/>
        </w:rPr>
        <w:t xml:space="preserve">65. </w:t>
      </w:r>
      <w:r>
        <w:rPr>
          <w:bCs w:val="1"/>
          <w:sz w:val="28"/>
          <w:szCs w:val="28"/>
          <w:highlight w:val="green"/>
        </w:rPr>
        <w:t>pp.</w:t>
      </w:r>
      <w:r>
        <w:rPr>
          <w:rFonts w:eastAsia="StoneSerifStd-Medium"/>
          <w:bCs w:val="1"/>
          <w:sz w:val="28"/>
          <w:szCs w:val="28"/>
          <w:highlight w:val="green"/>
        </w:rPr>
        <w:t xml:space="preserve"> 745–767.</w:t>
      </w:r>
    </w:p>
    <w:p>
      <w:pPr>
        <w:pStyle w:val="P15"/>
        <w:widowControl w:val="1"/>
        <w:numPr>
          <w:ilvl w:val="0"/>
          <w:numId w:val="6"/>
        </w:numPr>
        <w:spacing w:lineRule="auto" w:line="360" w:beforeAutospacing="0" w:afterAutospacing="0"/>
        <w:ind w:firstLine="709" w:left="0"/>
        <w:contextualSpacing w:val="1"/>
        <w:jc w:val="both"/>
        <w:rPr>
          <w:bCs w:val="1"/>
          <w:sz w:val="28"/>
          <w:szCs w:val="28"/>
          <w:highlight w:val="green"/>
        </w:rPr>
      </w:pPr>
      <w:r>
        <w:rPr>
          <w:bCs w:val="1"/>
          <w:sz w:val="28"/>
          <w:szCs w:val="28"/>
          <w:highlight w:val="green"/>
        </w:rPr>
        <w:t>Demmerling T. CSR overload? A critical analysis of corporate social responsibility from the «companies and the consumers» point of view. Norderstedt in Germany: GRIN Verlag GmbH, 2013. 74 р.</w:t>
      </w:r>
    </w:p>
    <w:p>
      <w:pPr>
        <w:pStyle w:val="P15"/>
        <w:widowControl w:val="1"/>
        <w:numPr>
          <w:ilvl w:val="0"/>
          <w:numId w:val="6"/>
        </w:numPr>
        <w:spacing w:lineRule="auto" w:line="360" w:beforeAutospacing="0" w:afterAutospacing="0"/>
        <w:ind w:firstLine="709" w:left="0"/>
        <w:contextualSpacing w:val="1"/>
        <w:jc w:val="both"/>
        <w:rPr>
          <w:bCs w:val="1"/>
          <w:sz w:val="28"/>
          <w:szCs w:val="28"/>
          <w:highlight w:val="green"/>
          <w:lang w:val="ru-RU"/>
        </w:rPr>
      </w:pPr>
      <w:r>
        <w:rPr>
          <w:bCs w:val="1"/>
          <w:sz w:val="28"/>
          <w:szCs w:val="28"/>
          <w:highlight w:val="green"/>
        </w:rPr>
        <w:t xml:space="preserve">DESA Mapping the linkages between oceans and other Sustainable Development Goals: A preliminary exploration-Working Paper No. 149 ST/ESA/2017/DWP/149. </w:t>
      </w:r>
      <w:r>
        <w:rPr>
          <w:sz w:val="28"/>
          <w:szCs w:val="28"/>
          <w:highlight w:val="green"/>
          <w:lang w:val="ru-RU"/>
        </w:rPr>
        <w:t>[Электронный ресурс]. Режим доступа:</w:t>
      </w:r>
      <w:r>
        <w:rPr>
          <w:bCs w:val="1"/>
          <w:sz w:val="28"/>
          <w:szCs w:val="28"/>
          <w:highlight w:val="green"/>
          <w:lang w:val="ru-RU"/>
        </w:rPr>
        <w:t xml:space="preserve">  </w:t>
      </w:r>
      <w:r>
        <w:rPr>
          <w:bCs w:val="1"/>
          <w:sz w:val="28"/>
          <w:szCs w:val="28"/>
          <w:highlight w:val="green"/>
        </w:rPr>
        <w:t>https</w:t>
      </w:r>
      <w:r>
        <w:rPr>
          <w:bCs w:val="1"/>
          <w:sz w:val="28"/>
          <w:szCs w:val="28"/>
          <w:highlight w:val="green"/>
          <w:lang w:val="ru-RU"/>
        </w:rPr>
        <w:t>://</w:t>
      </w:r>
      <w:r>
        <w:rPr>
          <w:bCs w:val="1"/>
          <w:sz w:val="28"/>
          <w:szCs w:val="28"/>
          <w:highlight w:val="green"/>
        </w:rPr>
        <w:t>desapublications</w:t>
      </w:r>
      <w:r>
        <w:rPr>
          <w:bCs w:val="1"/>
          <w:sz w:val="28"/>
          <w:szCs w:val="28"/>
          <w:highlight w:val="green"/>
          <w:lang w:val="ru-RU"/>
        </w:rPr>
        <w:t>.</w:t>
      </w:r>
      <w:r>
        <w:rPr>
          <w:bCs w:val="1"/>
          <w:sz w:val="28"/>
          <w:szCs w:val="28"/>
          <w:highlight w:val="green"/>
        </w:rPr>
        <w:t>un</w:t>
      </w:r>
      <w:r>
        <w:rPr>
          <w:bCs w:val="1"/>
          <w:sz w:val="28"/>
          <w:szCs w:val="28"/>
          <w:highlight w:val="green"/>
          <w:lang w:val="ru-RU"/>
        </w:rPr>
        <w:t>.</w:t>
      </w:r>
      <w:r>
        <w:rPr>
          <w:bCs w:val="1"/>
          <w:sz w:val="28"/>
          <w:szCs w:val="28"/>
          <w:highlight w:val="green"/>
        </w:rPr>
        <w:t>org</w:t>
      </w:r>
      <w:r>
        <w:rPr>
          <w:bCs w:val="1"/>
          <w:sz w:val="28"/>
          <w:szCs w:val="28"/>
          <w:highlight w:val="green"/>
          <w:lang w:val="ru-RU"/>
        </w:rPr>
        <w:t>/</w:t>
      </w:r>
      <w:r>
        <w:rPr>
          <w:bCs w:val="1"/>
          <w:sz w:val="28"/>
          <w:szCs w:val="28"/>
          <w:highlight w:val="green"/>
        </w:rPr>
        <w:t>file</w:t>
      </w:r>
      <w:r>
        <w:rPr>
          <w:bCs w:val="1"/>
          <w:sz w:val="28"/>
          <w:szCs w:val="28"/>
          <w:highlight w:val="green"/>
          <w:lang w:val="ru-RU"/>
        </w:rPr>
        <w:t>/180/</w:t>
      </w:r>
      <w:r>
        <w:rPr>
          <w:bCs w:val="1"/>
          <w:sz w:val="28"/>
          <w:szCs w:val="28"/>
          <w:highlight w:val="green"/>
        </w:rPr>
        <w:t>download</w:t>
      </w:r>
      <w:r>
        <w:rPr>
          <w:bCs w:val="1"/>
          <w:sz w:val="28"/>
          <w:szCs w:val="28"/>
          <w:highlight w:val="green"/>
          <w:lang w:val="ru-RU"/>
        </w:rPr>
        <w:t xml:space="preserve"> </w:t>
      </w:r>
      <w:r>
        <w:rPr>
          <w:sz w:val="28"/>
          <w:szCs w:val="28"/>
          <w:highlight w:val="green"/>
          <w:lang w:val="ru-RU"/>
        </w:rPr>
        <w:t>(дата обращения 04.03.2023).</w:t>
      </w:r>
    </w:p>
    <w:p>
      <w:pPr>
        <w:pStyle w:val="P15"/>
        <w:widowControl w:val="1"/>
        <w:numPr>
          <w:ilvl w:val="0"/>
          <w:numId w:val="6"/>
        </w:numPr>
        <w:spacing w:lineRule="auto" w:line="360" w:beforeAutospacing="0" w:afterAutospacing="0"/>
        <w:ind w:firstLine="709" w:left="0"/>
        <w:contextualSpacing w:val="1"/>
        <w:jc w:val="both"/>
        <w:rPr>
          <w:bCs w:val="1"/>
          <w:sz w:val="28"/>
          <w:szCs w:val="28"/>
          <w:highlight w:val="green"/>
        </w:rPr>
      </w:pPr>
      <w:r>
        <w:rPr>
          <w:bCs w:val="1"/>
          <w:sz w:val="28"/>
          <w:szCs w:val="28"/>
          <w:highlight w:val="green"/>
        </w:rPr>
        <w:t xml:space="preserve">Djelic M.-L., Sahlin-Andersson K. Transnational governance: institutional dynamics of regulation. Cambridge University Press, 2006. </w:t>
      </w:r>
      <w:r>
        <w:rPr>
          <w:bCs w:val="1"/>
          <w:sz w:val="28"/>
          <w:szCs w:val="28"/>
          <w:highlight w:val="green"/>
          <w:lang w:val="ru-RU"/>
        </w:rPr>
        <w:t>300</w:t>
      </w:r>
      <w:r>
        <w:rPr>
          <w:bCs w:val="1"/>
          <w:sz w:val="28"/>
          <w:szCs w:val="28"/>
          <w:highlight w:val="green"/>
        </w:rPr>
        <w:t xml:space="preserve"> р.</w:t>
      </w:r>
    </w:p>
    <w:p>
      <w:pPr>
        <w:pStyle w:val="P15"/>
        <w:widowControl w:val="1"/>
        <w:numPr>
          <w:ilvl w:val="0"/>
          <w:numId w:val="6"/>
        </w:numPr>
        <w:spacing w:lineRule="auto" w:line="360" w:beforeAutospacing="0" w:afterAutospacing="0"/>
        <w:ind w:firstLine="709" w:left="0"/>
        <w:contextualSpacing w:val="1"/>
        <w:jc w:val="both"/>
        <w:rPr>
          <w:bCs w:val="1"/>
          <w:sz w:val="28"/>
          <w:szCs w:val="28"/>
          <w:highlight w:val="green"/>
        </w:rPr>
      </w:pPr>
      <w:r>
        <w:rPr>
          <w:bCs w:val="1"/>
          <w:sz w:val="28"/>
          <w:szCs w:val="28"/>
          <w:highlight w:val="green"/>
          <w:lang w:val="fr-FR"/>
        </w:rPr>
        <w:t xml:space="preserve">Doraiswamy, S., Cheema, S., Maisonneuve, P. et al. </w:t>
      </w:r>
      <w:r>
        <w:rPr>
          <w:bCs w:val="1"/>
          <w:sz w:val="28"/>
          <w:szCs w:val="28"/>
          <w:highlight w:val="green"/>
        </w:rPr>
        <w:t xml:space="preserve">Maternal mortality in the Middle East and North Africa region – how could countries move towards obstetric transition stage 5? // BMC Pregnancy Childbirth. 2022. 22. </w:t>
      </w:r>
      <w:bookmarkStart w:id="66" w:name="_Hlk137397544"/>
    </w:p>
    <w:p>
      <w:pPr>
        <w:pStyle w:val="P15"/>
        <w:widowControl w:val="1"/>
        <w:numPr>
          <w:ilvl w:val="0"/>
          <w:numId w:val="6"/>
        </w:numPr>
        <w:spacing w:lineRule="auto" w:line="360" w:beforeAutospacing="0" w:afterAutospacing="0"/>
        <w:ind w:firstLine="709" w:left="0"/>
        <w:contextualSpacing w:val="1"/>
        <w:jc w:val="both"/>
        <w:rPr>
          <w:bCs w:val="1"/>
          <w:sz w:val="28"/>
          <w:szCs w:val="28"/>
          <w:highlight w:val="green"/>
        </w:rPr>
      </w:pPr>
      <w:r>
        <w:rPr>
          <w:bCs w:val="1"/>
          <w:sz w:val="28"/>
          <w:szCs w:val="28"/>
          <w:highlight w:val="green"/>
        </w:rPr>
        <w:t xml:space="preserve">Draper, P. </w:t>
      </w:r>
      <w:bookmarkEnd w:id="66"/>
      <w:r>
        <w:rPr>
          <w:bCs w:val="1"/>
          <w:sz w:val="28"/>
          <w:szCs w:val="28"/>
          <w:highlight w:val="green"/>
        </w:rPr>
        <w:t>A Home Grown Approach to Regional Integration in Africa: Thinking Outside the European Box // Trade Negotiations Insight. 2013. 4(1</w:t>
      </w:r>
      <w:r>
        <w:rPr>
          <w:bCs w:val="1"/>
          <w:sz w:val="28"/>
          <w:szCs w:val="28"/>
          <w:highlight w:val="green"/>
          <w:lang w:val="ru-RU"/>
        </w:rPr>
        <w:t>2</w:t>
      </w:r>
      <w:r>
        <w:rPr>
          <w:bCs w:val="1"/>
          <w:sz w:val="28"/>
          <w:szCs w:val="28"/>
          <w:highlight w:val="green"/>
        </w:rPr>
        <w:t>). pp. 89-102.</w:t>
      </w:r>
    </w:p>
    <w:p>
      <w:pPr>
        <w:pStyle w:val="P15"/>
        <w:widowControl w:val="1"/>
        <w:numPr>
          <w:ilvl w:val="0"/>
          <w:numId w:val="6"/>
        </w:numPr>
        <w:spacing w:lineRule="auto" w:line="360" w:beforeAutospacing="0" w:afterAutospacing="0"/>
        <w:ind w:firstLine="709" w:left="0"/>
        <w:contextualSpacing w:val="1"/>
        <w:jc w:val="both"/>
        <w:rPr>
          <w:bCs w:val="1"/>
          <w:sz w:val="28"/>
          <w:szCs w:val="28"/>
          <w:highlight w:val="green"/>
        </w:rPr>
      </w:pPr>
      <w:r>
        <w:rPr>
          <w:bCs w:val="1"/>
          <w:sz w:val="28"/>
          <w:szCs w:val="28"/>
          <w:highlight w:val="green"/>
        </w:rPr>
        <w:t>Du, J., Girma, S. Finance and Firm Export in China // Kyklos. 2007. 60. pp. 37–54.</w:t>
      </w:r>
    </w:p>
    <w:p>
      <w:pPr>
        <w:pStyle w:val="P15"/>
        <w:widowControl w:val="1"/>
        <w:numPr>
          <w:ilvl w:val="0"/>
          <w:numId w:val="6"/>
        </w:numPr>
        <w:spacing w:lineRule="auto" w:line="360" w:beforeAutospacing="0" w:afterAutospacing="0"/>
        <w:ind w:firstLine="709" w:left="0"/>
        <w:contextualSpacing w:val="1"/>
        <w:jc w:val="both"/>
        <w:rPr>
          <w:bCs w:val="1"/>
          <w:sz w:val="28"/>
          <w:szCs w:val="28"/>
          <w:highlight w:val="magenta"/>
        </w:rPr>
      </w:pPr>
      <w:r>
        <w:rPr>
          <w:bCs w:val="1"/>
          <w:sz w:val="28"/>
          <w:szCs w:val="28"/>
          <w:highlight w:val="magenta"/>
        </w:rPr>
        <w:t xml:space="preserve">Dupree N. Imperialist Aggression and Exploitation: The history of U.S.–Latin American relations. </w:t>
      </w:r>
      <w:r>
        <w:rPr>
          <w:sz w:val="28"/>
          <w:szCs w:val="28"/>
          <w:highlight w:val="magenta"/>
          <w:lang w:val="ru-RU"/>
        </w:rPr>
        <w:t>[Электронный ресурс]. Режим доступа:</w:t>
      </w:r>
      <w:r>
        <w:rPr>
          <w:bCs w:val="1"/>
          <w:sz w:val="28"/>
          <w:szCs w:val="28"/>
          <w:highlight w:val="magenta"/>
          <w:lang w:val="ru-RU"/>
        </w:rPr>
        <w:t xml:space="preserve"> </w:t>
      </w:r>
      <w:hyperlink r:id="R5">
        <w:r>
          <w:rPr>
            <w:bCs w:val="1"/>
            <w:sz w:val="28"/>
            <w:szCs w:val="28"/>
            <w:highlight w:val="magenta"/>
          </w:rPr>
          <w:t>http</w:t>
        </w:r>
        <w:r>
          <w:rPr>
            <w:bCs w:val="1"/>
            <w:sz w:val="28"/>
            <w:szCs w:val="28"/>
            <w:highlight w:val="magenta"/>
            <w:lang w:val="ru-RU"/>
          </w:rPr>
          <w:t>://</w:t>
        </w:r>
        <w:r>
          <w:rPr>
            <w:bCs w:val="1"/>
            <w:sz w:val="28"/>
            <w:szCs w:val="28"/>
            <w:highlight w:val="magenta"/>
          </w:rPr>
          <w:t>www</w:t>
        </w:r>
        <w:r>
          <w:rPr>
            <w:bCs w:val="1"/>
            <w:sz w:val="28"/>
            <w:szCs w:val="28"/>
            <w:highlight w:val="magenta"/>
            <w:lang w:val="ru-RU"/>
          </w:rPr>
          <w:t>.</w:t>
        </w:r>
        <w:r>
          <w:rPr>
            <w:bCs w:val="1"/>
            <w:sz w:val="28"/>
            <w:szCs w:val="28"/>
            <w:highlight w:val="magenta"/>
          </w:rPr>
          <w:t>nickscrusade</w:t>
        </w:r>
        <w:r>
          <w:rPr>
            <w:bCs w:val="1"/>
            <w:sz w:val="28"/>
            <w:szCs w:val="28"/>
            <w:highlight w:val="magenta"/>
            <w:lang w:val="ru-RU"/>
          </w:rPr>
          <w:t>.</w:t>
        </w:r>
        <w:r>
          <w:rPr>
            <w:bCs w:val="1"/>
            <w:sz w:val="28"/>
            <w:szCs w:val="28"/>
            <w:highlight w:val="magenta"/>
          </w:rPr>
          <w:t>org</w:t>
        </w:r>
        <w:r>
          <w:rPr>
            <w:bCs w:val="1"/>
            <w:sz w:val="28"/>
            <w:szCs w:val="28"/>
            <w:highlight w:val="magenta"/>
            <w:lang w:val="ru-RU"/>
          </w:rPr>
          <w:t>/</w:t>
        </w:r>
        <w:r>
          <w:rPr>
            <w:bCs w:val="1"/>
            <w:sz w:val="28"/>
            <w:szCs w:val="28"/>
            <w:highlight w:val="magenta"/>
          </w:rPr>
          <w:t>history</w:t>
        </w:r>
        <w:r>
          <w:rPr>
            <w:bCs w:val="1"/>
            <w:sz w:val="28"/>
            <w:szCs w:val="28"/>
            <w:highlight w:val="magenta"/>
            <w:lang w:val="ru-RU"/>
          </w:rPr>
          <w:t>-</w:t>
        </w:r>
        <w:r>
          <w:rPr>
            <w:bCs w:val="1"/>
            <w:sz w:val="28"/>
            <w:szCs w:val="28"/>
            <w:highlight w:val="magenta"/>
          </w:rPr>
          <w:t>of</w:t>
        </w:r>
        <w:r>
          <w:rPr>
            <w:bCs w:val="1"/>
            <w:sz w:val="28"/>
            <w:szCs w:val="28"/>
            <w:highlight w:val="magenta"/>
            <w:lang w:val="ru-RU"/>
          </w:rPr>
          <w:t>-</w:t>
        </w:r>
        <w:r>
          <w:rPr>
            <w:bCs w:val="1"/>
            <w:sz w:val="28"/>
            <w:szCs w:val="28"/>
            <w:highlight w:val="magenta"/>
          </w:rPr>
          <w:t>u</w:t>
        </w:r>
        <w:r>
          <w:rPr>
            <w:bCs w:val="1"/>
            <w:sz w:val="28"/>
            <w:szCs w:val="28"/>
            <w:highlight w:val="magenta"/>
            <w:lang w:val="ru-RU"/>
          </w:rPr>
          <w:t>-</w:t>
        </w:r>
        <w:r>
          <w:rPr>
            <w:bCs w:val="1"/>
            <w:sz w:val="28"/>
            <w:szCs w:val="28"/>
            <w:highlight w:val="magenta"/>
          </w:rPr>
          <w:t>s</w:t>
        </w:r>
        <w:r>
          <w:rPr>
            <w:bCs w:val="1"/>
            <w:sz w:val="28"/>
            <w:szCs w:val="28"/>
            <w:highlight w:val="magenta"/>
            <w:lang w:val="ru-RU"/>
          </w:rPr>
          <w:t>-</w:t>
        </w:r>
        <w:r>
          <w:rPr>
            <w:bCs w:val="1"/>
            <w:sz w:val="28"/>
            <w:szCs w:val="28"/>
            <w:highlight w:val="magenta"/>
          </w:rPr>
          <w:t>latin</w:t>
        </w:r>
        <w:r>
          <w:rPr>
            <w:bCs w:val="1"/>
            <w:sz w:val="28"/>
            <w:szCs w:val="28"/>
            <w:highlight w:val="magenta"/>
            <w:lang w:val="ru-RU"/>
          </w:rPr>
          <w:t>-</w:t>
        </w:r>
        <w:r>
          <w:rPr>
            <w:bCs w:val="1"/>
            <w:sz w:val="28"/>
            <w:szCs w:val="28"/>
            <w:highlight w:val="magenta"/>
          </w:rPr>
          <w:t>american</w:t>
        </w:r>
        <w:r>
          <w:rPr>
            <w:bCs w:val="1"/>
            <w:sz w:val="28"/>
            <w:szCs w:val="28"/>
            <w:highlight w:val="magenta"/>
            <w:lang w:val="ru-RU"/>
          </w:rPr>
          <w:t>-</w:t>
        </w:r>
        <w:r>
          <w:rPr>
            <w:bCs w:val="1"/>
            <w:sz w:val="28"/>
            <w:szCs w:val="28"/>
            <w:highlight w:val="magenta"/>
          </w:rPr>
          <w:t>relations</w:t>
        </w:r>
        <w:r>
          <w:rPr>
            <w:bCs w:val="1"/>
            <w:sz w:val="28"/>
            <w:szCs w:val="28"/>
            <w:highlight w:val="magenta"/>
            <w:lang w:val="ru-RU"/>
          </w:rPr>
          <w:t>/</w:t>
        </w:r>
      </w:hyperlink>
      <w:r>
        <w:rPr>
          <w:bCs w:val="1"/>
          <w:sz w:val="28"/>
          <w:szCs w:val="28"/>
          <w:highlight w:val="magenta"/>
          <w:lang w:val="ru-RU"/>
        </w:rPr>
        <w:t xml:space="preserve"> </w:t>
      </w:r>
      <w:r>
        <w:rPr>
          <w:bCs w:val="1"/>
          <w:sz w:val="28"/>
          <w:szCs w:val="28"/>
          <w:highlight w:val="magenta"/>
        </w:rPr>
        <w:t>on</w:t>
      </w:r>
      <w:r>
        <w:rPr>
          <w:bCs w:val="1"/>
          <w:sz w:val="28"/>
          <w:szCs w:val="28"/>
          <w:highlight w:val="magenta"/>
          <w:lang w:val="ru-RU"/>
        </w:rPr>
        <w:t xml:space="preserve"> 05.03.2018.</w:t>
      </w:r>
      <w:bookmarkStart w:id="67" w:name="_Hlk137383671"/>
      <w:r>
        <w:rPr>
          <w:bCs w:val="1"/>
          <w:sz w:val="28"/>
          <w:szCs w:val="28"/>
          <w:highlight w:val="magenta"/>
          <w:lang w:val="ru-RU"/>
        </w:rPr>
        <w:t xml:space="preserve"> </w:t>
      </w:r>
      <w:r>
        <w:rPr>
          <w:sz w:val="28"/>
          <w:szCs w:val="28"/>
          <w:highlight w:val="magenta"/>
        </w:rPr>
        <w:t>(дата обращения 05.02.2023).</w:t>
      </w:r>
    </w:p>
    <w:p>
      <w:pPr>
        <w:pStyle w:val="P15"/>
        <w:widowControl w:val="1"/>
        <w:numPr>
          <w:ilvl w:val="0"/>
          <w:numId w:val="6"/>
        </w:numPr>
        <w:spacing w:lineRule="auto" w:line="360" w:beforeAutospacing="0" w:afterAutospacing="0"/>
        <w:ind w:firstLine="709" w:left="0"/>
        <w:contextualSpacing w:val="1"/>
        <w:jc w:val="both"/>
        <w:rPr>
          <w:bCs w:val="1"/>
          <w:sz w:val="28"/>
          <w:szCs w:val="28"/>
          <w:highlight w:val="green"/>
        </w:rPr>
      </w:pPr>
      <w:r>
        <w:rPr>
          <w:bCs w:val="1"/>
          <w:sz w:val="28"/>
          <w:szCs w:val="28"/>
          <w:highlight w:val="green"/>
        </w:rPr>
        <w:t xml:space="preserve">Dzebo A. </w:t>
      </w:r>
      <w:bookmarkEnd w:id="67"/>
      <w:r>
        <w:rPr>
          <w:bCs w:val="1"/>
          <w:sz w:val="28"/>
          <w:szCs w:val="28"/>
          <w:highlight w:val="green"/>
        </w:rPr>
        <w:t xml:space="preserve">Effective governance of transnational adaptation initiatives // International Environmental Agreement: Politics, Law and Economics. 2019. 19(4-5). pp. 447–466. </w:t>
      </w:r>
    </w:p>
    <w:p>
      <w:pPr>
        <w:pStyle w:val="P15"/>
        <w:widowControl w:val="1"/>
        <w:numPr>
          <w:ilvl w:val="0"/>
          <w:numId w:val="6"/>
        </w:numPr>
        <w:spacing w:lineRule="auto" w:line="360" w:beforeAutospacing="0" w:afterAutospacing="0"/>
        <w:ind w:firstLine="709" w:left="0"/>
        <w:contextualSpacing w:val="1"/>
        <w:jc w:val="both"/>
        <w:rPr>
          <w:rFonts w:eastAsia="StoneSerifStd-Medium"/>
          <w:bCs w:val="1"/>
          <w:sz w:val="28"/>
          <w:szCs w:val="28"/>
          <w:highlight w:val="green"/>
        </w:rPr>
      </w:pPr>
      <w:r>
        <w:rPr>
          <w:rFonts w:eastAsia="StoneSerifStd-Medium"/>
          <w:bCs w:val="1"/>
          <w:sz w:val="28"/>
          <w:szCs w:val="28"/>
          <w:highlight w:val="green"/>
        </w:rPr>
        <w:t xml:space="preserve">Easterly W. How the Millennium Development Goals Are Unfair to Africa // </w:t>
      </w:r>
      <w:r>
        <w:rPr>
          <w:rFonts w:eastAsia="StoneSerifStd-MediumItalic"/>
          <w:bCs w:val="1"/>
          <w:sz w:val="28"/>
          <w:szCs w:val="28"/>
          <w:highlight w:val="green"/>
        </w:rPr>
        <w:t xml:space="preserve">World Development. 2009. </w:t>
      </w:r>
      <w:r>
        <w:rPr>
          <w:rFonts w:eastAsia="StoneSerifStd-Medium"/>
          <w:bCs w:val="1"/>
          <w:sz w:val="28"/>
          <w:szCs w:val="28"/>
          <w:highlight w:val="green"/>
        </w:rPr>
        <w:t xml:space="preserve">37(1). </w:t>
      </w:r>
      <w:r>
        <w:rPr>
          <w:bCs w:val="1"/>
          <w:sz w:val="28"/>
          <w:szCs w:val="28"/>
          <w:highlight w:val="green"/>
        </w:rPr>
        <w:t>pp.</w:t>
      </w:r>
      <w:r>
        <w:rPr>
          <w:rFonts w:eastAsia="StoneSerifStd-Medium"/>
          <w:bCs w:val="1"/>
          <w:sz w:val="28"/>
          <w:szCs w:val="28"/>
          <w:highlight w:val="green"/>
        </w:rPr>
        <w:t xml:space="preserve"> 26–35.</w:t>
      </w:r>
    </w:p>
    <w:p>
      <w:pPr>
        <w:pStyle w:val="P15"/>
        <w:widowControl w:val="1"/>
        <w:numPr>
          <w:ilvl w:val="0"/>
          <w:numId w:val="6"/>
        </w:numPr>
        <w:spacing w:lineRule="auto" w:line="360" w:beforeAutospacing="0" w:afterAutospacing="0"/>
        <w:ind w:firstLine="709" w:left="0"/>
        <w:contextualSpacing w:val="1"/>
        <w:jc w:val="both"/>
        <w:rPr>
          <w:bCs w:val="1"/>
          <w:sz w:val="28"/>
          <w:szCs w:val="28"/>
          <w:highlight w:val="green"/>
          <w:lang w:val="ru-RU"/>
        </w:rPr>
      </w:pPr>
      <w:r>
        <w:rPr>
          <w:sz w:val="28"/>
          <w:szCs w:val="28"/>
          <w:highlight w:val="green"/>
        </w:rPr>
        <w:t xml:space="preserve">Eco-Management and Audit Scheme (EMAS) [Электронный ресурс]. </w:t>
      </w:r>
      <w:r>
        <w:rPr>
          <w:sz w:val="28"/>
          <w:szCs w:val="28"/>
          <w:highlight w:val="green"/>
          <w:lang w:val="ru-RU"/>
        </w:rPr>
        <w:t xml:space="preserve">Режим доступа: </w:t>
      </w:r>
      <w:r>
        <w:rPr>
          <w:sz w:val="28"/>
          <w:szCs w:val="28"/>
          <w:highlight w:val="green"/>
        </w:rPr>
        <w:t>https</w:t>
      </w:r>
      <w:r>
        <w:rPr>
          <w:sz w:val="28"/>
          <w:szCs w:val="28"/>
          <w:highlight w:val="green"/>
          <w:lang w:val="ru-RU"/>
        </w:rPr>
        <w:t>://</w:t>
      </w:r>
      <w:r>
        <w:rPr>
          <w:sz w:val="28"/>
          <w:szCs w:val="28"/>
          <w:highlight w:val="green"/>
        </w:rPr>
        <w:t>green</w:t>
      </w:r>
      <w:r>
        <w:rPr>
          <w:sz w:val="28"/>
          <w:szCs w:val="28"/>
          <w:highlight w:val="green"/>
          <w:lang w:val="ru-RU"/>
        </w:rPr>
        <w:t>-</w:t>
      </w:r>
      <w:r>
        <w:rPr>
          <w:sz w:val="28"/>
          <w:szCs w:val="28"/>
          <w:highlight w:val="green"/>
        </w:rPr>
        <w:t>business</w:t>
      </w:r>
      <w:r>
        <w:rPr>
          <w:sz w:val="28"/>
          <w:szCs w:val="28"/>
          <w:highlight w:val="green"/>
          <w:lang w:val="ru-RU"/>
        </w:rPr>
        <w:t>.</w:t>
      </w:r>
      <w:r>
        <w:rPr>
          <w:sz w:val="28"/>
          <w:szCs w:val="28"/>
          <w:highlight w:val="green"/>
        </w:rPr>
        <w:t>ec</w:t>
      </w:r>
      <w:r>
        <w:rPr>
          <w:sz w:val="28"/>
          <w:szCs w:val="28"/>
          <w:highlight w:val="green"/>
          <w:lang w:val="ru-RU"/>
        </w:rPr>
        <w:t>.</w:t>
      </w:r>
      <w:r>
        <w:rPr>
          <w:sz w:val="28"/>
          <w:szCs w:val="28"/>
          <w:highlight w:val="green"/>
        </w:rPr>
        <w:t>europa</w:t>
      </w:r>
      <w:r>
        <w:rPr>
          <w:sz w:val="28"/>
          <w:szCs w:val="28"/>
          <w:highlight w:val="green"/>
          <w:lang w:val="ru-RU"/>
        </w:rPr>
        <w:t>.</w:t>
      </w:r>
      <w:r>
        <w:rPr>
          <w:sz w:val="28"/>
          <w:szCs w:val="28"/>
          <w:highlight w:val="green"/>
        </w:rPr>
        <w:t>eu</w:t>
      </w:r>
      <w:r>
        <w:rPr>
          <w:sz w:val="28"/>
          <w:szCs w:val="28"/>
          <w:highlight w:val="green"/>
          <w:lang w:val="ru-RU"/>
        </w:rPr>
        <w:t>/</w:t>
      </w:r>
      <w:r>
        <w:rPr>
          <w:sz w:val="28"/>
          <w:szCs w:val="28"/>
          <w:highlight w:val="green"/>
        </w:rPr>
        <w:t>eco</w:t>
      </w:r>
      <w:r>
        <w:rPr>
          <w:sz w:val="28"/>
          <w:szCs w:val="28"/>
          <w:highlight w:val="green"/>
          <w:lang w:val="ru-RU"/>
        </w:rPr>
        <w:t>-</w:t>
      </w:r>
      <w:r>
        <w:rPr>
          <w:sz w:val="28"/>
          <w:szCs w:val="28"/>
          <w:highlight w:val="green"/>
        </w:rPr>
        <w:t>management</w:t>
      </w:r>
      <w:r>
        <w:rPr>
          <w:sz w:val="28"/>
          <w:szCs w:val="28"/>
          <w:highlight w:val="green"/>
          <w:lang w:val="ru-RU"/>
        </w:rPr>
        <w:t>-</w:t>
      </w:r>
      <w:r>
        <w:rPr>
          <w:sz w:val="28"/>
          <w:szCs w:val="28"/>
          <w:highlight w:val="green"/>
        </w:rPr>
        <w:t>and</w:t>
      </w:r>
      <w:r>
        <w:rPr>
          <w:sz w:val="28"/>
          <w:szCs w:val="28"/>
          <w:highlight w:val="green"/>
          <w:lang w:val="ru-RU"/>
        </w:rPr>
        <w:t>-</w:t>
      </w:r>
      <w:r>
        <w:rPr>
          <w:sz w:val="28"/>
          <w:szCs w:val="28"/>
          <w:highlight w:val="green"/>
        </w:rPr>
        <w:t>audit</w:t>
      </w:r>
      <w:r>
        <w:rPr>
          <w:sz w:val="28"/>
          <w:szCs w:val="28"/>
          <w:highlight w:val="green"/>
          <w:lang w:val="ru-RU"/>
        </w:rPr>
        <w:t>-</w:t>
      </w:r>
      <w:r>
        <w:rPr>
          <w:sz w:val="28"/>
          <w:szCs w:val="28"/>
          <w:highlight w:val="green"/>
        </w:rPr>
        <w:t>scheme</w:t>
      </w:r>
      <w:r>
        <w:rPr>
          <w:sz w:val="28"/>
          <w:szCs w:val="28"/>
          <w:highlight w:val="green"/>
          <w:lang w:val="ru-RU"/>
        </w:rPr>
        <w:t>_</w:t>
      </w:r>
      <w:r>
        <w:rPr>
          <w:sz w:val="28"/>
          <w:szCs w:val="28"/>
          <w:highlight w:val="green"/>
        </w:rPr>
        <w:t>en</w:t>
      </w:r>
      <w:r>
        <w:rPr>
          <w:sz w:val="28"/>
          <w:szCs w:val="28"/>
          <w:highlight w:val="green"/>
          <w:lang w:val="ru-RU"/>
        </w:rPr>
        <w:t xml:space="preserve"> (дата обращения 19.03.2023).</w:t>
      </w:r>
    </w:p>
    <w:p>
      <w:pPr>
        <w:pStyle w:val="P15"/>
        <w:widowControl w:val="1"/>
        <w:numPr>
          <w:ilvl w:val="0"/>
          <w:numId w:val="6"/>
        </w:numPr>
        <w:spacing w:lineRule="auto" w:line="360" w:beforeAutospacing="0" w:afterAutospacing="0"/>
        <w:ind w:firstLine="709" w:left="0"/>
        <w:contextualSpacing w:val="1"/>
        <w:jc w:val="both"/>
        <w:rPr>
          <w:bCs w:val="1"/>
          <w:sz w:val="28"/>
          <w:szCs w:val="28"/>
          <w:highlight w:val="green"/>
        </w:rPr>
      </w:pPr>
      <w:r>
        <w:rPr>
          <w:bCs w:val="1"/>
          <w:sz w:val="28"/>
          <w:szCs w:val="28"/>
          <w:highlight w:val="green"/>
        </w:rPr>
        <w:t>Elkington J. Cannibals with Forks. The triple bottom line of 21st century business. Oxford: Capstone Publishing Limited, 1997. 264 р.</w:t>
      </w:r>
    </w:p>
    <w:p>
      <w:pPr>
        <w:pStyle w:val="P15"/>
        <w:widowControl w:val="1"/>
        <w:numPr>
          <w:ilvl w:val="0"/>
          <w:numId w:val="6"/>
        </w:numPr>
        <w:spacing w:lineRule="auto" w:line="360" w:beforeAutospacing="0" w:afterAutospacing="0"/>
        <w:ind w:firstLine="709" w:left="0"/>
        <w:contextualSpacing w:val="1"/>
        <w:jc w:val="both"/>
        <w:rPr>
          <w:bCs w:val="1"/>
          <w:sz w:val="28"/>
          <w:szCs w:val="28"/>
          <w:highlight w:val="green"/>
        </w:rPr>
      </w:pPr>
      <w:r>
        <w:rPr>
          <w:bCs w:val="1"/>
          <w:sz w:val="28"/>
          <w:szCs w:val="28"/>
          <w:highlight w:val="green"/>
        </w:rPr>
        <w:t>Egels-Zandén N. Kallifatides M. The corporate social performance dilemma: Organising for goal duality in low-income African markets // Corporate citizenship in Africa. Lessons from the past – Paths to the future / W. Visser, M. McIntosh, C. Middelton (Eds.). Sheffield in England: Greenleaf Publishing Ltd, 2006. pp. 82–92.</w:t>
      </w:r>
    </w:p>
    <w:p>
      <w:pPr>
        <w:pStyle w:val="P15"/>
        <w:widowControl w:val="1"/>
        <w:numPr>
          <w:ilvl w:val="0"/>
          <w:numId w:val="6"/>
        </w:numPr>
        <w:spacing w:lineRule="auto" w:line="360" w:beforeAutospacing="0" w:afterAutospacing="0"/>
        <w:ind w:firstLine="709" w:left="0"/>
        <w:contextualSpacing w:val="1"/>
        <w:jc w:val="both"/>
        <w:rPr>
          <w:rFonts w:eastAsia="StoneSerifStd-Medium"/>
          <w:bCs w:val="1"/>
          <w:sz w:val="28"/>
          <w:szCs w:val="28"/>
          <w:highlight w:val="green"/>
        </w:rPr>
      </w:pPr>
      <w:r>
        <w:rPr>
          <w:rFonts w:eastAsia="StoneSerifStd-Medium"/>
          <w:bCs w:val="1"/>
          <w:sz w:val="28"/>
          <w:szCs w:val="28"/>
          <w:highlight w:val="green"/>
        </w:rPr>
        <w:t xml:space="preserve">Eshghi A., Haughton D., Topi H. Determinants of Customer Loyalty in the Wireless Telecommunications Industry // </w:t>
      </w:r>
      <w:r>
        <w:rPr>
          <w:rFonts w:eastAsia="StoneSerifStd-MediumItalic"/>
          <w:bCs w:val="1"/>
          <w:sz w:val="28"/>
          <w:szCs w:val="28"/>
          <w:highlight w:val="green"/>
        </w:rPr>
        <w:t xml:space="preserve">Telecommunications Policy. 2007. </w:t>
      </w:r>
      <w:r>
        <w:rPr>
          <w:rFonts w:eastAsia="StoneSerifStd-Medium"/>
          <w:bCs w:val="1"/>
          <w:sz w:val="28"/>
          <w:szCs w:val="28"/>
          <w:highlight w:val="green"/>
        </w:rPr>
        <w:t xml:space="preserve">31. </w:t>
      </w:r>
      <w:r>
        <w:rPr>
          <w:bCs w:val="1"/>
          <w:sz w:val="28"/>
          <w:szCs w:val="28"/>
          <w:highlight w:val="green"/>
        </w:rPr>
        <w:t>pp.</w:t>
      </w:r>
      <w:r>
        <w:rPr>
          <w:rFonts w:eastAsia="StoneSerifStd-Medium"/>
          <w:bCs w:val="1"/>
          <w:sz w:val="28"/>
          <w:szCs w:val="28"/>
          <w:highlight w:val="green"/>
        </w:rPr>
        <w:t xml:space="preserve"> 93–106.</w:t>
      </w:r>
    </w:p>
    <w:p>
      <w:pPr>
        <w:pStyle w:val="P15"/>
        <w:widowControl w:val="1"/>
        <w:numPr>
          <w:ilvl w:val="0"/>
          <w:numId w:val="6"/>
        </w:numPr>
        <w:spacing w:lineRule="auto" w:line="360" w:beforeAutospacing="0" w:afterAutospacing="0"/>
        <w:ind w:firstLine="709" w:left="0"/>
        <w:contextualSpacing w:val="1"/>
        <w:jc w:val="both"/>
        <w:rPr>
          <w:rFonts w:eastAsia="StoneSerifStd-Medium"/>
          <w:bCs w:val="1"/>
          <w:sz w:val="28"/>
          <w:szCs w:val="28"/>
          <w:highlight w:val="green"/>
        </w:rPr>
      </w:pPr>
      <w:r>
        <w:rPr>
          <w:bCs w:val="1"/>
          <w:sz w:val="28"/>
          <w:szCs w:val="28"/>
          <w:highlight w:val="green"/>
        </w:rPr>
        <w:t xml:space="preserve">Falkner R. Private environmental governance and international relations: Exploring the links // Global Environmental Politics. 2003. 3(2). pp. 72–87. </w:t>
      </w:r>
    </w:p>
    <w:p>
      <w:pPr>
        <w:pStyle w:val="P15"/>
        <w:widowControl w:val="1"/>
        <w:numPr>
          <w:ilvl w:val="0"/>
          <w:numId w:val="6"/>
        </w:numPr>
        <w:spacing w:lineRule="auto" w:line="360" w:beforeAutospacing="0" w:afterAutospacing="0"/>
        <w:ind w:firstLine="709" w:left="0"/>
        <w:contextualSpacing w:val="1"/>
        <w:jc w:val="both"/>
        <w:rPr>
          <w:rFonts w:eastAsia="StoneSerifStd-Medium"/>
          <w:bCs w:val="1"/>
          <w:sz w:val="28"/>
          <w:szCs w:val="28"/>
          <w:highlight w:val="green"/>
        </w:rPr>
      </w:pPr>
      <w:r>
        <w:rPr>
          <w:bCs w:val="1"/>
          <w:sz w:val="28"/>
          <w:szCs w:val="28"/>
          <w:highlight w:val="green"/>
        </w:rPr>
        <w:t xml:space="preserve"> FAO. Sustainable Development Goals </w:t>
      </w:r>
      <w:r>
        <w:rPr>
          <w:sz w:val="28"/>
          <w:szCs w:val="28"/>
          <w:highlight w:val="green"/>
        </w:rPr>
        <w:t xml:space="preserve">[Электронный ресурс]. </w:t>
      </w:r>
      <w:r>
        <w:rPr>
          <w:sz w:val="28"/>
          <w:szCs w:val="28"/>
          <w:highlight w:val="green"/>
          <w:lang w:val="ru-RU"/>
        </w:rPr>
        <w:t>Режим доступа:</w:t>
      </w:r>
      <w:r>
        <w:rPr>
          <w:bCs w:val="1"/>
          <w:sz w:val="28"/>
          <w:szCs w:val="28"/>
          <w:highlight w:val="green"/>
          <w:lang w:val="ru-RU"/>
        </w:rPr>
        <w:t xml:space="preserve"> </w:t>
      </w:r>
      <w:r>
        <w:rPr>
          <w:bCs w:val="1"/>
          <w:sz w:val="28"/>
          <w:szCs w:val="28"/>
          <w:highlight w:val="green"/>
        </w:rPr>
        <w:t>https</w:t>
      </w:r>
      <w:r>
        <w:rPr>
          <w:bCs w:val="1"/>
          <w:sz w:val="28"/>
          <w:szCs w:val="28"/>
          <w:highlight w:val="green"/>
          <w:lang w:val="ru-RU"/>
        </w:rPr>
        <w:t>://</w:t>
      </w:r>
      <w:r>
        <w:rPr>
          <w:bCs w:val="1"/>
          <w:sz w:val="28"/>
          <w:szCs w:val="28"/>
          <w:highlight w:val="green"/>
        </w:rPr>
        <w:t>www</w:t>
      </w:r>
      <w:r>
        <w:rPr>
          <w:bCs w:val="1"/>
          <w:sz w:val="28"/>
          <w:szCs w:val="28"/>
          <w:highlight w:val="green"/>
          <w:lang w:val="ru-RU"/>
        </w:rPr>
        <w:t>.</w:t>
      </w:r>
      <w:r>
        <w:rPr>
          <w:bCs w:val="1"/>
          <w:sz w:val="28"/>
          <w:szCs w:val="28"/>
          <w:highlight w:val="green"/>
        </w:rPr>
        <w:t>fao</w:t>
      </w:r>
      <w:r>
        <w:rPr>
          <w:bCs w:val="1"/>
          <w:sz w:val="28"/>
          <w:szCs w:val="28"/>
          <w:highlight w:val="green"/>
          <w:lang w:val="ru-RU"/>
        </w:rPr>
        <w:t>.</w:t>
      </w:r>
      <w:r>
        <w:rPr>
          <w:bCs w:val="1"/>
          <w:sz w:val="28"/>
          <w:szCs w:val="28"/>
          <w:highlight w:val="green"/>
        </w:rPr>
        <w:t>org</w:t>
      </w:r>
      <w:r>
        <w:rPr>
          <w:bCs w:val="1"/>
          <w:sz w:val="28"/>
          <w:szCs w:val="28"/>
          <w:highlight w:val="green"/>
          <w:lang w:val="ru-RU"/>
        </w:rPr>
        <w:t>/</w:t>
      </w:r>
      <w:r>
        <w:rPr>
          <w:bCs w:val="1"/>
          <w:sz w:val="28"/>
          <w:szCs w:val="28"/>
          <w:highlight w:val="green"/>
        </w:rPr>
        <w:t>sdg</w:t>
      </w:r>
      <w:r>
        <w:rPr>
          <w:bCs w:val="1"/>
          <w:sz w:val="28"/>
          <w:szCs w:val="28"/>
          <w:highlight w:val="green"/>
          <w:lang w:val="ru-RU"/>
        </w:rPr>
        <w:t>-</w:t>
      </w:r>
      <w:r>
        <w:rPr>
          <w:bCs w:val="1"/>
          <w:sz w:val="28"/>
          <w:szCs w:val="28"/>
          <w:highlight w:val="green"/>
        </w:rPr>
        <w:t>progress</w:t>
      </w:r>
      <w:r>
        <w:rPr>
          <w:bCs w:val="1"/>
          <w:sz w:val="28"/>
          <w:szCs w:val="28"/>
          <w:highlight w:val="green"/>
          <w:lang w:val="ru-RU"/>
        </w:rPr>
        <w:t>-</w:t>
      </w:r>
      <w:r>
        <w:rPr>
          <w:bCs w:val="1"/>
          <w:sz w:val="28"/>
          <w:szCs w:val="28"/>
          <w:highlight w:val="green"/>
        </w:rPr>
        <w:t>report</w:t>
      </w:r>
      <w:r>
        <w:rPr>
          <w:bCs w:val="1"/>
          <w:sz w:val="28"/>
          <w:szCs w:val="28"/>
          <w:highlight w:val="green"/>
          <w:lang w:val="ru-RU"/>
        </w:rPr>
        <w:t>/</w:t>
      </w:r>
      <w:r>
        <w:rPr>
          <w:bCs w:val="1"/>
          <w:sz w:val="28"/>
          <w:szCs w:val="28"/>
          <w:highlight w:val="green"/>
        </w:rPr>
        <w:t>en</w:t>
      </w:r>
      <w:r>
        <w:rPr>
          <w:bCs w:val="1"/>
          <w:sz w:val="28"/>
          <w:szCs w:val="28"/>
          <w:highlight w:val="green"/>
          <w:lang w:val="ru-RU"/>
        </w:rPr>
        <w:t xml:space="preserve">/. </w:t>
      </w:r>
      <w:r>
        <w:rPr>
          <w:sz w:val="28"/>
          <w:szCs w:val="28"/>
          <w:highlight w:val="green"/>
        </w:rPr>
        <w:t>(дата обращения 18.04.2023).</w:t>
      </w:r>
    </w:p>
    <w:p>
      <w:pPr>
        <w:pStyle w:val="P15"/>
        <w:widowControl w:val="1"/>
        <w:numPr>
          <w:ilvl w:val="0"/>
          <w:numId w:val="6"/>
        </w:numPr>
        <w:spacing w:lineRule="auto" w:line="360" w:beforeAutospacing="0" w:afterAutospacing="0"/>
        <w:ind w:firstLine="709" w:left="0"/>
        <w:contextualSpacing w:val="1"/>
        <w:jc w:val="both"/>
        <w:rPr>
          <w:rFonts w:eastAsia="StoneSerifStd-Medium"/>
          <w:bCs w:val="1"/>
          <w:sz w:val="28"/>
          <w:szCs w:val="28"/>
          <w:highlight w:val="yellow"/>
        </w:rPr>
      </w:pPr>
      <w:r>
        <w:rPr>
          <w:rFonts w:eastAsia="StoneSerifStd-Medium"/>
          <w:bCs w:val="1"/>
          <w:sz w:val="28"/>
          <w:szCs w:val="28"/>
          <w:highlight w:val="green"/>
        </w:rPr>
        <w:t>Fielding D., M. McGillivray and S. Torres Synergies between Health, Wealth, Fertility, Education and Aid and their Implications for Achieving the Millennium Development Goals // Conference Assessing and Forecasting Progress in Millennium Development Goals, August, UNU-WIDER: Helsinki, 2005. рр. 71-79</w:t>
      </w:r>
    </w:p>
    <w:p>
      <w:pPr>
        <w:pStyle w:val="P15"/>
        <w:widowControl w:val="1"/>
        <w:numPr>
          <w:ilvl w:val="0"/>
          <w:numId w:val="6"/>
        </w:numPr>
        <w:spacing w:lineRule="auto" w:line="360" w:beforeAutospacing="0" w:afterAutospacing="0"/>
        <w:ind w:firstLine="709" w:left="0"/>
        <w:contextualSpacing w:val="1"/>
        <w:jc w:val="both"/>
        <w:rPr>
          <w:rFonts w:eastAsia="StoneSerifStd-Medium"/>
          <w:bCs w:val="1"/>
          <w:sz w:val="28"/>
          <w:szCs w:val="28"/>
          <w:highlight w:val="green"/>
          <w:lang w:val="ru-RU"/>
        </w:rPr>
      </w:pPr>
      <w:r>
        <w:rPr>
          <w:bCs w:val="1"/>
          <w:sz w:val="28"/>
          <w:szCs w:val="28"/>
          <w:highlight w:val="green"/>
        </w:rPr>
        <w:t xml:space="preserve">Forecasting Long-Term Global Change: Introduction to International Futures (IFs). </w:t>
      </w:r>
      <w:r>
        <w:rPr>
          <w:sz w:val="28"/>
          <w:szCs w:val="28"/>
          <w:highlight w:val="green"/>
          <w:lang w:val="ru-RU"/>
        </w:rPr>
        <w:t>[Электронный ресурс]. Режим доступа:</w:t>
      </w:r>
      <w:r>
        <w:rPr>
          <w:bCs w:val="1"/>
          <w:sz w:val="28"/>
          <w:szCs w:val="28"/>
          <w:highlight w:val="green"/>
          <w:lang w:val="ru-RU"/>
        </w:rPr>
        <w:t xml:space="preserve">  </w:t>
      </w:r>
      <w:r>
        <w:rPr>
          <w:bCs w:val="1"/>
          <w:sz w:val="28"/>
          <w:szCs w:val="28"/>
          <w:highlight w:val="green"/>
        </w:rPr>
        <w:t>https</w:t>
      </w:r>
      <w:r>
        <w:rPr>
          <w:bCs w:val="1"/>
          <w:sz w:val="28"/>
          <w:szCs w:val="28"/>
          <w:highlight w:val="green"/>
          <w:lang w:val="ru-RU"/>
        </w:rPr>
        <w:t>://</w:t>
      </w:r>
      <w:r>
        <w:rPr>
          <w:bCs w:val="1"/>
          <w:sz w:val="28"/>
          <w:szCs w:val="28"/>
          <w:highlight w:val="green"/>
        </w:rPr>
        <w:t>korbel</w:t>
      </w:r>
      <w:r>
        <w:rPr>
          <w:bCs w:val="1"/>
          <w:sz w:val="28"/>
          <w:szCs w:val="28"/>
          <w:highlight w:val="green"/>
          <w:lang w:val="ru-RU"/>
        </w:rPr>
        <w:t>.</w:t>
      </w:r>
      <w:r>
        <w:rPr>
          <w:bCs w:val="1"/>
          <w:sz w:val="28"/>
          <w:szCs w:val="28"/>
          <w:highlight w:val="green"/>
        </w:rPr>
        <w:t>du</w:t>
      </w:r>
      <w:r>
        <w:rPr>
          <w:bCs w:val="1"/>
          <w:sz w:val="28"/>
          <w:szCs w:val="28"/>
          <w:highlight w:val="green"/>
          <w:lang w:val="ru-RU"/>
        </w:rPr>
        <w:t>.</w:t>
      </w:r>
      <w:r>
        <w:rPr>
          <w:bCs w:val="1"/>
          <w:sz w:val="28"/>
          <w:szCs w:val="28"/>
          <w:highlight w:val="green"/>
        </w:rPr>
        <w:t>edu</w:t>
      </w:r>
      <w:r>
        <w:rPr>
          <w:bCs w:val="1"/>
          <w:sz w:val="28"/>
          <w:szCs w:val="28"/>
          <w:highlight w:val="green"/>
          <w:lang w:val="ru-RU"/>
        </w:rPr>
        <w:t>/</w:t>
      </w:r>
      <w:r>
        <w:rPr>
          <w:bCs w:val="1"/>
          <w:sz w:val="28"/>
          <w:szCs w:val="28"/>
          <w:highlight w:val="green"/>
        </w:rPr>
        <w:t>pardee</w:t>
      </w:r>
      <w:r>
        <w:rPr>
          <w:bCs w:val="1"/>
          <w:sz w:val="28"/>
          <w:szCs w:val="28"/>
          <w:highlight w:val="green"/>
          <w:lang w:val="ru-RU"/>
        </w:rPr>
        <w:t>/</w:t>
      </w:r>
      <w:r>
        <w:rPr>
          <w:bCs w:val="1"/>
          <w:sz w:val="28"/>
          <w:szCs w:val="28"/>
          <w:highlight w:val="green"/>
        </w:rPr>
        <w:t>resources</w:t>
      </w:r>
      <w:r>
        <w:rPr>
          <w:bCs w:val="1"/>
          <w:sz w:val="28"/>
          <w:szCs w:val="28"/>
          <w:highlight w:val="green"/>
          <w:lang w:val="ru-RU"/>
        </w:rPr>
        <w:t>/</w:t>
      </w:r>
      <w:r>
        <w:rPr>
          <w:bCs w:val="1"/>
          <w:sz w:val="28"/>
          <w:szCs w:val="28"/>
          <w:highlight w:val="green"/>
        </w:rPr>
        <w:t>forecasting</w:t>
      </w:r>
      <w:r>
        <w:rPr>
          <w:bCs w:val="1"/>
          <w:sz w:val="28"/>
          <w:szCs w:val="28"/>
          <w:highlight w:val="green"/>
          <w:lang w:val="ru-RU"/>
        </w:rPr>
        <w:t>-</w:t>
      </w:r>
      <w:r>
        <w:rPr>
          <w:bCs w:val="1"/>
          <w:sz w:val="28"/>
          <w:szCs w:val="28"/>
          <w:highlight w:val="green"/>
        </w:rPr>
        <w:t>long</w:t>
      </w:r>
      <w:r>
        <w:rPr>
          <w:bCs w:val="1"/>
          <w:sz w:val="28"/>
          <w:szCs w:val="28"/>
          <w:highlight w:val="green"/>
          <w:lang w:val="ru-RU"/>
        </w:rPr>
        <w:t>-</w:t>
      </w:r>
      <w:r>
        <w:rPr>
          <w:bCs w:val="1"/>
          <w:sz w:val="28"/>
          <w:szCs w:val="28"/>
          <w:highlight w:val="green"/>
        </w:rPr>
        <w:t>term</w:t>
      </w:r>
      <w:r>
        <w:rPr>
          <w:bCs w:val="1"/>
          <w:sz w:val="28"/>
          <w:szCs w:val="28"/>
          <w:highlight w:val="green"/>
          <w:lang w:val="ru-RU"/>
        </w:rPr>
        <w:t>-</w:t>
      </w:r>
      <w:r>
        <w:rPr>
          <w:bCs w:val="1"/>
          <w:sz w:val="28"/>
          <w:szCs w:val="28"/>
          <w:highlight w:val="green"/>
        </w:rPr>
        <w:t>global</w:t>
      </w:r>
      <w:r>
        <w:rPr>
          <w:bCs w:val="1"/>
          <w:sz w:val="28"/>
          <w:szCs w:val="28"/>
          <w:highlight w:val="green"/>
          <w:lang w:val="ru-RU"/>
        </w:rPr>
        <w:t>-</w:t>
      </w:r>
      <w:r>
        <w:rPr>
          <w:bCs w:val="1"/>
          <w:sz w:val="28"/>
          <w:szCs w:val="28"/>
          <w:highlight w:val="green"/>
        </w:rPr>
        <w:t>change</w:t>
      </w:r>
      <w:r>
        <w:rPr>
          <w:bCs w:val="1"/>
          <w:sz w:val="28"/>
          <w:szCs w:val="28"/>
          <w:highlight w:val="green"/>
          <w:lang w:val="ru-RU"/>
        </w:rPr>
        <w:t>-</w:t>
      </w:r>
      <w:r>
        <w:rPr>
          <w:bCs w:val="1"/>
          <w:sz w:val="28"/>
          <w:szCs w:val="28"/>
          <w:highlight w:val="green"/>
        </w:rPr>
        <w:t>introduction</w:t>
      </w:r>
      <w:r>
        <w:rPr>
          <w:bCs w:val="1"/>
          <w:sz w:val="28"/>
          <w:szCs w:val="28"/>
          <w:highlight w:val="green"/>
          <w:lang w:val="ru-RU"/>
        </w:rPr>
        <w:t>-</w:t>
      </w:r>
      <w:r>
        <w:rPr>
          <w:bCs w:val="1"/>
          <w:sz w:val="28"/>
          <w:szCs w:val="28"/>
          <w:highlight w:val="green"/>
        </w:rPr>
        <w:t>international</w:t>
      </w:r>
      <w:r>
        <w:rPr>
          <w:bCs w:val="1"/>
          <w:sz w:val="28"/>
          <w:szCs w:val="28"/>
          <w:highlight w:val="green"/>
          <w:lang w:val="ru-RU"/>
        </w:rPr>
        <w:t>-</w:t>
      </w:r>
      <w:r>
        <w:rPr>
          <w:bCs w:val="1"/>
          <w:sz w:val="28"/>
          <w:szCs w:val="28"/>
          <w:highlight w:val="green"/>
        </w:rPr>
        <w:t>futures</w:t>
      </w:r>
      <w:r>
        <w:rPr>
          <w:bCs w:val="1"/>
          <w:sz w:val="28"/>
          <w:szCs w:val="28"/>
          <w:highlight w:val="green"/>
          <w:lang w:val="ru-RU"/>
        </w:rPr>
        <w:t>-</w:t>
      </w:r>
      <w:r>
        <w:rPr>
          <w:bCs w:val="1"/>
          <w:sz w:val="28"/>
          <w:szCs w:val="28"/>
          <w:highlight w:val="green"/>
        </w:rPr>
        <w:t>ifs</w:t>
      </w:r>
      <w:r>
        <w:rPr>
          <w:bCs w:val="1"/>
          <w:sz w:val="28"/>
          <w:szCs w:val="28"/>
          <w:highlight w:val="green"/>
          <w:lang w:val="ru-RU"/>
        </w:rPr>
        <w:t xml:space="preserve"> </w:t>
      </w:r>
      <w:r>
        <w:rPr>
          <w:sz w:val="28"/>
          <w:szCs w:val="28"/>
          <w:highlight w:val="green"/>
          <w:lang w:val="ru-RU"/>
        </w:rPr>
        <w:t>(дата обращения 17.03.2023).</w:t>
      </w:r>
    </w:p>
    <w:p>
      <w:pPr>
        <w:pStyle w:val="P15"/>
        <w:widowControl w:val="1"/>
        <w:numPr>
          <w:ilvl w:val="0"/>
          <w:numId w:val="6"/>
        </w:numPr>
        <w:spacing w:lineRule="auto" w:line="360" w:beforeAutospacing="0" w:afterAutospacing="0"/>
        <w:ind w:firstLine="709" w:left="0"/>
        <w:contextualSpacing w:val="1"/>
        <w:jc w:val="both"/>
        <w:rPr>
          <w:rFonts w:eastAsia="StoneSerifStd-Medium"/>
          <w:bCs w:val="1"/>
          <w:sz w:val="28"/>
          <w:szCs w:val="28"/>
          <w:highlight w:val="green"/>
        </w:rPr>
      </w:pPr>
      <w:r>
        <w:rPr>
          <w:bCs w:val="1"/>
          <w:sz w:val="28"/>
          <w:szCs w:val="28"/>
          <w:highlight w:val="green"/>
        </w:rPr>
        <w:t xml:space="preserve">Fowler A., Biekart K. Multi‐stakeholder initiatives for Sustainable Development Goals: The importance of interlocutors // Public Administration and Development. 2017. 37(2). pp. 81–89. </w:t>
      </w:r>
    </w:p>
    <w:p>
      <w:pPr>
        <w:pStyle w:val="P15"/>
        <w:widowControl w:val="1"/>
        <w:numPr>
          <w:ilvl w:val="0"/>
          <w:numId w:val="6"/>
        </w:numPr>
        <w:spacing w:lineRule="auto" w:line="360" w:beforeAutospacing="0" w:afterAutospacing="0"/>
        <w:ind w:firstLine="709" w:left="0"/>
        <w:contextualSpacing w:val="1"/>
        <w:jc w:val="both"/>
        <w:rPr>
          <w:rFonts w:eastAsia="StoneSerifStd-Medium"/>
          <w:bCs w:val="1"/>
          <w:sz w:val="28"/>
          <w:szCs w:val="28"/>
          <w:highlight w:val="green"/>
        </w:rPr>
      </w:pPr>
      <w:r>
        <w:rPr>
          <w:bCs w:val="1"/>
          <w:sz w:val="28"/>
          <w:szCs w:val="28"/>
          <w:highlight w:val="green"/>
        </w:rPr>
        <w:t>Freeman R.E. Strategic management. A stakeholder approach. New York: Cambridge University Press</w:t>
      </w:r>
      <w:bookmarkStart w:id="68" w:name="_bookmark98"/>
      <w:bookmarkEnd w:id="68"/>
      <w:bookmarkStart w:id="69" w:name="_Hlk137400333"/>
      <w:r>
        <w:rPr>
          <w:bCs w:val="1"/>
          <w:sz w:val="28"/>
          <w:szCs w:val="28"/>
          <w:highlight w:val="green"/>
        </w:rPr>
        <w:t>, 2010. 414 р.</w:t>
      </w:r>
    </w:p>
    <w:p>
      <w:pPr>
        <w:pStyle w:val="P15"/>
        <w:widowControl w:val="1"/>
        <w:numPr>
          <w:ilvl w:val="0"/>
          <w:numId w:val="6"/>
        </w:numPr>
        <w:spacing w:lineRule="auto" w:line="360" w:beforeAutospacing="0" w:afterAutospacing="0"/>
        <w:ind w:firstLine="709" w:left="0"/>
        <w:contextualSpacing w:val="1"/>
        <w:jc w:val="both"/>
        <w:rPr>
          <w:rFonts w:eastAsia="StoneSerifStd-Medium"/>
          <w:bCs w:val="1"/>
          <w:sz w:val="28"/>
          <w:szCs w:val="28"/>
          <w:highlight w:val="green"/>
        </w:rPr>
      </w:pPr>
      <w:r>
        <w:rPr>
          <w:bCs w:val="1"/>
          <w:sz w:val="28"/>
          <w:szCs w:val="28"/>
          <w:highlight w:val="green"/>
        </w:rPr>
        <w:t xml:space="preserve">Freeman R.E., Reed D. </w:t>
      </w:r>
      <w:bookmarkEnd w:id="69"/>
      <w:r>
        <w:rPr>
          <w:bCs w:val="1"/>
          <w:sz w:val="28"/>
          <w:szCs w:val="28"/>
          <w:highlight w:val="green"/>
        </w:rPr>
        <w:t>Stockholders and stakeholders: A new perspective on corporate governance // California Management Review. 1983. 25(3). pp. 88–106.</w:t>
      </w:r>
    </w:p>
    <w:p>
      <w:pPr>
        <w:pStyle w:val="P13"/>
        <w:numPr>
          <w:ilvl w:val="0"/>
          <w:numId w:val="6"/>
        </w:numPr>
        <w:spacing w:lineRule="auto" w:line="360" w:beforeAutospacing="0" w:afterAutospacing="0"/>
        <w:ind w:firstLine="709" w:left="0"/>
        <w:jc w:val="both"/>
        <w:rPr>
          <w:bCs w:val="1"/>
          <w:sz w:val="28"/>
          <w:szCs w:val="28"/>
          <w:highlight w:val="magenta"/>
        </w:rPr>
      </w:pPr>
      <w:r>
        <w:rPr>
          <w:bCs w:val="1"/>
          <w:sz w:val="28"/>
          <w:szCs w:val="28"/>
          <w:highlight w:val="magenta"/>
        </w:rPr>
        <w:t xml:space="preserve">Freyburg T., Krizic I., Lavenex, S., O’flynn C. Democratic governance and transgovernmental networks // SUPW and PEIO Conference, 2017. </w:t>
      </w:r>
      <w:r>
        <w:rPr>
          <w:bCs w:val="1"/>
          <w:sz w:val="28"/>
          <w:szCs w:val="28"/>
          <w:highlight w:val="magenta"/>
          <w:lang w:val="ru-RU"/>
        </w:rPr>
        <w:t>рр</w:t>
      </w:r>
      <w:r>
        <w:rPr>
          <w:bCs w:val="1"/>
          <w:sz w:val="28"/>
          <w:szCs w:val="28"/>
          <w:highlight w:val="magenta"/>
        </w:rPr>
        <w:t>. 81-88.</w:t>
      </w:r>
    </w:p>
    <w:p>
      <w:pPr>
        <w:pStyle w:val="P15"/>
        <w:widowControl w:val="1"/>
        <w:numPr>
          <w:ilvl w:val="0"/>
          <w:numId w:val="6"/>
        </w:numPr>
        <w:spacing w:lineRule="auto" w:line="360" w:beforeAutospacing="0" w:afterAutospacing="0"/>
        <w:ind w:firstLine="709" w:left="0"/>
        <w:contextualSpacing w:val="1"/>
        <w:jc w:val="both"/>
        <w:rPr>
          <w:bCs w:val="1"/>
          <w:sz w:val="28"/>
          <w:szCs w:val="28"/>
          <w:highlight w:val="green"/>
        </w:rPr>
      </w:pPr>
      <w:r>
        <w:rPr>
          <w:bCs w:val="1"/>
          <w:sz w:val="28"/>
          <w:szCs w:val="28"/>
          <w:highlight w:val="green"/>
        </w:rPr>
        <w:t xml:space="preserve">Friedman M. The social responsibility of business is to increase its profits // Perspectives in business ethics / L. B. Pincus (Ed.).  Singapore: McGraw-Hill, 1998. pp. 246–251. </w:t>
      </w:r>
    </w:p>
    <w:p>
      <w:pPr>
        <w:pStyle w:val="P15"/>
        <w:widowControl w:val="1"/>
        <w:numPr>
          <w:ilvl w:val="0"/>
          <w:numId w:val="6"/>
        </w:numPr>
        <w:spacing w:lineRule="auto" w:line="360" w:beforeAutospacing="0" w:afterAutospacing="0"/>
        <w:ind w:firstLine="709" w:left="0"/>
        <w:contextualSpacing w:val="1"/>
        <w:jc w:val="both"/>
        <w:rPr>
          <w:rFonts w:eastAsia="StoneSerifStd-Medium"/>
          <w:bCs w:val="1"/>
          <w:sz w:val="28"/>
          <w:szCs w:val="28"/>
          <w:highlight w:val="green"/>
        </w:rPr>
      </w:pPr>
      <w:r>
        <w:rPr>
          <w:rFonts w:eastAsia="StoneSerifStd-Medium"/>
          <w:bCs w:val="1"/>
          <w:sz w:val="28"/>
          <w:szCs w:val="28"/>
          <w:highlight w:val="green"/>
        </w:rPr>
        <w:t>Fukuda-Parr S., Greenstein J. How Should MDG Implementation be Measured: Faster Progress or Meeting Targets? // Working Paper. International Policy Centre for Inclusive Growth. United Nations Development Programme, 2010. рр. 112-128.</w:t>
      </w:r>
    </w:p>
    <w:p>
      <w:pPr>
        <w:pStyle w:val="P15"/>
        <w:widowControl w:val="1"/>
        <w:numPr>
          <w:ilvl w:val="0"/>
          <w:numId w:val="6"/>
        </w:numPr>
        <w:spacing w:lineRule="auto" w:line="360" w:beforeAutospacing="0" w:afterAutospacing="0"/>
        <w:ind w:firstLine="709" w:left="0"/>
        <w:contextualSpacing w:val="1"/>
        <w:jc w:val="both"/>
        <w:rPr>
          <w:bCs w:val="1"/>
          <w:sz w:val="28"/>
          <w:szCs w:val="28"/>
          <w:highlight w:val="green"/>
        </w:rPr>
      </w:pPr>
      <w:r>
        <w:rPr>
          <w:bCs w:val="1"/>
          <w:sz w:val="28"/>
          <w:szCs w:val="28"/>
          <w:highlight w:val="green"/>
        </w:rPr>
        <w:t>Galbreath J. Sustainable development in business: A strategic view // Theory and practice of corporate social responsibility / S.O. Idowu, C. Louche (Eds.). Berlin, Heidelberg: Springer</w:t>
      </w:r>
      <w:bookmarkStart w:id="70" w:name="_Hlk137400380"/>
      <w:r>
        <w:rPr>
          <w:bCs w:val="1"/>
          <w:sz w:val="28"/>
          <w:szCs w:val="28"/>
          <w:highlight w:val="green"/>
        </w:rPr>
        <w:t>, 2011. pp. 89–105.</w:t>
      </w:r>
    </w:p>
    <w:p>
      <w:pPr>
        <w:pStyle w:val="P15"/>
        <w:widowControl w:val="1"/>
        <w:numPr>
          <w:ilvl w:val="0"/>
          <w:numId w:val="6"/>
        </w:numPr>
        <w:spacing w:lineRule="auto" w:line="360" w:beforeAutospacing="0" w:afterAutospacing="0"/>
        <w:ind w:firstLine="709" w:left="0"/>
        <w:contextualSpacing w:val="1"/>
        <w:jc w:val="both"/>
        <w:rPr>
          <w:bCs w:val="1"/>
          <w:sz w:val="28"/>
          <w:szCs w:val="28"/>
          <w:highlight w:val="green"/>
        </w:rPr>
      </w:pPr>
      <w:r>
        <w:rPr>
          <w:bCs w:val="1"/>
          <w:sz w:val="28"/>
          <w:szCs w:val="28"/>
          <w:highlight w:val="green"/>
        </w:rPr>
        <w:t xml:space="preserve">Garriga E., Melé D. </w:t>
      </w:r>
      <w:bookmarkEnd w:id="70"/>
      <w:r>
        <w:rPr>
          <w:bCs w:val="1"/>
          <w:sz w:val="28"/>
          <w:szCs w:val="28"/>
          <w:highlight w:val="green"/>
        </w:rPr>
        <w:t>Corporate social responsibility theories: Mapping the territory // Journal of Business Ethics. 2004. 53. pp. 51–71.</w:t>
      </w:r>
      <w:bookmarkStart w:id="71" w:name="_Hlk137384031"/>
    </w:p>
    <w:p>
      <w:pPr>
        <w:pStyle w:val="P15"/>
        <w:widowControl w:val="1"/>
        <w:numPr>
          <w:ilvl w:val="0"/>
          <w:numId w:val="6"/>
        </w:numPr>
        <w:spacing w:lineRule="auto" w:line="360" w:beforeAutospacing="0" w:afterAutospacing="0"/>
        <w:ind w:firstLine="709" w:left="0"/>
        <w:contextualSpacing w:val="1"/>
        <w:jc w:val="both"/>
        <w:rPr>
          <w:bCs w:val="1"/>
          <w:sz w:val="28"/>
          <w:szCs w:val="28"/>
          <w:highlight w:val="green"/>
        </w:rPr>
      </w:pPr>
      <w:r>
        <w:rPr>
          <w:bCs w:val="1"/>
          <w:sz w:val="28"/>
          <w:szCs w:val="28"/>
          <w:highlight w:val="green"/>
        </w:rPr>
        <w:t xml:space="preserve">Gibb R. </w:t>
      </w:r>
      <w:bookmarkEnd w:id="71"/>
      <w:r>
        <w:rPr>
          <w:bCs w:val="1"/>
          <w:sz w:val="28"/>
          <w:szCs w:val="28"/>
          <w:highlight w:val="green"/>
        </w:rPr>
        <w:t>Regional Integration and Development Trajectory: Meta-theories, expectations and reality // Third World Quarterly. 2009. Vol. 30, Number 4 (21). pp. 701–721.</w:t>
      </w:r>
    </w:p>
    <w:p>
      <w:pPr>
        <w:pStyle w:val="P15"/>
        <w:widowControl w:val="1"/>
        <w:numPr>
          <w:ilvl w:val="0"/>
          <w:numId w:val="6"/>
        </w:numPr>
        <w:spacing w:lineRule="auto" w:line="360" w:beforeAutospacing="0" w:afterAutospacing="0"/>
        <w:ind w:firstLine="709" w:left="0"/>
        <w:contextualSpacing w:val="1"/>
        <w:jc w:val="both"/>
        <w:rPr>
          <w:bCs w:val="1"/>
          <w:sz w:val="28"/>
          <w:szCs w:val="28"/>
          <w:highlight w:val="green"/>
        </w:rPr>
      </w:pPr>
      <w:r>
        <w:rPr>
          <w:bCs w:val="1"/>
          <w:sz w:val="28"/>
          <w:szCs w:val="28"/>
          <w:highlight w:val="green"/>
        </w:rPr>
        <w:t>Gomes M.</w:t>
      </w:r>
      <w:r>
        <w:rPr>
          <w:sz w:val="28"/>
          <w:szCs w:val="28"/>
          <w:highlight w:val="green"/>
        </w:rPr>
        <w:t>V. P.</w:t>
      </w:r>
      <w:r>
        <w:rPr>
          <w:bCs w:val="1"/>
          <w:sz w:val="28"/>
          <w:szCs w:val="28"/>
          <w:highlight w:val="green"/>
        </w:rPr>
        <w:t>, Merchán C.</w:t>
      </w:r>
      <w:r>
        <w:rPr>
          <w:sz w:val="28"/>
          <w:szCs w:val="28"/>
          <w:highlight w:val="green"/>
        </w:rPr>
        <w:t>R.</w:t>
      </w:r>
      <w:r>
        <w:rPr>
          <w:bCs w:val="1"/>
          <w:sz w:val="28"/>
          <w:szCs w:val="28"/>
          <w:highlight w:val="green"/>
        </w:rPr>
        <w:t xml:space="preserve"> Transnational governance: Definitions, approaches and research agenda // </w:t>
      </w:r>
      <w:r>
        <w:rPr>
          <w:bCs w:val="1"/>
          <w:sz w:val="28"/>
          <w:szCs w:val="28"/>
        </w:rPr>
        <w:t>RAC - Revista de Administração Contemporânea (Journal of Contemporary Administration)</w:t>
      </w:r>
      <w:r>
        <w:rPr>
          <w:bCs w:val="1"/>
          <w:sz w:val="28"/>
          <w:szCs w:val="28"/>
          <w:highlight w:val="green"/>
        </w:rPr>
        <w:t xml:space="preserve">. 2017. 21 (1). pp. 84-106. </w:t>
      </w:r>
      <w:bookmarkStart w:id="72" w:name="_Hlk137395998"/>
    </w:p>
    <w:p>
      <w:pPr>
        <w:pStyle w:val="P13"/>
        <w:numPr>
          <w:ilvl w:val="0"/>
          <w:numId w:val="6"/>
        </w:numPr>
        <w:spacing w:lineRule="auto" w:line="360" w:beforeAutospacing="0" w:afterAutospacing="0"/>
        <w:ind w:firstLine="709" w:left="0"/>
        <w:jc w:val="both"/>
        <w:rPr>
          <w:bCs w:val="1"/>
          <w:sz w:val="28"/>
          <w:szCs w:val="28"/>
          <w:highlight w:val="green"/>
        </w:rPr>
      </w:pPr>
      <w:r>
        <w:rPr>
          <w:bCs w:val="1"/>
          <w:sz w:val="28"/>
          <w:szCs w:val="28"/>
          <w:highlight w:val="green"/>
        </w:rPr>
        <w:t xml:space="preserve">Green J.F. </w:t>
      </w:r>
      <w:bookmarkEnd w:id="72"/>
      <w:r>
        <w:rPr>
          <w:bCs w:val="1"/>
          <w:sz w:val="28"/>
          <w:szCs w:val="28"/>
          <w:highlight w:val="green"/>
        </w:rPr>
        <w:t xml:space="preserve">Rethinking private authority: Agents and entrepreneurs in global environmental governance. Princeton University Press, 2013. 189 </w:t>
      </w:r>
      <w:r>
        <w:rPr>
          <w:bCs w:val="1"/>
          <w:sz w:val="28"/>
          <w:szCs w:val="28"/>
          <w:highlight w:val="green"/>
          <w:lang w:val="ru-RU"/>
        </w:rPr>
        <w:t>р</w:t>
      </w:r>
      <w:r>
        <w:rPr>
          <w:bCs w:val="1"/>
          <w:sz w:val="28"/>
          <w:szCs w:val="28"/>
          <w:highlight w:val="green"/>
        </w:rPr>
        <w:t>.</w:t>
      </w:r>
    </w:p>
    <w:p>
      <w:pPr>
        <w:pStyle w:val="P15"/>
        <w:widowControl w:val="1"/>
        <w:numPr>
          <w:ilvl w:val="0"/>
          <w:numId w:val="6"/>
        </w:numPr>
        <w:spacing w:lineRule="auto" w:line="360" w:beforeAutospacing="0" w:afterAutospacing="0"/>
        <w:ind w:firstLine="709" w:left="0"/>
        <w:contextualSpacing w:val="1"/>
        <w:jc w:val="both"/>
        <w:rPr>
          <w:bCs w:val="1"/>
          <w:sz w:val="28"/>
          <w:szCs w:val="28"/>
          <w:highlight w:val="green"/>
        </w:rPr>
      </w:pPr>
      <w:r>
        <w:rPr>
          <w:bCs w:val="1"/>
          <w:sz w:val="28"/>
          <w:szCs w:val="28"/>
          <w:highlight w:val="green"/>
        </w:rPr>
        <w:t>Greenaway, D., Kneller, R. Firm Heterogeneity, Exporting and Foreign Direct Investment // The Economic Journal. 2007. 117(517). pp. F134–F161.</w:t>
      </w:r>
    </w:p>
    <w:p>
      <w:pPr>
        <w:pStyle w:val="P15"/>
        <w:widowControl w:val="1"/>
        <w:numPr>
          <w:ilvl w:val="0"/>
          <w:numId w:val="6"/>
        </w:numPr>
        <w:spacing w:lineRule="auto" w:line="360" w:beforeAutospacing="0" w:afterAutospacing="0"/>
        <w:ind w:firstLine="709" w:left="0"/>
        <w:contextualSpacing w:val="1"/>
        <w:jc w:val="both"/>
        <w:rPr>
          <w:bCs w:val="1"/>
          <w:sz w:val="28"/>
          <w:szCs w:val="28"/>
          <w:highlight w:val="green"/>
        </w:rPr>
      </w:pPr>
      <w:r>
        <w:rPr>
          <w:bCs w:val="1"/>
          <w:sz w:val="28"/>
          <w:szCs w:val="28"/>
          <w:highlight w:val="green"/>
        </w:rPr>
        <w:t>Grober U. Sustainability – A cultural history. Totnes in England: Green Books, 2012. 461 р.</w:t>
      </w:r>
    </w:p>
    <w:p>
      <w:pPr>
        <w:pStyle w:val="P15"/>
        <w:widowControl w:val="1"/>
        <w:numPr>
          <w:ilvl w:val="0"/>
          <w:numId w:val="6"/>
        </w:numPr>
        <w:spacing w:lineRule="auto" w:line="360" w:beforeAutospacing="0" w:afterAutospacing="0"/>
        <w:ind w:firstLine="709" w:left="0"/>
        <w:contextualSpacing w:val="1"/>
        <w:jc w:val="both"/>
        <w:rPr>
          <w:bCs w:val="1"/>
          <w:sz w:val="28"/>
          <w:szCs w:val="28"/>
          <w:highlight w:val="green"/>
        </w:rPr>
      </w:pPr>
      <w:r>
        <w:rPr>
          <w:bCs w:val="1"/>
          <w:sz w:val="28"/>
          <w:szCs w:val="28"/>
          <w:highlight w:val="green"/>
        </w:rPr>
        <w:t>Gui-Diby S., Renard M. Foreign Direct Investment Inflows and the Industrialization of African Countries // World Development. 2015. 74. pp. 43–57.</w:t>
      </w:r>
    </w:p>
    <w:p>
      <w:pPr>
        <w:pStyle w:val="P15"/>
        <w:widowControl w:val="1"/>
        <w:numPr>
          <w:ilvl w:val="0"/>
          <w:numId w:val="6"/>
        </w:numPr>
        <w:spacing w:lineRule="auto" w:line="360" w:beforeAutospacing="0" w:afterAutospacing="0"/>
        <w:ind w:firstLine="709" w:left="0"/>
        <w:contextualSpacing w:val="1"/>
        <w:jc w:val="both"/>
        <w:rPr>
          <w:rFonts w:eastAsia="StoneSerifStd-Medium"/>
          <w:bCs w:val="1"/>
          <w:sz w:val="28"/>
          <w:szCs w:val="28"/>
          <w:highlight w:val="green"/>
        </w:rPr>
      </w:pPr>
      <w:r>
        <w:rPr>
          <w:rFonts w:eastAsia="StoneSerifStd-Medium"/>
          <w:bCs w:val="1"/>
          <w:sz w:val="28"/>
          <w:szCs w:val="28"/>
          <w:highlight w:val="green"/>
        </w:rPr>
        <w:t xml:space="preserve">Haenlein M., Kaplan A. A Beginner’s Guide to Partial Least Squares Analysis // </w:t>
      </w:r>
      <w:r>
        <w:rPr>
          <w:rFonts w:eastAsia="StoneSerifStd-MediumItalic"/>
          <w:bCs w:val="1"/>
          <w:sz w:val="28"/>
          <w:szCs w:val="28"/>
          <w:highlight w:val="green"/>
        </w:rPr>
        <w:t xml:space="preserve">Understanding Statistics. 2004. </w:t>
      </w:r>
      <w:r>
        <w:rPr>
          <w:rFonts w:eastAsia="StoneSerifStd-Medium"/>
          <w:bCs w:val="1"/>
          <w:sz w:val="28"/>
          <w:szCs w:val="28"/>
          <w:highlight w:val="green"/>
        </w:rPr>
        <w:t xml:space="preserve">3(4). </w:t>
      </w:r>
      <w:r>
        <w:rPr>
          <w:bCs w:val="1"/>
          <w:sz w:val="28"/>
          <w:szCs w:val="28"/>
          <w:highlight w:val="green"/>
        </w:rPr>
        <w:t>pp.</w:t>
      </w:r>
      <w:r>
        <w:rPr>
          <w:rFonts w:eastAsia="StoneSerifStd-Medium"/>
          <w:bCs w:val="1"/>
          <w:sz w:val="28"/>
          <w:szCs w:val="28"/>
          <w:highlight w:val="green"/>
        </w:rPr>
        <w:t xml:space="preserve"> 283–297.</w:t>
      </w:r>
    </w:p>
    <w:p>
      <w:pPr>
        <w:pStyle w:val="P15"/>
        <w:widowControl w:val="1"/>
        <w:numPr>
          <w:ilvl w:val="0"/>
          <w:numId w:val="6"/>
        </w:numPr>
        <w:spacing w:lineRule="auto" w:line="360" w:beforeAutospacing="0" w:afterAutospacing="0"/>
        <w:ind w:firstLine="709" w:left="0"/>
        <w:contextualSpacing w:val="1"/>
        <w:jc w:val="both"/>
        <w:rPr>
          <w:rFonts w:eastAsia="StoneSerifStd-Medium"/>
          <w:bCs w:val="1"/>
          <w:sz w:val="28"/>
          <w:szCs w:val="28"/>
          <w:highlight w:val="green"/>
        </w:rPr>
      </w:pPr>
      <w:r>
        <w:rPr>
          <w:rFonts w:eastAsia="StoneSerifStd-Medium"/>
          <w:bCs w:val="1"/>
          <w:sz w:val="28"/>
          <w:szCs w:val="28"/>
        </w:rPr>
        <w:t>Hair J.F., Ringle C.M., Sarstedt M.</w:t>
      </w:r>
      <w:r>
        <w:rPr>
          <w:rFonts w:eastAsia="StoneSerifStd-Medium"/>
          <w:bCs w:val="1"/>
          <w:sz w:val="28"/>
          <w:szCs w:val="28"/>
          <w:highlight w:val="green"/>
        </w:rPr>
        <w:t xml:space="preserve">. PLS-SEM: Indeed a Silver Bullet // </w:t>
      </w:r>
      <w:r>
        <w:rPr>
          <w:rFonts w:eastAsia="StoneSerifStd-MediumItalic"/>
          <w:bCs w:val="1"/>
          <w:sz w:val="28"/>
          <w:szCs w:val="28"/>
          <w:highlight w:val="green"/>
        </w:rPr>
        <w:t xml:space="preserve">Journal of Marketing Theory and Practice. 2011. </w:t>
      </w:r>
      <w:r>
        <w:rPr>
          <w:rFonts w:eastAsia="StoneSerifStd-Medium"/>
          <w:bCs w:val="1"/>
          <w:sz w:val="28"/>
          <w:szCs w:val="28"/>
          <w:highlight w:val="green"/>
        </w:rPr>
        <w:t>19(2). pp. 139–152.</w:t>
      </w:r>
    </w:p>
    <w:p>
      <w:pPr>
        <w:pStyle w:val="P15"/>
        <w:widowControl w:val="1"/>
        <w:numPr>
          <w:ilvl w:val="0"/>
          <w:numId w:val="6"/>
        </w:numPr>
        <w:spacing w:lineRule="auto" w:line="360" w:beforeAutospacing="0" w:afterAutospacing="0"/>
        <w:ind w:firstLine="709" w:left="0"/>
        <w:contextualSpacing w:val="1"/>
        <w:jc w:val="both"/>
        <w:rPr>
          <w:bCs w:val="1"/>
          <w:sz w:val="28"/>
          <w:szCs w:val="28"/>
          <w:highlight w:val="green"/>
        </w:rPr>
      </w:pPr>
      <w:r>
        <w:rPr>
          <w:bCs w:val="1"/>
          <w:sz w:val="28"/>
          <w:szCs w:val="28"/>
          <w:highlight w:val="green"/>
        </w:rPr>
        <w:t>Hale T., Held D. Handbook of transnational governance: Institutions and innovations. Polity Press, 2011. 519 р.</w:t>
      </w:r>
    </w:p>
    <w:p>
      <w:pPr>
        <w:pStyle w:val="P15"/>
        <w:widowControl w:val="1"/>
        <w:numPr>
          <w:ilvl w:val="0"/>
          <w:numId w:val="6"/>
        </w:numPr>
        <w:spacing w:lineRule="auto" w:line="360" w:beforeAutospacing="0" w:afterAutospacing="0"/>
        <w:ind w:firstLine="709" w:left="0"/>
        <w:contextualSpacing w:val="1"/>
        <w:jc w:val="both"/>
        <w:rPr>
          <w:bCs w:val="1"/>
          <w:sz w:val="28"/>
          <w:szCs w:val="28"/>
          <w:highlight w:val="green"/>
        </w:rPr>
      </w:pPr>
      <w:r>
        <w:rPr>
          <w:bCs w:val="1"/>
          <w:sz w:val="28"/>
          <w:szCs w:val="28"/>
          <w:highlight w:val="green"/>
        </w:rPr>
        <w:t xml:space="preserve">Hall P.A., Gingerich D.W. Varieties of capitalism and institutional complementarities in the political economy // British Journal of Political Science. </w:t>
      </w:r>
      <w:r>
        <w:rPr>
          <w:bCs w:val="1"/>
          <w:sz w:val="28"/>
          <w:szCs w:val="28"/>
          <w:highlight w:val="green"/>
          <w:lang w:val="ru-RU"/>
        </w:rPr>
        <w:t xml:space="preserve">2009, </w:t>
      </w:r>
      <w:r>
        <w:rPr>
          <w:bCs w:val="1"/>
          <w:sz w:val="28"/>
          <w:szCs w:val="28"/>
          <w:highlight w:val="green"/>
        </w:rPr>
        <w:t>39(3). pp. 449–482.</w:t>
      </w:r>
    </w:p>
    <w:p>
      <w:pPr>
        <w:pStyle w:val="P15"/>
        <w:widowControl w:val="1"/>
        <w:numPr>
          <w:ilvl w:val="0"/>
          <w:numId w:val="6"/>
        </w:numPr>
        <w:spacing w:lineRule="auto" w:line="360" w:beforeAutospacing="0" w:afterAutospacing="0"/>
        <w:ind w:firstLine="709" w:left="0"/>
        <w:contextualSpacing w:val="1"/>
        <w:jc w:val="both"/>
        <w:rPr>
          <w:bCs w:val="1"/>
          <w:sz w:val="28"/>
          <w:szCs w:val="28"/>
          <w:highlight w:val="green"/>
        </w:rPr>
      </w:pPr>
      <w:bookmarkStart w:id="73" w:name="_bookmark108"/>
      <w:bookmarkEnd w:id="73"/>
      <w:r>
        <w:rPr>
          <w:bCs w:val="1"/>
          <w:sz w:val="28"/>
          <w:szCs w:val="28"/>
          <w:highlight w:val="green"/>
        </w:rPr>
        <w:t xml:space="preserve">Hansen A.R., Ryan V. Follow the rising polestar: An examination of the structures governing corporate citizens in South Africa // Corporate citizenship in Africa. Lessons from the past paths to the future / W. Visser, M. McIntosh, C. Middelton (Eds.). Sheffield in England: Greenleaf Publishing Ltd, 2006. pp. 43–53. </w:t>
      </w:r>
    </w:p>
    <w:p>
      <w:pPr>
        <w:pStyle w:val="P15"/>
        <w:widowControl w:val="1"/>
        <w:numPr>
          <w:ilvl w:val="0"/>
          <w:numId w:val="6"/>
        </w:numPr>
        <w:spacing w:lineRule="auto" w:line="360" w:beforeAutospacing="0" w:afterAutospacing="0"/>
        <w:ind w:firstLine="709" w:left="0"/>
        <w:contextualSpacing w:val="1"/>
        <w:jc w:val="both"/>
        <w:rPr>
          <w:rFonts w:eastAsia="StoneSerifStd-Medium"/>
          <w:bCs w:val="1"/>
          <w:sz w:val="28"/>
          <w:szCs w:val="28"/>
          <w:highlight w:val="green"/>
        </w:rPr>
      </w:pPr>
      <w:r>
        <w:rPr>
          <w:rFonts w:eastAsia="StoneSerifStd-Medium"/>
          <w:bCs w:val="1"/>
          <w:sz w:val="28"/>
          <w:szCs w:val="28"/>
          <w:highlight w:val="green"/>
        </w:rPr>
        <w:t xml:space="preserve">Haughton D., Haughton J. </w:t>
      </w:r>
      <w:r>
        <w:rPr>
          <w:rFonts w:eastAsia="StoneSerifStd-MediumItalic"/>
          <w:bCs w:val="1"/>
          <w:sz w:val="28"/>
          <w:szCs w:val="28"/>
          <w:highlight w:val="green"/>
        </w:rPr>
        <w:t xml:space="preserve">Living Standards Analytics: Statistics for Social and Behavioral Sciences. </w:t>
      </w:r>
      <w:r>
        <w:rPr>
          <w:rFonts w:eastAsia="StoneSerifStd-Medium"/>
          <w:bCs w:val="1"/>
          <w:sz w:val="28"/>
          <w:szCs w:val="28"/>
          <w:highlight w:val="green"/>
        </w:rPr>
        <w:t>Springer-Verlag: New York, 2011. 154 р.</w:t>
      </w:r>
    </w:p>
    <w:p>
      <w:pPr>
        <w:pStyle w:val="P15"/>
        <w:widowControl w:val="1"/>
        <w:numPr>
          <w:ilvl w:val="0"/>
          <w:numId w:val="6"/>
        </w:numPr>
        <w:spacing w:lineRule="auto" w:line="360" w:beforeAutospacing="0" w:afterAutospacing="0"/>
        <w:ind w:firstLine="709" w:left="0"/>
        <w:contextualSpacing w:val="1"/>
        <w:jc w:val="both"/>
        <w:rPr>
          <w:bCs w:val="1"/>
          <w:sz w:val="28"/>
          <w:szCs w:val="28"/>
          <w:highlight w:val="green"/>
        </w:rPr>
      </w:pPr>
      <w:r>
        <w:rPr>
          <w:bCs w:val="1"/>
          <w:sz w:val="28"/>
          <w:szCs w:val="28"/>
          <w:highlight w:val="green"/>
        </w:rPr>
        <w:t xml:space="preserve">Hentze J., Thies B. </w:t>
      </w:r>
      <w:r>
        <w:rPr>
          <w:bCs w:val="1"/>
          <w:sz w:val="28"/>
          <w:szCs w:val="28"/>
        </w:rPr>
        <w:t>Unternehmensethik und nachhaltiges Management</w:t>
      </w:r>
      <w:r>
        <w:rPr>
          <w:bCs w:val="1"/>
          <w:sz w:val="28"/>
          <w:szCs w:val="28"/>
          <w:highlight w:val="green"/>
        </w:rPr>
        <w:t>. Bern: Haupt UTB, 2012. 366 р.</w:t>
      </w:r>
    </w:p>
    <w:p>
      <w:pPr>
        <w:pStyle w:val="P15"/>
        <w:widowControl w:val="1"/>
        <w:numPr>
          <w:ilvl w:val="0"/>
          <w:numId w:val="6"/>
        </w:numPr>
        <w:spacing w:lineRule="auto" w:line="360" w:beforeAutospacing="0" w:afterAutospacing="0"/>
        <w:ind w:firstLine="709" w:left="0"/>
        <w:contextualSpacing w:val="1"/>
        <w:jc w:val="both"/>
        <w:rPr>
          <w:bCs w:val="1"/>
          <w:sz w:val="28"/>
          <w:szCs w:val="28"/>
          <w:highlight w:val="green"/>
        </w:rPr>
      </w:pPr>
      <w:r>
        <w:rPr>
          <w:bCs w:val="1"/>
          <w:sz w:val="28"/>
          <w:szCs w:val="28"/>
          <w:highlight w:val="green"/>
        </w:rPr>
        <w:t xml:space="preserve">Hooft S. Up-lifting power. Creating sustainable consumer-driven supply chains through innovative partnerships // Corporate citizenship in Africa. Lessons from the Past – Paths to the future / W. Visser, M. McIntosh, C. Middelton (Eds.). Sheffield in England: Greenleaf Publishing Ltd, 2006. pp. 212–223. </w:t>
      </w:r>
      <w:bookmarkStart w:id="74" w:name="_Hlk137400430"/>
    </w:p>
    <w:p>
      <w:pPr>
        <w:pStyle w:val="P15"/>
        <w:widowControl w:val="1"/>
        <w:numPr>
          <w:ilvl w:val="0"/>
          <w:numId w:val="6"/>
        </w:numPr>
        <w:spacing w:lineRule="auto" w:line="360" w:beforeAutospacing="0" w:afterAutospacing="0"/>
        <w:ind w:firstLine="709" w:left="0"/>
        <w:contextualSpacing w:val="1"/>
        <w:jc w:val="both"/>
        <w:rPr>
          <w:bCs w:val="1"/>
          <w:sz w:val="28"/>
          <w:szCs w:val="28"/>
          <w:highlight w:val="green"/>
        </w:rPr>
      </w:pPr>
      <w:r>
        <w:rPr>
          <w:bCs w:val="1"/>
          <w:sz w:val="28"/>
          <w:szCs w:val="28"/>
          <w:highlight w:val="green"/>
        </w:rPr>
        <w:t xml:space="preserve">Howden D. </w:t>
      </w:r>
      <w:bookmarkEnd w:id="74"/>
      <w:r>
        <w:rPr>
          <w:bCs w:val="1"/>
          <w:sz w:val="28"/>
          <w:szCs w:val="28"/>
          <w:highlight w:val="green"/>
        </w:rPr>
        <w:t xml:space="preserve">Report blames Shell over «cover-up» of Nigeria’s oil spills. </w:t>
      </w:r>
      <w:r>
        <w:rPr>
          <w:sz w:val="28"/>
          <w:szCs w:val="28"/>
          <w:highlight w:val="green"/>
          <w:lang w:val="ru-RU"/>
        </w:rPr>
        <w:t>[Электронный ресурс]. Режим доступа:</w:t>
      </w:r>
      <w:r>
        <w:rPr>
          <w:bCs w:val="1"/>
          <w:sz w:val="28"/>
          <w:szCs w:val="28"/>
          <w:highlight w:val="green"/>
          <w:lang w:val="ru-RU"/>
        </w:rPr>
        <w:t xml:space="preserve">  </w:t>
      </w:r>
      <w:hyperlink r:id="R6">
        <w:r>
          <w:rPr>
            <w:bCs w:val="1"/>
            <w:sz w:val="28"/>
            <w:szCs w:val="28"/>
            <w:highlight w:val="green"/>
          </w:rPr>
          <w:t>http</w:t>
        </w:r>
        <w:r>
          <w:rPr>
            <w:bCs w:val="1"/>
            <w:sz w:val="28"/>
            <w:szCs w:val="28"/>
            <w:highlight w:val="green"/>
            <w:lang w:val="ru-RU"/>
          </w:rPr>
          <w:t>://</w:t>
        </w:r>
        <w:r>
          <w:rPr>
            <w:bCs w:val="1"/>
            <w:sz w:val="28"/>
            <w:szCs w:val="28"/>
            <w:highlight w:val="green"/>
          </w:rPr>
          <w:t>www</w:t>
        </w:r>
        <w:r>
          <w:rPr>
            <w:bCs w:val="1"/>
            <w:sz w:val="28"/>
            <w:szCs w:val="28"/>
            <w:highlight w:val="green"/>
            <w:lang w:val="ru-RU"/>
          </w:rPr>
          <w:t>.</w:t>
        </w:r>
        <w:r>
          <w:rPr>
            <w:bCs w:val="1"/>
            <w:sz w:val="28"/>
            <w:szCs w:val="28"/>
            <w:highlight w:val="green"/>
          </w:rPr>
          <w:t>independent</w:t>
        </w:r>
        <w:r>
          <w:rPr>
            <w:bCs w:val="1"/>
            <w:sz w:val="28"/>
            <w:szCs w:val="28"/>
            <w:highlight w:val="green"/>
            <w:lang w:val="ru-RU"/>
          </w:rPr>
          <w:t>.</w:t>
        </w:r>
        <w:r>
          <w:rPr>
            <w:bCs w:val="1"/>
            <w:sz w:val="28"/>
            <w:szCs w:val="28"/>
            <w:highlight w:val="green"/>
          </w:rPr>
          <w:t>co</w:t>
        </w:r>
        <w:r>
          <w:rPr>
            <w:bCs w:val="1"/>
            <w:sz w:val="28"/>
            <w:szCs w:val="28"/>
            <w:highlight w:val="green"/>
            <w:lang w:val="ru-RU"/>
          </w:rPr>
          <w:t>.</w:t>
        </w:r>
        <w:r>
          <w:rPr>
            <w:bCs w:val="1"/>
            <w:sz w:val="28"/>
            <w:szCs w:val="28"/>
            <w:highlight w:val="green"/>
          </w:rPr>
          <w:t>uk</w:t>
        </w:r>
        <w:r>
          <w:rPr>
            <w:bCs w:val="1"/>
            <w:sz w:val="28"/>
            <w:szCs w:val="28"/>
            <w:highlight w:val="green"/>
            <w:lang w:val="ru-RU"/>
          </w:rPr>
          <w:t>/</w:t>
        </w:r>
        <w:r>
          <w:rPr>
            <w:bCs w:val="1"/>
            <w:sz w:val="28"/>
            <w:szCs w:val="28"/>
            <w:highlight w:val="green"/>
          </w:rPr>
          <w:t>news</w:t>
        </w:r>
        <w:r>
          <w:rPr>
            <w:bCs w:val="1"/>
            <w:sz w:val="28"/>
            <w:szCs w:val="28"/>
            <w:highlight w:val="green"/>
            <w:lang w:val="ru-RU"/>
          </w:rPr>
          <w:t>/</w:t>
        </w:r>
        <w:r>
          <w:rPr>
            <w:bCs w:val="1"/>
            <w:sz w:val="28"/>
            <w:szCs w:val="28"/>
            <w:highlight w:val="green"/>
          </w:rPr>
          <w:t>world</w:t>
        </w:r>
        <w:r>
          <w:rPr>
            <w:bCs w:val="1"/>
            <w:sz w:val="28"/>
            <w:szCs w:val="28"/>
            <w:highlight w:val="green"/>
            <w:lang w:val="ru-RU"/>
          </w:rPr>
          <w:t>/</w:t>
        </w:r>
        <w:r>
          <w:rPr>
            <w:bCs w:val="1"/>
            <w:sz w:val="28"/>
            <w:szCs w:val="28"/>
            <w:highlight w:val="green"/>
          </w:rPr>
          <w:t>africa</w:t>
        </w:r>
        <w:r>
          <w:rPr>
            <w:bCs w:val="1"/>
            <w:sz w:val="28"/>
            <w:szCs w:val="28"/>
            <w:highlight w:val="green"/>
            <w:lang w:val="ru-RU"/>
          </w:rPr>
          <w:t>/</w:t>
        </w:r>
        <w:r>
          <w:rPr>
            <w:bCs w:val="1"/>
            <w:sz w:val="28"/>
            <w:szCs w:val="28"/>
            <w:highlight w:val="green"/>
          </w:rPr>
          <w:t>report</w:t>
        </w:r>
        <w:r>
          <w:rPr>
            <w:bCs w:val="1"/>
            <w:sz w:val="28"/>
            <w:szCs w:val="28"/>
            <w:highlight w:val="green"/>
            <w:lang w:val="ru-RU"/>
          </w:rPr>
          <w:t>-</w:t>
        </w:r>
        <w:r>
          <w:rPr>
            <w:bCs w:val="1"/>
            <w:sz w:val="28"/>
            <w:szCs w:val="28"/>
            <w:highlight w:val="green"/>
          </w:rPr>
          <w:t>blames</w:t>
        </w:r>
        <w:r>
          <w:rPr>
            <w:bCs w:val="1"/>
            <w:sz w:val="28"/>
            <w:szCs w:val="28"/>
            <w:highlight w:val="green"/>
            <w:lang w:val="ru-RU"/>
          </w:rPr>
          <w:t>-</w:t>
        </w:r>
        <w:r>
          <w:rPr>
            <w:bCs w:val="1"/>
            <w:sz w:val="28"/>
            <w:szCs w:val="28"/>
            <w:highlight w:val="green"/>
          </w:rPr>
          <w:t>shell</w:t>
        </w:r>
        <w:r>
          <w:rPr>
            <w:bCs w:val="1"/>
            <w:sz w:val="28"/>
            <w:szCs w:val="28"/>
            <w:highlight w:val="green"/>
            <w:lang w:val="ru-RU"/>
          </w:rPr>
          <w:t>-</w:t>
        </w:r>
        <w:r>
          <w:rPr>
            <w:bCs w:val="1"/>
            <w:sz w:val="28"/>
            <w:szCs w:val="28"/>
            <w:highlight w:val="green"/>
          </w:rPr>
          <w:t>over</w:t>
        </w:r>
        <w:r>
          <w:rPr>
            <w:bCs w:val="1"/>
            <w:sz w:val="28"/>
            <w:szCs w:val="28"/>
            <w:highlight w:val="green"/>
            <w:lang w:val="ru-RU"/>
          </w:rPr>
          <w:t>-</w:t>
        </w:r>
        <w:r>
          <w:rPr>
            <w:bCs w:val="1"/>
            <w:sz w:val="28"/>
            <w:szCs w:val="28"/>
            <w:highlight w:val="green"/>
          </w:rPr>
          <w:t>coverup</w:t>
        </w:r>
        <w:r>
          <w:rPr>
            <w:bCs w:val="1"/>
            <w:sz w:val="28"/>
            <w:szCs w:val="28"/>
            <w:highlight w:val="green"/>
            <w:lang w:val="ru-RU"/>
          </w:rPr>
          <w:t>-</w:t>
        </w:r>
        <w:r>
          <w:rPr>
            <w:bCs w:val="1"/>
            <w:sz w:val="28"/>
            <w:szCs w:val="28"/>
            <w:highlight w:val="green"/>
          </w:rPr>
          <w:t>of</w:t>
        </w:r>
        <w:r>
          <w:rPr>
            <w:bCs w:val="1"/>
            <w:sz w:val="28"/>
            <w:szCs w:val="28"/>
            <w:highlight w:val="green"/>
            <w:lang w:val="ru-RU"/>
          </w:rPr>
          <w:t>-</w:t>
        </w:r>
        <w:r>
          <w:rPr>
            <w:bCs w:val="1"/>
            <w:sz w:val="28"/>
            <w:szCs w:val="28"/>
            <w:highlight w:val="green"/>
          </w:rPr>
          <w:t>nigerias</w:t>
        </w:r>
        <w:r>
          <w:rPr>
            <w:bCs w:val="1"/>
            <w:sz w:val="28"/>
            <w:szCs w:val="28"/>
            <w:highlight w:val="green"/>
            <w:lang w:val="ru-RU"/>
          </w:rPr>
          <w:t xml:space="preserve">- </w:t>
        </w:r>
        <w:r>
          <w:rPr>
            <w:bCs w:val="1"/>
            <w:sz w:val="28"/>
            <w:szCs w:val="28"/>
            <w:highlight w:val="green"/>
          </w:rPr>
          <w:t>oil</w:t>
        </w:r>
        <w:r>
          <w:rPr>
            <w:bCs w:val="1"/>
            <w:sz w:val="28"/>
            <w:szCs w:val="28"/>
            <w:highlight w:val="green"/>
            <w:lang w:val="ru-RU"/>
          </w:rPr>
          <w:t>-</w:t>
        </w:r>
        <w:r>
          <w:rPr>
            <w:bCs w:val="1"/>
            <w:sz w:val="28"/>
            <w:szCs w:val="28"/>
            <w:highlight w:val="green"/>
          </w:rPr>
          <w:t>spills</w:t>
        </w:r>
        <w:r>
          <w:rPr>
            <w:bCs w:val="1"/>
            <w:sz w:val="28"/>
            <w:szCs w:val="28"/>
            <w:highlight w:val="green"/>
            <w:lang w:val="ru-RU"/>
          </w:rPr>
          <w:t>-1726207.</w:t>
        </w:r>
        <w:r>
          <w:rPr>
            <w:bCs w:val="1"/>
            <w:sz w:val="28"/>
            <w:szCs w:val="28"/>
            <w:highlight w:val="green"/>
          </w:rPr>
          <w:t>html</w:t>
        </w:r>
        <w:r>
          <w:rPr>
            <w:bCs w:val="1"/>
            <w:sz w:val="28"/>
            <w:szCs w:val="28"/>
            <w:highlight w:val="green"/>
            <w:lang w:val="ru-RU"/>
          </w:rPr>
          <w:t xml:space="preserve"> </w:t>
        </w:r>
        <w:r>
          <w:rPr>
            <w:bCs w:val="1"/>
            <w:sz w:val="28"/>
            <w:szCs w:val="28"/>
            <w:highlight w:val="green"/>
          </w:rPr>
          <w:t>on</w:t>
        </w:r>
        <w:r>
          <w:rPr>
            <w:bCs w:val="1"/>
            <w:sz w:val="28"/>
            <w:szCs w:val="28"/>
            <w:highlight w:val="green"/>
            <w:lang w:val="ru-RU"/>
          </w:rPr>
          <w:t xml:space="preserve"> 05.03.2018.</w:t>
        </w:r>
      </w:hyperlink>
      <w:r>
        <w:rPr>
          <w:bCs w:val="1"/>
          <w:sz w:val="28"/>
          <w:szCs w:val="28"/>
          <w:highlight w:val="green"/>
          <w:lang w:val="ru-RU"/>
        </w:rPr>
        <w:t xml:space="preserve"> </w:t>
      </w:r>
      <w:r>
        <w:rPr>
          <w:sz w:val="28"/>
          <w:szCs w:val="28"/>
          <w:highlight w:val="green"/>
        </w:rPr>
        <w:t>(дата обращения 06.04.2023).</w:t>
      </w:r>
    </w:p>
    <w:p>
      <w:pPr>
        <w:pStyle w:val="P15"/>
        <w:widowControl w:val="1"/>
        <w:numPr>
          <w:ilvl w:val="0"/>
          <w:numId w:val="6"/>
        </w:numPr>
        <w:spacing w:lineRule="auto" w:line="360" w:beforeAutospacing="0" w:afterAutospacing="0"/>
        <w:ind w:firstLine="709" w:left="0"/>
        <w:contextualSpacing w:val="1"/>
        <w:jc w:val="both"/>
        <w:rPr>
          <w:bCs w:val="1"/>
          <w:sz w:val="28"/>
          <w:szCs w:val="28"/>
          <w:highlight w:val="green"/>
        </w:rPr>
      </w:pPr>
      <w:r>
        <w:rPr>
          <w:bCs w:val="1"/>
          <w:sz w:val="28"/>
          <w:szCs w:val="28"/>
          <w:highlight w:val="green"/>
        </w:rPr>
        <w:t xml:space="preserve">Hughes B. B. International Futures: Building and Using Global Models. Academic Press, 2019. 159 р. </w:t>
      </w:r>
      <w:bookmarkStart w:id="75" w:name="_Hlk137396173"/>
    </w:p>
    <w:p>
      <w:pPr>
        <w:pStyle w:val="P15"/>
        <w:widowControl w:val="1"/>
        <w:numPr>
          <w:ilvl w:val="0"/>
          <w:numId w:val="6"/>
        </w:numPr>
        <w:spacing w:lineRule="auto" w:line="360" w:beforeAutospacing="0" w:afterAutospacing="0"/>
        <w:ind w:firstLine="709" w:left="0"/>
        <w:contextualSpacing w:val="1"/>
        <w:jc w:val="both"/>
        <w:rPr>
          <w:bCs w:val="1"/>
          <w:sz w:val="28"/>
          <w:szCs w:val="28"/>
          <w:highlight w:val="green"/>
        </w:rPr>
      </w:pPr>
      <w:r>
        <w:rPr>
          <w:bCs w:val="1"/>
          <w:sz w:val="28"/>
          <w:szCs w:val="28"/>
          <w:highlight w:val="green"/>
        </w:rPr>
        <w:t xml:space="preserve">Hughes B.B., Narayan K. </w:t>
      </w:r>
      <w:bookmarkEnd w:id="75"/>
      <w:r>
        <w:rPr>
          <w:bCs w:val="1"/>
          <w:sz w:val="28"/>
          <w:szCs w:val="28"/>
          <w:highlight w:val="green"/>
        </w:rPr>
        <w:t xml:space="preserve">Enhancing integrated analysis of national and global goal pursuit by endogenizing economic productivity // PLOS ONE. 2021. 16(2). pp. 24-46. </w:t>
      </w:r>
    </w:p>
    <w:p>
      <w:pPr>
        <w:pStyle w:val="P15"/>
        <w:widowControl w:val="1"/>
        <w:numPr>
          <w:ilvl w:val="0"/>
          <w:numId w:val="6"/>
        </w:numPr>
        <w:spacing w:lineRule="auto" w:line="360" w:beforeAutospacing="0" w:afterAutospacing="0"/>
        <w:ind w:firstLine="709" w:left="0"/>
        <w:contextualSpacing w:val="1"/>
        <w:jc w:val="both"/>
        <w:rPr>
          <w:bCs w:val="1"/>
          <w:sz w:val="28"/>
          <w:szCs w:val="28"/>
          <w:highlight w:val="green"/>
        </w:rPr>
      </w:pPr>
      <w:r>
        <w:rPr>
          <w:bCs w:val="1"/>
          <w:sz w:val="28"/>
          <w:szCs w:val="28"/>
          <w:highlight w:val="green"/>
        </w:rPr>
        <w:t xml:space="preserve">Hughes J.D. An environmental history of the world. London and New York: Routledge, 2009. 460 р. </w:t>
      </w:r>
      <w:bookmarkStart w:id="76" w:name="_bookmark116"/>
      <w:bookmarkEnd w:id="76"/>
    </w:p>
    <w:p>
      <w:pPr>
        <w:pStyle w:val="P15"/>
        <w:widowControl w:val="1"/>
        <w:numPr>
          <w:ilvl w:val="0"/>
          <w:numId w:val="6"/>
        </w:numPr>
        <w:spacing w:lineRule="auto" w:line="360" w:beforeAutospacing="0" w:afterAutospacing="0"/>
        <w:ind w:firstLine="709" w:left="0"/>
        <w:contextualSpacing w:val="1"/>
        <w:jc w:val="both"/>
        <w:rPr>
          <w:rFonts w:eastAsia="StoneSerifStd-Medium"/>
          <w:bCs w:val="1"/>
          <w:sz w:val="28"/>
          <w:szCs w:val="28"/>
          <w:highlight w:val="green"/>
        </w:rPr>
      </w:pPr>
      <w:r>
        <w:rPr>
          <w:rFonts w:eastAsia="StoneSerifStd-Medium"/>
          <w:bCs w:val="1"/>
          <w:sz w:val="28"/>
          <w:szCs w:val="28"/>
          <w:highlight w:val="green"/>
        </w:rPr>
        <w:t>Hulme D. The Millennium Development Goals (MDGs): A Short History of the World’s Biggest Promise. Brooks World Poverty Institute. Working Paper 100, 2009. рр. 66-78.</w:t>
      </w:r>
    </w:p>
    <w:p>
      <w:pPr>
        <w:pStyle w:val="P13"/>
        <w:numPr>
          <w:ilvl w:val="0"/>
          <w:numId w:val="6"/>
        </w:numPr>
        <w:spacing w:lineRule="auto" w:line="360" w:beforeAutospacing="0" w:afterAutospacing="0"/>
        <w:ind w:firstLine="709" w:left="0"/>
        <w:jc w:val="both"/>
        <w:rPr>
          <w:bCs w:val="1"/>
          <w:sz w:val="28"/>
          <w:szCs w:val="28"/>
          <w:highlight w:val="green"/>
        </w:rPr>
      </w:pPr>
      <w:bookmarkStart w:id="77" w:name="_Hlk137400633"/>
      <w:r>
        <w:rPr>
          <w:bCs w:val="1"/>
          <w:sz w:val="28"/>
          <w:szCs w:val="28"/>
          <w:highlight w:val="green"/>
        </w:rPr>
        <w:t xml:space="preserve">Idowu S.O., Louche C. </w:t>
      </w:r>
      <w:bookmarkEnd w:id="77"/>
      <w:r>
        <w:rPr>
          <w:bCs w:val="1"/>
          <w:sz w:val="28"/>
          <w:szCs w:val="28"/>
          <w:highlight w:val="green"/>
        </w:rPr>
        <w:t xml:space="preserve">Corporate social responsibility: Concluding remarks. Berlin Heidelberg: Springer Verlag, 2011. 160 </w:t>
      </w:r>
      <w:r>
        <w:rPr>
          <w:bCs w:val="1"/>
          <w:sz w:val="28"/>
          <w:szCs w:val="28"/>
          <w:highlight w:val="green"/>
          <w:lang w:val="ru-RU"/>
        </w:rPr>
        <w:t>р</w:t>
      </w:r>
      <w:r>
        <w:rPr>
          <w:bCs w:val="1"/>
          <w:sz w:val="28"/>
          <w:szCs w:val="28"/>
          <w:highlight w:val="green"/>
          <w:lang w:val="en-GB"/>
        </w:rPr>
        <w:t xml:space="preserve">. </w:t>
      </w:r>
      <w:r>
        <w:rPr>
          <w:bCs w:val="1"/>
          <w:sz w:val="28"/>
          <w:szCs w:val="28"/>
          <w:lang w:val="en-GB"/>
        </w:rPr>
        <w:t xml:space="preserve">(Chapter 18) </w:t>
      </w:r>
      <w:r>
        <w:rPr>
          <w:bCs w:val="1"/>
          <w:sz w:val="28"/>
          <w:szCs w:val="28"/>
        </w:rPr>
        <w:t>-</w:t>
      </w:r>
      <w:r>
        <w:rPr>
          <w:bCs w:val="1"/>
          <w:sz w:val="28"/>
          <w:szCs w:val="28"/>
          <w:lang w:val="en-GB"/>
        </w:rPr>
        <w:t xml:space="preserve"> «Theory and Practice of Corporate Social Responsibility»</w:t>
      </w:r>
      <w:r>
        <w:rPr>
          <w:bCs w:val="1"/>
          <w:sz w:val="28"/>
          <w:szCs w:val="28"/>
          <w:highlight w:val="green"/>
        </w:rPr>
        <w:t xml:space="preserve">. </w:t>
      </w:r>
    </w:p>
    <w:p>
      <w:pPr>
        <w:pStyle w:val="P13"/>
        <w:numPr>
          <w:ilvl w:val="0"/>
          <w:numId w:val="6"/>
        </w:numPr>
        <w:spacing w:lineRule="auto" w:line="360" w:beforeAutospacing="0" w:afterAutospacing="0"/>
        <w:ind w:firstLine="709" w:left="0"/>
        <w:jc w:val="both"/>
        <w:rPr>
          <w:bCs w:val="1"/>
          <w:sz w:val="28"/>
          <w:szCs w:val="28"/>
          <w:highlight w:val="green"/>
        </w:rPr>
      </w:pPr>
      <w:r>
        <w:rPr>
          <w:bCs w:val="1"/>
          <w:sz w:val="28"/>
          <w:szCs w:val="28"/>
          <w:highlight w:val="green"/>
        </w:rPr>
        <w:t>Iheduru O. Regional Integration and the Private Authority of Banks in West Africa // International Studies Review. 2012. 14. pp. 273–302.</w:t>
      </w:r>
    </w:p>
    <w:p>
      <w:pPr>
        <w:pStyle w:val="P13"/>
        <w:numPr>
          <w:ilvl w:val="0"/>
          <w:numId w:val="6"/>
        </w:numPr>
        <w:spacing w:lineRule="auto" w:line="360" w:beforeAutospacing="0" w:afterAutospacing="0"/>
        <w:ind w:firstLine="709" w:left="0"/>
        <w:jc w:val="both"/>
        <w:rPr>
          <w:bCs w:val="1"/>
          <w:sz w:val="28"/>
          <w:szCs w:val="28"/>
          <w:highlight w:val="green"/>
          <w:lang w:val="ru-RU"/>
        </w:rPr>
      </w:pPr>
      <w:r>
        <w:rPr>
          <w:bCs w:val="1"/>
          <w:sz w:val="28"/>
          <w:szCs w:val="28"/>
          <w:highlight w:val="green"/>
        </w:rPr>
        <w:t xml:space="preserve">International Institute for Democracy and Electoral Assistance Women Political Participation: Africa Barometer 2021. </w:t>
      </w:r>
      <w:r>
        <w:rPr>
          <w:sz w:val="28"/>
          <w:szCs w:val="28"/>
          <w:highlight w:val="green"/>
          <w:lang w:val="ru-RU"/>
        </w:rPr>
        <w:t>[Электронный ресурс]. Режим доступа:</w:t>
      </w:r>
      <w:r>
        <w:rPr>
          <w:bCs w:val="1"/>
          <w:sz w:val="28"/>
          <w:szCs w:val="28"/>
          <w:highlight w:val="green"/>
          <w:lang w:val="ru-RU"/>
        </w:rPr>
        <w:t xml:space="preserve"> </w:t>
      </w:r>
      <w:r>
        <w:rPr>
          <w:bCs w:val="1"/>
          <w:sz w:val="28"/>
          <w:szCs w:val="28"/>
          <w:highlight w:val="green"/>
        </w:rPr>
        <w:t>https</w:t>
      </w:r>
      <w:r>
        <w:rPr>
          <w:bCs w:val="1"/>
          <w:sz w:val="28"/>
          <w:szCs w:val="28"/>
          <w:highlight w:val="green"/>
          <w:lang w:val="ru-RU"/>
        </w:rPr>
        <w:t>://</w:t>
      </w:r>
      <w:r>
        <w:rPr>
          <w:bCs w:val="1"/>
          <w:sz w:val="28"/>
          <w:szCs w:val="28"/>
          <w:highlight w:val="green"/>
        </w:rPr>
        <w:t>www</w:t>
      </w:r>
      <w:r>
        <w:rPr>
          <w:bCs w:val="1"/>
          <w:sz w:val="28"/>
          <w:szCs w:val="28"/>
          <w:highlight w:val="green"/>
          <w:lang w:val="ru-RU"/>
        </w:rPr>
        <w:t>.</w:t>
      </w:r>
      <w:r>
        <w:rPr>
          <w:bCs w:val="1"/>
          <w:sz w:val="28"/>
          <w:szCs w:val="28"/>
          <w:highlight w:val="green"/>
        </w:rPr>
        <w:t>idea</w:t>
      </w:r>
      <w:r>
        <w:rPr>
          <w:bCs w:val="1"/>
          <w:sz w:val="28"/>
          <w:szCs w:val="28"/>
          <w:highlight w:val="green"/>
          <w:lang w:val="ru-RU"/>
        </w:rPr>
        <w:t>.</w:t>
      </w:r>
      <w:r>
        <w:rPr>
          <w:bCs w:val="1"/>
          <w:sz w:val="28"/>
          <w:szCs w:val="28"/>
          <w:highlight w:val="green"/>
        </w:rPr>
        <w:t>int</w:t>
      </w:r>
      <w:r>
        <w:rPr>
          <w:bCs w:val="1"/>
          <w:sz w:val="28"/>
          <w:szCs w:val="28"/>
          <w:highlight w:val="green"/>
          <w:lang w:val="ru-RU"/>
        </w:rPr>
        <w:t>/</w:t>
      </w:r>
      <w:r>
        <w:rPr>
          <w:bCs w:val="1"/>
          <w:sz w:val="28"/>
          <w:szCs w:val="28"/>
          <w:highlight w:val="green"/>
        </w:rPr>
        <w:t>publications</w:t>
      </w:r>
      <w:r>
        <w:rPr>
          <w:bCs w:val="1"/>
          <w:sz w:val="28"/>
          <w:szCs w:val="28"/>
          <w:highlight w:val="green"/>
          <w:lang w:val="ru-RU"/>
        </w:rPr>
        <w:t>/</w:t>
      </w:r>
      <w:r>
        <w:rPr>
          <w:bCs w:val="1"/>
          <w:sz w:val="28"/>
          <w:szCs w:val="28"/>
          <w:highlight w:val="green"/>
        </w:rPr>
        <w:t>catalogue</w:t>
      </w:r>
      <w:r>
        <w:rPr>
          <w:bCs w:val="1"/>
          <w:sz w:val="28"/>
          <w:szCs w:val="28"/>
          <w:highlight w:val="green"/>
          <w:lang w:val="ru-RU"/>
        </w:rPr>
        <w:t>/</w:t>
      </w:r>
      <w:r>
        <w:rPr>
          <w:bCs w:val="1"/>
          <w:sz w:val="28"/>
          <w:szCs w:val="28"/>
          <w:highlight w:val="green"/>
        </w:rPr>
        <w:t>womens</w:t>
      </w:r>
      <w:r>
        <w:rPr>
          <w:bCs w:val="1"/>
          <w:sz w:val="28"/>
          <w:szCs w:val="28"/>
          <w:highlight w:val="green"/>
          <w:lang w:val="ru-RU"/>
        </w:rPr>
        <w:t>-</w:t>
      </w:r>
      <w:r>
        <w:rPr>
          <w:bCs w:val="1"/>
          <w:sz w:val="28"/>
          <w:szCs w:val="28"/>
          <w:highlight w:val="green"/>
        </w:rPr>
        <w:t>political</w:t>
      </w:r>
      <w:r>
        <w:rPr>
          <w:bCs w:val="1"/>
          <w:sz w:val="28"/>
          <w:szCs w:val="28"/>
          <w:highlight w:val="green"/>
          <w:lang w:val="ru-RU"/>
        </w:rPr>
        <w:t>-</w:t>
      </w:r>
      <w:r>
        <w:rPr>
          <w:bCs w:val="1"/>
          <w:sz w:val="28"/>
          <w:szCs w:val="28"/>
          <w:highlight w:val="green"/>
        </w:rPr>
        <w:t>participation</w:t>
      </w:r>
      <w:r>
        <w:rPr>
          <w:bCs w:val="1"/>
          <w:sz w:val="28"/>
          <w:szCs w:val="28"/>
          <w:highlight w:val="green"/>
          <w:lang w:val="ru-RU"/>
        </w:rPr>
        <w:t>-</w:t>
      </w:r>
      <w:r>
        <w:rPr>
          <w:bCs w:val="1"/>
          <w:sz w:val="28"/>
          <w:szCs w:val="28"/>
          <w:highlight w:val="green"/>
        </w:rPr>
        <w:t>africa</w:t>
      </w:r>
      <w:r>
        <w:rPr>
          <w:bCs w:val="1"/>
          <w:sz w:val="28"/>
          <w:szCs w:val="28"/>
          <w:highlight w:val="green"/>
          <w:lang w:val="ru-RU"/>
        </w:rPr>
        <w:t>-</w:t>
      </w:r>
      <w:r>
        <w:rPr>
          <w:bCs w:val="1"/>
          <w:sz w:val="28"/>
          <w:szCs w:val="28"/>
          <w:highlight w:val="green"/>
        </w:rPr>
        <w:t>barometer</w:t>
      </w:r>
      <w:r>
        <w:rPr>
          <w:bCs w:val="1"/>
          <w:sz w:val="28"/>
          <w:szCs w:val="28"/>
          <w:highlight w:val="green"/>
          <w:lang w:val="ru-RU"/>
        </w:rPr>
        <w:t xml:space="preserve">-2021 </w:t>
      </w:r>
      <w:r>
        <w:rPr>
          <w:sz w:val="28"/>
          <w:szCs w:val="28"/>
          <w:highlight w:val="green"/>
          <w:lang w:val="ru-RU"/>
        </w:rPr>
        <w:t>(дата обращения 18.04.2023).</w:t>
      </w:r>
    </w:p>
    <w:p>
      <w:pPr>
        <w:pStyle w:val="P13"/>
        <w:numPr>
          <w:ilvl w:val="0"/>
          <w:numId w:val="6"/>
        </w:numPr>
        <w:spacing w:lineRule="auto" w:line="360" w:beforeAutospacing="0" w:afterAutospacing="0"/>
        <w:ind w:firstLine="709" w:left="0"/>
        <w:jc w:val="both"/>
        <w:rPr>
          <w:bCs w:val="1"/>
          <w:sz w:val="28"/>
          <w:szCs w:val="28"/>
          <w:highlight w:val="green"/>
          <w:lang w:val="ru-RU"/>
        </w:rPr>
      </w:pPr>
      <w:r>
        <w:rPr>
          <w:bCs w:val="1"/>
          <w:sz w:val="28"/>
          <w:szCs w:val="28"/>
          <w:highlight w:val="green"/>
        </w:rPr>
        <w:t xml:space="preserve">International Institute for Democracy and Electoral Assistance. </w:t>
      </w:r>
      <w:r>
        <w:rPr>
          <w:bCs w:val="1"/>
          <w:sz w:val="28"/>
          <w:szCs w:val="28"/>
          <w:highlight w:val="green"/>
          <w:lang w:val="fr-FR"/>
        </w:rPr>
        <w:t xml:space="preserve">2021. Gender Quotas Database. </w:t>
      </w:r>
      <w:r>
        <w:rPr>
          <w:sz w:val="28"/>
          <w:szCs w:val="28"/>
          <w:highlight w:val="green"/>
          <w:lang w:val="fr-FR"/>
        </w:rPr>
        <w:t>[</w:t>
      </w:r>
      <w:r>
        <w:rPr>
          <w:sz w:val="28"/>
          <w:szCs w:val="28"/>
          <w:highlight w:val="green"/>
          <w:lang w:val="ru-RU"/>
        </w:rPr>
        <w:t>Электронный</w:t>
      </w:r>
      <w:r>
        <w:rPr>
          <w:sz w:val="28"/>
          <w:szCs w:val="28"/>
          <w:highlight w:val="green"/>
          <w:lang w:val="fr-FR"/>
        </w:rPr>
        <w:t xml:space="preserve"> </w:t>
      </w:r>
      <w:r>
        <w:rPr>
          <w:sz w:val="28"/>
          <w:szCs w:val="28"/>
          <w:highlight w:val="green"/>
          <w:lang w:val="ru-RU"/>
        </w:rPr>
        <w:t>ресурс</w:t>
      </w:r>
      <w:r>
        <w:rPr>
          <w:sz w:val="28"/>
          <w:szCs w:val="28"/>
          <w:highlight w:val="green"/>
          <w:lang w:val="fr-FR"/>
        </w:rPr>
        <w:t xml:space="preserve">]. </w:t>
      </w:r>
      <w:r>
        <w:rPr>
          <w:sz w:val="28"/>
          <w:szCs w:val="28"/>
          <w:highlight w:val="green"/>
          <w:lang w:val="ru-RU"/>
        </w:rPr>
        <w:t>Режим доступа:</w:t>
      </w:r>
      <w:r>
        <w:rPr>
          <w:bCs w:val="1"/>
          <w:sz w:val="28"/>
          <w:szCs w:val="28"/>
          <w:highlight w:val="green"/>
          <w:lang w:val="ru-RU"/>
        </w:rPr>
        <w:t xml:space="preserve"> </w:t>
      </w:r>
      <w:r>
        <w:rPr>
          <w:bCs w:val="1"/>
          <w:sz w:val="28"/>
          <w:szCs w:val="28"/>
          <w:highlight w:val="green"/>
        </w:rPr>
        <w:t>https</w:t>
      </w:r>
      <w:r>
        <w:rPr>
          <w:bCs w:val="1"/>
          <w:sz w:val="28"/>
          <w:szCs w:val="28"/>
          <w:highlight w:val="green"/>
          <w:lang w:val="ru-RU"/>
        </w:rPr>
        <w:t>://</w:t>
      </w:r>
      <w:r>
        <w:rPr>
          <w:bCs w:val="1"/>
          <w:sz w:val="28"/>
          <w:szCs w:val="28"/>
          <w:highlight w:val="green"/>
        </w:rPr>
        <w:t>www</w:t>
      </w:r>
      <w:r>
        <w:rPr>
          <w:bCs w:val="1"/>
          <w:sz w:val="28"/>
          <w:szCs w:val="28"/>
          <w:highlight w:val="green"/>
          <w:lang w:val="ru-RU"/>
        </w:rPr>
        <w:t>.</w:t>
      </w:r>
      <w:r>
        <w:rPr>
          <w:bCs w:val="1"/>
          <w:sz w:val="28"/>
          <w:szCs w:val="28"/>
          <w:highlight w:val="green"/>
        </w:rPr>
        <w:t>idea</w:t>
      </w:r>
      <w:r>
        <w:rPr>
          <w:bCs w:val="1"/>
          <w:sz w:val="28"/>
          <w:szCs w:val="28"/>
          <w:highlight w:val="green"/>
          <w:lang w:val="ru-RU"/>
        </w:rPr>
        <w:t>.</w:t>
      </w:r>
      <w:r>
        <w:rPr>
          <w:bCs w:val="1"/>
          <w:sz w:val="28"/>
          <w:szCs w:val="28"/>
          <w:highlight w:val="green"/>
        </w:rPr>
        <w:t>int</w:t>
      </w:r>
      <w:r>
        <w:rPr>
          <w:bCs w:val="1"/>
          <w:sz w:val="28"/>
          <w:szCs w:val="28"/>
          <w:highlight w:val="green"/>
          <w:lang w:val="ru-RU"/>
        </w:rPr>
        <w:t>/</w:t>
      </w:r>
      <w:r>
        <w:rPr>
          <w:bCs w:val="1"/>
          <w:sz w:val="28"/>
          <w:szCs w:val="28"/>
          <w:highlight w:val="green"/>
        </w:rPr>
        <w:t>data</w:t>
      </w:r>
      <w:r>
        <w:rPr>
          <w:bCs w:val="1"/>
          <w:sz w:val="28"/>
          <w:szCs w:val="28"/>
          <w:highlight w:val="green"/>
          <w:lang w:val="ru-RU"/>
        </w:rPr>
        <w:t>-</w:t>
      </w:r>
      <w:r>
        <w:rPr>
          <w:bCs w:val="1"/>
          <w:sz w:val="28"/>
          <w:szCs w:val="28"/>
          <w:highlight w:val="green"/>
        </w:rPr>
        <w:t>tools</w:t>
      </w:r>
      <w:r>
        <w:rPr>
          <w:bCs w:val="1"/>
          <w:sz w:val="28"/>
          <w:szCs w:val="28"/>
          <w:highlight w:val="green"/>
          <w:lang w:val="ru-RU"/>
        </w:rPr>
        <w:t>/</w:t>
      </w:r>
      <w:r>
        <w:rPr>
          <w:bCs w:val="1"/>
          <w:sz w:val="28"/>
          <w:szCs w:val="28"/>
          <w:highlight w:val="green"/>
        </w:rPr>
        <w:t>data</w:t>
      </w:r>
      <w:r>
        <w:rPr>
          <w:bCs w:val="1"/>
          <w:sz w:val="28"/>
          <w:szCs w:val="28"/>
          <w:highlight w:val="green"/>
          <w:lang w:val="ru-RU"/>
        </w:rPr>
        <w:t>/</w:t>
      </w:r>
      <w:r>
        <w:rPr>
          <w:bCs w:val="1"/>
          <w:sz w:val="28"/>
          <w:szCs w:val="28"/>
          <w:highlight w:val="green"/>
        </w:rPr>
        <w:t>gender</w:t>
      </w:r>
      <w:r>
        <w:rPr>
          <w:bCs w:val="1"/>
          <w:sz w:val="28"/>
          <w:szCs w:val="28"/>
          <w:highlight w:val="green"/>
          <w:lang w:val="ru-RU"/>
        </w:rPr>
        <w:t>-</w:t>
      </w:r>
      <w:r>
        <w:rPr>
          <w:bCs w:val="1"/>
          <w:sz w:val="28"/>
          <w:szCs w:val="28"/>
          <w:highlight w:val="green"/>
        </w:rPr>
        <w:t>quotas</w:t>
      </w:r>
      <w:r>
        <w:rPr>
          <w:bCs w:val="1"/>
          <w:sz w:val="28"/>
          <w:szCs w:val="28"/>
          <w:highlight w:val="green"/>
          <w:lang w:val="ru-RU"/>
        </w:rPr>
        <w:t>/</w:t>
      </w:r>
      <w:r>
        <w:rPr>
          <w:bCs w:val="1"/>
          <w:sz w:val="28"/>
          <w:szCs w:val="28"/>
          <w:highlight w:val="green"/>
        </w:rPr>
        <w:t>country</w:t>
      </w:r>
      <w:r>
        <w:rPr>
          <w:bCs w:val="1"/>
          <w:sz w:val="28"/>
          <w:szCs w:val="28"/>
          <w:highlight w:val="green"/>
          <w:lang w:val="ru-RU"/>
        </w:rPr>
        <w:t>-</w:t>
      </w:r>
      <w:r>
        <w:rPr>
          <w:bCs w:val="1"/>
          <w:sz w:val="28"/>
          <w:szCs w:val="28"/>
          <w:highlight w:val="green"/>
        </w:rPr>
        <w:t>view</w:t>
      </w:r>
      <w:r>
        <w:rPr>
          <w:bCs w:val="1"/>
          <w:sz w:val="28"/>
          <w:szCs w:val="28"/>
          <w:highlight w:val="green"/>
          <w:lang w:val="ru-RU"/>
        </w:rPr>
        <w:t xml:space="preserve">/310/35 </w:t>
      </w:r>
      <w:r>
        <w:rPr>
          <w:sz w:val="28"/>
          <w:szCs w:val="28"/>
          <w:highlight w:val="green"/>
          <w:lang w:val="ru-RU"/>
        </w:rPr>
        <w:t>(дата обращения 25.03.2023).</w:t>
      </w:r>
    </w:p>
    <w:p>
      <w:pPr>
        <w:pStyle w:val="P13"/>
        <w:numPr>
          <w:ilvl w:val="0"/>
          <w:numId w:val="6"/>
        </w:numPr>
        <w:spacing w:lineRule="auto" w:line="360" w:beforeAutospacing="0" w:afterAutospacing="0"/>
        <w:ind w:firstLine="709" w:left="0"/>
        <w:jc w:val="both"/>
        <w:rPr>
          <w:bCs w:val="1"/>
          <w:sz w:val="28"/>
          <w:szCs w:val="28"/>
          <w:highlight w:val="green"/>
          <w:lang w:val="ru-RU"/>
        </w:rPr>
      </w:pPr>
      <w:r>
        <w:rPr>
          <w:bCs w:val="1"/>
          <w:sz w:val="28"/>
          <w:szCs w:val="28"/>
          <w:highlight w:val="green"/>
        </w:rPr>
        <w:t xml:space="preserve">IMF. World Economic Outlook Database. </w:t>
      </w:r>
      <w:r>
        <w:rPr>
          <w:sz w:val="28"/>
          <w:szCs w:val="28"/>
          <w:highlight w:val="green"/>
          <w:lang w:val="ru-RU"/>
        </w:rPr>
        <w:t xml:space="preserve">[Электронный ресурс]. Режим доступа: </w:t>
      </w:r>
      <w:r>
        <w:rPr>
          <w:bCs w:val="1"/>
          <w:sz w:val="28"/>
          <w:szCs w:val="28"/>
          <w:highlight w:val="green"/>
        </w:rPr>
        <w:t>https</w:t>
      </w:r>
      <w:r>
        <w:rPr>
          <w:bCs w:val="1"/>
          <w:sz w:val="28"/>
          <w:szCs w:val="28"/>
          <w:highlight w:val="green"/>
          <w:lang w:val="ru-RU"/>
        </w:rPr>
        <w:t>://</w:t>
      </w:r>
      <w:r>
        <w:rPr>
          <w:bCs w:val="1"/>
          <w:sz w:val="28"/>
          <w:szCs w:val="28"/>
          <w:highlight w:val="green"/>
        </w:rPr>
        <w:t>www</w:t>
      </w:r>
      <w:r>
        <w:rPr>
          <w:bCs w:val="1"/>
          <w:sz w:val="28"/>
          <w:szCs w:val="28"/>
          <w:highlight w:val="green"/>
          <w:lang w:val="ru-RU"/>
        </w:rPr>
        <w:t>.</w:t>
      </w:r>
      <w:r>
        <w:rPr>
          <w:bCs w:val="1"/>
          <w:sz w:val="28"/>
          <w:szCs w:val="28"/>
          <w:highlight w:val="green"/>
        </w:rPr>
        <w:t>imf</w:t>
      </w:r>
      <w:r>
        <w:rPr>
          <w:bCs w:val="1"/>
          <w:sz w:val="28"/>
          <w:szCs w:val="28"/>
          <w:highlight w:val="green"/>
          <w:lang w:val="ru-RU"/>
        </w:rPr>
        <w:t>.</w:t>
      </w:r>
      <w:r>
        <w:rPr>
          <w:bCs w:val="1"/>
          <w:sz w:val="28"/>
          <w:szCs w:val="28"/>
          <w:highlight w:val="green"/>
        </w:rPr>
        <w:t>org</w:t>
      </w:r>
      <w:r>
        <w:rPr>
          <w:bCs w:val="1"/>
          <w:sz w:val="28"/>
          <w:szCs w:val="28"/>
          <w:highlight w:val="green"/>
          <w:lang w:val="ru-RU"/>
        </w:rPr>
        <w:t>/</w:t>
      </w:r>
      <w:r>
        <w:rPr>
          <w:bCs w:val="1"/>
          <w:sz w:val="28"/>
          <w:szCs w:val="28"/>
          <w:highlight w:val="green"/>
        </w:rPr>
        <w:t>en</w:t>
      </w:r>
      <w:r>
        <w:rPr>
          <w:bCs w:val="1"/>
          <w:sz w:val="28"/>
          <w:szCs w:val="28"/>
          <w:highlight w:val="green"/>
          <w:lang w:val="ru-RU"/>
        </w:rPr>
        <w:t>/</w:t>
      </w:r>
      <w:r>
        <w:rPr>
          <w:bCs w:val="1"/>
          <w:sz w:val="28"/>
          <w:szCs w:val="28"/>
          <w:highlight w:val="green"/>
        </w:rPr>
        <w:t>Publications</w:t>
      </w:r>
      <w:r>
        <w:rPr>
          <w:bCs w:val="1"/>
          <w:sz w:val="28"/>
          <w:szCs w:val="28"/>
          <w:highlight w:val="green"/>
          <w:lang w:val="ru-RU"/>
        </w:rPr>
        <w:t>/</w:t>
      </w:r>
      <w:r>
        <w:rPr>
          <w:bCs w:val="1"/>
          <w:sz w:val="28"/>
          <w:szCs w:val="28"/>
          <w:highlight w:val="green"/>
        </w:rPr>
        <w:t>WEO</w:t>
      </w:r>
      <w:r>
        <w:rPr>
          <w:bCs w:val="1"/>
          <w:sz w:val="28"/>
          <w:szCs w:val="28"/>
          <w:highlight w:val="green"/>
          <w:lang w:val="ru-RU"/>
        </w:rPr>
        <w:t>/</w:t>
      </w:r>
      <w:r>
        <w:rPr>
          <w:bCs w:val="1"/>
          <w:sz w:val="28"/>
          <w:szCs w:val="28"/>
          <w:highlight w:val="green"/>
        </w:rPr>
        <w:t>weo</w:t>
      </w:r>
      <w:r>
        <w:rPr>
          <w:bCs w:val="1"/>
          <w:sz w:val="28"/>
          <w:szCs w:val="28"/>
          <w:highlight w:val="green"/>
          <w:lang w:val="ru-RU"/>
        </w:rPr>
        <w:t>-</w:t>
      </w:r>
      <w:r>
        <w:rPr>
          <w:bCs w:val="1"/>
          <w:sz w:val="28"/>
          <w:szCs w:val="28"/>
          <w:highlight w:val="green"/>
        </w:rPr>
        <w:t>database</w:t>
      </w:r>
      <w:r>
        <w:rPr>
          <w:bCs w:val="1"/>
          <w:sz w:val="28"/>
          <w:szCs w:val="28"/>
          <w:highlight w:val="green"/>
          <w:lang w:val="ru-RU"/>
        </w:rPr>
        <w:t>/2022/</w:t>
      </w:r>
      <w:r>
        <w:rPr>
          <w:bCs w:val="1"/>
          <w:sz w:val="28"/>
          <w:szCs w:val="28"/>
          <w:highlight w:val="green"/>
        </w:rPr>
        <w:t>October</w:t>
      </w:r>
      <w:r>
        <w:rPr>
          <w:bCs w:val="1"/>
          <w:sz w:val="28"/>
          <w:szCs w:val="28"/>
          <w:highlight w:val="green"/>
          <w:lang w:val="ru-RU"/>
        </w:rPr>
        <w:t xml:space="preserve"> </w:t>
      </w:r>
      <w:r>
        <w:rPr>
          <w:sz w:val="28"/>
          <w:szCs w:val="28"/>
          <w:highlight w:val="green"/>
          <w:lang w:val="ru-RU"/>
        </w:rPr>
        <w:t>(дата обращения 18.04.2023).</w:t>
      </w:r>
      <w:r>
        <w:rPr>
          <w:iCs w:val="1"/>
          <w:sz w:val="28"/>
          <w:szCs w:val="28"/>
          <w:highlight w:val="green"/>
          <w:lang w:val="ru-RU"/>
        </w:rPr>
        <w:t xml:space="preserve"> </w:t>
      </w:r>
    </w:p>
    <w:p>
      <w:pPr>
        <w:pStyle w:val="P13"/>
        <w:numPr>
          <w:ilvl w:val="0"/>
          <w:numId w:val="6"/>
        </w:numPr>
        <w:spacing w:lineRule="auto" w:line="360" w:beforeAutospacing="0" w:afterAutospacing="0"/>
        <w:ind w:firstLine="709" w:left="0"/>
        <w:jc w:val="both"/>
        <w:rPr>
          <w:bCs w:val="1"/>
          <w:sz w:val="28"/>
          <w:szCs w:val="28"/>
          <w:highlight w:val="green"/>
          <w:lang w:val="ru-RU"/>
        </w:rPr>
      </w:pPr>
      <w:r>
        <w:rPr>
          <w:bCs w:val="1"/>
          <w:sz w:val="28"/>
          <w:szCs w:val="28"/>
          <w:highlight w:val="green"/>
        </w:rPr>
        <w:t xml:space="preserve">ITU. World Telecommunication/ICT Indicators database. 2022. International Telecommunication Union </w:t>
      </w:r>
      <w:r>
        <w:rPr>
          <w:sz w:val="28"/>
          <w:szCs w:val="28"/>
          <w:highlight w:val="green"/>
        </w:rPr>
        <w:t>[</w:t>
      </w:r>
      <w:r>
        <w:rPr>
          <w:sz w:val="28"/>
          <w:szCs w:val="28"/>
          <w:highlight w:val="green"/>
          <w:lang w:val="ru-RU"/>
        </w:rPr>
        <w:t>Электронный</w:t>
      </w:r>
      <w:r>
        <w:rPr>
          <w:sz w:val="28"/>
          <w:szCs w:val="28"/>
          <w:highlight w:val="green"/>
        </w:rPr>
        <w:t xml:space="preserve"> </w:t>
      </w:r>
      <w:r>
        <w:rPr>
          <w:sz w:val="28"/>
          <w:szCs w:val="28"/>
          <w:highlight w:val="green"/>
          <w:lang w:val="ru-RU"/>
        </w:rPr>
        <w:t>ресурс</w:t>
      </w:r>
      <w:r>
        <w:rPr>
          <w:sz w:val="28"/>
          <w:szCs w:val="28"/>
          <w:highlight w:val="green"/>
        </w:rPr>
        <w:t xml:space="preserve">]. </w:t>
      </w:r>
      <w:r>
        <w:rPr>
          <w:sz w:val="28"/>
          <w:szCs w:val="28"/>
          <w:highlight w:val="green"/>
          <w:lang w:val="ru-RU"/>
        </w:rPr>
        <w:t>Режим доступа:</w:t>
      </w:r>
      <w:r>
        <w:rPr>
          <w:bCs w:val="1"/>
          <w:sz w:val="28"/>
          <w:szCs w:val="28"/>
          <w:highlight w:val="green"/>
          <w:lang w:val="ru-RU"/>
        </w:rPr>
        <w:t xml:space="preserve"> </w:t>
      </w:r>
      <w:r>
        <w:rPr>
          <w:bCs w:val="1"/>
          <w:sz w:val="28"/>
          <w:szCs w:val="28"/>
        </w:rPr>
        <w:t>https</w:t>
      </w:r>
      <w:r>
        <w:rPr>
          <w:bCs w:val="1"/>
          <w:sz w:val="28"/>
          <w:szCs w:val="28"/>
          <w:lang w:val="ru-RU"/>
        </w:rPr>
        <w:t>://</w:t>
      </w:r>
      <w:r>
        <w:rPr>
          <w:bCs w:val="1"/>
          <w:sz w:val="28"/>
          <w:szCs w:val="28"/>
        </w:rPr>
        <w:t>www</w:t>
      </w:r>
      <w:r>
        <w:rPr>
          <w:bCs w:val="1"/>
          <w:sz w:val="28"/>
          <w:szCs w:val="28"/>
          <w:lang w:val="ru-RU"/>
        </w:rPr>
        <w:t>.</w:t>
      </w:r>
      <w:r>
        <w:rPr>
          <w:bCs w:val="1"/>
          <w:sz w:val="28"/>
          <w:szCs w:val="28"/>
        </w:rPr>
        <w:t>itu</w:t>
      </w:r>
      <w:r>
        <w:rPr>
          <w:bCs w:val="1"/>
          <w:sz w:val="28"/>
          <w:szCs w:val="28"/>
          <w:lang w:val="ru-RU"/>
        </w:rPr>
        <w:t>.</w:t>
      </w:r>
      <w:r>
        <w:rPr>
          <w:bCs w:val="1"/>
          <w:sz w:val="28"/>
          <w:szCs w:val="28"/>
        </w:rPr>
        <w:t>int</w:t>
      </w:r>
      <w:r>
        <w:rPr>
          <w:bCs w:val="1"/>
          <w:sz w:val="28"/>
          <w:szCs w:val="28"/>
          <w:lang w:val="ru-RU"/>
        </w:rPr>
        <w:t>/</w:t>
      </w:r>
      <w:r>
        <w:rPr>
          <w:bCs w:val="1"/>
          <w:sz w:val="28"/>
          <w:szCs w:val="28"/>
        </w:rPr>
        <w:t>en</w:t>
      </w:r>
      <w:r>
        <w:rPr>
          <w:bCs w:val="1"/>
          <w:sz w:val="28"/>
          <w:szCs w:val="28"/>
          <w:lang w:val="ru-RU"/>
        </w:rPr>
        <w:t>/</w:t>
      </w:r>
      <w:r>
        <w:rPr>
          <w:bCs w:val="1"/>
          <w:sz w:val="28"/>
          <w:szCs w:val="28"/>
        </w:rPr>
        <w:t>ITU</w:t>
      </w:r>
      <w:r>
        <w:rPr>
          <w:bCs w:val="1"/>
          <w:sz w:val="28"/>
          <w:szCs w:val="28"/>
          <w:lang w:val="ru-RU"/>
        </w:rPr>
        <w:t>-</w:t>
      </w:r>
      <w:r>
        <w:rPr>
          <w:bCs w:val="1"/>
          <w:sz w:val="28"/>
          <w:szCs w:val="28"/>
        </w:rPr>
        <w:t>D</w:t>
      </w:r>
      <w:r>
        <w:rPr>
          <w:bCs w:val="1"/>
          <w:sz w:val="28"/>
          <w:szCs w:val="28"/>
          <w:lang w:val="ru-RU"/>
        </w:rPr>
        <w:t>/</w:t>
      </w:r>
      <w:r>
        <w:rPr>
          <w:bCs w:val="1"/>
          <w:sz w:val="28"/>
          <w:szCs w:val="28"/>
        </w:rPr>
        <w:t>Statistics</w:t>
      </w:r>
      <w:r>
        <w:rPr>
          <w:bCs w:val="1"/>
          <w:sz w:val="28"/>
          <w:szCs w:val="28"/>
          <w:lang w:val="ru-RU"/>
        </w:rPr>
        <w:t>/</w:t>
      </w:r>
      <w:r>
        <w:rPr>
          <w:bCs w:val="1"/>
          <w:sz w:val="28"/>
          <w:szCs w:val="28"/>
        </w:rPr>
        <w:t>Pages</w:t>
      </w:r>
      <w:r>
        <w:rPr>
          <w:bCs w:val="1"/>
          <w:sz w:val="28"/>
          <w:szCs w:val="28"/>
          <w:lang w:val="ru-RU"/>
        </w:rPr>
        <w:t>/</w:t>
      </w:r>
      <w:r>
        <w:rPr>
          <w:bCs w:val="1"/>
          <w:sz w:val="28"/>
          <w:szCs w:val="28"/>
        </w:rPr>
        <w:t>publications</w:t>
      </w:r>
      <w:r>
        <w:rPr>
          <w:bCs w:val="1"/>
          <w:sz w:val="28"/>
          <w:szCs w:val="28"/>
          <w:lang w:val="ru-RU"/>
        </w:rPr>
        <w:t>/</w:t>
      </w:r>
      <w:r>
        <w:rPr>
          <w:bCs w:val="1"/>
          <w:sz w:val="28"/>
          <w:szCs w:val="28"/>
        </w:rPr>
        <w:t>wtid</w:t>
      </w:r>
      <w:r>
        <w:rPr>
          <w:bCs w:val="1"/>
          <w:sz w:val="28"/>
          <w:szCs w:val="28"/>
          <w:lang w:val="ru-RU"/>
        </w:rPr>
        <w:t>.</w:t>
      </w:r>
      <w:r>
        <w:rPr>
          <w:bCs w:val="1"/>
          <w:sz w:val="28"/>
          <w:szCs w:val="28"/>
        </w:rPr>
        <w:t>aspx</w:t>
      </w:r>
      <w:r>
        <w:rPr>
          <w:bCs w:val="1"/>
          <w:sz w:val="28"/>
          <w:szCs w:val="28"/>
          <w:lang w:val="ru-RU"/>
        </w:rPr>
        <w:t>.</w:t>
      </w:r>
      <w:r>
        <w:rPr>
          <w:bCs w:val="1"/>
          <w:sz w:val="28"/>
          <w:szCs w:val="28"/>
          <w:highlight w:val="green"/>
          <w:lang w:val="ru-RU"/>
        </w:rPr>
        <w:t xml:space="preserve"> </w:t>
      </w:r>
      <w:r>
        <w:rPr>
          <w:sz w:val="28"/>
          <w:szCs w:val="28"/>
          <w:highlight w:val="green"/>
          <w:lang w:val="ru-RU"/>
        </w:rPr>
        <w:t xml:space="preserve">(дата обращения 20.03.2023). </w:t>
      </w:r>
    </w:p>
    <w:p>
      <w:pPr>
        <w:pStyle w:val="P13"/>
        <w:numPr>
          <w:ilvl w:val="0"/>
          <w:numId w:val="6"/>
        </w:numPr>
        <w:spacing w:lineRule="auto" w:line="360" w:beforeAutospacing="0" w:afterAutospacing="0"/>
        <w:ind w:firstLine="709" w:left="0"/>
        <w:jc w:val="both"/>
        <w:rPr>
          <w:bCs w:val="1"/>
          <w:sz w:val="28"/>
          <w:szCs w:val="28"/>
          <w:highlight w:val="green"/>
        </w:rPr>
      </w:pPr>
      <w:r>
        <w:rPr>
          <w:bCs w:val="1"/>
          <w:sz w:val="28"/>
          <w:szCs w:val="28"/>
          <w:highlight w:val="green"/>
        </w:rPr>
        <w:t xml:space="preserve">Jacob K., Guske A.L., Antoni-Komar I. Governance for the sustainable economy. Institutional innovation from the bottom up? // GAIA Ecological Perspectives on Science and Society. 2019. 28(1). pp. 204–209. </w:t>
      </w:r>
    </w:p>
    <w:p>
      <w:pPr>
        <w:pStyle w:val="P15"/>
        <w:widowControl w:val="1"/>
        <w:numPr>
          <w:ilvl w:val="0"/>
          <w:numId w:val="6"/>
        </w:numPr>
        <w:spacing w:lineRule="auto" w:line="360" w:beforeAutospacing="0" w:afterAutospacing="0"/>
        <w:ind w:firstLine="709" w:left="0"/>
        <w:contextualSpacing w:val="1"/>
        <w:jc w:val="both"/>
        <w:rPr>
          <w:bCs w:val="1"/>
          <w:sz w:val="28"/>
          <w:szCs w:val="28"/>
          <w:highlight w:val="green"/>
        </w:rPr>
      </w:pPr>
      <w:bookmarkStart w:id="78" w:name="_Hlk137384163"/>
      <w:r>
        <w:rPr>
          <w:bCs w:val="1"/>
          <w:sz w:val="28"/>
          <w:szCs w:val="28"/>
          <w:highlight w:val="green"/>
        </w:rPr>
        <w:t xml:space="preserve">Jamali D., Mirshak R. </w:t>
      </w:r>
      <w:bookmarkEnd w:id="78"/>
      <w:r>
        <w:rPr>
          <w:bCs w:val="1"/>
          <w:sz w:val="28"/>
          <w:szCs w:val="28"/>
          <w:highlight w:val="green"/>
        </w:rPr>
        <w:t>Corporate Social Responsibility (CSR): Theory and practice in a developing country context // Journal of Business Ethics. 2007. 72. pp. 243–262.</w:t>
      </w:r>
    </w:p>
    <w:p>
      <w:pPr>
        <w:pStyle w:val="P15"/>
        <w:widowControl w:val="1"/>
        <w:numPr>
          <w:ilvl w:val="0"/>
          <w:numId w:val="6"/>
        </w:numPr>
        <w:spacing w:lineRule="auto" w:line="360" w:beforeAutospacing="0" w:afterAutospacing="0"/>
        <w:ind w:firstLine="709" w:left="0"/>
        <w:contextualSpacing w:val="1"/>
        <w:jc w:val="both"/>
        <w:rPr>
          <w:bCs w:val="1"/>
          <w:sz w:val="28"/>
          <w:szCs w:val="28"/>
          <w:highlight w:val="green"/>
        </w:rPr>
      </w:pPr>
      <w:r>
        <w:rPr>
          <w:bCs w:val="1"/>
          <w:sz w:val="28"/>
          <w:szCs w:val="28"/>
          <w:highlight w:val="green"/>
        </w:rPr>
        <w:t>Kalfagianni A., Partzsch L., Widerberg, O. Transnational institutions and networks // Architectures of Earth System Governance: Institutional Complexity and Structural Transformation / F. Biermann, K. Rakhyun (Eds.). Cambridge University Press, 2020. рр. 114-130.</w:t>
      </w:r>
    </w:p>
    <w:p>
      <w:pPr>
        <w:pStyle w:val="P13"/>
        <w:numPr>
          <w:ilvl w:val="0"/>
          <w:numId w:val="6"/>
        </w:numPr>
        <w:spacing w:lineRule="auto" w:line="360" w:beforeAutospacing="0" w:afterAutospacing="0"/>
        <w:ind w:firstLine="709" w:left="0"/>
        <w:jc w:val="both"/>
        <w:rPr>
          <w:bCs w:val="1"/>
          <w:sz w:val="28"/>
          <w:szCs w:val="28"/>
          <w:highlight w:val="green"/>
        </w:rPr>
      </w:pPr>
      <w:r>
        <w:rPr>
          <w:bCs w:val="1"/>
          <w:sz w:val="28"/>
          <w:szCs w:val="28"/>
          <w:highlight w:val="green"/>
        </w:rPr>
        <w:t>Kanie N., Zondervan R., Stevens C. Ideas on Governance «of» and «for» Sustainable Development Goals: UNU-IAS/POST2015 Conference Report. Tokyo: United Nations University Institute for the Advanced Study of Sustainability</w:t>
      </w:r>
      <w:bookmarkStart w:id="79" w:name="_Hlk137398894"/>
      <w:r>
        <w:rPr>
          <w:bCs w:val="1"/>
          <w:sz w:val="28"/>
          <w:szCs w:val="28"/>
          <w:highlight w:val="green"/>
        </w:rPr>
        <w:t xml:space="preserve">, 2014. </w:t>
      </w:r>
      <w:r>
        <w:rPr>
          <w:bCs w:val="1"/>
          <w:sz w:val="28"/>
          <w:szCs w:val="28"/>
          <w:highlight w:val="green"/>
          <w:lang w:val="ru-RU"/>
        </w:rPr>
        <w:t>рр</w:t>
      </w:r>
      <w:r>
        <w:rPr>
          <w:bCs w:val="1"/>
          <w:sz w:val="28"/>
          <w:szCs w:val="28"/>
          <w:highlight w:val="green"/>
        </w:rPr>
        <w:t xml:space="preserve">. </w:t>
      </w:r>
      <w:r>
        <w:rPr>
          <w:bCs w:val="1"/>
          <w:sz w:val="28"/>
          <w:szCs w:val="28"/>
          <w:highlight w:val="green"/>
          <w:lang w:val="en-GB"/>
        </w:rPr>
        <w:t>38-40</w:t>
      </w:r>
      <w:r>
        <w:rPr>
          <w:bCs w:val="1"/>
          <w:sz w:val="28"/>
          <w:szCs w:val="28"/>
          <w:highlight w:val="green"/>
        </w:rPr>
        <w:t>.</w:t>
      </w:r>
    </w:p>
    <w:p>
      <w:pPr>
        <w:pStyle w:val="P13"/>
        <w:numPr>
          <w:ilvl w:val="0"/>
          <w:numId w:val="6"/>
        </w:numPr>
        <w:spacing w:lineRule="auto" w:line="360" w:beforeAutospacing="0" w:afterAutospacing="0"/>
        <w:ind w:firstLine="709" w:left="0"/>
        <w:jc w:val="both"/>
        <w:rPr>
          <w:bCs w:val="1"/>
          <w:sz w:val="28"/>
          <w:szCs w:val="28"/>
          <w:highlight w:val="green"/>
          <w:lang w:val="ru-RU"/>
        </w:rPr>
      </w:pPr>
      <w:r>
        <w:rPr>
          <w:bCs w:val="1"/>
          <w:sz w:val="28"/>
          <w:szCs w:val="28"/>
          <w:highlight w:val="green"/>
        </w:rPr>
        <w:t xml:space="preserve">Kimani M. </w:t>
      </w:r>
      <w:bookmarkEnd w:id="79"/>
      <w:r>
        <w:rPr>
          <w:bCs w:val="1"/>
          <w:sz w:val="28"/>
          <w:szCs w:val="28"/>
          <w:highlight w:val="green"/>
        </w:rPr>
        <w:t xml:space="preserve">Women in North Africa secure more rights. Africa renewal. United Nations. </w:t>
      </w:r>
      <w:r>
        <w:rPr>
          <w:sz w:val="28"/>
          <w:szCs w:val="28"/>
          <w:highlight w:val="green"/>
        </w:rPr>
        <w:t>[</w:t>
      </w:r>
      <w:r>
        <w:rPr>
          <w:sz w:val="28"/>
          <w:szCs w:val="28"/>
          <w:highlight w:val="green"/>
          <w:lang w:val="ru-RU"/>
        </w:rPr>
        <w:t>Электронный</w:t>
      </w:r>
      <w:r>
        <w:rPr>
          <w:sz w:val="28"/>
          <w:szCs w:val="28"/>
          <w:highlight w:val="green"/>
        </w:rPr>
        <w:t xml:space="preserve"> </w:t>
      </w:r>
      <w:r>
        <w:rPr>
          <w:sz w:val="28"/>
          <w:szCs w:val="28"/>
          <w:highlight w:val="green"/>
          <w:lang w:val="ru-RU"/>
        </w:rPr>
        <w:t>ресурс</w:t>
      </w:r>
      <w:r>
        <w:rPr>
          <w:sz w:val="28"/>
          <w:szCs w:val="28"/>
          <w:highlight w:val="green"/>
        </w:rPr>
        <w:t xml:space="preserve">]. </w:t>
      </w:r>
      <w:r>
        <w:rPr>
          <w:sz w:val="28"/>
          <w:szCs w:val="28"/>
          <w:highlight w:val="green"/>
          <w:lang w:val="ru-RU"/>
        </w:rPr>
        <w:t>Режим доступа:</w:t>
      </w:r>
      <w:r>
        <w:rPr>
          <w:bCs w:val="1"/>
          <w:sz w:val="28"/>
          <w:szCs w:val="28"/>
          <w:highlight w:val="green"/>
          <w:lang w:val="ru-RU"/>
        </w:rPr>
        <w:t xml:space="preserve">  </w:t>
      </w:r>
      <w:r>
        <w:rPr>
          <w:bCs w:val="1"/>
          <w:sz w:val="28"/>
          <w:szCs w:val="28"/>
          <w:highlight w:val="green"/>
        </w:rPr>
        <w:t>https</w:t>
      </w:r>
      <w:r>
        <w:rPr>
          <w:bCs w:val="1"/>
          <w:sz w:val="28"/>
          <w:szCs w:val="28"/>
          <w:highlight w:val="green"/>
          <w:lang w:val="ru-RU"/>
        </w:rPr>
        <w:t>://</w:t>
      </w:r>
      <w:r>
        <w:rPr>
          <w:bCs w:val="1"/>
          <w:sz w:val="28"/>
          <w:szCs w:val="28"/>
          <w:highlight w:val="green"/>
        </w:rPr>
        <w:t>www</w:t>
      </w:r>
      <w:r>
        <w:rPr>
          <w:bCs w:val="1"/>
          <w:sz w:val="28"/>
          <w:szCs w:val="28"/>
          <w:highlight w:val="green"/>
          <w:lang w:val="ru-RU"/>
        </w:rPr>
        <w:t>.</w:t>
      </w:r>
      <w:r>
        <w:rPr>
          <w:bCs w:val="1"/>
          <w:sz w:val="28"/>
          <w:szCs w:val="28"/>
          <w:highlight w:val="green"/>
        </w:rPr>
        <w:t>un</w:t>
      </w:r>
      <w:r>
        <w:rPr>
          <w:bCs w:val="1"/>
          <w:sz w:val="28"/>
          <w:szCs w:val="28"/>
          <w:highlight w:val="green"/>
          <w:lang w:val="ru-RU"/>
        </w:rPr>
        <w:t>.</w:t>
      </w:r>
      <w:r>
        <w:rPr>
          <w:bCs w:val="1"/>
          <w:sz w:val="28"/>
          <w:szCs w:val="28"/>
          <w:highlight w:val="green"/>
        </w:rPr>
        <w:t>org</w:t>
      </w:r>
      <w:r>
        <w:rPr>
          <w:bCs w:val="1"/>
          <w:sz w:val="28"/>
          <w:szCs w:val="28"/>
          <w:highlight w:val="green"/>
          <w:lang w:val="ru-RU"/>
        </w:rPr>
        <w:t>/</w:t>
      </w:r>
      <w:r>
        <w:rPr>
          <w:bCs w:val="1"/>
          <w:sz w:val="28"/>
          <w:szCs w:val="28"/>
          <w:highlight w:val="green"/>
        </w:rPr>
        <w:t>africarenewal</w:t>
      </w:r>
      <w:r>
        <w:rPr>
          <w:bCs w:val="1"/>
          <w:sz w:val="28"/>
          <w:szCs w:val="28"/>
          <w:highlight w:val="green"/>
          <w:lang w:val="ru-RU"/>
        </w:rPr>
        <w:t>/</w:t>
      </w:r>
      <w:r>
        <w:rPr>
          <w:bCs w:val="1"/>
          <w:sz w:val="28"/>
          <w:szCs w:val="28"/>
          <w:highlight w:val="green"/>
        </w:rPr>
        <w:t>magazine</w:t>
      </w:r>
      <w:r>
        <w:rPr>
          <w:bCs w:val="1"/>
          <w:sz w:val="28"/>
          <w:szCs w:val="28"/>
          <w:highlight w:val="green"/>
          <w:lang w:val="ru-RU"/>
        </w:rPr>
        <w:t>/</w:t>
      </w:r>
      <w:r>
        <w:rPr>
          <w:bCs w:val="1"/>
          <w:sz w:val="28"/>
          <w:szCs w:val="28"/>
          <w:highlight w:val="green"/>
        </w:rPr>
        <w:t>july</w:t>
      </w:r>
      <w:r>
        <w:rPr>
          <w:bCs w:val="1"/>
          <w:sz w:val="28"/>
          <w:szCs w:val="28"/>
          <w:highlight w:val="green"/>
          <w:lang w:val="ru-RU"/>
        </w:rPr>
        <w:t>-2008/</w:t>
      </w:r>
      <w:r>
        <w:rPr>
          <w:bCs w:val="1"/>
          <w:sz w:val="28"/>
          <w:szCs w:val="28"/>
          <w:highlight w:val="green"/>
        </w:rPr>
        <w:t>women</w:t>
      </w:r>
      <w:r>
        <w:rPr>
          <w:bCs w:val="1"/>
          <w:sz w:val="28"/>
          <w:szCs w:val="28"/>
          <w:highlight w:val="green"/>
          <w:lang w:val="ru-RU"/>
        </w:rPr>
        <w:t>-</w:t>
      </w:r>
      <w:r>
        <w:rPr>
          <w:bCs w:val="1"/>
          <w:sz w:val="28"/>
          <w:szCs w:val="28"/>
          <w:highlight w:val="green"/>
        </w:rPr>
        <w:t>north</w:t>
      </w:r>
      <w:r>
        <w:rPr>
          <w:bCs w:val="1"/>
          <w:sz w:val="28"/>
          <w:szCs w:val="28"/>
          <w:highlight w:val="green"/>
          <w:lang w:val="ru-RU"/>
        </w:rPr>
        <w:t>-</w:t>
      </w:r>
      <w:r>
        <w:rPr>
          <w:bCs w:val="1"/>
          <w:sz w:val="28"/>
          <w:szCs w:val="28"/>
          <w:highlight w:val="green"/>
        </w:rPr>
        <w:t>africa</w:t>
      </w:r>
      <w:r>
        <w:rPr>
          <w:bCs w:val="1"/>
          <w:sz w:val="28"/>
          <w:szCs w:val="28"/>
          <w:highlight w:val="green"/>
          <w:lang w:val="ru-RU"/>
        </w:rPr>
        <w:t>-</w:t>
      </w:r>
      <w:r>
        <w:rPr>
          <w:bCs w:val="1"/>
          <w:sz w:val="28"/>
          <w:szCs w:val="28"/>
          <w:highlight w:val="green"/>
        </w:rPr>
        <w:t>secure</w:t>
      </w:r>
      <w:r>
        <w:rPr>
          <w:bCs w:val="1"/>
          <w:sz w:val="28"/>
          <w:szCs w:val="28"/>
          <w:highlight w:val="green"/>
          <w:lang w:val="ru-RU"/>
        </w:rPr>
        <w:t>-</w:t>
      </w:r>
      <w:r>
        <w:rPr>
          <w:bCs w:val="1"/>
          <w:sz w:val="28"/>
          <w:szCs w:val="28"/>
          <w:highlight w:val="green"/>
        </w:rPr>
        <w:t>more</w:t>
      </w:r>
      <w:r>
        <w:rPr>
          <w:bCs w:val="1"/>
          <w:sz w:val="28"/>
          <w:szCs w:val="28"/>
          <w:highlight w:val="green"/>
          <w:lang w:val="ru-RU"/>
        </w:rPr>
        <w:t>-</w:t>
      </w:r>
      <w:r>
        <w:rPr>
          <w:bCs w:val="1"/>
          <w:sz w:val="28"/>
          <w:szCs w:val="28"/>
          <w:highlight w:val="green"/>
        </w:rPr>
        <w:t>rights</w:t>
      </w:r>
      <w:r>
        <w:rPr>
          <w:bCs w:val="1"/>
          <w:sz w:val="28"/>
          <w:szCs w:val="28"/>
          <w:highlight w:val="green"/>
          <w:lang w:val="ru-RU"/>
        </w:rPr>
        <w:t xml:space="preserve"> </w:t>
      </w:r>
      <w:r>
        <w:rPr>
          <w:sz w:val="28"/>
          <w:szCs w:val="28"/>
          <w:highlight w:val="green"/>
          <w:lang w:val="ru-RU"/>
        </w:rPr>
        <w:t>(дата обращения 10.02.2023).</w:t>
      </w:r>
    </w:p>
    <w:p>
      <w:pPr>
        <w:pStyle w:val="P15"/>
        <w:widowControl w:val="1"/>
        <w:numPr>
          <w:ilvl w:val="0"/>
          <w:numId w:val="6"/>
        </w:numPr>
        <w:spacing w:lineRule="auto" w:line="360" w:beforeAutospacing="0" w:afterAutospacing="0"/>
        <w:ind w:firstLine="709" w:left="0"/>
        <w:contextualSpacing w:val="1"/>
        <w:jc w:val="both"/>
        <w:rPr>
          <w:bCs w:val="1"/>
          <w:sz w:val="28"/>
          <w:szCs w:val="28"/>
          <w:highlight w:val="yellow"/>
        </w:rPr>
      </w:pPr>
      <w:r>
        <w:rPr>
          <w:bCs w:val="1"/>
          <w:sz w:val="28"/>
          <w:szCs w:val="28"/>
          <w:highlight w:val="green"/>
        </w:rPr>
        <w:t>Kira A., He Z. The Impact of Firm Characteristics in Access of Financing by Small and Medium-Sized Enterprises in Tanzania // International Journal of Business and Management. 2012. 7(24). pp. 108–119.</w:t>
      </w:r>
    </w:p>
    <w:p>
      <w:pPr>
        <w:pStyle w:val="P13"/>
        <w:numPr>
          <w:ilvl w:val="0"/>
          <w:numId w:val="6"/>
        </w:numPr>
        <w:spacing w:lineRule="auto" w:line="360" w:beforeAutospacing="0" w:afterAutospacing="0"/>
        <w:ind w:firstLine="709" w:left="0"/>
        <w:jc w:val="both"/>
        <w:rPr>
          <w:bCs w:val="1"/>
          <w:sz w:val="28"/>
          <w:szCs w:val="28"/>
          <w:highlight w:val="green"/>
        </w:rPr>
      </w:pPr>
      <w:r>
        <w:rPr>
          <w:bCs w:val="1"/>
          <w:sz w:val="28"/>
          <w:szCs w:val="28"/>
          <w:highlight w:val="green"/>
        </w:rPr>
        <w:t xml:space="preserve">Klarin T. The concept of sustainable development: From its beginning to the contemporary issues // Zagreb International Review of Economics and Business. 2018. 21(1). pp. 67–94. </w:t>
      </w:r>
      <w:bookmarkStart w:id="80" w:name="_Hlk137398557"/>
    </w:p>
    <w:p>
      <w:pPr>
        <w:pStyle w:val="P13"/>
        <w:numPr>
          <w:ilvl w:val="0"/>
          <w:numId w:val="6"/>
        </w:numPr>
        <w:spacing w:lineRule="auto" w:line="360" w:beforeAutospacing="0" w:afterAutospacing="0"/>
        <w:ind w:firstLine="709" w:left="0"/>
        <w:jc w:val="both"/>
        <w:rPr>
          <w:bCs w:val="1"/>
          <w:sz w:val="28"/>
          <w:szCs w:val="28"/>
          <w:highlight w:val="green"/>
        </w:rPr>
      </w:pPr>
      <w:r>
        <w:rPr>
          <w:rFonts w:eastAsia="StoneSerifStd-Medium"/>
          <w:bCs w:val="1"/>
          <w:sz w:val="28"/>
          <w:szCs w:val="28"/>
          <w:highlight w:val="green"/>
        </w:rPr>
        <w:t xml:space="preserve">Kline R.B. </w:t>
      </w:r>
      <w:bookmarkEnd w:id="80"/>
      <w:r>
        <w:rPr>
          <w:rFonts w:eastAsia="StoneSerifStd-MediumItalic"/>
          <w:bCs w:val="1"/>
          <w:sz w:val="28"/>
          <w:szCs w:val="28"/>
          <w:highlight w:val="green"/>
        </w:rPr>
        <w:t>Principles and Practice of Structural Equation Modeling</w:t>
      </w:r>
      <w:r>
        <w:rPr>
          <w:rFonts w:eastAsia="StoneSerifStd-Medium"/>
          <w:bCs w:val="1"/>
          <w:sz w:val="28"/>
          <w:szCs w:val="28"/>
          <w:highlight w:val="green"/>
        </w:rPr>
        <w:t xml:space="preserve">. 2nd ed. New York: The Guilford Press, 2005. </w:t>
      </w:r>
      <w:r>
        <w:rPr>
          <w:rFonts w:eastAsia="StoneSerifStd-Medium"/>
          <w:bCs w:val="1"/>
          <w:sz w:val="28"/>
          <w:szCs w:val="28"/>
          <w:highlight w:val="green"/>
          <w:lang w:val="ru-RU"/>
        </w:rPr>
        <w:t>400</w:t>
      </w:r>
      <w:r>
        <w:rPr>
          <w:rFonts w:eastAsia="StoneSerifStd-Medium"/>
          <w:bCs w:val="1"/>
          <w:sz w:val="28"/>
          <w:szCs w:val="28"/>
          <w:highlight w:val="green"/>
        </w:rPr>
        <w:t xml:space="preserve"> </w:t>
      </w:r>
      <w:r>
        <w:rPr>
          <w:rFonts w:eastAsia="StoneSerifStd-Medium"/>
          <w:bCs w:val="1"/>
          <w:sz w:val="28"/>
          <w:szCs w:val="28"/>
          <w:highlight w:val="green"/>
          <w:lang w:val="ru-RU"/>
        </w:rPr>
        <w:t>р</w:t>
      </w:r>
      <w:r>
        <w:rPr>
          <w:rFonts w:eastAsia="StoneSerifStd-Medium"/>
          <w:bCs w:val="1"/>
          <w:sz w:val="28"/>
          <w:szCs w:val="28"/>
          <w:highlight w:val="green"/>
        </w:rPr>
        <w:t>.</w:t>
      </w:r>
    </w:p>
    <w:p>
      <w:pPr>
        <w:pStyle w:val="P15"/>
        <w:widowControl w:val="1"/>
        <w:numPr>
          <w:ilvl w:val="0"/>
          <w:numId w:val="6"/>
        </w:numPr>
        <w:spacing w:lineRule="auto" w:line="360" w:beforeAutospacing="0" w:afterAutospacing="0"/>
        <w:ind w:firstLine="709" w:left="0"/>
        <w:contextualSpacing w:val="1"/>
        <w:jc w:val="both"/>
        <w:rPr>
          <w:rFonts w:eastAsia="StoneSerifStd-Medium"/>
          <w:bCs w:val="1"/>
          <w:sz w:val="28"/>
          <w:szCs w:val="28"/>
          <w:highlight w:val="green"/>
        </w:rPr>
      </w:pPr>
      <w:r>
        <w:rPr>
          <w:rFonts w:eastAsia="StoneSerifStd-Medium"/>
          <w:bCs w:val="1"/>
          <w:sz w:val="28"/>
          <w:szCs w:val="28"/>
          <w:highlight w:val="green"/>
        </w:rPr>
        <w:t xml:space="preserve">Larson B., Minten B., Razafindralambo R. Unraveling the Linkages between the Millennium Development Goals for Poverty, Education, Access to Water and Household Water Use in Developing Countries: Evidence from Madagascar // </w:t>
      </w:r>
      <w:r>
        <w:rPr>
          <w:rFonts w:eastAsia="StoneSerifStd-MediumItalic"/>
          <w:bCs w:val="1"/>
          <w:sz w:val="28"/>
          <w:szCs w:val="28"/>
          <w:highlight w:val="green"/>
        </w:rPr>
        <w:t xml:space="preserve">Journal of Development Studies. 2006. </w:t>
      </w:r>
      <w:r>
        <w:rPr>
          <w:rFonts w:eastAsia="StoneSerifStd-Medium"/>
          <w:bCs w:val="1"/>
          <w:sz w:val="28"/>
          <w:szCs w:val="28"/>
          <w:highlight w:val="green"/>
        </w:rPr>
        <w:t xml:space="preserve">42(1). </w:t>
      </w:r>
      <w:r>
        <w:rPr>
          <w:bCs w:val="1"/>
          <w:sz w:val="28"/>
          <w:szCs w:val="28"/>
          <w:highlight w:val="green"/>
        </w:rPr>
        <w:t>pp.</w:t>
      </w:r>
      <w:r>
        <w:rPr>
          <w:rFonts w:eastAsia="StoneSerifStd-Medium"/>
          <w:bCs w:val="1"/>
          <w:sz w:val="28"/>
          <w:szCs w:val="28"/>
          <w:highlight w:val="green"/>
        </w:rPr>
        <w:t xml:space="preserve"> 22–40.</w:t>
      </w:r>
    </w:p>
    <w:p>
      <w:pPr>
        <w:pStyle w:val="P15"/>
        <w:widowControl w:val="1"/>
        <w:numPr>
          <w:ilvl w:val="0"/>
          <w:numId w:val="6"/>
        </w:numPr>
        <w:spacing w:lineRule="auto" w:line="360" w:beforeAutospacing="0" w:afterAutospacing="0"/>
        <w:ind w:firstLine="709" w:left="0"/>
        <w:contextualSpacing w:val="1"/>
        <w:jc w:val="both"/>
        <w:rPr>
          <w:rFonts w:eastAsia="StoneSerifStd-Medium"/>
          <w:bCs w:val="1"/>
          <w:sz w:val="28"/>
          <w:szCs w:val="28"/>
          <w:highlight w:val="green"/>
        </w:rPr>
      </w:pPr>
      <w:r>
        <w:rPr>
          <w:rFonts w:eastAsia="StoneSerifStd-Medium"/>
          <w:bCs w:val="1"/>
          <w:sz w:val="28"/>
          <w:szCs w:val="28"/>
          <w:highlight w:val="green"/>
        </w:rPr>
        <w:t>Leo B., J. Barmeier Who Are the MDG Trailblazers? A New MDG Progress Index. Working Paper. Center for Global Development, 2010</w:t>
      </w:r>
      <w:r>
        <w:t xml:space="preserve"> </w:t>
      </w:r>
      <w:r>
        <w:rPr>
          <w:lang w:val="ru-RU"/>
        </w:rPr>
        <w:t>.</w:t>
      </w:r>
      <w:r>
        <w:rPr>
          <w:rFonts w:eastAsia="StoneSerifStd-Medium"/>
          <w:bCs w:val="1"/>
          <w:sz w:val="28"/>
          <w:szCs w:val="28"/>
        </w:rPr>
        <w:t>WP #222.</w:t>
      </w:r>
      <w:r>
        <w:rPr>
          <w:rFonts w:eastAsia="StoneSerifStd-Medium"/>
          <w:bCs w:val="1"/>
          <w:sz w:val="28"/>
          <w:szCs w:val="28"/>
          <w:highlight w:val="green"/>
        </w:rPr>
        <w:t>.</w:t>
      </w:r>
    </w:p>
    <w:p>
      <w:pPr>
        <w:pStyle w:val="P15"/>
        <w:widowControl w:val="1"/>
        <w:numPr>
          <w:ilvl w:val="0"/>
          <w:numId w:val="6"/>
        </w:numPr>
        <w:spacing w:lineRule="auto" w:line="360" w:beforeAutospacing="0" w:afterAutospacing="0"/>
        <w:ind w:firstLine="709" w:left="0"/>
        <w:contextualSpacing w:val="1"/>
        <w:jc w:val="both"/>
        <w:rPr>
          <w:rFonts w:eastAsia="StoneSerifStd-Medium"/>
          <w:bCs w:val="1"/>
          <w:sz w:val="28"/>
          <w:szCs w:val="28"/>
          <w:highlight w:val="green"/>
        </w:rPr>
      </w:pPr>
      <w:r>
        <w:rPr>
          <w:bCs w:val="1"/>
          <w:sz w:val="28"/>
          <w:szCs w:val="28"/>
          <w:highlight w:val="green"/>
        </w:rPr>
        <w:t>Madeley J. Transnational corporations and developing countries: Big business, poor people // The Courier. 2003. 196. рр. 36-48.</w:t>
      </w:r>
    </w:p>
    <w:p>
      <w:pPr>
        <w:pStyle w:val="P15"/>
        <w:widowControl w:val="1"/>
        <w:numPr>
          <w:ilvl w:val="0"/>
          <w:numId w:val="6"/>
        </w:numPr>
        <w:spacing w:lineRule="auto" w:line="360" w:beforeAutospacing="0" w:afterAutospacing="0"/>
        <w:ind w:firstLine="709" w:left="0"/>
        <w:contextualSpacing w:val="1"/>
        <w:jc w:val="both"/>
        <w:rPr>
          <w:bCs w:val="1"/>
          <w:sz w:val="28"/>
          <w:szCs w:val="28"/>
          <w:highlight w:val="green"/>
        </w:rPr>
      </w:pPr>
      <w:r>
        <w:rPr>
          <w:bCs w:val="1"/>
          <w:sz w:val="28"/>
          <w:szCs w:val="28"/>
          <w:highlight w:val="green"/>
        </w:rPr>
        <w:t>Manova, K. Credit Constraints, Heterogeneous Firms, and International Trade // Review of Economic Studies. 2013. 80. pp. 711–744.</w:t>
      </w:r>
    </w:p>
    <w:p>
      <w:pPr>
        <w:pStyle w:val="P15"/>
        <w:widowControl w:val="1"/>
        <w:numPr>
          <w:ilvl w:val="0"/>
          <w:numId w:val="6"/>
        </w:numPr>
        <w:spacing w:lineRule="auto" w:line="360" w:beforeAutospacing="0" w:afterAutospacing="0"/>
        <w:ind w:firstLine="709" w:left="0"/>
        <w:contextualSpacing w:val="1"/>
        <w:jc w:val="both"/>
        <w:rPr>
          <w:bCs w:val="1"/>
          <w:sz w:val="28"/>
          <w:szCs w:val="28"/>
          <w:highlight w:val="green"/>
        </w:rPr>
      </w:pPr>
      <w:bookmarkStart w:id="81" w:name="_Hlk137396498"/>
      <w:r>
        <w:rPr>
          <w:bCs w:val="1"/>
          <w:sz w:val="28"/>
          <w:szCs w:val="28"/>
          <w:highlight w:val="green"/>
        </w:rPr>
        <w:t xml:space="preserve">Manova K. </w:t>
      </w:r>
      <w:bookmarkEnd w:id="81"/>
      <w:r>
        <w:rPr>
          <w:bCs w:val="1"/>
          <w:sz w:val="28"/>
          <w:szCs w:val="28"/>
          <w:highlight w:val="green"/>
        </w:rPr>
        <w:t>Credit Constraints in Trade: Financial Development and Export Composition. (Working Paper). Department of Economics, Harvard University. 2005. 66 р.</w:t>
      </w:r>
    </w:p>
    <w:p>
      <w:pPr>
        <w:pStyle w:val="P15"/>
        <w:widowControl w:val="1"/>
        <w:numPr>
          <w:ilvl w:val="0"/>
          <w:numId w:val="6"/>
        </w:numPr>
        <w:spacing w:lineRule="auto" w:line="360" w:beforeAutospacing="0" w:afterAutospacing="0"/>
        <w:ind w:firstLine="709" w:left="0"/>
        <w:contextualSpacing w:val="1"/>
        <w:jc w:val="both"/>
        <w:rPr>
          <w:bCs w:val="1"/>
          <w:sz w:val="28"/>
          <w:szCs w:val="28"/>
          <w:highlight w:val="green"/>
        </w:rPr>
      </w:pPr>
      <w:r>
        <w:rPr>
          <w:bCs w:val="1"/>
          <w:sz w:val="28"/>
          <w:szCs w:val="28"/>
          <w:highlight w:val="green"/>
        </w:rPr>
        <w:t>Marquardt B. Changing times for sustainability: On the historical environmental caesura of 1800 // GAIA. 2005. 14(3). pp. 243–252.</w:t>
      </w:r>
      <w:bookmarkStart w:id="82" w:name="_Hlk137398181"/>
    </w:p>
    <w:p>
      <w:pPr>
        <w:pStyle w:val="P15"/>
        <w:widowControl w:val="1"/>
        <w:numPr>
          <w:ilvl w:val="0"/>
          <w:numId w:val="6"/>
        </w:numPr>
        <w:spacing w:lineRule="auto" w:line="360" w:beforeAutospacing="0" w:afterAutospacing="0"/>
        <w:ind w:firstLine="709" w:left="0"/>
        <w:contextualSpacing w:val="1"/>
        <w:jc w:val="both"/>
        <w:rPr>
          <w:bCs w:val="1"/>
          <w:sz w:val="28"/>
          <w:szCs w:val="28"/>
          <w:highlight w:val="green"/>
        </w:rPr>
      </w:pPr>
      <w:r>
        <w:rPr>
          <w:bCs w:val="1"/>
          <w:sz w:val="28"/>
          <w:szCs w:val="28"/>
          <w:highlight w:val="green"/>
        </w:rPr>
        <w:t xml:space="preserve">Maskus K. </w:t>
      </w:r>
      <w:bookmarkEnd w:id="82"/>
      <w:r>
        <w:rPr>
          <w:bCs w:val="1"/>
          <w:sz w:val="28"/>
          <w:szCs w:val="28"/>
          <w:highlight w:val="green"/>
        </w:rPr>
        <w:t>Patents and Technology Transfer through Trade and the role of Regional Agreements // East West Working Papers: Innovation and Economic Growth Series. 20</w:t>
      </w:r>
      <w:r>
        <w:rPr>
          <w:bCs w:val="1"/>
          <w:sz w:val="28"/>
          <w:szCs w:val="28"/>
          <w:highlight w:val="green"/>
          <w:lang w:val="ru-RU"/>
        </w:rPr>
        <w:t>0</w:t>
      </w:r>
      <w:r>
        <w:rPr>
          <w:bCs w:val="1"/>
          <w:sz w:val="28"/>
          <w:szCs w:val="28"/>
          <w:highlight w:val="green"/>
        </w:rPr>
        <w:t>6. 10. 32 р.</w:t>
      </w:r>
    </w:p>
    <w:p>
      <w:pPr>
        <w:pStyle w:val="P15"/>
        <w:widowControl w:val="1"/>
        <w:numPr>
          <w:ilvl w:val="0"/>
          <w:numId w:val="6"/>
        </w:numPr>
        <w:spacing w:lineRule="auto" w:line="360" w:beforeAutospacing="0" w:afterAutospacing="0"/>
        <w:ind w:firstLine="709" w:left="0"/>
        <w:contextualSpacing w:val="1"/>
        <w:jc w:val="both"/>
        <w:rPr>
          <w:bCs w:val="1"/>
          <w:sz w:val="28"/>
          <w:szCs w:val="28"/>
          <w:highlight w:val="yellow"/>
        </w:rPr>
      </w:pPr>
      <w:r>
        <w:rPr>
          <w:bCs w:val="1"/>
          <w:sz w:val="28"/>
          <w:szCs w:val="28"/>
          <w:highlight w:val="green"/>
        </w:rPr>
        <w:t>Meadows D.H., Meadows D.L., Randers J.</w:t>
      </w:r>
      <w:r>
        <w:rPr>
          <w:bCs w:val="1"/>
          <w:sz w:val="28"/>
          <w:szCs w:val="28"/>
          <w:highlight w:val="green"/>
          <w:lang w:val="en-GB"/>
        </w:rPr>
        <w:t xml:space="preserve">, </w:t>
      </w:r>
      <w:r>
        <w:rPr>
          <w:bCs w:val="1"/>
          <w:sz w:val="28"/>
          <w:szCs w:val="28"/>
          <w:lang w:val="en-GB"/>
        </w:rPr>
        <w:t>William W. Behrens III.</w:t>
      </w:r>
      <w:r>
        <w:rPr>
          <w:bCs w:val="1"/>
          <w:sz w:val="28"/>
          <w:szCs w:val="28"/>
          <w:highlight w:val="green"/>
        </w:rPr>
        <w:t xml:space="preserve"> The limits to growth. A report to the Club of Rome’s Project on the Predicament of Mankind. New York: Universe Books. 1972. 304 р.</w:t>
      </w:r>
      <w:hyperlink r:id="R7">
        <w:r>
          <w:rPr>
            <w:rStyle w:val="C2"/>
            <w:bCs w:val="1"/>
            <w:sz w:val="28"/>
            <w:szCs w:val="28"/>
            <w:highlight w:val="green"/>
          </w:rPr>
          <w:t>http://www.donellameadows.org/wp-content/userfiles/Limits-to-Growth-digital-scan-version.pdf</w:t>
        </w:r>
      </w:hyperlink>
    </w:p>
    <w:p>
      <w:pPr>
        <w:pStyle w:val="P15"/>
        <w:widowControl w:val="1"/>
        <w:numPr>
          <w:ilvl w:val="0"/>
          <w:numId w:val="6"/>
        </w:numPr>
        <w:spacing w:lineRule="auto" w:line="360" w:beforeAutospacing="0" w:afterAutospacing="0"/>
        <w:ind w:firstLine="709" w:left="0"/>
        <w:contextualSpacing w:val="1"/>
        <w:jc w:val="both"/>
        <w:rPr>
          <w:bCs w:val="1"/>
          <w:sz w:val="28"/>
          <w:szCs w:val="28"/>
          <w:highlight w:val="green"/>
          <w:lang w:val="ru-RU"/>
        </w:rPr>
      </w:pPr>
      <w:bookmarkStart w:id="83" w:name="_bookmark137"/>
      <w:bookmarkEnd w:id="83"/>
      <w:r>
        <w:rPr>
          <w:bCs w:val="1"/>
          <w:sz w:val="28"/>
          <w:szCs w:val="28"/>
          <w:highlight w:val="green"/>
        </w:rPr>
        <w:t xml:space="preserve">Meakin S. The Rio earth summit: Summary of the United Nations conference on environment </w:t>
      </w:r>
      <w:hyperlink r:id="R8">
        <w:r>
          <w:rPr>
            <w:bCs w:val="1"/>
            <w:sz w:val="28"/>
            <w:szCs w:val="28"/>
            <w:highlight w:val="green"/>
          </w:rPr>
          <w:t xml:space="preserve">and development. </w:t>
        </w:r>
        <w:r>
          <w:rPr>
            <w:sz w:val="28"/>
            <w:szCs w:val="28"/>
            <w:highlight w:val="green"/>
            <w:lang w:val="ru-RU"/>
          </w:rPr>
          <w:t>[Электронный ресурс]. Режим доступа:</w:t>
        </w:r>
        <w:r>
          <w:rPr>
            <w:bCs w:val="1"/>
            <w:sz w:val="28"/>
            <w:szCs w:val="28"/>
            <w:highlight w:val="green"/>
            <w:lang w:val="ru-RU"/>
          </w:rPr>
          <w:t xml:space="preserve">  </w:t>
        </w:r>
        <w:r>
          <w:rPr>
            <w:bCs w:val="1"/>
            <w:sz w:val="28"/>
            <w:szCs w:val="28"/>
            <w:highlight w:val="green"/>
          </w:rPr>
          <w:t>https</w:t>
        </w:r>
        <w:r>
          <w:rPr>
            <w:bCs w:val="1"/>
            <w:sz w:val="28"/>
            <w:szCs w:val="28"/>
            <w:highlight w:val="green"/>
            <w:lang w:val="ru-RU"/>
          </w:rPr>
          <w:t>://</w:t>
        </w:r>
        <w:r>
          <w:rPr>
            <w:bCs w:val="1"/>
            <w:sz w:val="28"/>
            <w:szCs w:val="28"/>
            <w:highlight w:val="green"/>
          </w:rPr>
          <w:t>publications</w:t>
        </w:r>
        <w:r>
          <w:rPr>
            <w:bCs w:val="1"/>
            <w:sz w:val="28"/>
            <w:szCs w:val="28"/>
            <w:highlight w:val="green"/>
            <w:lang w:val="ru-RU"/>
          </w:rPr>
          <w:t>.</w:t>
        </w:r>
        <w:r>
          <w:rPr>
            <w:bCs w:val="1"/>
            <w:sz w:val="28"/>
            <w:szCs w:val="28"/>
            <w:highlight w:val="green"/>
          </w:rPr>
          <w:t>gc</w:t>
        </w:r>
        <w:r>
          <w:rPr>
            <w:bCs w:val="1"/>
            <w:sz w:val="28"/>
            <w:szCs w:val="28"/>
            <w:highlight w:val="green"/>
            <w:lang w:val="ru-RU"/>
          </w:rPr>
          <w:t>.</w:t>
        </w:r>
        <w:r>
          <w:rPr>
            <w:bCs w:val="1"/>
            <w:sz w:val="28"/>
            <w:szCs w:val="28"/>
            <w:highlight w:val="green"/>
          </w:rPr>
          <w:t>ca</w:t>
        </w:r>
        <w:r>
          <w:rPr>
            <w:bCs w:val="1"/>
            <w:sz w:val="28"/>
            <w:szCs w:val="28"/>
            <w:highlight w:val="green"/>
            <w:lang w:val="ru-RU"/>
          </w:rPr>
          <w:t>/</w:t>
        </w:r>
        <w:r>
          <w:rPr>
            <w:bCs w:val="1"/>
            <w:sz w:val="28"/>
            <w:szCs w:val="28"/>
            <w:highlight w:val="green"/>
          </w:rPr>
          <w:t>Collection</w:t>
        </w:r>
        <w:r>
          <w:rPr>
            <w:bCs w:val="1"/>
            <w:sz w:val="28"/>
            <w:szCs w:val="28"/>
            <w:highlight w:val="green"/>
            <w:lang w:val="ru-RU"/>
          </w:rPr>
          <w:t>-</w:t>
        </w:r>
        <w:r>
          <w:rPr>
            <w:bCs w:val="1"/>
            <w:sz w:val="28"/>
            <w:szCs w:val="28"/>
            <w:highlight w:val="green"/>
          </w:rPr>
          <w:t>R</w:t>
        </w:r>
        <w:r>
          <w:rPr>
            <w:bCs w:val="1"/>
            <w:sz w:val="28"/>
            <w:szCs w:val="28"/>
            <w:highlight w:val="green"/>
            <w:lang w:val="ru-RU"/>
          </w:rPr>
          <w:t>/</w:t>
        </w:r>
        <w:r>
          <w:rPr>
            <w:bCs w:val="1"/>
            <w:sz w:val="28"/>
            <w:szCs w:val="28"/>
            <w:highlight w:val="green"/>
          </w:rPr>
          <w:t>LoPBdP</w:t>
        </w:r>
        <w:r>
          <w:rPr>
            <w:bCs w:val="1"/>
            <w:sz w:val="28"/>
            <w:szCs w:val="28"/>
            <w:highlight w:val="green"/>
            <w:lang w:val="ru-RU"/>
          </w:rPr>
          <w:t>/</w:t>
        </w:r>
        <w:r>
          <w:rPr>
            <w:bCs w:val="1"/>
            <w:sz w:val="28"/>
            <w:szCs w:val="28"/>
            <w:highlight w:val="green"/>
          </w:rPr>
          <w:t>BP</w:t>
        </w:r>
        <w:r>
          <w:rPr>
            <w:bCs w:val="1"/>
            <w:sz w:val="28"/>
            <w:szCs w:val="28"/>
            <w:highlight w:val="green"/>
            <w:lang w:val="ru-RU"/>
          </w:rPr>
          <w:t>/</w:t>
        </w:r>
        <w:r>
          <w:rPr>
            <w:bCs w:val="1"/>
            <w:sz w:val="28"/>
            <w:szCs w:val="28"/>
            <w:highlight w:val="green"/>
          </w:rPr>
          <w:t>bp</w:t>
        </w:r>
        <w:r>
          <w:rPr>
            <w:bCs w:val="1"/>
            <w:sz w:val="28"/>
            <w:szCs w:val="28"/>
            <w:highlight w:val="green"/>
            <w:lang w:val="ru-RU"/>
          </w:rPr>
          <w:t>317-</w:t>
        </w:r>
        <w:r>
          <w:rPr>
            <w:bCs w:val="1"/>
            <w:sz w:val="28"/>
            <w:szCs w:val="28"/>
            <w:highlight w:val="green"/>
          </w:rPr>
          <w:t>e</w:t>
        </w:r>
        <w:r>
          <w:rPr>
            <w:bCs w:val="1"/>
            <w:sz w:val="28"/>
            <w:szCs w:val="28"/>
            <w:highlight w:val="green"/>
            <w:lang w:val="ru-RU"/>
          </w:rPr>
          <w:t>.</w:t>
        </w:r>
        <w:r>
          <w:rPr>
            <w:bCs w:val="1"/>
            <w:sz w:val="28"/>
            <w:szCs w:val="28"/>
            <w:highlight w:val="green"/>
          </w:rPr>
          <w:t>htm</w:t>
        </w:r>
      </w:hyperlink>
    </w:p>
    <w:p>
      <w:pPr>
        <w:pStyle w:val="P15"/>
        <w:widowControl w:val="1"/>
        <w:numPr>
          <w:ilvl w:val="0"/>
          <w:numId w:val="6"/>
        </w:numPr>
        <w:spacing w:lineRule="auto" w:line="360" w:beforeAutospacing="0" w:afterAutospacing="0"/>
        <w:ind w:firstLine="709" w:left="0"/>
        <w:contextualSpacing w:val="1"/>
        <w:jc w:val="both"/>
        <w:rPr>
          <w:bCs w:val="1"/>
          <w:sz w:val="28"/>
          <w:szCs w:val="28"/>
          <w:highlight w:val="green"/>
        </w:rPr>
      </w:pPr>
      <w:r>
        <w:rPr>
          <w:bCs w:val="1"/>
          <w:sz w:val="28"/>
          <w:szCs w:val="28"/>
          <w:highlight w:val="green"/>
        </w:rPr>
        <w:t xml:space="preserve">Mensah J. Sustainable development: Meaning, history, principles, pillars, and implications for human action: Literature review // Cogent Social Sciences. 2019. 5. </w:t>
      </w:r>
      <w:r>
        <w:rPr>
          <w:bCs w:val="1"/>
          <w:sz w:val="28"/>
          <w:szCs w:val="28"/>
        </w:rPr>
        <w:t>Article ID</w:t>
      </w:r>
      <w:r>
        <w:rPr>
          <w:bCs w:val="1"/>
          <w:sz w:val="28"/>
          <w:szCs w:val="28"/>
          <w:lang w:val="ru-RU"/>
        </w:rPr>
        <w:t xml:space="preserve"> </w:t>
      </w:r>
      <w:r>
        <w:rPr>
          <w:bCs w:val="1"/>
          <w:sz w:val="28"/>
          <w:szCs w:val="28"/>
        </w:rPr>
        <w:t>1653531</w:t>
      </w:r>
      <w:r>
        <w:rPr>
          <w:bCs w:val="1"/>
          <w:sz w:val="28"/>
          <w:szCs w:val="28"/>
          <w:highlight w:val="green"/>
        </w:rPr>
        <w:t xml:space="preserve">. </w:t>
      </w:r>
    </w:p>
    <w:p>
      <w:pPr>
        <w:pStyle w:val="P15"/>
        <w:widowControl w:val="1"/>
        <w:numPr>
          <w:ilvl w:val="0"/>
          <w:numId w:val="6"/>
        </w:numPr>
        <w:spacing w:lineRule="auto" w:line="360" w:beforeAutospacing="0" w:afterAutospacing="0"/>
        <w:ind w:firstLine="709" w:left="0"/>
        <w:contextualSpacing w:val="1"/>
        <w:jc w:val="both"/>
        <w:rPr>
          <w:bCs w:val="1"/>
          <w:sz w:val="28"/>
          <w:szCs w:val="28"/>
          <w:highlight w:val="green"/>
        </w:rPr>
      </w:pPr>
      <w:bookmarkStart w:id="84" w:name="_Hlk137400303"/>
      <w:r>
        <w:rPr>
          <w:bCs w:val="1"/>
          <w:sz w:val="28"/>
          <w:szCs w:val="28"/>
          <w:highlight w:val="green"/>
        </w:rPr>
        <w:t xml:space="preserve">Mining in Africa. </w:t>
      </w:r>
      <w:bookmarkEnd w:id="84"/>
      <w:r>
        <w:rPr>
          <w:bCs w:val="1"/>
          <w:sz w:val="28"/>
          <w:szCs w:val="28"/>
          <w:highlight w:val="green"/>
        </w:rPr>
        <w:t>Mining conditions in South Africa. Retrieved from https://www.miningafrica.net/mining-news/mining-conditions-south-africa/ https://www. miningafrica.net/mining-news/mining-conditions-south-africa/.</w:t>
      </w:r>
    </w:p>
    <w:p>
      <w:pPr>
        <w:pStyle w:val="P15"/>
        <w:widowControl w:val="1"/>
        <w:numPr>
          <w:ilvl w:val="0"/>
          <w:numId w:val="6"/>
        </w:numPr>
        <w:spacing w:lineRule="auto" w:line="360" w:beforeAutospacing="0" w:afterAutospacing="0"/>
        <w:ind w:firstLine="709" w:left="0"/>
        <w:contextualSpacing w:val="1"/>
        <w:jc w:val="both"/>
        <w:rPr>
          <w:bCs w:val="1"/>
          <w:sz w:val="28"/>
          <w:szCs w:val="28"/>
          <w:highlight w:val="green"/>
        </w:rPr>
      </w:pPr>
      <w:r>
        <w:rPr>
          <w:bCs w:val="1"/>
          <w:sz w:val="28"/>
          <w:szCs w:val="28"/>
          <w:highlight w:val="green"/>
        </w:rPr>
        <w:t>Minty P., Lessaer B. Indicators of inclusive growth to complement GDP growth / Comisión Europea: Employment and Social Developments in Europe 2013. Catalog N.: KE-BD-13-001-EN-C, Bruselas.</w:t>
      </w:r>
    </w:p>
    <w:p>
      <w:pPr>
        <w:pStyle w:val="P15"/>
        <w:widowControl w:val="1"/>
        <w:numPr>
          <w:ilvl w:val="0"/>
          <w:numId w:val="6"/>
        </w:numPr>
        <w:spacing w:lineRule="auto" w:line="360" w:beforeAutospacing="0" w:afterAutospacing="0"/>
        <w:ind w:firstLine="709" w:left="0"/>
        <w:contextualSpacing w:val="1"/>
        <w:jc w:val="both"/>
        <w:rPr>
          <w:bCs w:val="1"/>
          <w:sz w:val="28"/>
          <w:szCs w:val="28"/>
          <w:highlight w:val="green"/>
        </w:rPr>
      </w:pPr>
      <w:r>
        <w:rPr>
          <w:bCs w:val="1"/>
          <w:sz w:val="28"/>
          <w:szCs w:val="28"/>
          <w:highlight w:val="green"/>
        </w:rPr>
        <w:t>Mitchell R., Agle B., Wood D. Toward a theory of stakeholder identification and salience: Defining the principle of who and what really counts // Academy of Management Review. 1997. 22(4). pp. 853–886.</w:t>
      </w:r>
    </w:p>
    <w:p>
      <w:pPr>
        <w:pStyle w:val="P15"/>
        <w:widowControl w:val="1"/>
        <w:numPr>
          <w:ilvl w:val="0"/>
          <w:numId w:val="6"/>
        </w:numPr>
        <w:spacing w:lineRule="auto" w:line="360" w:beforeAutospacing="0" w:afterAutospacing="0"/>
        <w:ind w:firstLine="709" w:left="0"/>
        <w:contextualSpacing w:val="1"/>
        <w:jc w:val="both"/>
        <w:rPr>
          <w:bCs w:val="1"/>
          <w:sz w:val="28"/>
          <w:szCs w:val="28"/>
          <w:highlight w:val="green"/>
        </w:rPr>
      </w:pPr>
      <w:bookmarkStart w:id="85" w:name="_Hlk137399658"/>
      <w:r>
        <w:rPr>
          <w:bCs w:val="1"/>
          <w:sz w:val="28"/>
          <w:szCs w:val="28"/>
        </w:rPr>
        <w:t xml:space="preserve">Mirvis </w:t>
      </w:r>
      <w:r>
        <w:rPr>
          <w:bCs w:val="1"/>
          <w:sz w:val="28"/>
          <w:szCs w:val="28"/>
          <w:highlight w:val="green"/>
        </w:rPr>
        <w:t xml:space="preserve">P., Googins B. </w:t>
      </w:r>
      <w:bookmarkEnd w:id="85"/>
      <w:r>
        <w:rPr>
          <w:bCs w:val="1"/>
          <w:sz w:val="28"/>
          <w:szCs w:val="28"/>
          <w:highlight w:val="green"/>
        </w:rPr>
        <w:t>Stages of corporate citizenship // California Management Review. 2006. 48(2). pp. 104–126.</w:t>
      </w:r>
    </w:p>
    <w:p>
      <w:pPr>
        <w:pStyle w:val="P15"/>
        <w:widowControl w:val="1"/>
        <w:numPr>
          <w:ilvl w:val="0"/>
          <w:numId w:val="6"/>
        </w:numPr>
        <w:spacing w:lineRule="auto" w:line="360" w:beforeAutospacing="0" w:afterAutospacing="0"/>
        <w:ind w:firstLine="709" w:left="0"/>
        <w:contextualSpacing w:val="1"/>
        <w:jc w:val="both"/>
        <w:rPr>
          <w:bCs w:val="1"/>
          <w:sz w:val="28"/>
          <w:szCs w:val="28"/>
          <w:highlight w:val="green"/>
          <w:lang w:val="ru-RU"/>
        </w:rPr>
      </w:pPr>
      <w:r>
        <w:rPr>
          <w:bCs w:val="1"/>
          <w:sz w:val="28"/>
          <w:szCs w:val="28"/>
          <w:highlight w:val="green"/>
        </w:rPr>
        <w:t>Mo Ibrahim Foundation. Agendas 2063 &amp; 2030: Is Africa on track? The African Governance Report.</w:t>
      </w:r>
      <w:bookmarkStart w:id="86" w:name="_Hlk137396219"/>
      <w:r>
        <w:rPr>
          <w:bCs w:val="1"/>
          <w:sz w:val="28"/>
          <w:szCs w:val="28"/>
          <w:highlight w:val="green"/>
        </w:rPr>
        <w:t xml:space="preserve"> </w:t>
      </w:r>
      <w:r>
        <w:rPr>
          <w:sz w:val="28"/>
          <w:szCs w:val="28"/>
          <w:highlight w:val="green"/>
        </w:rPr>
        <w:t xml:space="preserve">[Электронный ресурс]. </w:t>
      </w:r>
      <w:r>
        <w:rPr>
          <w:sz w:val="28"/>
          <w:szCs w:val="28"/>
          <w:highlight w:val="green"/>
          <w:lang w:val="ru-RU"/>
        </w:rPr>
        <w:t xml:space="preserve">Режим доступа: </w:t>
      </w:r>
      <w:r>
        <w:rPr>
          <w:bCs w:val="1"/>
          <w:sz w:val="28"/>
          <w:szCs w:val="28"/>
          <w:highlight w:val="green"/>
        </w:rPr>
        <w:t>https</w:t>
      </w:r>
      <w:r>
        <w:rPr>
          <w:bCs w:val="1"/>
          <w:sz w:val="28"/>
          <w:szCs w:val="28"/>
          <w:highlight w:val="green"/>
          <w:lang w:val="ru-RU"/>
        </w:rPr>
        <w:t>://</w:t>
      </w:r>
      <w:r>
        <w:rPr>
          <w:bCs w:val="1"/>
          <w:sz w:val="28"/>
          <w:szCs w:val="28"/>
          <w:highlight w:val="green"/>
        </w:rPr>
        <w:t>mo</w:t>
      </w:r>
      <w:r>
        <w:rPr>
          <w:bCs w:val="1"/>
          <w:sz w:val="28"/>
          <w:szCs w:val="28"/>
          <w:highlight w:val="green"/>
          <w:lang w:val="ru-RU"/>
        </w:rPr>
        <w:t>.</w:t>
      </w:r>
      <w:r>
        <w:rPr>
          <w:bCs w:val="1"/>
          <w:sz w:val="28"/>
          <w:szCs w:val="28"/>
          <w:highlight w:val="green"/>
        </w:rPr>
        <w:t>ibrahim</w:t>
      </w:r>
      <w:r>
        <w:rPr>
          <w:bCs w:val="1"/>
          <w:sz w:val="28"/>
          <w:szCs w:val="28"/>
          <w:highlight w:val="green"/>
          <w:lang w:val="ru-RU"/>
        </w:rPr>
        <w:t>.</w:t>
      </w:r>
      <w:r>
        <w:rPr>
          <w:bCs w:val="1"/>
          <w:sz w:val="28"/>
          <w:szCs w:val="28"/>
          <w:highlight w:val="green"/>
        </w:rPr>
        <w:t>foundation</w:t>
      </w:r>
      <w:r>
        <w:rPr>
          <w:bCs w:val="1"/>
          <w:sz w:val="28"/>
          <w:szCs w:val="28"/>
          <w:highlight w:val="green"/>
          <w:lang w:val="ru-RU"/>
        </w:rPr>
        <w:t>/</w:t>
      </w:r>
      <w:r>
        <w:rPr>
          <w:bCs w:val="1"/>
          <w:sz w:val="28"/>
          <w:szCs w:val="28"/>
          <w:highlight w:val="green"/>
        </w:rPr>
        <w:t>sites</w:t>
      </w:r>
      <w:r>
        <w:rPr>
          <w:bCs w:val="1"/>
          <w:sz w:val="28"/>
          <w:szCs w:val="28"/>
          <w:highlight w:val="green"/>
          <w:lang w:val="ru-RU"/>
        </w:rPr>
        <w:t>/</w:t>
      </w:r>
      <w:r>
        <w:rPr>
          <w:bCs w:val="1"/>
          <w:sz w:val="28"/>
          <w:szCs w:val="28"/>
          <w:highlight w:val="green"/>
        </w:rPr>
        <w:t>default</w:t>
      </w:r>
      <w:r>
        <w:rPr>
          <w:bCs w:val="1"/>
          <w:sz w:val="28"/>
          <w:szCs w:val="28"/>
          <w:highlight w:val="green"/>
          <w:lang w:val="ru-RU"/>
        </w:rPr>
        <w:t>/</w:t>
      </w:r>
      <w:r>
        <w:rPr>
          <w:bCs w:val="1"/>
          <w:sz w:val="28"/>
          <w:szCs w:val="28"/>
          <w:highlight w:val="green"/>
        </w:rPr>
        <w:t>files</w:t>
      </w:r>
      <w:r>
        <w:rPr>
          <w:bCs w:val="1"/>
          <w:sz w:val="28"/>
          <w:szCs w:val="28"/>
          <w:highlight w:val="green"/>
          <w:lang w:val="ru-RU"/>
        </w:rPr>
        <w:t>/2020-02/</w:t>
      </w:r>
      <w:r>
        <w:rPr>
          <w:bCs w:val="1"/>
          <w:sz w:val="28"/>
          <w:szCs w:val="28"/>
          <w:highlight w:val="green"/>
        </w:rPr>
        <w:t>African</w:t>
      </w:r>
      <w:r>
        <w:rPr>
          <w:bCs w:val="1"/>
          <w:sz w:val="28"/>
          <w:szCs w:val="28"/>
          <w:highlight w:val="green"/>
          <w:lang w:val="ru-RU"/>
        </w:rPr>
        <w:t>_</w:t>
      </w:r>
      <w:r>
        <w:rPr>
          <w:bCs w:val="1"/>
          <w:sz w:val="28"/>
          <w:szCs w:val="28"/>
          <w:highlight w:val="green"/>
        </w:rPr>
        <w:t>Governance</w:t>
      </w:r>
      <w:r>
        <w:rPr>
          <w:bCs w:val="1"/>
          <w:sz w:val="28"/>
          <w:szCs w:val="28"/>
          <w:highlight w:val="green"/>
          <w:lang w:val="ru-RU"/>
        </w:rPr>
        <w:t>_</w:t>
      </w:r>
      <w:r>
        <w:rPr>
          <w:bCs w:val="1"/>
          <w:sz w:val="28"/>
          <w:szCs w:val="28"/>
          <w:highlight w:val="green"/>
        </w:rPr>
        <w:t>Report</w:t>
      </w:r>
      <w:r>
        <w:rPr>
          <w:bCs w:val="1"/>
          <w:sz w:val="28"/>
          <w:szCs w:val="28"/>
          <w:highlight w:val="green"/>
          <w:lang w:val="ru-RU"/>
        </w:rPr>
        <w:t>_2019.</w:t>
      </w:r>
      <w:r>
        <w:rPr>
          <w:bCs w:val="1"/>
          <w:sz w:val="28"/>
          <w:szCs w:val="28"/>
          <w:highlight w:val="green"/>
        </w:rPr>
        <w:t>pdf</w:t>
      </w:r>
      <w:r>
        <w:rPr>
          <w:bCs w:val="1"/>
          <w:sz w:val="28"/>
          <w:szCs w:val="28"/>
          <w:highlight w:val="green"/>
          <w:lang w:val="ru-RU"/>
        </w:rPr>
        <w:t xml:space="preserve"> </w:t>
      </w:r>
      <w:r>
        <w:rPr>
          <w:sz w:val="28"/>
          <w:szCs w:val="28"/>
          <w:highlight w:val="green"/>
          <w:lang w:val="ru-RU"/>
        </w:rPr>
        <w:t>(дата обращения 18.11.2022).</w:t>
      </w:r>
    </w:p>
    <w:p>
      <w:pPr>
        <w:pStyle w:val="P15"/>
        <w:widowControl w:val="1"/>
        <w:numPr>
          <w:ilvl w:val="0"/>
          <w:numId w:val="6"/>
        </w:numPr>
        <w:spacing w:lineRule="auto" w:line="360" w:beforeAutospacing="0" w:afterAutospacing="0"/>
        <w:ind w:firstLine="709" w:left="0"/>
        <w:contextualSpacing w:val="1"/>
        <w:jc w:val="both"/>
        <w:rPr>
          <w:bCs w:val="1"/>
          <w:sz w:val="28"/>
          <w:szCs w:val="28"/>
          <w:highlight w:val="green"/>
        </w:rPr>
      </w:pPr>
      <w:r>
        <w:rPr>
          <w:bCs w:val="1"/>
          <w:sz w:val="28"/>
          <w:szCs w:val="28"/>
          <w:highlight w:val="green"/>
        </w:rPr>
        <w:t xml:space="preserve">Molina G., M. Montoya-Aguirre, E. Ortiz-Juarez </w:t>
      </w:r>
      <w:bookmarkEnd w:id="86"/>
      <w:r>
        <w:rPr>
          <w:bCs w:val="1"/>
          <w:sz w:val="28"/>
          <w:szCs w:val="28"/>
          <w:highlight w:val="green"/>
        </w:rPr>
        <w:t xml:space="preserve">Addressing the cost-of-living crisis in developing countries: Poverty and vulnerability projections and policy responses. United Nations Development Programme. </w:t>
      </w:r>
      <w:r>
        <w:rPr>
          <w:sz w:val="28"/>
          <w:szCs w:val="28"/>
          <w:highlight w:val="green"/>
        </w:rPr>
        <w:t>[</w:t>
      </w:r>
      <w:r>
        <w:rPr>
          <w:sz w:val="28"/>
          <w:szCs w:val="28"/>
          <w:highlight w:val="green"/>
          <w:lang w:val="ru-RU"/>
        </w:rPr>
        <w:t>Электронный</w:t>
      </w:r>
      <w:r>
        <w:rPr>
          <w:sz w:val="28"/>
          <w:szCs w:val="28"/>
          <w:highlight w:val="green"/>
        </w:rPr>
        <w:t xml:space="preserve"> </w:t>
      </w:r>
      <w:r>
        <w:rPr>
          <w:sz w:val="28"/>
          <w:szCs w:val="28"/>
          <w:highlight w:val="green"/>
          <w:lang w:val="ru-RU"/>
        </w:rPr>
        <w:t>ресурс</w:t>
      </w:r>
      <w:r>
        <w:rPr>
          <w:sz w:val="28"/>
          <w:szCs w:val="28"/>
          <w:highlight w:val="green"/>
        </w:rPr>
        <w:t xml:space="preserve">]. </w:t>
      </w:r>
      <w:r>
        <w:rPr>
          <w:sz w:val="28"/>
          <w:szCs w:val="28"/>
          <w:highlight w:val="green"/>
          <w:lang w:val="ru-RU"/>
        </w:rPr>
        <w:t>Режим</w:t>
      </w:r>
      <w:r>
        <w:rPr>
          <w:sz w:val="28"/>
          <w:szCs w:val="28"/>
          <w:highlight w:val="green"/>
        </w:rPr>
        <w:t xml:space="preserve"> </w:t>
      </w:r>
      <w:r>
        <w:rPr>
          <w:sz w:val="28"/>
          <w:szCs w:val="28"/>
          <w:highlight w:val="green"/>
          <w:lang w:val="ru-RU"/>
        </w:rPr>
        <w:t>доступа</w:t>
      </w:r>
      <w:r>
        <w:rPr>
          <w:sz w:val="28"/>
          <w:szCs w:val="28"/>
          <w:highlight w:val="green"/>
        </w:rPr>
        <w:t xml:space="preserve">: </w:t>
      </w:r>
      <w:r>
        <w:rPr>
          <w:bCs w:val="1"/>
          <w:sz w:val="28"/>
          <w:szCs w:val="28"/>
          <w:highlight w:val="green"/>
        </w:rPr>
        <w:t xml:space="preserve">https://www.undp.org/sites/g/files/zskgke326/files/2022-07/Addressing-the-cost-of-living-crisis-in-vulnerable-countries.pdf </w:t>
      </w:r>
      <w:r>
        <w:rPr>
          <w:sz w:val="28"/>
          <w:szCs w:val="28"/>
          <w:highlight w:val="green"/>
        </w:rPr>
        <w:t>(</w:t>
      </w:r>
      <w:r>
        <w:rPr>
          <w:sz w:val="28"/>
          <w:szCs w:val="28"/>
          <w:highlight w:val="green"/>
          <w:lang w:val="ru-RU"/>
        </w:rPr>
        <w:t>дата</w:t>
      </w:r>
      <w:r>
        <w:rPr>
          <w:sz w:val="28"/>
          <w:szCs w:val="28"/>
          <w:highlight w:val="green"/>
        </w:rPr>
        <w:t xml:space="preserve"> </w:t>
      </w:r>
      <w:r>
        <w:rPr>
          <w:sz w:val="28"/>
          <w:szCs w:val="28"/>
          <w:highlight w:val="green"/>
          <w:lang w:val="ru-RU"/>
        </w:rPr>
        <w:t>обращения</w:t>
      </w:r>
      <w:r>
        <w:rPr>
          <w:sz w:val="28"/>
          <w:szCs w:val="28"/>
          <w:highlight w:val="green"/>
        </w:rPr>
        <w:t xml:space="preserve"> 05.02.2023).</w:t>
      </w:r>
    </w:p>
    <w:p>
      <w:pPr>
        <w:pStyle w:val="P15"/>
        <w:widowControl w:val="1"/>
        <w:numPr>
          <w:ilvl w:val="0"/>
          <w:numId w:val="6"/>
        </w:numPr>
        <w:spacing w:lineRule="auto" w:line="360" w:beforeAutospacing="0" w:afterAutospacing="0"/>
        <w:ind w:firstLine="709" w:left="0"/>
        <w:contextualSpacing w:val="1"/>
        <w:jc w:val="both"/>
        <w:rPr>
          <w:bCs w:val="1"/>
          <w:sz w:val="28"/>
          <w:szCs w:val="28"/>
          <w:highlight w:val="green"/>
        </w:rPr>
      </w:pPr>
      <w:r>
        <w:rPr>
          <w:bCs w:val="1"/>
          <w:sz w:val="28"/>
          <w:szCs w:val="28"/>
          <w:highlight w:val="green"/>
        </w:rPr>
        <w:t>Murphy P.E. An evolution: Corporate social responsiveness // University of Michigan Business Review. 1978. 30(6). pp. 19–25.</w:t>
      </w:r>
    </w:p>
    <w:p>
      <w:pPr>
        <w:pStyle w:val="P15"/>
        <w:widowControl w:val="1"/>
        <w:numPr>
          <w:ilvl w:val="0"/>
          <w:numId w:val="6"/>
        </w:numPr>
        <w:spacing w:lineRule="auto" w:line="360" w:beforeAutospacing="0" w:afterAutospacing="0"/>
        <w:ind w:firstLine="709" w:left="0"/>
        <w:contextualSpacing w:val="1"/>
        <w:jc w:val="both"/>
        <w:rPr>
          <w:bCs w:val="1"/>
          <w:sz w:val="28"/>
          <w:szCs w:val="28"/>
          <w:highlight w:val="yellow"/>
        </w:rPr>
      </w:pPr>
      <w:r>
        <w:rPr>
          <w:bCs w:val="1"/>
          <w:sz w:val="28"/>
          <w:szCs w:val="28"/>
          <w:highlight w:val="green"/>
        </w:rPr>
        <w:t>Muuls M. Exporters and Credit Constraints. A Firm-Level Approach // National Bank of Belgium Discussion Paper 139. Brussels: NBB, 2008. 74 р.</w:t>
      </w:r>
    </w:p>
    <w:p>
      <w:pPr>
        <w:pStyle w:val="P15"/>
        <w:widowControl w:val="1"/>
        <w:numPr>
          <w:ilvl w:val="0"/>
          <w:numId w:val="6"/>
        </w:numPr>
        <w:spacing w:lineRule="auto" w:line="360" w:beforeAutospacing="0" w:afterAutospacing="0"/>
        <w:ind w:firstLine="709" w:left="0"/>
        <w:contextualSpacing w:val="1"/>
        <w:jc w:val="both"/>
        <w:rPr>
          <w:bCs w:val="1"/>
          <w:sz w:val="28"/>
          <w:szCs w:val="28"/>
          <w:highlight w:val="green"/>
        </w:rPr>
      </w:pPr>
      <w:r>
        <w:rPr>
          <w:bCs w:val="1"/>
          <w:sz w:val="28"/>
          <w:szCs w:val="28"/>
          <w:highlight w:val="green"/>
        </w:rPr>
        <w:t>Ngo M.A. Exporting and Firm-Level Financial Constraints. Chapel Hill: Mimeo and University of North Carolina, 2008. 96 р.</w:t>
      </w:r>
    </w:p>
    <w:p>
      <w:pPr>
        <w:pStyle w:val="P13"/>
        <w:numPr>
          <w:ilvl w:val="0"/>
          <w:numId w:val="6"/>
        </w:numPr>
        <w:spacing w:lineRule="auto" w:line="360" w:beforeAutospacing="0" w:afterAutospacing="0"/>
        <w:ind w:firstLine="709" w:left="0"/>
        <w:jc w:val="both"/>
        <w:rPr>
          <w:bCs w:val="1"/>
          <w:sz w:val="28"/>
          <w:szCs w:val="28"/>
          <w:highlight w:val="green"/>
        </w:rPr>
      </w:pPr>
      <w:r>
        <w:rPr>
          <w:bCs w:val="1"/>
          <w:sz w:val="28"/>
          <w:szCs w:val="28"/>
          <w:highlight w:val="green"/>
        </w:rPr>
        <w:t xml:space="preserve">Oberseder M., Schlegelmilch B.B., Gruber V. Why don’t consumers care about CSR? A qualitative study exploring the role of CSR in consumption decisions // Journal of Business Ethics. 2011. 104(4). pp. 449–460. </w:t>
      </w:r>
    </w:p>
    <w:p>
      <w:pPr>
        <w:pStyle w:val="P13"/>
        <w:numPr>
          <w:ilvl w:val="0"/>
          <w:numId w:val="6"/>
        </w:numPr>
        <w:spacing w:lineRule="auto" w:line="360" w:beforeAutospacing="0" w:afterAutospacing="0"/>
        <w:ind w:firstLine="709" w:left="0"/>
        <w:jc w:val="both"/>
        <w:rPr>
          <w:bCs w:val="1"/>
          <w:sz w:val="28"/>
          <w:szCs w:val="28"/>
          <w:highlight w:val="green"/>
        </w:rPr>
      </w:pPr>
      <w:r>
        <w:rPr>
          <w:bCs w:val="1"/>
          <w:sz w:val="28"/>
          <w:szCs w:val="28"/>
          <w:highlight w:val="green"/>
        </w:rPr>
        <w:t>Olawumi T., Chan D.</w:t>
      </w:r>
      <w:r>
        <w:t xml:space="preserve"> </w:t>
      </w:r>
      <w:r>
        <w:rPr>
          <w:bCs w:val="1"/>
          <w:sz w:val="28"/>
          <w:szCs w:val="28"/>
        </w:rPr>
        <w:t>W.M.</w:t>
      </w:r>
      <w:r>
        <w:rPr>
          <w:bCs w:val="1"/>
          <w:sz w:val="28"/>
          <w:szCs w:val="28"/>
          <w:highlight w:val="green"/>
          <w:lang w:val="en-GB"/>
        </w:rPr>
        <w:t xml:space="preserve"> </w:t>
      </w:r>
      <w:r>
        <w:rPr>
          <w:bCs w:val="1"/>
          <w:sz w:val="28"/>
          <w:szCs w:val="28"/>
          <w:highlight w:val="green"/>
        </w:rPr>
        <w:t xml:space="preserve">A scientometric review of global research on sustainability and sustainable development // Journal of Cleaner Production. 2018. 183. pp. 231–250. </w:t>
      </w:r>
      <w:bookmarkStart w:id="87" w:name="_Hlk137397362"/>
    </w:p>
    <w:p>
      <w:pPr>
        <w:pStyle w:val="P13"/>
        <w:numPr>
          <w:ilvl w:val="0"/>
          <w:numId w:val="6"/>
        </w:numPr>
        <w:spacing w:lineRule="auto" w:line="360" w:beforeAutospacing="0" w:afterAutospacing="0"/>
        <w:ind w:firstLine="709" w:left="0"/>
        <w:jc w:val="both"/>
        <w:rPr>
          <w:bCs w:val="1"/>
          <w:sz w:val="28"/>
          <w:szCs w:val="28"/>
          <w:highlight w:val="green"/>
        </w:rPr>
      </w:pPr>
      <w:r>
        <w:rPr>
          <w:bCs w:val="1"/>
          <w:sz w:val="28"/>
          <w:szCs w:val="28"/>
          <w:highlight w:val="green"/>
        </w:rPr>
        <w:t xml:space="preserve">Oloruntoba S.O. </w:t>
      </w:r>
      <w:bookmarkEnd w:id="87"/>
      <w:r>
        <w:rPr>
          <w:bCs w:val="1"/>
          <w:sz w:val="28"/>
          <w:szCs w:val="28"/>
          <w:highlight w:val="green"/>
        </w:rPr>
        <w:t>ECOWAS and Regional Integration in West Africa: From State to Private Authority // History Compass. 2016. Vol 14, Issue 7. pp. 295–303.</w:t>
      </w:r>
    </w:p>
    <w:p>
      <w:pPr>
        <w:pStyle w:val="P15"/>
        <w:widowControl w:val="1"/>
        <w:numPr>
          <w:ilvl w:val="0"/>
          <w:numId w:val="6"/>
        </w:numPr>
        <w:spacing w:lineRule="auto" w:line="360" w:beforeAutospacing="0" w:afterAutospacing="0"/>
        <w:ind w:firstLine="709" w:left="0"/>
        <w:contextualSpacing w:val="1"/>
        <w:jc w:val="both"/>
        <w:rPr>
          <w:bCs w:val="1"/>
          <w:sz w:val="28"/>
          <w:szCs w:val="28"/>
          <w:highlight w:val="green"/>
        </w:rPr>
      </w:pPr>
      <w:r>
        <w:rPr>
          <w:bCs w:val="1"/>
          <w:sz w:val="28"/>
          <w:szCs w:val="28"/>
          <w:highlight w:val="green"/>
        </w:rPr>
        <w:t>O’Riordan, L. Managing sustainable stakeholder relationships: Corporate approaches to responsible management // Sustainability, ethics &amp; governance series / S. O. Idowu &amp; R. Schmidpeter (Eds.). Heidelberg: Springer, 2017. рр. 125-144.</w:t>
      </w:r>
    </w:p>
    <w:p>
      <w:pPr>
        <w:pStyle w:val="P15"/>
        <w:widowControl w:val="1"/>
        <w:numPr>
          <w:ilvl w:val="0"/>
          <w:numId w:val="6"/>
        </w:numPr>
        <w:spacing w:lineRule="auto" w:line="360" w:beforeAutospacing="0" w:afterAutospacing="0"/>
        <w:ind w:firstLine="709" w:left="0"/>
        <w:contextualSpacing w:val="1"/>
        <w:jc w:val="both"/>
        <w:rPr>
          <w:bCs w:val="1"/>
          <w:sz w:val="28"/>
          <w:szCs w:val="28"/>
          <w:highlight w:val="green"/>
        </w:rPr>
      </w:pPr>
      <w:r>
        <w:rPr>
          <w:bCs w:val="1"/>
          <w:sz w:val="28"/>
          <w:szCs w:val="28"/>
          <w:highlight w:val="green"/>
        </w:rPr>
        <w:t xml:space="preserve">Orok R. An overview of corporate globalisation and the nonglobalisation of corporate citizenship in Africa // Corporate citizenship in Africa. Lessons from the past – Paths to the future / W. Visser, M. McIntosh, C. Middelton (Eds.). Sheffield in England: Greenleaf Publishing Ltd., 2006. pp. 250–260. </w:t>
      </w:r>
    </w:p>
    <w:p>
      <w:pPr>
        <w:pStyle w:val="P13"/>
        <w:numPr>
          <w:ilvl w:val="0"/>
          <w:numId w:val="6"/>
        </w:numPr>
        <w:spacing w:lineRule="auto" w:line="360" w:beforeAutospacing="0" w:afterAutospacing="0"/>
        <w:ind w:firstLine="709" w:left="0"/>
        <w:jc w:val="both"/>
        <w:rPr>
          <w:bCs w:val="1"/>
          <w:sz w:val="28"/>
          <w:szCs w:val="28"/>
          <w:highlight w:val="green"/>
        </w:rPr>
      </w:pPr>
      <w:r>
        <w:rPr>
          <w:bCs w:val="1"/>
          <w:sz w:val="28"/>
          <w:szCs w:val="28"/>
          <w:highlight w:val="green"/>
        </w:rPr>
        <w:t xml:space="preserve">Osabuohien E. Guest Editorial: Labour Issues in Africa’s Agricultural and Rural Transformation // African Journal of Economic and Management Studies. 2020. 11(2). pp. 185–191. </w:t>
      </w:r>
      <w:bookmarkStart w:id="88" w:name="_Hlk137397033"/>
    </w:p>
    <w:p>
      <w:pPr>
        <w:pStyle w:val="P13"/>
        <w:numPr>
          <w:ilvl w:val="0"/>
          <w:numId w:val="6"/>
        </w:numPr>
        <w:spacing w:lineRule="auto" w:line="360" w:beforeAutospacing="0" w:afterAutospacing="0"/>
        <w:ind w:firstLine="709" w:left="0"/>
        <w:jc w:val="both"/>
        <w:rPr>
          <w:bCs w:val="1"/>
          <w:sz w:val="28"/>
          <w:szCs w:val="28"/>
          <w:highlight w:val="green"/>
        </w:rPr>
      </w:pPr>
      <w:r>
        <w:rPr>
          <w:bCs w:val="1"/>
          <w:sz w:val="28"/>
          <w:szCs w:val="28"/>
          <w:highlight w:val="green"/>
        </w:rPr>
        <w:t>Osabohien</w:t>
      </w:r>
      <w:bookmarkEnd w:id="88"/>
      <w:r>
        <w:rPr>
          <w:bCs w:val="1"/>
          <w:sz w:val="28"/>
          <w:szCs w:val="28"/>
          <w:highlight w:val="green"/>
        </w:rPr>
        <w:t xml:space="preserve"> R., Matthew O., Ohalete P., Population-Poverty-Inequality Nexus and Social Protection in Africa // Social Indicators Research. 2020. 151(2). pp. 575–598. </w:t>
      </w:r>
    </w:p>
    <w:p>
      <w:pPr>
        <w:pStyle w:val="P15"/>
        <w:widowControl w:val="1"/>
        <w:numPr>
          <w:ilvl w:val="0"/>
          <w:numId w:val="6"/>
        </w:numPr>
        <w:spacing w:lineRule="auto" w:line="360" w:beforeAutospacing="0" w:afterAutospacing="0"/>
        <w:ind w:firstLine="709" w:left="0"/>
        <w:contextualSpacing w:val="1"/>
        <w:jc w:val="both"/>
        <w:rPr>
          <w:bCs w:val="1"/>
          <w:sz w:val="28"/>
          <w:szCs w:val="28"/>
          <w:highlight w:val="green"/>
          <w:lang w:val="ru-RU"/>
        </w:rPr>
      </w:pPr>
      <w:r>
        <w:rPr>
          <w:bCs w:val="1"/>
          <w:sz w:val="28"/>
          <w:szCs w:val="28"/>
          <w:highlight w:val="green"/>
        </w:rPr>
        <w:t xml:space="preserve">Ozturk B., Mrkaic M. SMEs’ Access to Finance in the Euro Area: What Helps or Hampers? </w:t>
      </w:r>
      <w:r>
        <w:rPr>
          <w:bCs w:val="1"/>
          <w:sz w:val="28"/>
          <w:szCs w:val="28"/>
          <w:highlight w:val="green"/>
          <w:lang w:val="ru-RU"/>
        </w:rPr>
        <w:t>(</w:t>
      </w:r>
      <w:r>
        <w:rPr>
          <w:bCs w:val="1"/>
          <w:sz w:val="28"/>
          <w:szCs w:val="28"/>
          <w:highlight w:val="green"/>
        </w:rPr>
        <w:t>IMF</w:t>
      </w:r>
      <w:r>
        <w:rPr>
          <w:bCs w:val="1"/>
          <w:sz w:val="28"/>
          <w:szCs w:val="28"/>
          <w:highlight w:val="green"/>
          <w:lang w:val="ru-RU"/>
        </w:rPr>
        <w:t xml:space="preserve"> </w:t>
      </w:r>
      <w:r>
        <w:rPr>
          <w:bCs w:val="1"/>
          <w:sz w:val="28"/>
          <w:szCs w:val="28"/>
          <w:highlight w:val="green"/>
        </w:rPr>
        <w:t>Working</w:t>
      </w:r>
      <w:r>
        <w:rPr>
          <w:bCs w:val="1"/>
          <w:sz w:val="28"/>
          <w:szCs w:val="28"/>
          <w:highlight w:val="green"/>
          <w:lang w:val="ru-RU"/>
        </w:rPr>
        <w:t xml:space="preserve"> </w:t>
      </w:r>
      <w:r>
        <w:rPr>
          <w:bCs w:val="1"/>
          <w:sz w:val="28"/>
          <w:szCs w:val="28"/>
          <w:highlight w:val="green"/>
        </w:rPr>
        <w:t>Paper</w:t>
      </w:r>
      <w:r>
        <w:rPr>
          <w:bCs w:val="1"/>
          <w:sz w:val="28"/>
          <w:szCs w:val="28"/>
          <w:highlight w:val="green"/>
          <w:lang w:val="ru-RU"/>
        </w:rPr>
        <w:t xml:space="preserve"> </w:t>
      </w:r>
      <w:r>
        <w:rPr>
          <w:bCs w:val="1"/>
          <w:sz w:val="28"/>
          <w:szCs w:val="28"/>
          <w:highlight w:val="green"/>
        </w:rPr>
        <w:t>WP</w:t>
      </w:r>
      <w:r>
        <w:rPr>
          <w:bCs w:val="1"/>
          <w:sz w:val="28"/>
          <w:szCs w:val="28"/>
          <w:highlight w:val="green"/>
          <w:lang w:val="ru-RU"/>
        </w:rPr>
        <w:t xml:space="preserve">/14/78). </w:t>
      </w:r>
      <w:r>
        <w:rPr>
          <w:sz w:val="28"/>
          <w:szCs w:val="28"/>
          <w:highlight w:val="green"/>
          <w:lang w:val="ru-RU"/>
        </w:rPr>
        <w:t>[Электронный ресурс]. Режим доступа:</w:t>
      </w:r>
      <w:r>
        <w:rPr>
          <w:bCs w:val="1"/>
          <w:sz w:val="28"/>
          <w:szCs w:val="28"/>
          <w:highlight w:val="green"/>
          <w:lang w:val="ru-RU"/>
        </w:rPr>
        <w:t xml:space="preserve"> </w:t>
      </w:r>
      <w:r>
        <w:rPr>
          <w:bCs w:val="1"/>
          <w:sz w:val="28"/>
          <w:szCs w:val="28"/>
          <w:highlight w:val="green"/>
        </w:rPr>
        <w:t>https</w:t>
      </w:r>
      <w:r>
        <w:rPr>
          <w:bCs w:val="1"/>
          <w:sz w:val="28"/>
          <w:szCs w:val="28"/>
          <w:highlight w:val="green"/>
          <w:lang w:val="ru-RU"/>
        </w:rPr>
        <w:t>://</w:t>
      </w:r>
      <w:r>
        <w:rPr>
          <w:bCs w:val="1"/>
          <w:sz w:val="28"/>
          <w:szCs w:val="28"/>
          <w:highlight w:val="green"/>
        </w:rPr>
        <w:t>www</w:t>
      </w:r>
      <w:r>
        <w:rPr>
          <w:bCs w:val="1"/>
          <w:sz w:val="28"/>
          <w:szCs w:val="28"/>
          <w:highlight w:val="green"/>
          <w:lang w:val="ru-RU"/>
        </w:rPr>
        <w:t>.</w:t>
      </w:r>
      <w:r>
        <w:rPr>
          <w:bCs w:val="1"/>
          <w:sz w:val="28"/>
          <w:szCs w:val="28"/>
          <w:highlight w:val="green"/>
        </w:rPr>
        <w:t>imf</w:t>
      </w:r>
      <w:r>
        <w:rPr>
          <w:bCs w:val="1"/>
          <w:sz w:val="28"/>
          <w:szCs w:val="28"/>
          <w:highlight w:val="green"/>
          <w:lang w:val="ru-RU"/>
        </w:rPr>
        <w:t>.</w:t>
      </w:r>
      <w:r>
        <w:rPr>
          <w:bCs w:val="1"/>
          <w:sz w:val="28"/>
          <w:szCs w:val="28"/>
          <w:highlight w:val="green"/>
        </w:rPr>
        <w:t>org</w:t>
      </w:r>
      <w:r>
        <w:rPr>
          <w:bCs w:val="1"/>
          <w:sz w:val="28"/>
          <w:szCs w:val="28"/>
          <w:highlight w:val="green"/>
          <w:lang w:val="ru-RU"/>
        </w:rPr>
        <w:t>/</w:t>
      </w:r>
      <w:r>
        <w:rPr>
          <w:bCs w:val="1"/>
          <w:sz w:val="28"/>
          <w:szCs w:val="28"/>
          <w:highlight w:val="green"/>
        </w:rPr>
        <w:t>external</w:t>
      </w:r>
      <w:r>
        <w:rPr>
          <w:bCs w:val="1"/>
          <w:sz w:val="28"/>
          <w:szCs w:val="28"/>
          <w:highlight w:val="green"/>
          <w:lang w:val="ru-RU"/>
        </w:rPr>
        <w:t>/</w:t>
      </w:r>
      <w:r>
        <w:rPr>
          <w:bCs w:val="1"/>
          <w:sz w:val="28"/>
          <w:szCs w:val="28"/>
          <w:highlight w:val="green"/>
        </w:rPr>
        <w:t>pubs</w:t>
      </w:r>
      <w:r>
        <w:rPr>
          <w:bCs w:val="1"/>
          <w:sz w:val="28"/>
          <w:szCs w:val="28"/>
          <w:highlight w:val="green"/>
          <w:lang w:val="ru-RU"/>
        </w:rPr>
        <w:t>/</w:t>
      </w:r>
      <w:r>
        <w:rPr>
          <w:bCs w:val="1"/>
          <w:sz w:val="28"/>
          <w:szCs w:val="28"/>
          <w:highlight w:val="green"/>
        </w:rPr>
        <w:t>ft</w:t>
      </w:r>
      <w:r>
        <w:rPr>
          <w:bCs w:val="1"/>
          <w:sz w:val="28"/>
          <w:szCs w:val="28"/>
          <w:highlight w:val="green"/>
          <w:lang w:val="ru-RU"/>
        </w:rPr>
        <w:t>/</w:t>
      </w:r>
      <w:r>
        <w:rPr>
          <w:bCs w:val="1"/>
          <w:sz w:val="28"/>
          <w:szCs w:val="28"/>
          <w:highlight w:val="green"/>
        </w:rPr>
        <w:t>wp</w:t>
      </w:r>
      <w:r>
        <w:rPr>
          <w:bCs w:val="1"/>
          <w:sz w:val="28"/>
          <w:szCs w:val="28"/>
          <w:highlight w:val="green"/>
          <w:lang w:val="ru-RU"/>
        </w:rPr>
        <w:t>/2014/</w:t>
      </w:r>
      <w:r>
        <w:rPr>
          <w:bCs w:val="1"/>
          <w:sz w:val="28"/>
          <w:szCs w:val="28"/>
          <w:highlight w:val="green"/>
        </w:rPr>
        <w:t>wp</w:t>
      </w:r>
      <w:r>
        <w:rPr>
          <w:bCs w:val="1"/>
          <w:sz w:val="28"/>
          <w:szCs w:val="28"/>
          <w:highlight w:val="green"/>
          <w:lang w:val="ru-RU"/>
        </w:rPr>
        <w:t>1478.</w:t>
      </w:r>
      <w:r>
        <w:rPr>
          <w:bCs w:val="1"/>
          <w:sz w:val="28"/>
          <w:szCs w:val="28"/>
          <w:highlight w:val="green"/>
        </w:rPr>
        <w:t>pdf</w:t>
      </w:r>
      <w:r>
        <w:rPr>
          <w:bCs w:val="1"/>
          <w:sz w:val="28"/>
          <w:szCs w:val="28"/>
          <w:highlight w:val="green"/>
          <w:lang w:val="ru-RU"/>
        </w:rPr>
        <w:t xml:space="preserve">. </w:t>
      </w:r>
      <w:r>
        <w:rPr>
          <w:sz w:val="28"/>
          <w:szCs w:val="28"/>
          <w:highlight w:val="green"/>
          <w:lang w:val="ru-RU"/>
        </w:rPr>
        <w:t>(дата обращения 11.02.2023).</w:t>
      </w:r>
    </w:p>
    <w:p>
      <w:pPr>
        <w:pStyle w:val="P15"/>
        <w:widowControl w:val="1"/>
        <w:numPr>
          <w:ilvl w:val="0"/>
          <w:numId w:val="6"/>
        </w:numPr>
        <w:spacing w:lineRule="auto" w:line="360" w:beforeAutospacing="0" w:afterAutospacing="0"/>
        <w:ind w:firstLine="709" w:left="0" w:right="-143"/>
        <w:contextualSpacing w:val="1"/>
        <w:jc w:val="both"/>
        <w:rPr>
          <w:rFonts w:eastAsia="StoneSerifStd-Medium"/>
          <w:bCs w:val="1"/>
          <w:sz w:val="28"/>
          <w:szCs w:val="28"/>
          <w:highlight w:val="green"/>
          <w:lang w:val="ru-RU"/>
        </w:rPr>
      </w:pPr>
      <w:r>
        <w:rPr>
          <w:rFonts w:eastAsia="StoneSerifStd-Medium"/>
          <w:bCs w:val="1"/>
          <w:sz w:val="28"/>
          <w:szCs w:val="28"/>
          <w:highlight w:val="green"/>
        </w:rPr>
        <w:t>PASW</w:t>
      </w:r>
      <w:r>
        <w:rPr>
          <w:rFonts w:eastAsia="StoneSerifStd-Medium"/>
          <w:bCs w:val="1"/>
          <w:sz w:val="28"/>
          <w:szCs w:val="28"/>
          <w:highlight w:val="green"/>
          <w:lang w:val="ru-RU"/>
        </w:rPr>
        <w:t xml:space="preserve"> </w:t>
      </w:r>
      <w:r>
        <w:rPr>
          <w:rFonts w:eastAsia="StoneSerifStd-Medium"/>
          <w:bCs w:val="1"/>
          <w:sz w:val="28"/>
          <w:szCs w:val="28"/>
          <w:highlight w:val="green"/>
        </w:rPr>
        <w:t>Missing</w:t>
      </w:r>
      <w:r>
        <w:rPr>
          <w:rFonts w:eastAsia="StoneSerifStd-Medium"/>
          <w:bCs w:val="1"/>
          <w:sz w:val="28"/>
          <w:szCs w:val="28"/>
          <w:highlight w:val="green"/>
          <w:lang w:val="ru-RU"/>
        </w:rPr>
        <w:t xml:space="preserve"> </w:t>
      </w:r>
      <w:r>
        <w:rPr>
          <w:rFonts w:eastAsia="StoneSerifStd-Medium"/>
          <w:bCs w:val="1"/>
          <w:sz w:val="28"/>
          <w:szCs w:val="28"/>
          <w:highlight w:val="green"/>
        </w:rPr>
        <w:t>Values</w:t>
      </w:r>
      <w:r>
        <w:rPr>
          <w:rFonts w:eastAsia="StoneSerifStd-Medium"/>
          <w:bCs w:val="1"/>
          <w:sz w:val="28"/>
          <w:szCs w:val="28"/>
          <w:highlight w:val="green"/>
          <w:lang w:val="ru-RU"/>
        </w:rPr>
        <w:t xml:space="preserve"> </w:t>
      </w:r>
      <w:r>
        <w:rPr>
          <w:sz w:val="28"/>
          <w:szCs w:val="28"/>
          <w:highlight w:val="green"/>
          <w:lang w:val="ru-RU"/>
        </w:rPr>
        <w:t>[Электронный ресурс]. Режим доступа:</w:t>
      </w:r>
      <w:r>
        <w:rPr>
          <w:rFonts w:eastAsia="StoneSerifStd-Medium"/>
          <w:bCs w:val="1"/>
          <w:sz w:val="28"/>
          <w:szCs w:val="28"/>
          <w:highlight w:val="green"/>
        </w:rPr>
        <w:t>http</w:t>
      </w:r>
      <w:r>
        <w:rPr>
          <w:rFonts w:eastAsia="StoneSerifStd-Medium"/>
          <w:bCs w:val="1"/>
          <w:sz w:val="28"/>
          <w:szCs w:val="28"/>
          <w:highlight w:val="green"/>
          <w:lang w:val="ru-RU"/>
        </w:rPr>
        <w:t>://</w:t>
      </w:r>
      <w:r>
        <w:rPr>
          <w:rFonts w:eastAsia="StoneSerifStd-Medium"/>
          <w:bCs w:val="1"/>
          <w:sz w:val="28"/>
          <w:szCs w:val="28"/>
          <w:highlight w:val="green"/>
        </w:rPr>
        <w:t>aitrs</w:t>
      </w:r>
      <w:r>
        <w:rPr>
          <w:rFonts w:eastAsia="StoneSerifStd-Medium"/>
          <w:bCs w:val="1"/>
          <w:sz w:val="28"/>
          <w:szCs w:val="28"/>
          <w:highlight w:val="green"/>
          <w:lang w:val="ru-RU"/>
        </w:rPr>
        <w:t>.</w:t>
      </w:r>
      <w:r>
        <w:rPr>
          <w:rFonts w:eastAsia="StoneSerifStd-Medium"/>
          <w:bCs w:val="1"/>
          <w:sz w:val="28"/>
          <w:szCs w:val="28"/>
          <w:highlight w:val="green"/>
        </w:rPr>
        <w:t>org</w:t>
      </w:r>
      <w:r>
        <w:rPr>
          <w:rFonts w:eastAsia="StoneSerifStd-Medium"/>
          <w:bCs w:val="1"/>
          <w:sz w:val="28"/>
          <w:szCs w:val="28"/>
          <w:highlight w:val="green"/>
          <w:lang w:val="ru-RU"/>
        </w:rPr>
        <w:t>/</w:t>
      </w:r>
      <w:r>
        <w:rPr>
          <w:rFonts w:eastAsia="StoneSerifStd-Medium"/>
          <w:bCs w:val="1"/>
          <w:sz w:val="28"/>
          <w:szCs w:val="28"/>
          <w:highlight w:val="green"/>
        </w:rPr>
        <w:t>Portals</w:t>
      </w:r>
      <w:r>
        <w:rPr>
          <w:rFonts w:eastAsia="StoneSerifStd-Medium"/>
          <w:bCs w:val="1"/>
          <w:sz w:val="28"/>
          <w:szCs w:val="28"/>
          <w:highlight w:val="green"/>
          <w:lang w:val="ru-RU"/>
        </w:rPr>
        <w:t>/_</w:t>
      </w:r>
      <w:r>
        <w:rPr>
          <w:rFonts w:eastAsia="StoneSerifStd-Medium"/>
          <w:bCs w:val="1"/>
          <w:sz w:val="28"/>
          <w:szCs w:val="28"/>
          <w:highlight w:val="green"/>
        </w:rPr>
        <w:t>PCBS</w:t>
      </w:r>
      <w:r>
        <w:rPr>
          <w:rFonts w:eastAsia="StoneSerifStd-Medium"/>
          <w:bCs w:val="1"/>
          <w:sz w:val="28"/>
          <w:szCs w:val="28"/>
          <w:highlight w:val="green"/>
          <w:lang w:val="ru-RU"/>
        </w:rPr>
        <w:t>/</w:t>
      </w:r>
      <w:r>
        <w:rPr>
          <w:rFonts w:eastAsia="StoneSerifStd-Medium"/>
          <w:bCs w:val="1"/>
          <w:sz w:val="28"/>
          <w:szCs w:val="28"/>
          <w:highlight w:val="green"/>
        </w:rPr>
        <w:t>Documents</w:t>
      </w:r>
      <w:r>
        <w:rPr>
          <w:rFonts w:eastAsia="StoneSerifStd-Medium"/>
          <w:bCs w:val="1"/>
          <w:sz w:val="28"/>
          <w:szCs w:val="28"/>
          <w:highlight w:val="green"/>
          <w:lang w:val="ru-RU"/>
        </w:rPr>
        <w:t>/7-%20</w:t>
      </w:r>
      <w:r>
        <w:rPr>
          <w:rFonts w:eastAsia="StoneSerifStd-Medium"/>
          <w:bCs w:val="1"/>
          <w:sz w:val="28"/>
          <w:szCs w:val="28"/>
          <w:highlight w:val="green"/>
        </w:rPr>
        <w:t>PASW</w:t>
      </w:r>
      <w:r>
        <w:rPr>
          <w:rFonts w:eastAsia="StoneSerifStd-Medium"/>
          <w:bCs w:val="1"/>
          <w:sz w:val="28"/>
          <w:szCs w:val="28"/>
          <w:highlight w:val="green"/>
          <w:lang w:val="ru-RU"/>
        </w:rPr>
        <w:t>%20</w:t>
      </w:r>
      <w:r>
        <w:rPr>
          <w:rFonts w:eastAsia="StoneSerifStd-Medium"/>
          <w:bCs w:val="1"/>
          <w:sz w:val="28"/>
          <w:szCs w:val="28"/>
          <w:highlight w:val="green"/>
        </w:rPr>
        <w:t>Missing</w:t>
      </w:r>
      <w:r>
        <w:rPr>
          <w:rFonts w:eastAsia="StoneSerifStd-Medium"/>
          <w:bCs w:val="1"/>
          <w:sz w:val="28"/>
          <w:szCs w:val="28"/>
          <w:highlight w:val="green"/>
          <w:lang w:val="ru-RU"/>
        </w:rPr>
        <w:t>%20</w:t>
      </w:r>
      <w:r>
        <w:rPr>
          <w:rFonts w:eastAsia="StoneSerifStd-Medium"/>
          <w:bCs w:val="1"/>
          <w:sz w:val="28"/>
          <w:szCs w:val="28"/>
          <w:highlight w:val="green"/>
        </w:rPr>
        <w:t>Values</w:t>
      </w:r>
      <w:r>
        <w:rPr>
          <w:rFonts w:eastAsia="StoneSerifStd-Medium"/>
          <w:bCs w:val="1"/>
          <w:sz w:val="28"/>
          <w:szCs w:val="28"/>
          <w:highlight w:val="green"/>
          <w:lang w:val="ru-RU"/>
        </w:rPr>
        <w:t>.</w:t>
      </w:r>
      <w:r>
        <w:rPr>
          <w:rFonts w:eastAsia="StoneSerifStd-Medium"/>
          <w:bCs w:val="1"/>
          <w:sz w:val="28"/>
          <w:szCs w:val="28"/>
          <w:highlight w:val="green"/>
        </w:rPr>
        <w:t>pdf</w:t>
      </w:r>
      <w:r>
        <w:rPr>
          <w:rFonts w:eastAsia="StoneSerifStd-Medium"/>
          <w:bCs w:val="1"/>
          <w:sz w:val="28"/>
          <w:szCs w:val="28"/>
          <w:highlight w:val="green"/>
          <w:lang w:val="ru-RU"/>
        </w:rPr>
        <w:t xml:space="preserve"> </w:t>
      </w:r>
      <w:r>
        <w:rPr>
          <w:sz w:val="28"/>
          <w:szCs w:val="28"/>
          <w:highlight w:val="green"/>
          <w:lang w:val="ru-RU"/>
        </w:rPr>
        <w:t>(дата обращения 14.04.2023).</w:t>
      </w:r>
    </w:p>
    <w:p>
      <w:pPr>
        <w:pStyle w:val="P13"/>
        <w:numPr>
          <w:ilvl w:val="0"/>
          <w:numId w:val="6"/>
        </w:numPr>
        <w:spacing w:lineRule="auto" w:line="360" w:beforeAutospacing="0" w:afterAutospacing="0"/>
        <w:ind w:firstLine="709" w:left="0"/>
        <w:jc w:val="both"/>
        <w:rPr>
          <w:bCs w:val="1"/>
          <w:sz w:val="28"/>
          <w:szCs w:val="28"/>
          <w:highlight w:val="green"/>
        </w:rPr>
      </w:pPr>
      <w:r>
        <w:rPr>
          <w:bCs w:val="1"/>
          <w:sz w:val="28"/>
          <w:szCs w:val="28"/>
          <w:highlight w:val="green"/>
        </w:rPr>
        <w:t xml:space="preserve">Pattberg P., Widerberg O. Transnational multistakeholder partnerships for sustainable development: Conditions for success // Ambio. 2016. 45(1). pp. 42–51. </w:t>
      </w:r>
    </w:p>
    <w:p>
      <w:pPr>
        <w:pStyle w:val="P15"/>
        <w:widowControl w:val="1"/>
        <w:numPr>
          <w:ilvl w:val="0"/>
          <w:numId w:val="6"/>
        </w:numPr>
        <w:spacing w:lineRule="auto" w:line="360" w:beforeAutospacing="0" w:afterAutospacing="0"/>
        <w:ind w:firstLine="709" w:left="0"/>
        <w:contextualSpacing w:val="1"/>
        <w:jc w:val="both"/>
        <w:rPr>
          <w:rFonts w:eastAsia="StoneSerifStd-Medium"/>
          <w:bCs w:val="1"/>
          <w:sz w:val="28"/>
          <w:szCs w:val="28"/>
          <w:highlight w:val="green"/>
        </w:rPr>
      </w:pPr>
      <w:r>
        <w:rPr>
          <w:rFonts w:eastAsia="StoneSerifStd-Medium"/>
          <w:bCs w:val="1"/>
          <w:sz w:val="28"/>
          <w:szCs w:val="28"/>
          <w:highlight w:val="green"/>
        </w:rPr>
        <w:t xml:space="preserve">Pavlou P., Gefen D. Building Effective Online Marketplaces with Institution-Based Trust // </w:t>
      </w:r>
      <w:r>
        <w:rPr>
          <w:rFonts w:eastAsia="StoneSerifStd-MediumItalic"/>
          <w:bCs w:val="1"/>
          <w:sz w:val="28"/>
          <w:szCs w:val="28"/>
          <w:highlight w:val="green"/>
        </w:rPr>
        <w:t xml:space="preserve">Information Systems Research. 2004. </w:t>
      </w:r>
      <w:r>
        <w:rPr>
          <w:rFonts w:eastAsia="StoneSerifStd-Medium"/>
          <w:bCs w:val="1"/>
          <w:sz w:val="28"/>
          <w:szCs w:val="28"/>
          <w:highlight w:val="green"/>
        </w:rPr>
        <w:t xml:space="preserve">15(1). </w:t>
      </w:r>
      <w:r>
        <w:rPr>
          <w:bCs w:val="1"/>
          <w:sz w:val="28"/>
          <w:szCs w:val="28"/>
          <w:highlight w:val="green"/>
        </w:rPr>
        <w:t>pp.</w:t>
      </w:r>
      <w:r>
        <w:rPr>
          <w:rFonts w:eastAsia="StoneSerifStd-Medium"/>
          <w:bCs w:val="1"/>
          <w:sz w:val="28"/>
          <w:szCs w:val="28"/>
          <w:highlight w:val="green"/>
        </w:rPr>
        <w:t xml:space="preserve"> 37–59.</w:t>
      </w:r>
    </w:p>
    <w:p>
      <w:pPr>
        <w:pStyle w:val="P15"/>
        <w:widowControl w:val="1"/>
        <w:numPr>
          <w:ilvl w:val="0"/>
          <w:numId w:val="6"/>
        </w:numPr>
        <w:spacing w:lineRule="auto" w:line="360" w:beforeAutospacing="0" w:afterAutospacing="0"/>
        <w:ind w:firstLine="709" w:left="0"/>
        <w:contextualSpacing w:val="1"/>
        <w:jc w:val="both"/>
        <w:rPr>
          <w:bCs w:val="1"/>
          <w:sz w:val="28"/>
          <w:szCs w:val="28"/>
          <w:highlight w:val="green"/>
        </w:rPr>
      </w:pPr>
      <w:r>
        <w:rPr>
          <w:bCs w:val="1"/>
          <w:sz w:val="28"/>
          <w:szCs w:val="28"/>
          <w:highlight w:val="green"/>
        </w:rPr>
        <w:t>Paz-Vega R. Corporate social responsibility in international settings. A critical realist perspective. Saarbrücken: VDM Verlag Dr. Müller, 2010. 116 р.</w:t>
      </w:r>
    </w:p>
    <w:p>
      <w:pPr>
        <w:pStyle w:val="P13"/>
        <w:numPr>
          <w:ilvl w:val="0"/>
          <w:numId w:val="6"/>
        </w:numPr>
        <w:spacing w:lineRule="auto" w:line="360" w:beforeAutospacing="0" w:afterAutospacing="0"/>
        <w:ind w:firstLine="709" w:left="0"/>
        <w:jc w:val="both"/>
        <w:rPr>
          <w:bCs w:val="1"/>
          <w:sz w:val="28"/>
          <w:szCs w:val="28"/>
          <w:highlight w:val="green"/>
        </w:rPr>
      </w:pPr>
      <w:r>
        <w:rPr>
          <w:bCs w:val="1"/>
          <w:sz w:val="28"/>
          <w:szCs w:val="28"/>
          <w:highlight w:val="green"/>
        </w:rPr>
        <w:t xml:space="preserve">Pomare, C. A multiple framework approach to sustainable development goals (SDGs) and entrepreneurship. Entrepreneurship and the Sustainable Development Goals Contemporary // Entrepreneurship Research. 2018. 8. pp. 11–31. </w:t>
      </w:r>
      <w:bookmarkStart w:id="89" w:name="_Hlk137401013"/>
    </w:p>
    <w:p>
      <w:pPr>
        <w:pStyle w:val="P13"/>
        <w:numPr>
          <w:ilvl w:val="0"/>
          <w:numId w:val="6"/>
        </w:numPr>
        <w:spacing w:lineRule="auto" w:line="360" w:beforeAutospacing="0" w:afterAutospacing="0"/>
        <w:ind w:firstLine="709" w:left="0"/>
        <w:jc w:val="both"/>
        <w:rPr>
          <w:bCs w:val="1"/>
          <w:sz w:val="28"/>
          <w:szCs w:val="28"/>
          <w:highlight w:val="green"/>
        </w:rPr>
      </w:pPr>
      <w:r>
        <w:rPr>
          <w:bCs w:val="1"/>
          <w:sz w:val="28"/>
          <w:szCs w:val="28"/>
          <w:highlight w:val="green"/>
        </w:rPr>
        <w:t xml:space="preserve">Porter M., Kramer M. </w:t>
      </w:r>
      <w:bookmarkEnd w:id="89"/>
      <w:r>
        <w:rPr>
          <w:bCs w:val="1"/>
          <w:sz w:val="28"/>
          <w:szCs w:val="28"/>
          <w:highlight w:val="green"/>
        </w:rPr>
        <w:t xml:space="preserve">Strategy and society: The link between competitive advantage and corporate social responsibility // Harvard Business Review. 2006. 84(12), </w:t>
      </w:r>
      <w:r>
        <w:rPr>
          <w:bCs w:val="1"/>
          <w:sz w:val="28"/>
          <w:szCs w:val="28"/>
          <w:highlight w:val="green"/>
          <w:lang w:val="ru-RU"/>
        </w:rPr>
        <w:t>рр</w:t>
      </w:r>
      <w:r>
        <w:rPr>
          <w:bCs w:val="1"/>
          <w:sz w:val="28"/>
          <w:szCs w:val="28"/>
          <w:highlight w:val="green"/>
        </w:rPr>
        <w:t>. 78–92.</w:t>
      </w:r>
    </w:p>
    <w:p>
      <w:pPr>
        <w:pStyle w:val="P13"/>
        <w:numPr>
          <w:ilvl w:val="0"/>
          <w:numId w:val="6"/>
        </w:numPr>
        <w:spacing w:lineRule="auto" w:line="360" w:beforeAutospacing="0" w:afterAutospacing="0"/>
        <w:ind w:firstLine="709" w:left="0"/>
        <w:jc w:val="both"/>
        <w:rPr>
          <w:bCs w:val="1"/>
          <w:sz w:val="28"/>
          <w:szCs w:val="28"/>
          <w:highlight w:val="green"/>
        </w:rPr>
      </w:pPr>
      <w:bookmarkStart w:id="90" w:name="_Hlk137398070"/>
      <w:r>
        <w:rPr>
          <w:bCs w:val="1"/>
          <w:sz w:val="28"/>
          <w:szCs w:val="28"/>
          <w:highlight w:val="green"/>
        </w:rPr>
        <w:t xml:space="preserve">Prah K. </w:t>
      </w:r>
      <w:bookmarkEnd w:id="90"/>
      <w:r>
        <w:rPr>
          <w:bCs w:val="1"/>
          <w:sz w:val="28"/>
          <w:szCs w:val="28"/>
          <w:highlight w:val="green"/>
        </w:rPr>
        <w:t xml:space="preserve">Soundings, Studies on African Transformation, CASAS Book Series, No, 79: Cape Town: Centre for Advanced Study of African Society, 2010.  110 </w:t>
      </w:r>
      <w:r>
        <w:rPr>
          <w:bCs w:val="1"/>
          <w:sz w:val="28"/>
          <w:szCs w:val="28"/>
          <w:highlight w:val="green"/>
          <w:lang w:val="ru-RU"/>
        </w:rPr>
        <w:t>р</w:t>
      </w:r>
      <w:r>
        <w:rPr>
          <w:bCs w:val="1"/>
          <w:sz w:val="28"/>
          <w:szCs w:val="28"/>
          <w:highlight w:val="green"/>
        </w:rPr>
        <w:t xml:space="preserve">. </w:t>
      </w:r>
    </w:p>
    <w:p>
      <w:pPr>
        <w:pStyle w:val="P13"/>
        <w:numPr>
          <w:ilvl w:val="0"/>
          <w:numId w:val="6"/>
        </w:numPr>
        <w:spacing w:lineRule="auto" w:line="360" w:beforeAutospacing="0" w:afterAutospacing="0"/>
        <w:ind w:firstLine="709" w:left="0"/>
        <w:jc w:val="both"/>
        <w:rPr>
          <w:bCs w:val="1"/>
          <w:sz w:val="28"/>
          <w:szCs w:val="28"/>
          <w:highlight w:val="green"/>
        </w:rPr>
      </w:pPr>
      <w:r>
        <w:rPr>
          <w:bCs w:val="1"/>
          <w:sz w:val="28"/>
          <w:szCs w:val="28"/>
          <w:highlight w:val="green"/>
        </w:rPr>
        <w:t xml:space="preserve">Sauer P., Hiete M. Multi-stakeholder initiatives as social innovation for governance and practice: A review of responsible mining initiatives // Sustainability. 2020. 12(1). pp. 236-247. </w:t>
      </w:r>
    </w:p>
    <w:p>
      <w:pPr>
        <w:pStyle w:val="P15"/>
        <w:widowControl w:val="1"/>
        <w:numPr>
          <w:ilvl w:val="0"/>
          <w:numId w:val="6"/>
        </w:numPr>
        <w:spacing w:lineRule="auto" w:line="360" w:beforeAutospacing="0" w:afterAutospacing="0"/>
        <w:ind w:firstLine="709" w:left="0"/>
        <w:contextualSpacing w:val="1"/>
        <w:jc w:val="both"/>
        <w:rPr>
          <w:bCs w:val="1"/>
          <w:sz w:val="28"/>
          <w:szCs w:val="28"/>
          <w:highlight w:val="green"/>
        </w:rPr>
      </w:pPr>
      <w:r>
        <w:rPr>
          <w:bCs w:val="1"/>
          <w:sz w:val="28"/>
          <w:szCs w:val="28"/>
          <w:highlight w:val="green"/>
        </w:rPr>
        <w:t>Schwartz M., Carroll A. Corporate social responsibility: A three-domain approach // Business Ethics Quarterly. 20</w:t>
      </w:r>
      <w:r>
        <w:rPr>
          <w:bCs w:val="1"/>
          <w:sz w:val="28"/>
          <w:szCs w:val="28"/>
          <w:highlight w:val="green"/>
          <w:lang w:val="ru-RU"/>
        </w:rPr>
        <w:t>0</w:t>
      </w:r>
      <w:r>
        <w:rPr>
          <w:bCs w:val="1"/>
          <w:sz w:val="28"/>
          <w:szCs w:val="28"/>
          <w:highlight w:val="green"/>
        </w:rPr>
        <w:t>3. 13(4). pp. 503–530.</w:t>
      </w:r>
      <w:bookmarkStart w:id="91" w:name="_Hlk137383287"/>
    </w:p>
    <w:p>
      <w:pPr>
        <w:pStyle w:val="P15"/>
        <w:widowControl w:val="1"/>
        <w:numPr>
          <w:ilvl w:val="0"/>
          <w:numId w:val="6"/>
        </w:numPr>
        <w:spacing w:lineRule="auto" w:line="360" w:beforeAutospacing="0" w:afterAutospacing="0"/>
        <w:ind w:firstLine="709" w:left="0"/>
        <w:contextualSpacing w:val="1"/>
        <w:jc w:val="both"/>
        <w:rPr>
          <w:bCs w:val="1"/>
          <w:sz w:val="28"/>
          <w:szCs w:val="28"/>
          <w:highlight w:val="green"/>
        </w:rPr>
      </w:pPr>
      <w:bookmarkStart w:id="92" w:name="_Hlk143541965"/>
      <w:r>
        <w:rPr>
          <w:bCs w:val="1"/>
          <w:sz w:val="28"/>
          <w:szCs w:val="28"/>
          <w:highlight w:val="green"/>
        </w:rPr>
        <w:t>Scott C., Shallin B., Kroeker R. Annual Review of Environment and Resources // Entrepreneurship Research. 2020 45(1). рр. 83-112.</w:t>
      </w:r>
      <w:bookmarkEnd w:id="92"/>
    </w:p>
    <w:p>
      <w:pPr>
        <w:pStyle w:val="P15"/>
        <w:widowControl w:val="1"/>
        <w:numPr>
          <w:ilvl w:val="0"/>
          <w:numId w:val="6"/>
        </w:numPr>
        <w:spacing w:lineRule="auto" w:line="360" w:beforeAutospacing="0" w:afterAutospacing="0"/>
        <w:ind w:firstLine="709" w:left="0"/>
        <w:contextualSpacing w:val="1"/>
        <w:jc w:val="both"/>
        <w:rPr>
          <w:bCs w:val="1"/>
          <w:sz w:val="28"/>
          <w:szCs w:val="28"/>
          <w:highlight w:val="green"/>
          <w:lang w:val="ru-RU"/>
        </w:rPr>
      </w:pPr>
      <w:r>
        <w:rPr>
          <w:bCs w:val="1"/>
          <w:sz w:val="28"/>
          <w:szCs w:val="28"/>
          <w:highlight w:val="green"/>
        </w:rPr>
        <w:t xml:space="preserve">SDSN. Sustainable Development Report 2022: From Crisis to Sustainable Development: the SDGs as Roadmap to 2030 and Beyond </w:t>
      </w:r>
      <w:r>
        <w:rPr>
          <w:sz w:val="28"/>
          <w:szCs w:val="28"/>
          <w:highlight w:val="green"/>
        </w:rPr>
        <w:t xml:space="preserve">[Электронный ресурс]. </w:t>
      </w:r>
      <w:r>
        <w:rPr>
          <w:sz w:val="28"/>
          <w:szCs w:val="28"/>
          <w:highlight w:val="green"/>
          <w:lang w:val="ru-RU"/>
        </w:rPr>
        <w:t>Режим доступа:</w:t>
      </w:r>
      <w:r>
        <w:rPr>
          <w:bCs w:val="1"/>
          <w:sz w:val="28"/>
          <w:szCs w:val="28"/>
          <w:highlight w:val="green"/>
          <w:lang w:val="ru-RU"/>
        </w:rPr>
        <w:t xml:space="preserve"> </w:t>
      </w:r>
      <w:r>
        <w:rPr>
          <w:bCs w:val="1"/>
          <w:sz w:val="28"/>
          <w:szCs w:val="28"/>
          <w:highlight w:val="green"/>
        </w:rPr>
        <w:t>https</w:t>
      </w:r>
      <w:r>
        <w:rPr>
          <w:bCs w:val="1"/>
          <w:sz w:val="28"/>
          <w:szCs w:val="28"/>
          <w:highlight w:val="green"/>
          <w:lang w:val="ru-RU"/>
        </w:rPr>
        <w:t>://</w:t>
      </w:r>
      <w:r>
        <w:rPr>
          <w:bCs w:val="1"/>
          <w:sz w:val="28"/>
          <w:szCs w:val="28"/>
          <w:highlight w:val="green"/>
        </w:rPr>
        <w:t>www</w:t>
      </w:r>
      <w:r>
        <w:rPr>
          <w:bCs w:val="1"/>
          <w:sz w:val="28"/>
          <w:szCs w:val="28"/>
          <w:highlight w:val="green"/>
          <w:lang w:val="ru-RU"/>
        </w:rPr>
        <w:t>.</w:t>
      </w:r>
      <w:r>
        <w:rPr>
          <w:bCs w:val="1"/>
          <w:sz w:val="28"/>
          <w:szCs w:val="28"/>
          <w:highlight w:val="green"/>
        </w:rPr>
        <w:t>sustainabledevelopment</w:t>
      </w:r>
      <w:r>
        <w:rPr>
          <w:bCs w:val="1"/>
          <w:sz w:val="28"/>
          <w:szCs w:val="28"/>
          <w:highlight w:val="green"/>
          <w:lang w:val="ru-RU"/>
        </w:rPr>
        <w:t>.</w:t>
      </w:r>
      <w:r>
        <w:rPr>
          <w:bCs w:val="1"/>
          <w:sz w:val="28"/>
          <w:szCs w:val="28"/>
          <w:highlight w:val="green"/>
        </w:rPr>
        <w:t>report</w:t>
      </w:r>
      <w:r>
        <w:rPr>
          <w:bCs w:val="1"/>
          <w:sz w:val="28"/>
          <w:szCs w:val="28"/>
          <w:highlight w:val="green"/>
          <w:lang w:val="ru-RU"/>
        </w:rPr>
        <w:t>/</w:t>
      </w:r>
      <w:r>
        <w:rPr>
          <w:bCs w:val="1"/>
          <w:sz w:val="28"/>
          <w:szCs w:val="28"/>
          <w:highlight w:val="green"/>
        </w:rPr>
        <w:t>reports</w:t>
      </w:r>
      <w:r>
        <w:rPr>
          <w:bCs w:val="1"/>
          <w:sz w:val="28"/>
          <w:szCs w:val="28"/>
          <w:highlight w:val="green"/>
          <w:lang w:val="ru-RU"/>
        </w:rPr>
        <w:t>/</w:t>
      </w:r>
      <w:r>
        <w:rPr>
          <w:bCs w:val="1"/>
          <w:sz w:val="28"/>
          <w:szCs w:val="28"/>
          <w:highlight w:val="green"/>
        </w:rPr>
        <w:t>sustainable</w:t>
      </w:r>
      <w:r>
        <w:rPr>
          <w:bCs w:val="1"/>
          <w:sz w:val="28"/>
          <w:szCs w:val="28"/>
          <w:highlight w:val="green"/>
          <w:lang w:val="ru-RU"/>
        </w:rPr>
        <w:t>-</w:t>
      </w:r>
      <w:r>
        <w:rPr>
          <w:bCs w:val="1"/>
          <w:sz w:val="28"/>
          <w:szCs w:val="28"/>
          <w:highlight w:val="green"/>
        </w:rPr>
        <w:t>development</w:t>
      </w:r>
      <w:r>
        <w:rPr>
          <w:bCs w:val="1"/>
          <w:sz w:val="28"/>
          <w:szCs w:val="28"/>
          <w:highlight w:val="green"/>
          <w:lang w:val="ru-RU"/>
        </w:rPr>
        <w:t>-</w:t>
      </w:r>
      <w:r>
        <w:rPr>
          <w:bCs w:val="1"/>
          <w:sz w:val="28"/>
          <w:szCs w:val="28"/>
          <w:highlight w:val="green"/>
        </w:rPr>
        <w:t>report</w:t>
      </w:r>
      <w:r>
        <w:rPr>
          <w:bCs w:val="1"/>
          <w:sz w:val="28"/>
          <w:szCs w:val="28"/>
          <w:highlight w:val="green"/>
          <w:lang w:val="ru-RU"/>
        </w:rPr>
        <w:t xml:space="preserve">-2022/ </w:t>
      </w:r>
      <w:r>
        <w:rPr>
          <w:sz w:val="28"/>
          <w:szCs w:val="28"/>
          <w:highlight w:val="green"/>
          <w:lang w:val="ru-RU"/>
        </w:rPr>
        <w:t>(дата обращения 06.11.2022).</w:t>
      </w:r>
    </w:p>
    <w:p>
      <w:pPr>
        <w:pStyle w:val="P15"/>
        <w:widowControl w:val="1"/>
        <w:numPr>
          <w:ilvl w:val="0"/>
          <w:numId w:val="6"/>
        </w:numPr>
        <w:spacing w:lineRule="auto" w:line="360" w:beforeAutospacing="0" w:afterAutospacing="0"/>
        <w:ind w:firstLine="709" w:left="0"/>
        <w:contextualSpacing w:val="1"/>
        <w:jc w:val="both"/>
        <w:rPr>
          <w:bCs w:val="1"/>
          <w:sz w:val="28"/>
          <w:szCs w:val="28"/>
          <w:highlight w:val="green"/>
          <w:lang w:val="ru-RU"/>
        </w:rPr>
      </w:pPr>
      <w:r>
        <w:rPr>
          <w:bCs w:val="1"/>
          <w:sz w:val="28"/>
          <w:szCs w:val="28"/>
          <w:highlight w:val="green"/>
        </w:rPr>
        <w:t xml:space="preserve">SIGI. 2021 Regional Report for Africa, Social Institutions and Gender Index </w:t>
      </w:r>
      <w:r>
        <w:rPr>
          <w:sz w:val="28"/>
          <w:szCs w:val="28"/>
          <w:highlight w:val="green"/>
        </w:rPr>
        <w:t xml:space="preserve">[Электронный ресурс]. </w:t>
      </w:r>
      <w:r>
        <w:rPr>
          <w:sz w:val="28"/>
          <w:szCs w:val="28"/>
          <w:highlight w:val="green"/>
          <w:lang w:val="ru-RU"/>
        </w:rPr>
        <w:t>Режим доступа:</w:t>
      </w:r>
      <w:r>
        <w:rPr>
          <w:bCs w:val="1"/>
          <w:sz w:val="28"/>
          <w:szCs w:val="28"/>
          <w:highlight w:val="green"/>
          <w:lang w:val="ru-RU"/>
        </w:rPr>
        <w:t xml:space="preserve"> </w:t>
      </w:r>
      <w:r>
        <w:rPr>
          <w:bCs w:val="1"/>
          <w:sz w:val="28"/>
          <w:szCs w:val="28"/>
          <w:highlight w:val="green"/>
        </w:rPr>
        <w:t>https</w:t>
      </w:r>
      <w:r>
        <w:rPr>
          <w:bCs w:val="1"/>
          <w:sz w:val="28"/>
          <w:szCs w:val="28"/>
          <w:highlight w:val="green"/>
          <w:lang w:val="ru-RU"/>
        </w:rPr>
        <w:t>://</w:t>
      </w:r>
      <w:r>
        <w:rPr>
          <w:bCs w:val="1"/>
          <w:sz w:val="28"/>
          <w:szCs w:val="28"/>
          <w:highlight w:val="green"/>
        </w:rPr>
        <w:t>www</w:t>
      </w:r>
      <w:r>
        <w:rPr>
          <w:bCs w:val="1"/>
          <w:sz w:val="28"/>
          <w:szCs w:val="28"/>
          <w:highlight w:val="green"/>
          <w:lang w:val="ru-RU"/>
        </w:rPr>
        <w:t>.</w:t>
      </w:r>
      <w:r>
        <w:rPr>
          <w:bCs w:val="1"/>
          <w:sz w:val="28"/>
          <w:szCs w:val="28"/>
          <w:highlight w:val="green"/>
        </w:rPr>
        <w:t>oecd</w:t>
      </w:r>
      <w:r>
        <w:rPr>
          <w:bCs w:val="1"/>
          <w:sz w:val="28"/>
          <w:szCs w:val="28"/>
          <w:highlight w:val="green"/>
          <w:lang w:val="ru-RU"/>
        </w:rPr>
        <w:t>.</w:t>
      </w:r>
      <w:r>
        <w:rPr>
          <w:bCs w:val="1"/>
          <w:sz w:val="28"/>
          <w:szCs w:val="28"/>
          <w:highlight w:val="green"/>
        </w:rPr>
        <w:t>org</w:t>
      </w:r>
      <w:r>
        <w:rPr>
          <w:bCs w:val="1"/>
          <w:sz w:val="28"/>
          <w:szCs w:val="28"/>
          <w:highlight w:val="green"/>
          <w:lang w:val="ru-RU"/>
        </w:rPr>
        <w:t>/</w:t>
      </w:r>
      <w:r>
        <w:rPr>
          <w:bCs w:val="1"/>
          <w:sz w:val="28"/>
          <w:szCs w:val="28"/>
          <w:highlight w:val="green"/>
        </w:rPr>
        <w:t>dev</w:t>
      </w:r>
      <w:r>
        <w:rPr>
          <w:bCs w:val="1"/>
          <w:sz w:val="28"/>
          <w:szCs w:val="28"/>
          <w:highlight w:val="green"/>
          <w:lang w:val="ru-RU"/>
        </w:rPr>
        <w:t>/</w:t>
      </w:r>
      <w:r>
        <w:rPr>
          <w:bCs w:val="1"/>
          <w:sz w:val="28"/>
          <w:szCs w:val="28"/>
          <w:highlight w:val="green"/>
        </w:rPr>
        <w:t>sigi</w:t>
      </w:r>
      <w:r>
        <w:rPr>
          <w:bCs w:val="1"/>
          <w:sz w:val="28"/>
          <w:szCs w:val="28"/>
          <w:highlight w:val="green"/>
          <w:lang w:val="ru-RU"/>
        </w:rPr>
        <w:t>-2021-</w:t>
      </w:r>
      <w:r>
        <w:rPr>
          <w:bCs w:val="1"/>
          <w:sz w:val="28"/>
          <w:szCs w:val="28"/>
          <w:highlight w:val="green"/>
        </w:rPr>
        <w:t>regional</w:t>
      </w:r>
      <w:r>
        <w:rPr>
          <w:bCs w:val="1"/>
          <w:sz w:val="28"/>
          <w:szCs w:val="28"/>
          <w:highlight w:val="green"/>
          <w:lang w:val="ru-RU"/>
        </w:rPr>
        <w:t>-</w:t>
      </w:r>
      <w:r>
        <w:rPr>
          <w:bCs w:val="1"/>
          <w:sz w:val="28"/>
          <w:szCs w:val="28"/>
          <w:highlight w:val="green"/>
        </w:rPr>
        <w:t>report</w:t>
      </w:r>
      <w:r>
        <w:rPr>
          <w:bCs w:val="1"/>
          <w:sz w:val="28"/>
          <w:szCs w:val="28"/>
          <w:highlight w:val="green"/>
          <w:lang w:val="ru-RU"/>
        </w:rPr>
        <w:t>-</w:t>
      </w:r>
      <w:r>
        <w:rPr>
          <w:bCs w:val="1"/>
          <w:sz w:val="28"/>
          <w:szCs w:val="28"/>
          <w:highlight w:val="green"/>
        </w:rPr>
        <w:t>for</w:t>
      </w:r>
      <w:r>
        <w:rPr>
          <w:bCs w:val="1"/>
          <w:sz w:val="28"/>
          <w:szCs w:val="28"/>
          <w:highlight w:val="green"/>
          <w:lang w:val="ru-RU"/>
        </w:rPr>
        <w:t>-</w:t>
      </w:r>
      <w:r>
        <w:rPr>
          <w:bCs w:val="1"/>
          <w:sz w:val="28"/>
          <w:szCs w:val="28"/>
          <w:highlight w:val="green"/>
        </w:rPr>
        <w:t>africa</w:t>
      </w:r>
      <w:r>
        <w:rPr>
          <w:bCs w:val="1"/>
          <w:sz w:val="28"/>
          <w:szCs w:val="28"/>
          <w:highlight w:val="green"/>
          <w:lang w:val="ru-RU"/>
        </w:rPr>
        <w:t>-</w:t>
      </w:r>
      <w:r>
        <w:rPr>
          <w:bCs w:val="1"/>
          <w:sz w:val="28"/>
          <w:szCs w:val="28"/>
          <w:highlight w:val="green"/>
        </w:rPr>
        <w:t>a</w:t>
      </w:r>
      <w:r>
        <w:rPr>
          <w:bCs w:val="1"/>
          <w:sz w:val="28"/>
          <w:szCs w:val="28"/>
          <w:highlight w:val="green"/>
          <w:lang w:val="ru-RU"/>
        </w:rPr>
        <w:t>6</w:t>
      </w:r>
      <w:r>
        <w:rPr>
          <w:bCs w:val="1"/>
          <w:sz w:val="28"/>
          <w:szCs w:val="28"/>
          <w:highlight w:val="green"/>
        </w:rPr>
        <w:t>d</w:t>
      </w:r>
      <w:r>
        <w:rPr>
          <w:bCs w:val="1"/>
          <w:sz w:val="28"/>
          <w:szCs w:val="28"/>
          <w:highlight w:val="green"/>
          <w:lang w:val="ru-RU"/>
        </w:rPr>
        <w:t>95</w:t>
      </w:r>
      <w:r>
        <w:rPr>
          <w:bCs w:val="1"/>
          <w:sz w:val="28"/>
          <w:szCs w:val="28"/>
          <w:highlight w:val="green"/>
        </w:rPr>
        <w:t>d</w:t>
      </w:r>
      <w:r>
        <w:rPr>
          <w:bCs w:val="1"/>
          <w:sz w:val="28"/>
          <w:szCs w:val="28"/>
          <w:highlight w:val="green"/>
          <w:lang w:val="ru-RU"/>
        </w:rPr>
        <w:t>90-</w:t>
      </w:r>
      <w:r>
        <w:rPr>
          <w:bCs w:val="1"/>
          <w:sz w:val="28"/>
          <w:szCs w:val="28"/>
          <w:highlight w:val="green"/>
        </w:rPr>
        <w:t>en</w:t>
      </w:r>
      <w:r>
        <w:rPr>
          <w:bCs w:val="1"/>
          <w:sz w:val="28"/>
          <w:szCs w:val="28"/>
          <w:highlight w:val="green"/>
          <w:lang w:val="ru-RU"/>
        </w:rPr>
        <w:t>.</w:t>
      </w:r>
      <w:r>
        <w:rPr>
          <w:bCs w:val="1"/>
          <w:sz w:val="28"/>
          <w:szCs w:val="28"/>
          <w:highlight w:val="green"/>
        </w:rPr>
        <w:t>htm</w:t>
      </w:r>
      <w:r>
        <w:rPr>
          <w:bCs w:val="1"/>
          <w:sz w:val="28"/>
          <w:szCs w:val="28"/>
          <w:highlight w:val="green"/>
          <w:lang w:val="ru-RU"/>
        </w:rPr>
        <w:t xml:space="preserve"> </w:t>
      </w:r>
      <w:r>
        <w:rPr>
          <w:sz w:val="28"/>
          <w:szCs w:val="28"/>
          <w:highlight w:val="green"/>
          <w:lang w:val="ru-RU"/>
        </w:rPr>
        <w:t>(дата обращения 18.04.2023).</w:t>
      </w:r>
    </w:p>
    <w:p>
      <w:pPr>
        <w:pStyle w:val="P15"/>
        <w:widowControl w:val="1"/>
        <w:numPr>
          <w:ilvl w:val="0"/>
          <w:numId w:val="6"/>
        </w:numPr>
        <w:spacing w:lineRule="auto" w:line="360" w:beforeAutospacing="0" w:afterAutospacing="0"/>
        <w:ind w:firstLine="709" w:left="0"/>
        <w:contextualSpacing w:val="1"/>
        <w:jc w:val="both"/>
        <w:rPr>
          <w:bCs w:val="1"/>
          <w:sz w:val="28"/>
          <w:szCs w:val="28"/>
          <w:highlight w:val="green"/>
        </w:rPr>
      </w:pPr>
      <w:r>
        <w:rPr>
          <w:bCs w:val="1"/>
          <w:sz w:val="28"/>
          <w:szCs w:val="28"/>
          <w:highlight w:val="green"/>
        </w:rPr>
        <w:t xml:space="preserve">Slaughter A.M. </w:t>
      </w:r>
      <w:bookmarkEnd w:id="91"/>
      <w:r>
        <w:rPr>
          <w:bCs w:val="1"/>
          <w:sz w:val="28"/>
          <w:szCs w:val="28"/>
          <w:highlight w:val="green"/>
        </w:rPr>
        <w:t>A new world order. Princeton University Press, 2004. 294 р.</w:t>
      </w:r>
    </w:p>
    <w:p>
      <w:pPr>
        <w:pStyle w:val="P15"/>
        <w:widowControl w:val="1"/>
        <w:numPr>
          <w:ilvl w:val="0"/>
          <w:numId w:val="6"/>
        </w:numPr>
        <w:spacing w:lineRule="auto" w:line="360" w:beforeAutospacing="0" w:afterAutospacing="0"/>
        <w:ind w:firstLine="709" w:left="0"/>
        <w:contextualSpacing w:val="1"/>
        <w:jc w:val="both"/>
        <w:rPr>
          <w:bCs w:val="1"/>
          <w:sz w:val="28"/>
          <w:szCs w:val="28"/>
          <w:highlight w:val="green"/>
          <w:lang w:val="ru-RU"/>
        </w:rPr>
      </w:pPr>
      <w:r>
        <w:rPr>
          <w:rFonts w:eastAsia="StoneSerifStd-MediumItalic"/>
          <w:bCs w:val="1"/>
          <w:sz w:val="28"/>
          <w:szCs w:val="28"/>
          <w:highlight w:val="green"/>
        </w:rPr>
        <w:t>SmartPLS</w:t>
      </w:r>
      <w:r>
        <w:rPr>
          <w:rFonts w:eastAsia="StoneSerifStd-MediumItalic"/>
          <w:bCs w:val="1"/>
          <w:sz w:val="28"/>
          <w:szCs w:val="28"/>
          <w:highlight w:val="green"/>
          <w:lang w:val="ru-RU"/>
        </w:rPr>
        <w:t xml:space="preserve"> 2.0 </w:t>
      </w:r>
      <w:r>
        <w:rPr>
          <w:sz w:val="28"/>
          <w:szCs w:val="28"/>
          <w:highlight w:val="green"/>
          <w:lang w:val="ru-RU"/>
        </w:rPr>
        <w:t>[Электронный ресурс]. Режим доступа:</w:t>
      </w:r>
      <w:r>
        <w:rPr>
          <w:bCs w:val="1"/>
          <w:sz w:val="28"/>
          <w:szCs w:val="28"/>
          <w:highlight w:val="green"/>
          <w:lang w:val="ru-RU"/>
        </w:rPr>
        <w:t xml:space="preserve"> </w:t>
      </w:r>
      <w:r>
        <w:rPr>
          <w:rFonts w:eastAsia="StoneSerifStd-MediumItalic"/>
          <w:bCs w:val="1"/>
          <w:sz w:val="28"/>
          <w:szCs w:val="28"/>
          <w:highlight w:val="green"/>
          <w:lang w:val="ru-RU"/>
        </w:rPr>
        <w:t xml:space="preserve"> </w:t>
      </w:r>
      <w:r>
        <w:rPr>
          <w:sz w:val="28"/>
          <w:szCs w:val="28"/>
          <w:highlight w:val="green"/>
        </w:rPr>
        <w:t>https</w:t>
      </w:r>
      <w:r>
        <w:rPr>
          <w:sz w:val="28"/>
          <w:szCs w:val="28"/>
          <w:highlight w:val="green"/>
          <w:lang w:val="ru-RU"/>
        </w:rPr>
        <w:t>://</w:t>
      </w:r>
      <w:r>
        <w:rPr>
          <w:sz w:val="28"/>
          <w:szCs w:val="28"/>
          <w:highlight w:val="green"/>
        </w:rPr>
        <w:t>www</w:t>
      </w:r>
      <w:r>
        <w:rPr>
          <w:sz w:val="28"/>
          <w:szCs w:val="28"/>
          <w:highlight w:val="green"/>
          <w:lang w:val="ru-RU"/>
        </w:rPr>
        <w:t>.</w:t>
      </w:r>
      <w:r>
        <w:rPr>
          <w:sz w:val="28"/>
          <w:szCs w:val="28"/>
          <w:highlight w:val="green"/>
        </w:rPr>
        <w:t>smartpls</w:t>
      </w:r>
      <w:r>
        <w:rPr>
          <w:sz w:val="28"/>
          <w:szCs w:val="28"/>
          <w:highlight w:val="green"/>
          <w:lang w:val="ru-RU"/>
        </w:rPr>
        <w:t>.</w:t>
      </w:r>
      <w:r>
        <w:rPr>
          <w:sz w:val="28"/>
          <w:szCs w:val="28"/>
          <w:highlight w:val="green"/>
        </w:rPr>
        <w:t>com</w:t>
      </w:r>
      <w:r>
        <w:rPr>
          <w:sz w:val="28"/>
          <w:szCs w:val="28"/>
          <w:highlight w:val="green"/>
          <w:lang w:val="ru-RU"/>
        </w:rPr>
        <w:t>/</w:t>
      </w:r>
      <w:r>
        <w:rPr>
          <w:sz w:val="28"/>
          <w:szCs w:val="28"/>
          <w:highlight w:val="green"/>
        </w:rPr>
        <w:t>downloads</w:t>
      </w:r>
      <w:r>
        <w:rPr>
          <w:sz w:val="28"/>
          <w:szCs w:val="28"/>
          <w:highlight w:val="green"/>
          <w:lang w:val="ru-RU"/>
        </w:rPr>
        <w:t>/ (дата обращения 06.03.2023).</w:t>
      </w:r>
    </w:p>
    <w:p>
      <w:pPr>
        <w:pStyle w:val="P15"/>
        <w:widowControl w:val="1"/>
        <w:numPr>
          <w:ilvl w:val="0"/>
          <w:numId w:val="6"/>
        </w:numPr>
        <w:spacing w:lineRule="auto" w:line="360" w:beforeAutospacing="0" w:afterAutospacing="0"/>
        <w:ind w:firstLine="709" w:left="0"/>
        <w:contextualSpacing w:val="1"/>
        <w:jc w:val="both"/>
        <w:rPr>
          <w:bCs w:val="1"/>
          <w:sz w:val="28"/>
          <w:szCs w:val="28"/>
          <w:highlight w:val="green"/>
        </w:rPr>
      </w:pPr>
      <w:r>
        <w:rPr>
          <w:bCs w:val="1"/>
          <w:sz w:val="28"/>
          <w:szCs w:val="28"/>
          <w:highlight w:val="green"/>
        </w:rPr>
        <w:t xml:space="preserve">Stone D. Global public policy, transnational policy communities, and their networks // Policy Studies Journal: the Journal of the Policy Studies Organization. 2008. 36(1). рр. 19–38. </w:t>
      </w:r>
    </w:p>
    <w:p>
      <w:pPr>
        <w:pStyle w:val="P15"/>
        <w:widowControl w:val="1"/>
        <w:numPr>
          <w:ilvl w:val="0"/>
          <w:numId w:val="6"/>
        </w:numPr>
        <w:spacing w:lineRule="auto" w:line="360" w:beforeAutospacing="0" w:afterAutospacing="0"/>
        <w:ind w:firstLine="709" w:left="0"/>
        <w:contextualSpacing w:val="1"/>
        <w:jc w:val="both"/>
        <w:rPr>
          <w:bCs w:val="1"/>
          <w:sz w:val="28"/>
          <w:szCs w:val="28"/>
          <w:highlight w:val="green"/>
          <w:lang w:val="ru-RU"/>
        </w:rPr>
      </w:pPr>
      <w:r>
        <w:rPr>
          <w:sz w:val="28"/>
          <w:szCs w:val="28"/>
          <w:highlight w:val="green"/>
        </w:rPr>
        <w:t>TETRAD</w:t>
      </w:r>
      <w:r>
        <w:rPr>
          <w:sz w:val="28"/>
          <w:szCs w:val="28"/>
          <w:highlight w:val="green"/>
          <w:lang w:val="ru-RU"/>
        </w:rPr>
        <w:t xml:space="preserve"> </w:t>
      </w:r>
      <w:r>
        <w:rPr>
          <w:sz w:val="28"/>
          <w:szCs w:val="28"/>
          <w:highlight w:val="green"/>
        </w:rPr>
        <w:t>Project</w:t>
      </w:r>
      <w:r>
        <w:rPr>
          <w:sz w:val="28"/>
          <w:szCs w:val="28"/>
          <w:highlight w:val="green"/>
          <w:lang w:val="ru-RU"/>
        </w:rPr>
        <w:t xml:space="preserve">, 2012 [Электронный ресурс]. Режим доступа: </w:t>
      </w:r>
      <w:r>
        <w:rPr>
          <w:sz w:val="28"/>
          <w:szCs w:val="28"/>
          <w:highlight w:val="green"/>
        </w:rPr>
        <w:t>https</w:t>
      </w:r>
      <w:r>
        <w:rPr>
          <w:sz w:val="28"/>
          <w:szCs w:val="28"/>
          <w:highlight w:val="green"/>
          <w:lang w:val="ru-RU"/>
        </w:rPr>
        <w:t>://</w:t>
      </w:r>
      <w:r>
        <w:rPr>
          <w:sz w:val="28"/>
          <w:szCs w:val="28"/>
          <w:highlight w:val="green"/>
        </w:rPr>
        <w:t>www</w:t>
      </w:r>
      <w:r>
        <w:rPr>
          <w:sz w:val="28"/>
          <w:szCs w:val="28"/>
          <w:highlight w:val="green"/>
          <w:lang w:val="ru-RU"/>
        </w:rPr>
        <w:t>.</w:t>
      </w:r>
      <w:r>
        <w:rPr>
          <w:sz w:val="28"/>
          <w:szCs w:val="28"/>
          <w:highlight w:val="green"/>
        </w:rPr>
        <w:t>opensourceagenda</w:t>
      </w:r>
      <w:r>
        <w:rPr>
          <w:sz w:val="28"/>
          <w:szCs w:val="28"/>
          <w:highlight w:val="green"/>
          <w:lang w:val="ru-RU"/>
        </w:rPr>
        <w:t>.</w:t>
      </w:r>
      <w:r>
        <w:rPr>
          <w:sz w:val="28"/>
          <w:szCs w:val="28"/>
          <w:highlight w:val="green"/>
        </w:rPr>
        <w:t>com</w:t>
      </w:r>
      <w:r>
        <w:rPr>
          <w:sz w:val="28"/>
          <w:szCs w:val="28"/>
          <w:highlight w:val="green"/>
          <w:lang w:val="ru-RU"/>
        </w:rPr>
        <w:t>/</w:t>
      </w:r>
      <w:r>
        <w:rPr>
          <w:sz w:val="28"/>
          <w:szCs w:val="28"/>
          <w:highlight w:val="green"/>
        </w:rPr>
        <w:t>projects</w:t>
      </w:r>
      <w:r>
        <w:rPr>
          <w:sz w:val="28"/>
          <w:szCs w:val="28"/>
          <w:highlight w:val="green"/>
          <w:lang w:val="ru-RU"/>
        </w:rPr>
        <w:t>/</w:t>
      </w:r>
      <w:r>
        <w:rPr>
          <w:sz w:val="28"/>
          <w:szCs w:val="28"/>
          <w:highlight w:val="green"/>
        </w:rPr>
        <w:t>tetrad</w:t>
      </w:r>
      <w:r>
        <w:rPr>
          <w:bCs w:val="1"/>
          <w:sz w:val="28"/>
          <w:szCs w:val="28"/>
          <w:highlight w:val="green"/>
          <w:lang w:val="ru-RU"/>
        </w:rPr>
        <w:t xml:space="preserve"> </w:t>
      </w:r>
      <w:r>
        <w:rPr>
          <w:sz w:val="28"/>
          <w:szCs w:val="28"/>
          <w:highlight w:val="green"/>
          <w:lang w:val="ru-RU"/>
        </w:rPr>
        <w:t>(дата обращения 05.05.2023).</w:t>
      </w:r>
    </w:p>
    <w:p>
      <w:pPr>
        <w:pStyle w:val="P15"/>
        <w:widowControl w:val="1"/>
        <w:numPr>
          <w:ilvl w:val="0"/>
          <w:numId w:val="6"/>
        </w:numPr>
        <w:spacing w:lineRule="auto" w:line="360" w:beforeAutospacing="0" w:afterAutospacing="0"/>
        <w:ind w:firstLine="709" w:left="0"/>
        <w:contextualSpacing w:val="1"/>
        <w:jc w:val="both"/>
        <w:rPr>
          <w:bCs w:val="1"/>
          <w:sz w:val="28"/>
          <w:szCs w:val="28"/>
          <w:highlight w:val="green"/>
          <w:lang w:val="ru-RU"/>
        </w:rPr>
      </w:pPr>
      <w:r>
        <w:rPr>
          <w:bCs w:val="1"/>
          <w:sz w:val="28"/>
          <w:szCs w:val="28"/>
          <w:highlight w:val="green"/>
        </w:rPr>
        <w:t xml:space="preserve">The Inclusive Development Index 2018. Summary and Data Highlights </w:t>
      </w:r>
      <w:r>
        <w:rPr>
          <w:sz w:val="28"/>
          <w:szCs w:val="28"/>
          <w:highlight w:val="green"/>
        </w:rPr>
        <w:t xml:space="preserve">[Электронный ресурс]. </w:t>
      </w:r>
      <w:r>
        <w:rPr>
          <w:sz w:val="28"/>
          <w:szCs w:val="28"/>
          <w:highlight w:val="green"/>
          <w:lang w:val="ru-RU"/>
        </w:rPr>
        <w:t>Режим доступа:</w:t>
      </w:r>
      <w:r>
        <w:rPr>
          <w:bCs w:val="1"/>
          <w:sz w:val="28"/>
          <w:szCs w:val="28"/>
          <w:highlight w:val="green"/>
          <w:lang w:val="ru-RU"/>
        </w:rPr>
        <w:t xml:space="preserve"> </w:t>
      </w:r>
      <w:r>
        <w:rPr>
          <w:bCs w:val="1"/>
          <w:sz w:val="28"/>
          <w:szCs w:val="28"/>
          <w:highlight w:val="green"/>
        </w:rPr>
        <w:t>https</w:t>
      </w:r>
      <w:r>
        <w:rPr>
          <w:bCs w:val="1"/>
          <w:sz w:val="28"/>
          <w:szCs w:val="28"/>
          <w:highlight w:val="green"/>
          <w:lang w:val="ru-RU"/>
        </w:rPr>
        <w:t>://</w:t>
      </w:r>
      <w:hyperlink r:id="R9">
        <w:r>
          <w:rPr>
            <w:bCs w:val="1"/>
            <w:sz w:val="28"/>
            <w:szCs w:val="28"/>
            <w:highlight w:val="green"/>
          </w:rPr>
          <w:t>www</w:t>
        </w:r>
        <w:r>
          <w:rPr>
            <w:bCs w:val="1"/>
            <w:sz w:val="28"/>
            <w:szCs w:val="28"/>
            <w:highlight w:val="green"/>
            <w:lang w:val="ru-RU"/>
          </w:rPr>
          <w:t>.</w:t>
        </w:r>
        <w:r>
          <w:rPr>
            <w:bCs w:val="1"/>
            <w:sz w:val="28"/>
            <w:szCs w:val="28"/>
            <w:highlight w:val="green"/>
          </w:rPr>
          <w:t>weforum</w:t>
        </w:r>
        <w:r>
          <w:rPr>
            <w:bCs w:val="1"/>
            <w:sz w:val="28"/>
            <w:szCs w:val="28"/>
            <w:highlight w:val="green"/>
            <w:lang w:val="ru-RU"/>
          </w:rPr>
          <w:t>.</w:t>
        </w:r>
        <w:r>
          <w:rPr>
            <w:bCs w:val="1"/>
            <w:sz w:val="28"/>
            <w:szCs w:val="28"/>
            <w:highlight w:val="green"/>
          </w:rPr>
          <w:t>org</w:t>
        </w:r>
        <w:r>
          <w:rPr>
            <w:bCs w:val="1"/>
            <w:sz w:val="28"/>
            <w:szCs w:val="28"/>
            <w:highlight w:val="green"/>
            <w:lang w:val="ru-RU"/>
          </w:rPr>
          <w:t>/</w:t>
        </w:r>
        <w:r>
          <w:rPr>
            <w:bCs w:val="1"/>
            <w:sz w:val="28"/>
            <w:szCs w:val="28"/>
            <w:highlight w:val="green"/>
          </w:rPr>
          <w:t>reports</w:t>
        </w:r>
        <w:r>
          <w:rPr>
            <w:bCs w:val="1"/>
            <w:sz w:val="28"/>
            <w:szCs w:val="28"/>
            <w:highlight w:val="green"/>
            <w:lang w:val="ru-RU"/>
          </w:rPr>
          <w:t>/</w:t>
        </w:r>
        <w:r>
          <w:rPr>
            <w:bCs w:val="1"/>
            <w:sz w:val="28"/>
            <w:szCs w:val="28"/>
            <w:highlight w:val="green"/>
          </w:rPr>
          <w:t>the</w:t>
        </w:r>
        <w:r>
          <w:rPr>
            <w:bCs w:val="1"/>
            <w:sz w:val="28"/>
            <w:szCs w:val="28"/>
            <w:highlight w:val="green"/>
            <w:lang w:val="ru-RU"/>
          </w:rPr>
          <w:t>-</w:t>
        </w:r>
        <w:r>
          <w:rPr>
            <w:bCs w:val="1"/>
            <w:sz w:val="28"/>
            <w:szCs w:val="28"/>
            <w:highlight w:val="green"/>
          </w:rPr>
          <w:t>inclusive</w:t>
        </w:r>
        <w:r>
          <w:rPr>
            <w:bCs w:val="1"/>
            <w:sz w:val="28"/>
            <w:szCs w:val="28"/>
            <w:highlight w:val="green"/>
            <w:lang w:val="ru-RU"/>
          </w:rPr>
          <w:t>-</w:t>
        </w:r>
        <w:r>
          <w:rPr>
            <w:bCs w:val="1"/>
            <w:sz w:val="28"/>
            <w:szCs w:val="28"/>
            <w:highlight w:val="green"/>
          </w:rPr>
          <w:t>development</w:t>
        </w:r>
        <w:r>
          <w:rPr>
            <w:bCs w:val="1"/>
            <w:sz w:val="28"/>
            <w:szCs w:val="28"/>
            <w:highlight w:val="green"/>
            <w:lang w:val="ru-RU"/>
          </w:rPr>
          <w:t>-</w:t>
        </w:r>
        <w:r>
          <w:rPr>
            <w:bCs w:val="1"/>
            <w:sz w:val="28"/>
            <w:szCs w:val="28"/>
            <w:highlight w:val="green"/>
          </w:rPr>
          <w:t>index</w:t>
        </w:r>
        <w:r>
          <w:rPr>
            <w:bCs w:val="1"/>
            <w:sz w:val="28"/>
            <w:szCs w:val="28"/>
            <w:highlight w:val="green"/>
            <w:lang w:val="ru-RU"/>
          </w:rPr>
          <w:t>-2018.</w:t>
        </w:r>
      </w:hyperlink>
      <w:r>
        <w:rPr>
          <w:bCs w:val="1"/>
          <w:sz w:val="28"/>
          <w:szCs w:val="28"/>
          <w:highlight w:val="green"/>
          <w:lang w:val="ru-RU"/>
        </w:rPr>
        <w:t xml:space="preserve"> </w:t>
      </w:r>
      <w:r>
        <w:rPr>
          <w:sz w:val="28"/>
          <w:szCs w:val="28"/>
          <w:highlight w:val="green"/>
        </w:rPr>
        <w:t>(дата обращения 15.11.2022).</w:t>
      </w:r>
    </w:p>
    <w:p>
      <w:pPr>
        <w:pStyle w:val="P15"/>
        <w:widowControl w:val="1"/>
        <w:numPr>
          <w:ilvl w:val="0"/>
          <w:numId w:val="6"/>
        </w:numPr>
        <w:spacing w:lineRule="auto" w:line="360" w:beforeAutospacing="0" w:afterAutospacing="0"/>
        <w:ind w:firstLine="709" w:left="0"/>
        <w:contextualSpacing w:val="1"/>
        <w:jc w:val="both"/>
        <w:rPr>
          <w:bCs w:val="1"/>
          <w:sz w:val="28"/>
          <w:szCs w:val="28"/>
          <w:highlight w:val="green"/>
          <w:lang w:val="ru-RU"/>
        </w:rPr>
      </w:pPr>
      <w:r>
        <w:rPr>
          <w:sz w:val="28"/>
          <w:szCs w:val="28"/>
          <w:highlight w:val="green"/>
        </w:rPr>
        <w:t xml:space="preserve">The world's largest corporate sustainability initiative [Электронный ресурс]. </w:t>
      </w:r>
      <w:r>
        <w:rPr>
          <w:sz w:val="28"/>
          <w:szCs w:val="28"/>
          <w:highlight w:val="green"/>
          <w:lang w:val="ru-RU"/>
        </w:rPr>
        <w:t xml:space="preserve">Режим доступа: </w:t>
      </w:r>
      <w:r>
        <w:rPr>
          <w:sz w:val="28"/>
          <w:szCs w:val="28"/>
          <w:highlight w:val="green"/>
        </w:rPr>
        <w:t>https</w:t>
      </w:r>
      <w:r>
        <w:rPr>
          <w:sz w:val="28"/>
          <w:szCs w:val="28"/>
          <w:highlight w:val="green"/>
          <w:lang w:val="ru-RU"/>
        </w:rPr>
        <w:t>://</w:t>
      </w:r>
      <w:r>
        <w:rPr>
          <w:sz w:val="28"/>
          <w:szCs w:val="28"/>
          <w:highlight w:val="green"/>
        </w:rPr>
        <w:t>unglobalcompact</w:t>
      </w:r>
      <w:r>
        <w:rPr>
          <w:sz w:val="28"/>
          <w:szCs w:val="28"/>
          <w:highlight w:val="green"/>
          <w:lang w:val="ru-RU"/>
        </w:rPr>
        <w:t>.</w:t>
      </w:r>
      <w:r>
        <w:rPr>
          <w:sz w:val="28"/>
          <w:szCs w:val="28"/>
          <w:highlight w:val="green"/>
        </w:rPr>
        <w:t>org</w:t>
      </w:r>
      <w:r>
        <w:rPr>
          <w:sz w:val="28"/>
          <w:szCs w:val="28"/>
          <w:highlight w:val="green"/>
          <w:lang w:val="ru-RU"/>
        </w:rPr>
        <w:t>/</w:t>
      </w:r>
      <w:r>
        <w:rPr>
          <w:sz w:val="28"/>
          <w:szCs w:val="28"/>
          <w:highlight w:val="green"/>
        </w:rPr>
        <w:t>what</w:t>
      </w:r>
      <w:r>
        <w:rPr>
          <w:sz w:val="28"/>
          <w:szCs w:val="28"/>
          <w:highlight w:val="green"/>
          <w:lang w:val="ru-RU"/>
        </w:rPr>
        <w:t>-</w:t>
      </w:r>
      <w:r>
        <w:rPr>
          <w:sz w:val="28"/>
          <w:szCs w:val="28"/>
          <w:highlight w:val="green"/>
        </w:rPr>
        <w:t>is</w:t>
      </w:r>
      <w:r>
        <w:rPr>
          <w:sz w:val="28"/>
          <w:szCs w:val="28"/>
          <w:highlight w:val="green"/>
          <w:lang w:val="ru-RU"/>
        </w:rPr>
        <w:t>-</w:t>
      </w:r>
      <w:r>
        <w:rPr>
          <w:sz w:val="28"/>
          <w:szCs w:val="28"/>
          <w:highlight w:val="green"/>
        </w:rPr>
        <w:t>gc</w:t>
      </w:r>
      <w:r>
        <w:rPr>
          <w:sz w:val="28"/>
          <w:szCs w:val="28"/>
          <w:highlight w:val="green"/>
          <w:lang w:val="ru-RU"/>
        </w:rPr>
        <w:t xml:space="preserve"> (дата обращения 09.01.2023).</w:t>
      </w:r>
    </w:p>
    <w:p>
      <w:pPr>
        <w:pStyle w:val="P13"/>
        <w:numPr>
          <w:ilvl w:val="0"/>
          <w:numId w:val="6"/>
        </w:numPr>
        <w:spacing w:lineRule="auto" w:line="360" w:beforeAutospacing="0" w:afterAutospacing="0"/>
        <w:ind w:firstLine="709" w:left="0"/>
        <w:jc w:val="both"/>
        <w:rPr>
          <w:bCs w:val="1"/>
          <w:sz w:val="28"/>
          <w:szCs w:val="28"/>
          <w:highlight w:val="green"/>
        </w:rPr>
      </w:pPr>
      <w:r>
        <w:rPr>
          <w:bCs w:val="1"/>
          <w:sz w:val="28"/>
          <w:szCs w:val="28"/>
          <w:highlight w:val="green"/>
        </w:rPr>
        <w:t xml:space="preserve">Thindwa J. Multi-stakeholders initiatives: Platforms of collective governance for development. World Bank Blogs. </w:t>
      </w:r>
      <w:r>
        <w:rPr>
          <w:sz w:val="28"/>
          <w:szCs w:val="28"/>
          <w:highlight w:val="green"/>
        </w:rPr>
        <w:t>[Электронный ресурс]. Режим доступа:</w:t>
      </w:r>
      <w:r>
        <w:rPr>
          <w:bCs w:val="1"/>
          <w:sz w:val="28"/>
          <w:szCs w:val="28"/>
          <w:highlight w:val="green"/>
        </w:rPr>
        <w:t xml:space="preserve"> https://blogs.worldbank.org/governance/multi-stakeholder-initiatives- platforms-collective-governance-development </w:t>
      </w:r>
      <w:r>
        <w:rPr>
          <w:sz w:val="28"/>
          <w:szCs w:val="28"/>
          <w:highlight w:val="green"/>
        </w:rPr>
        <w:t>(дата обращения 23.04.2023).</w:t>
      </w:r>
    </w:p>
    <w:p>
      <w:pPr>
        <w:pStyle w:val="P15"/>
        <w:widowControl w:val="1"/>
        <w:numPr>
          <w:ilvl w:val="0"/>
          <w:numId w:val="6"/>
        </w:numPr>
        <w:spacing w:lineRule="auto" w:line="360" w:beforeAutospacing="0" w:afterAutospacing="0"/>
        <w:ind w:firstLine="709" w:left="0"/>
        <w:contextualSpacing w:val="1"/>
        <w:jc w:val="both"/>
        <w:rPr>
          <w:bCs w:val="1"/>
          <w:sz w:val="28"/>
          <w:szCs w:val="28"/>
          <w:highlight w:val="green"/>
        </w:rPr>
      </w:pPr>
      <w:r>
        <w:rPr>
          <w:bCs w:val="1"/>
          <w:sz w:val="28"/>
          <w:szCs w:val="28"/>
          <w:highlight w:val="green"/>
        </w:rPr>
        <w:t>Thomasius H., Bendix B. Sylvicultura oeconomica. Transkription in das Deutsch der Gegenwart. Sylvicultura oeconomica [Transcription into modern-day German]. (1713/2013). Remagen- Oberwinter: Verlag Kessel.</w:t>
      </w:r>
    </w:p>
    <w:p>
      <w:pPr>
        <w:pStyle w:val="P15"/>
        <w:widowControl w:val="1"/>
        <w:numPr>
          <w:ilvl w:val="0"/>
          <w:numId w:val="6"/>
        </w:numPr>
        <w:spacing w:lineRule="auto" w:line="360" w:beforeAutospacing="0" w:afterAutospacing="0"/>
        <w:ind w:firstLine="709" w:left="0"/>
        <w:contextualSpacing w:val="1"/>
        <w:jc w:val="both"/>
        <w:rPr>
          <w:bCs w:val="1"/>
          <w:sz w:val="28"/>
          <w:szCs w:val="28"/>
          <w:highlight w:val="green"/>
          <w:lang w:val="ru-RU"/>
        </w:rPr>
      </w:pPr>
      <w:r>
        <w:rPr>
          <w:bCs w:val="1"/>
          <w:sz w:val="28"/>
          <w:szCs w:val="28"/>
          <w:highlight w:val="green"/>
        </w:rPr>
        <w:t xml:space="preserve">UNCTAD. 2022. World Investment Report. </w:t>
      </w:r>
      <w:r>
        <w:rPr>
          <w:sz w:val="28"/>
          <w:szCs w:val="28"/>
          <w:highlight w:val="green"/>
          <w:lang w:val="ru-RU"/>
        </w:rPr>
        <w:t>[Электронный ресурс]. Режим доступа:</w:t>
      </w:r>
      <w:r>
        <w:rPr>
          <w:bCs w:val="1"/>
          <w:sz w:val="28"/>
          <w:szCs w:val="28"/>
          <w:highlight w:val="green"/>
          <w:lang w:val="ru-RU"/>
        </w:rPr>
        <w:t xml:space="preserve"> </w:t>
      </w:r>
      <w:r>
        <w:rPr>
          <w:bCs w:val="1"/>
          <w:sz w:val="28"/>
          <w:szCs w:val="28"/>
          <w:highlight w:val="green"/>
        </w:rPr>
        <w:t>https</w:t>
      </w:r>
      <w:r>
        <w:rPr>
          <w:bCs w:val="1"/>
          <w:sz w:val="28"/>
          <w:szCs w:val="28"/>
          <w:highlight w:val="green"/>
          <w:lang w:val="ru-RU"/>
        </w:rPr>
        <w:t>://</w:t>
      </w:r>
      <w:r>
        <w:rPr>
          <w:bCs w:val="1"/>
          <w:sz w:val="28"/>
          <w:szCs w:val="28"/>
          <w:highlight w:val="green"/>
        </w:rPr>
        <w:t>unctad</w:t>
      </w:r>
      <w:r>
        <w:rPr>
          <w:bCs w:val="1"/>
          <w:sz w:val="28"/>
          <w:szCs w:val="28"/>
          <w:highlight w:val="green"/>
          <w:lang w:val="ru-RU"/>
        </w:rPr>
        <w:t>.</w:t>
      </w:r>
      <w:r>
        <w:rPr>
          <w:bCs w:val="1"/>
          <w:sz w:val="28"/>
          <w:szCs w:val="28"/>
          <w:highlight w:val="green"/>
        </w:rPr>
        <w:t>org</w:t>
      </w:r>
      <w:r>
        <w:rPr>
          <w:bCs w:val="1"/>
          <w:sz w:val="28"/>
          <w:szCs w:val="28"/>
          <w:highlight w:val="green"/>
          <w:lang w:val="ru-RU"/>
        </w:rPr>
        <w:t>/</w:t>
      </w:r>
      <w:r>
        <w:rPr>
          <w:bCs w:val="1"/>
          <w:sz w:val="28"/>
          <w:szCs w:val="28"/>
          <w:highlight w:val="green"/>
        </w:rPr>
        <w:t>webflyer</w:t>
      </w:r>
      <w:r>
        <w:rPr>
          <w:bCs w:val="1"/>
          <w:sz w:val="28"/>
          <w:szCs w:val="28"/>
          <w:highlight w:val="green"/>
          <w:lang w:val="ru-RU"/>
        </w:rPr>
        <w:t>/</w:t>
      </w:r>
      <w:r>
        <w:rPr>
          <w:bCs w:val="1"/>
          <w:sz w:val="28"/>
          <w:szCs w:val="28"/>
          <w:highlight w:val="green"/>
        </w:rPr>
        <w:t>world</w:t>
      </w:r>
      <w:r>
        <w:rPr>
          <w:bCs w:val="1"/>
          <w:sz w:val="28"/>
          <w:szCs w:val="28"/>
          <w:highlight w:val="green"/>
          <w:lang w:val="ru-RU"/>
        </w:rPr>
        <w:t>-</w:t>
      </w:r>
      <w:r>
        <w:rPr>
          <w:bCs w:val="1"/>
          <w:sz w:val="28"/>
          <w:szCs w:val="28"/>
          <w:highlight w:val="green"/>
        </w:rPr>
        <w:t>investmentreport</w:t>
      </w:r>
      <w:r>
        <w:rPr>
          <w:bCs w:val="1"/>
          <w:sz w:val="28"/>
          <w:szCs w:val="28"/>
          <w:highlight w:val="green"/>
          <w:lang w:val="ru-RU"/>
        </w:rPr>
        <w:t xml:space="preserve">-2022 </w:t>
      </w:r>
      <w:r>
        <w:rPr>
          <w:sz w:val="28"/>
          <w:szCs w:val="28"/>
          <w:highlight w:val="green"/>
          <w:lang w:val="ru-RU"/>
        </w:rPr>
        <w:t>(дата обращения 16.02.2023).</w:t>
      </w:r>
    </w:p>
    <w:p>
      <w:pPr>
        <w:pStyle w:val="P15"/>
        <w:widowControl w:val="1"/>
        <w:numPr>
          <w:ilvl w:val="0"/>
          <w:numId w:val="6"/>
        </w:numPr>
        <w:spacing w:lineRule="auto" w:line="360" w:beforeAutospacing="0" w:afterAutospacing="0"/>
        <w:ind w:firstLine="709" w:left="0"/>
        <w:contextualSpacing w:val="1"/>
        <w:jc w:val="both"/>
        <w:rPr>
          <w:bCs w:val="1"/>
          <w:sz w:val="28"/>
          <w:szCs w:val="28"/>
          <w:highlight w:val="green"/>
          <w:lang w:val="ru-RU"/>
        </w:rPr>
      </w:pPr>
      <w:r>
        <w:rPr>
          <w:bCs w:val="1"/>
          <w:sz w:val="28"/>
          <w:szCs w:val="28"/>
          <w:highlight w:val="green"/>
        </w:rPr>
        <w:t xml:space="preserve">UNCTADSTAT. UNCTADSTAT Database. </w:t>
      </w:r>
      <w:r>
        <w:rPr>
          <w:sz w:val="28"/>
          <w:szCs w:val="28"/>
          <w:highlight w:val="green"/>
        </w:rPr>
        <w:t xml:space="preserve">[Электронный ресурс]. </w:t>
      </w:r>
      <w:r>
        <w:rPr>
          <w:sz w:val="28"/>
          <w:szCs w:val="28"/>
          <w:highlight w:val="green"/>
          <w:lang w:val="ru-RU"/>
        </w:rPr>
        <w:t>Режим доступа:</w:t>
      </w:r>
      <w:r>
        <w:rPr>
          <w:bCs w:val="1"/>
          <w:sz w:val="28"/>
          <w:szCs w:val="28"/>
          <w:highlight w:val="green"/>
          <w:lang w:val="ru-RU"/>
        </w:rPr>
        <w:t xml:space="preserve"> </w:t>
      </w:r>
      <w:r>
        <w:rPr>
          <w:bCs w:val="1"/>
          <w:sz w:val="28"/>
          <w:szCs w:val="28"/>
          <w:highlight w:val="green"/>
        </w:rPr>
        <w:t>https</w:t>
      </w:r>
      <w:r>
        <w:rPr>
          <w:bCs w:val="1"/>
          <w:sz w:val="28"/>
          <w:szCs w:val="28"/>
          <w:highlight w:val="green"/>
          <w:lang w:val="ru-RU"/>
        </w:rPr>
        <w:t>://</w:t>
      </w:r>
      <w:r>
        <w:rPr>
          <w:bCs w:val="1"/>
          <w:sz w:val="28"/>
          <w:szCs w:val="28"/>
          <w:highlight w:val="green"/>
        </w:rPr>
        <w:t>unctadstat</w:t>
      </w:r>
      <w:r>
        <w:rPr>
          <w:bCs w:val="1"/>
          <w:sz w:val="28"/>
          <w:szCs w:val="28"/>
          <w:highlight w:val="green"/>
          <w:lang w:val="ru-RU"/>
        </w:rPr>
        <w:t>.</w:t>
      </w:r>
      <w:r>
        <w:rPr>
          <w:bCs w:val="1"/>
          <w:sz w:val="28"/>
          <w:szCs w:val="28"/>
          <w:highlight w:val="green"/>
        </w:rPr>
        <w:t>unctad</w:t>
      </w:r>
      <w:r>
        <w:rPr>
          <w:bCs w:val="1"/>
          <w:sz w:val="28"/>
          <w:szCs w:val="28"/>
          <w:highlight w:val="green"/>
          <w:lang w:val="ru-RU"/>
        </w:rPr>
        <w:t>.</w:t>
      </w:r>
      <w:r>
        <w:rPr>
          <w:bCs w:val="1"/>
          <w:sz w:val="28"/>
          <w:szCs w:val="28"/>
          <w:highlight w:val="green"/>
        </w:rPr>
        <w:t>org</w:t>
      </w:r>
      <w:r>
        <w:rPr>
          <w:bCs w:val="1"/>
          <w:sz w:val="28"/>
          <w:szCs w:val="28"/>
          <w:highlight w:val="green"/>
          <w:lang w:val="ru-RU"/>
        </w:rPr>
        <w:t>/</w:t>
      </w:r>
      <w:r>
        <w:rPr>
          <w:bCs w:val="1"/>
          <w:sz w:val="28"/>
          <w:szCs w:val="28"/>
          <w:highlight w:val="green"/>
        </w:rPr>
        <w:t>en</w:t>
      </w:r>
      <w:r>
        <w:rPr>
          <w:bCs w:val="1"/>
          <w:sz w:val="28"/>
          <w:szCs w:val="28"/>
          <w:highlight w:val="green"/>
          <w:lang w:val="ru-RU"/>
        </w:rPr>
        <w:t>/</w:t>
      </w:r>
      <w:r>
        <w:rPr>
          <w:bCs w:val="1"/>
          <w:sz w:val="28"/>
          <w:szCs w:val="28"/>
          <w:highlight w:val="green"/>
        </w:rPr>
        <w:t>Index</w:t>
      </w:r>
      <w:r>
        <w:rPr>
          <w:bCs w:val="1"/>
          <w:sz w:val="28"/>
          <w:szCs w:val="28"/>
          <w:highlight w:val="green"/>
          <w:lang w:val="ru-RU"/>
        </w:rPr>
        <w:t>.</w:t>
      </w:r>
      <w:r>
        <w:rPr>
          <w:bCs w:val="1"/>
          <w:sz w:val="28"/>
          <w:szCs w:val="28"/>
          <w:highlight w:val="green"/>
        </w:rPr>
        <w:t>html</w:t>
      </w:r>
      <w:r>
        <w:rPr>
          <w:bCs w:val="1"/>
          <w:sz w:val="28"/>
          <w:szCs w:val="28"/>
          <w:highlight w:val="green"/>
          <w:lang w:val="ru-RU"/>
        </w:rPr>
        <w:t xml:space="preserve"> </w:t>
      </w:r>
      <w:r>
        <w:rPr>
          <w:sz w:val="28"/>
          <w:szCs w:val="28"/>
          <w:highlight w:val="green"/>
          <w:lang w:val="ru-RU"/>
        </w:rPr>
        <w:t>(дата обращения 25.04.2023).</w:t>
      </w:r>
    </w:p>
    <w:p>
      <w:pPr>
        <w:pStyle w:val="P15"/>
        <w:widowControl w:val="1"/>
        <w:numPr>
          <w:ilvl w:val="0"/>
          <w:numId w:val="6"/>
        </w:numPr>
        <w:spacing w:lineRule="auto" w:line="360" w:beforeAutospacing="0" w:afterAutospacing="0"/>
        <w:ind w:firstLine="709" w:left="0"/>
        <w:contextualSpacing w:val="1"/>
        <w:jc w:val="both"/>
        <w:rPr>
          <w:bCs w:val="1"/>
          <w:sz w:val="28"/>
          <w:szCs w:val="28"/>
          <w:highlight w:val="green"/>
          <w:lang w:val="ru-RU"/>
        </w:rPr>
      </w:pPr>
      <w:r>
        <w:rPr>
          <w:bCs w:val="1"/>
          <w:sz w:val="28"/>
          <w:szCs w:val="28"/>
          <w:highlight w:val="green"/>
        </w:rPr>
        <w:t xml:space="preserve">UNDP. United Nations Development Programme Annual Report 2021. </w:t>
      </w:r>
      <w:r>
        <w:rPr>
          <w:sz w:val="28"/>
          <w:szCs w:val="28"/>
          <w:highlight w:val="green"/>
          <w:lang w:val="ru-RU"/>
        </w:rPr>
        <w:t>[Электронный ресурс]. Режим доступа:</w:t>
      </w:r>
      <w:r>
        <w:rPr>
          <w:bCs w:val="1"/>
          <w:sz w:val="28"/>
          <w:szCs w:val="28"/>
          <w:highlight w:val="green"/>
          <w:lang w:val="ru-RU"/>
        </w:rPr>
        <w:t xml:space="preserve"> </w:t>
      </w:r>
      <w:r>
        <w:rPr>
          <w:bCs w:val="1"/>
          <w:sz w:val="28"/>
          <w:szCs w:val="28"/>
          <w:highlight w:val="green"/>
        </w:rPr>
        <w:t>https</w:t>
      </w:r>
      <w:r>
        <w:rPr>
          <w:bCs w:val="1"/>
          <w:sz w:val="28"/>
          <w:szCs w:val="28"/>
          <w:highlight w:val="green"/>
          <w:lang w:val="ru-RU"/>
        </w:rPr>
        <w:t>://</w:t>
      </w:r>
      <w:r>
        <w:rPr>
          <w:bCs w:val="1"/>
          <w:sz w:val="28"/>
          <w:szCs w:val="28"/>
          <w:highlight w:val="green"/>
        </w:rPr>
        <w:t>www</w:t>
      </w:r>
      <w:r>
        <w:rPr>
          <w:bCs w:val="1"/>
          <w:sz w:val="28"/>
          <w:szCs w:val="28"/>
          <w:highlight w:val="green"/>
          <w:lang w:val="ru-RU"/>
        </w:rPr>
        <w:t>.</w:t>
      </w:r>
      <w:r>
        <w:rPr>
          <w:bCs w:val="1"/>
          <w:sz w:val="28"/>
          <w:szCs w:val="28"/>
          <w:highlight w:val="green"/>
        </w:rPr>
        <w:t>undp</w:t>
      </w:r>
      <w:r>
        <w:rPr>
          <w:bCs w:val="1"/>
          <w:sz w:val="28"/>
          <w:szCs w:val="28"/>
          <w:highlight w:val="green"/>
          <w:lang w:val="ru-RU"/>
        </w:rPr>
        <w:t>.</w:t>
      </w:r>
      <w:r>
        <w:rPr>
          <w:bCs w:val="1"/>
          <w:sz w:val="28"/>
          <w:szCs w:val="28"/>
          <w:highlight w:val="green"/>
        </w:rPr>
        <w:t>org</w:t>
      </w:r>
      <w:r>
        <w:rPr>
          <w:bCs w:val="1"/>
          <w:sz w:val="28"/>
          <w:szCs w:val="28"/>
          <w:highlight w:val="green"/>
          <w:lang w:val="ru-RU"/>
        </w:rPr>
        <w:t>/</w:t>
      </w:r>
      <w:r>
        <w:rPr>
          <w:bCs w:val="1"/>
          <w:sz w:val="28"/>
          <w:szCs w:val="28"/>
          <w:highlight w:val="green"/>
        </w:rPr>
        <w:t>publications</w:t>
      </w:r>
      <w:r>
        <w:rPr>
          <w:bCs w:val="1"/>
          <w:sz w:val="28"/>
          <w:szCs w:val="28"/>
          <w:highlight w:val="green"/>
          <w:lang w:val="ru-RU"/>
        </w:rPr>
        <w:t>/</w:t>
      </w:r>
      <w:r>
        <w:rPr>
          <w:bCs w:val="1"/>
          <w:sz w:val="28"/>
          <w:szCs w:val="28"/>
          <w:highlight w:val="green"/>
        </w:rPr>
        <w:t>undp</w:t>
      </w:r>
      <w:r>
        <w:rPr>
          <w:bCs w:val="1"/>
          <w:sz w:val="28"/>
          <w:szCs w:val="28"/>
          <w:highlight w:val="green"/>
          <w:lang w:val="ru-RU"/>
        </w:rPr>
        <w:t>-</w:t>
      </w:r>
      <w:r>
        <w:rPr>
          <w:bCs w:val="1"/>
          <w:sz w:val="28"/>
          <w:szCs w:val="28"/>
          <w:highlight w:val="green"/>
        </w:rPr>
        <w:t>annual</w:t>
      </w:r>
      <w:r>
        <w:rPr>
          <w:bCs w:val="1"/>
          <w:sz w:val="28"/>
          <w:szCs w:val="28"/>
          <w:highlight w:val="green"/>
          <w:lang w:val="ru-RU"/>
        </w:rPr>
        <w:t>-</w:t>
      </w:r>
      <w:r>
        <w:rPr>
          <w:bCs w:val="1"/>
          <w:sz w:val="28"/>
          <w:szCs w:val="28"/>
          <w:highlight w:val="green"/>
        </w:rPr>
        <w:t>report</w:t>
      </w:r>
      <w:r>
        <w:rPr>
          <w:bCs w:val="1"/>
          <w:sz w:val="28"/>
          <w:szCs w:val="28"/>
          <w:highlight w:val="green"/>
          <w:lang w:val="ru-RU"/>
        </w:rPr>
        <w:t xml:space="preserve">-2021 </w:t>
      </w:r>
      <w:r>
        <w:rPr>
          <w:sz w:val="28"/>
          <w:szCs w:val="28"/>
          <w:highlight w:val="green"/>
          <w:lang w:val="ru-RU"/>
        </w:rPr>
        <w:t>(дата обращения 11.02.2023).</w:t>
      </w:r>
    </w:p>
    <w:p>
      <w:pPr>
        <w:pStyle w:val="P15"/>
        <w:widowControl w:val="1"/>
        <w:numPr>
          <w:ilvl w:val="0"/>
          <w:numId w:val="6"/>
        </w:numPr>
        <w:spacing w:lineRule="auto" w:line="360" w:beforeAutospacing="0" w:afterAutospacing="0"/>
        <w:ind w:firstLine="709" w:left="0"/>
        <w:contextualSpacing w:val="1"/>
        <w:jc w:val="both"/>
        <w:rPr>
          <w:bCs w:val="1"/>
          <w:sz w:val="28"/>
          <w:szCs w:val="28"/>
          <w:highlight w:val="green"/>
          <w:lang w:val="ru-RU"/>
        </w:rPr>
      </w:pPr>
      <w:r>
        <w:rPr>
          <w:bCs w:val="1"/>
          <w:sz w:val="28"/>
          <w:szCs w:val="28"/>
          <w:highlight w:val="green"/>
        </w:rPr>
        <w:t xml:space="preserve">UNEP Green Economy in a Blue World. </w:t>
      </w:r>
      <w:r>
        <w:rPr>
          <w:sz w:val="28"/>
          <w:szCs w:val="28"/>
          <w:highlight w:val="green"/>
          <w:lang w:val="ru-RU"/>
        </w:rPr>
        <w:t>[Электронный ресурс]. Режим доступа:</w:t>
      </w:r>
      <w:r>
        <w:rPr>
          <w:bCs w:val="1"/>
          <w:sz w:val="28"/>
          <w:szCs w:val="28"/>
          <w:highlight w:val="green"/>
          <w:lang w:val="ru-RU"/>
        </w:rPr>
        <w:t xml:space="preserve"> </w:t>
      </w:r>
      <w:r>
        <w:rPr>
          <w:bCs w:val="1"/>
          <w:sz w:val="28"/>
          <w:szCs w:val="28"/>
          <w:highlight w:val="green"/>
        </w:rPr>
        <w:t>https</w:t>
      </w:r>
      <w:r>
        <w:rPr>
          <w:bCs w:val="1"/>
          <w:sz w:val="28"/>
          <w:szCs w:val="28"/>
          <w:highlight w:val="green"/>
          <w:lang w:val="ru-RU"/>
        </w:rPr>
        <w:t>://</w:t>
      </w:r>
      <w:r>
        <w:rPr>
          <w:bCs w:val="1"/>
          <w:sz w:val="28"/>
          <w:szCs w:val="28"/>
          <w:highlight w:val="green"/>
        </w:rPr>
        <w:t>www</w:t>
      </w:r>
      <w:r>
        <w:rPr>
          <w:bCs w:val="1"/>
          <w:sz w:val="28"/>
          <w:szCs w:val="28"/>
          <w:highlight w:val="green"/>
          <w:lang w:val="ru-RU"/>
        </w:rPr>
        <w:t>.</w:t>
      </w:r>
      <w:r>
        <w:rPr>
          <w:bCs w:val="1"/>
          <w:sz w:val="28"/>
          <w:szCs w:val="28"/>
          <w:highlight w:val="green"/>
        </w:rPr>
        <w:t>unep</w:t>
      </w:r>
      <w:r>
        <w:rPr>
          <w:bCs w:val="1"/>
          <w:sz w:val="28"/>
          <w:szCs w:val="28"/>
          <w:highlight w:val="green"/>
          <w:lang w:val="ru-RU"/>
        </w:rPr>
        <w:t>.</w:t>
      </w:r>
      <w:r>
        <w:rPr>
          <w:bCs w:val="1"/>
          <w:sz w:val="28"/>
          <w:szCs w:val="28"/>
          <w:highlight w:val="green"/>
        </w:rPr>
        <w:t>org</w:t>
      </w:r>
      <w:r>
        <w:rPr>
          <w:bCs w:val="1"/>
          <w:sz w:val="28"/>
          <w:szCs w:val="28"/>
          <w:highlight w:val="green"/>
          <w:lang w:val="ru-RU"/>
        </w:rPr>
        <w:t>/</w:t>
      </w:r>
      <w:r>
        <w:rPr>
          <w:bCs w:val="1"/>
          <w:sz w:val="28"/>
          <w:szCs w:val="28"/>
          <w:highlight w:val="green"/>
        </w:rPr>
        <w:t>resources</w:t>
      </w:r>
      <w:r>
        <w:rPr>
          <w:bCs w:val="1"/>
          <w:sz w:val="28"/>
          <w:szCs w:val="28"/>
          <w:highlight w:val="green"/>
          <w:lang w:val="ru-RU"/>
        </w:rPr>
        <w:t>/</w:t>
      </w:r>
      <w:r>
        <w:rPr>
          <w:bCs w:val="1"/>
          <w:sz w:val="28"/>
          <w:szCs w:val="28"/>
          <w:highlight w:val="green"/>
        </w:rPr>
        <w:t>report</w:t>
      </w:r>
      <w:r>
        <w:rPr>
          <w:bCs w:val="1"/>
          <w:sz w:val="28"/>
          <w:szCs w:val="28"/>
          <w:highlight w:val="green"/>
          <w:lang w:val="ru-RU"/>
        </w:rPr>
        <w:t>/</w:t>
      </w:r>
      <w:r>
        <w:rPr>
          <w:bCs w:val="1"/>
          <w:sz w:val="28"/>
          <w:szCs w:val="28"/>
          <w:highlight w:val="green"/>
        </w:rPr>
        <w:t>green</w:t>
      </w:r>
      <w:r>
        <w:rPr>
          <w:bCs w:val="1"/>
          <w:sz w:val="28"/>
          <w:szCs w:val="28"/>
          <w:highlight w:val="green"/>
          <w:lang w:val="ru-RU"/>
        </w:rPr>
        <w:t>-</w:t>
      </w:r>
      <w:r>
        <w:rPr>
          <w:bCs w:val="1"/>
          <w:sz w:val="28"/>
          <w:szCs w:val="28"/>
          <w:highlight w:val="green"/>
        </w:rPr>
        <w:t>economy</w:t>
      </w:r>
      <w:r>
        <w:rPr>
          <w:bCs w:val="1"/>
          <w:sz w:val="28"/>
          <w:szCs w:val="28"/>
          <w:highlight w:val="green"/>
          <w:lang w:val="ru-RU"/>
        </w:rPr>
        <w:t>-</w:t>
      </w:r>
      <w:r>
        <w:rPr>
          <w:bCs w:val="1"/>
          <w:sz w:val="28"/>
          <w:szCs w:val="28"/>
          <w:highlight w:val="green"/>
        </w:rPr>
        <w:t>blue</w:t>
      </w:r>
      <w:r>
        <w:rPr>
          <w:bCs w:val="1"/>
          <w:sz w:val="28"/>
          <w:szCs w:val="28"/>
          <w:highlight w:val="green"/>
          <w:lang w:val="ru-RU"/>
        </w:rPr>
        <w:t>-</w:t>
      </w:r>
      <w:r>
        <w:rPr>
          <w:bCs w:val="1"/>
          <w:sz w:val="28"/>
          <w:szCs w:val="28"/>
          <w:highlight w:val="green"/>
        </w:rPr>
        <w:t>world</w:t>
      </w:r>
      <w:r>
        <w:rPr>
          <w:bCs w:val="1"/>
          <w:sz w:val="28"/>
          <w:szCs w:val="28"/>
          <w:highlight w:val="green"/>
          <w:lang w:val="ru-RU"/>
        </w:rPr>
        <w:t>-</w:t>
      </w:r>
      <w:r>
        <w:rPr>
          <w:bCs w:val="1"/>
          <w:sz w:val="28"/>
          <w:szCs w:val="28"/>
          <w:highlight w:val="green"/>
        </w:rPr>
        <w:t>synthesis</w:t>
      </w:r>
      <w:r>
        <w:rPr>
          <w:bCs w:val="1"/>
          <w:sz w:val="28"/>
          <w:szCs w:val="28"/>
          <w:highlight w:val="green"/>
          <w:lang w:val="ru-RU"/>
        </w:rPr>
        <w:t>-</w:t>
      </w:r>
      <w:r>
        <w:rPr>
          <w:bCs w:val="1"/>
          <w:sz w:val="28"/>
          <w:szCs w:val="28"/>
          <w:highlight w:val="green"/>
        </w:rPr>
        <w:t>report</w:t>
      </w:r>
      <w:r>
        <w:rPr>
          <w:bCs w:val="1"/>
          <w:sz w:val="28"/>
          <w:szCs w:val="28"/>
          <w:highlight w:val="green"/>
          <w:lang w:val="ru-RU"/>
        </w:rPr>
        <w:t xml:space="preserve"> </w:t>
      </w:r>
      <w:r>
        <w:rPr>
          <w:sz w:val="28"/>
          <w:szCs w:val="28"/>
          <w:highlight w:val="green"/>
          <w:lang w:val="ru-RU"/>
        </w:rPr>
        <w:t>(дата обращения 21.03.2023).</w:t>
      </w:r>
    </w:p>
    <w:p>
      <w:pPr>
        <w:pStyle w:val="P15"/>
        <w:widowControl w:val="1"/>
        <w:numPr>
          <w:ilvl w:val="0"/>
          <w:numId w:val="6"/>
        </w:numPr>
        <w:spacing w:lineRule="auto" w:line="360" w:beforeAutospacing="0" w:afterAutospacing="0"/>
        <w:ind w:firstLine="709" w:left="0"/>
        <w:contextualSpacing w:val="1"/>
        <w:jc w:val="both"/>
        <w:rPr>
          <w:bCs w:val="1"/>
          <w:sz w:val="28"/>
          <w:szCs w:val="28"/>
          <w:highlight w:val="green"/>
          <w:lang w:val="ru-RU"/>
        </w:rPr>
      </w:pPr>
      <w:r>
        <w:rPr>
          <w:bCs w:val="1"/>
          <w:sz w:val="28"/>
          <w:szCs w:val="28"/>
          <w:highlight w:val="green"/>
        </w:rPr>
        <w:t xml:space="preserve">United Nations. 2022. Women and Girls – Closing the Gender Gap. </w:t>
      </w:r>
      <w:r>
        <w:rPr>
          <w:sz w:val="28"/>
          <w:szCs w:val="28"/>
          <w:highlight w:val="green"/>
          <w:lang w:val="ru-RU"/>
        </w:rPr>
        <w:t xml:space="preserve">[Электронный ресурс]. Режим доступа: </w:t>
      </w:r>
      <w:r>
        <w:rPr>
          <w:bCs w:val="1"/>
          <w:sz w:val="28"/>
          <w:szCs w:val="28"/>
          <w:highlight w:val="green"/>
        </w:rPr>
        <w:t>https</w:t>
      </w:r>
      <w:r>
        <w:rPr>
          <w:bCs w:val="1"/>
          <w:sz w:val="28"/>
          <w:szCs w:val="28"/>
          <w:highlight w:val="green"/>
          <w:lang w:val="ru-RU"/>
        </w:rPr>
        <w:t>://</w:t>
      </w:r>
      <w:r>
        <w:rPr>
          <w:bCs w:val="1"/>
          <w:sz w:val="28"/>
          <w:szCs w:val="28"/>
          <w:highlight w:val="green"/>
        </w:rPr>
        <w:t>www</w:t>
      </w:r>
      <w:r>
        <w:rPr>
          <w:bCs w:val="1"/>
          <w:sz w:val="28"/>
          <w:szCs w:val="28"/>
          <w:highlight w:val="green"/>
          <w:lang w:val="ru-RU"/>
        </w:rPr>
        <w:t>.</w:t>
      </w:r>
      <w:r>
        <w:rPr>
          <w:bCs w:val="1"/>
          <w:sz w:val="28"/>
          <w:szCs w:val="28"/>
          <w:highlight w:val="green"/>
        </w:rPr>
        <w:t>un</w:t>
      </w:r>
      <w:r>
        <w:rPr>
          <w:bCs w:val="1"/>
          <w:sz w:val="28"/>
          <w:szCs w:val="28"/>
          <w:highlight w:val="green"/>
          <w:lang w:val="ru-RU"/>
        </w:rPr>
        <w:t>.</w:t>
      </w:r>
      <w:r>
        <w:rPr>
          <w:bCs w:val="1"/>
          <w:sz w:val="28"/>
          <w:szCs w:val="28"/>
          <w:highlight w:val="green"/>
        </w:rPr>
        <w:t>org</w:t>
      </w:r>
      <w:r>
        <w:rPr>
          <w:bCs w:val="1"/>
          <w:sz w:val="28"/>
          <w:szCs w:val="28"/>
          <w:highlight w:val="green"/>
          <w:lang w:val="ru-RU"/>
        </w:rPr>
        <w:t>/</w:t>
      </w:r>
      <w:r>
        <w:rPr>
          <w:bCs w:val="1"/>
          <w:sz w:val="28"/>
          <w:szCs w:val="28"/>
          <w:highlight w:val="green"/>
        </w:rPr>
        <w:t>en</w:t>
      </w:r>
      <w:r>
        <w:rPr>
          <w:bCs w:val="1"/>
          <w:sz w:val="28"/>
          <w:szCs w:val="28"/>
          <w:highlight w:val="green"/>
          <w:lang w:val="ru-RU"/>
        </w:rPr>
        <w:t>/</w:t>
      </w:r>
      <w:r>
        <w:rPr>
          <w:bCs w:val="1"/>
          <w:sz w:val="28"/>
          <w:szCs w:val="28"/>
          <w:highlight w:val="green"/>
        </w:rPr>
        <w:t>un</w:t>
      </w:r>
      <w:r>
        <w:rPr>
          <w:bCs w:val="1"/>
          <w:sz w:val="28"/>
          <w:szCs w:val="28"/>
          <w:highlight w:val="green"/>
          <w:lang w:val="ru-RU"/>
        </w:rPr>
        <w:t>75/</w:t>
      </w:r>
      <w:r>
        <w:rPr>
          <w:bCs w:val="1"/>
          <w:sz w:val="28"/>
          <w:szCs w:val="28"/>
          <w:highlight w:val="green"/>
        </w:rPr>
        <w:t>women</w:t>
      </w:r>
      <w:r>
        <w:rPr>
          <w:bCs w:val="1"/>
          <w:sz w:val="28"/>
          <w:szCs w:val="28"/>
          <w:highlight w:val="green"/>
          <w:lang w:val="ru-RU"/>
        </w:rPr>
        <w:t>_</w:t>
      </w:r>
      <w:r>
        <w:rPr>
          <w:bCs w:val="1"/>
          <w:sz w:val="28"/>
          <w:szCs w:val="28"/>
          <w:highlight w:val="green"/>
        </w:rPr>
        <w:t>girls</w:t>
      </w:r>
      <w:r>
        <w:rPr>
          <w:bCs w:val="1"/>
          <w:sz w:val="28"/>
          <w:szCs w:val="28"/>
          <w:highlight w:val="green"/>
          <w:lang w:val="ru-RU"/>
        </w:rPr>
        <w:t>_</w:t>
      </w:r>
      <w:r>
        <w:rPr>
          <w:bCs w:val="1"/>
          <w:sz w:val="28"/>
          <w:szCs w:val="28"/>
          <w:highlight w:val="green"/>
        </w:rPr>
        <w:t>closing</w:t>
      </w:r>
      <w:r>
        <w:rPr>
          <w:bCs w:val="1"/>
          <w:sz w:val="28"/>
          <w:szCs w:val="28"/>
          <w:highlight w:val="green"/>
          <w:lang w:val="ru-RU"/>
        </w:rPr>
        <w:t>_</w:t>
      </w:r>
      <w:r>
        <w:rPr>
          <w:bCs w:val="1"/>
          <w:sz w:val="28"/>
          <w:szCs w:val="28"/>
          <w:highlight w:val="green"/>
        </w:rPr>
        <w:t>gender</w:t>
      </w:r>
      <w:r>
        <w:rPr>
          <w:bCs w:val="1"/>
          <w:sz w:val="28"/>
          <w:szCs w:val="28"/>
          <w:highlight w:val="green"/>
          <w:lang w:val="ru-RU"/>
        </w:rPr>
        <w:t>_</w:t>
      </w:r>
      <w:r>
        <w:rPr>
          <w:bCs w:val="1"/>
          <w:sz w:val="28"/>
          <w:szCs w:val="28"/>
          <w:highlight w:val="green"/>
        </w:rPr>
        <w:t>gap</w:t>
      </w:r>
      <w:r>
        <w:rPr>
          <w:bCs w:val="1"/>
          <w:sz w:val="28"/>
          <w:szCs w:val="28"/>
          <w:highlight w:val="green"/>
          <w:lang w:val="ru-RU"/>
        </w:rPr>
        <w:t xml:space="preserve"> </w:t>
      </w:r>
      <w:r>
        <w:rPr>
          <w:sz w:val="28"/>
          <w:szCs w:val="28"/>
          <w:highlight w:val="green"/>
          <w:lang w:val="ru-RU"/>
        </w:rPr>
        <w:t>(дата обращения 21.02.2023).</w:t>
      </w:r>
    </w:p>
    <w:p>
      <w:pPr>
        <w:pStyle w:val="P15"/>
        <w:widowControl w:val="1"/>
        <w:numPr>
          <w:ilvl w:val="0"/>
          <w:numId w:val="6"/>
        </w:numPr>
        <w:spacing w:lineRule="auto" w:line="360" w:beforeAutospacing="0" w:afterAutospacing="0"/>
        <w:ind w:firstLine="709" w:left="0"/>
        <w:contextualSpacing w:val="1"/>
        <w:jc w:val="both"/>
        <w:rPr>
          <w:bCs w:val="1"/>
          <w:sz w:val="28"/>
          <w:szCs w:val="28"/>
          <w:highlight w:val="green"/>
          <w:lang w:val="ru-RU"/>
        </w:rPr>
      </w:pPr>
      <w:r>
        <w:rPr>
          <w:sz w:val="28"/>
          <w:szCs w:val="28"/>
          <w:highlight w:val="green"/>
        </w:rPr>
        <w:t xml:space="preserve">United Nations Conference on Trade and Development [Электронный ресурс]. Режим доступа:  https://unctad.org/ (дата обращения 11.02.2023).</w:t>
      </w:r>
    </w:p>
    <w:p>
      <w:pPr>
        <w:pStyle w:val="P15"/>
        <w:widowControl w:val="1"/>
        <w:numPr>
          <w:ilvl w:val="0"/>
          <w:numId w:val="6"/>
        </w:numPr>
        <w:spacing w:lineRule="auto" w:line="360" w:beforeAutospacing="0" w:afterAutospacing="0"/>
        <w:ind w:firstLine="709" w:left="0"/>
        <w:contextualSpacing w:val="1"/>
        <w:jc w:val="both"/>
        <w:rPr>
          <w:bCs w:val="1"/>
          <w:sz w:val="28"/>
          <w:szCs w:val="28"/>
          <w:highlight w:val="green"/>
          <w:lang w:val="ru-RU"/>
        </w:rPr>
      </w:pPr>
      <w:r>
        <w:rPr>
          <w:bCs w:val="1"/>
          <w:sz w:val="28"/>
          <w:szCs w:val="28"/>
          <w:highlight w:val="green"/>
        </w:rPr>
        <w:t xml:space="preserve">United Nations. SDG 5 Report. United Nations Statistics Division. </w:t>
      </w:r>
      <w:r>
        <w:rPr>
          <w:sz w:val="28"/>
          <w:szCs w:val="28"/>
          <w:highlight w:val="green"/>
          <w:lang w:val="ru-RU"/>
        </w:rPr>
        <w:t xml:space="preserve">[Электронный ресурс]. Режим доступа: </w:t>
      </w:r>
      <w:r>
        <w:rPr>
          <w:bCs w:val="1"/>
          <w:sz w:val="28"/>
          <w:szCs w:val="28"/>
          <w:highlight w:val="green"/>
        </w:rPr>
        <w:t>https</w:t>
      </w:r>
      <w:r>
        <w:rPr>
          <w:bCs w:val="1"/>
          <w:sz w:val="28"/>
          <w:szCs w:val="28"/>
          <w:highlight w:val="green"/>
          <w:lang w:val="ru-RU"/>
        </w:rPr>
        <w:t>://</w:t>
      </w:r>
      <w:r>
        <w:rPr>
          <w:bCs w:val="1"/>
          <w:sz w:val="28"/>
          <w:szCs w:val="28"/>
          <w:highlight w:val="green"/>
        </w:rPr>
        <w:t>unstats</w:t>
      </w:r>
      <w:r>
        <w:rPr>
          <w:bCs w:val="1"/>
          <w:sz w:val="28"/>
          <w:szCs w:val="28"/>
          <w:highlight w:val="green"/>
          <w:lang w:val="ru-RU"/>
        </w:rPr>
        <w:t>.</w:t>
      </w:r>
      <w:r>
        <w:rPr>
          <w:bCs w:val="1"/>
          <w:sz w:val="28"/>
          <w:szCs w:val="28"/>
          <w:highlight w:val="green"/>
        </w:rPr>
        <w:t>un</w:t>
      </w:r>
      <w:r>
        <w:rPr>
          <w:bCs w:val="1"/>
          <w:sz w:val="28"/>
          <w:szCs w:val="28"/>
          <w:highlight w:val="green"/>
          <w:lang w:val="ru-RU"/>
        </w:rPr>
        <w:t>.</w:t>
      </w:r>
      <w:r>
        <w:rPr>
          <w:bCs w:val="1"/>
          <w:sz w:val="28"/>
          <w:szCs w:val="28"/>
          <w:highlight w:val="green"/>
        </w:rPr>
        <w:t>org</w:t>
      </w:r>
      <w:r>
        <w:rPr>
          <w:bCs w:val="1"/>
          <w:sz w:val="28"/>
          <w:szCs w:val="28"/>
          <w:highlight w:val="green"/>
          <w:lang w:val="ru-RU"/>
        </w:rPr>
        <w:t>/</w:t>
      </w:r>
      <w:r>
        <w:rPr>
          <w:bCs w:val="1"/>
          <w:sz w:val="28"/>
          <w:szCs w:val="28"/>
          <w:highlight w:val="green"/>
        </w:rPr>
        <w:t>sdgs</w:t>
      </w:r>
      <w:r>
        <w:rPr>
          <w:bCs w:val="1"/>
          <w:sz w:val="28"/>
          <w:szCs w:val="28"/>
          <w:highlight w:val="green"/>
          <w:lang w:val="ru-RU"/>
        </w:rPr>
        <w:t>/</w:t>
      </w:r>
      <w:r>
        <w:rPr>
          <w:bCs w:val="1"/>
          <w:sz w:val="28"/>
          <w:szCs w:val="28"/>
          <w:highlight w:val="green"/>
        </w:rPr>
        <w:t>report</w:t>
      </w:r>
      <w:r>
        <w:rPr>
          <w:bCs w:val="1"/>
          <w:sz w:val="28"/>
          <w:szCs w:val="28"/>
          <w:highlight w:val="green"/>
          <w:lang w:val="ru-RU"/>
        </w:rPr>
        <w:t>/2022/</w:t>
      </w:r>
      <w:r>
        <w:rPr>
          <w:bCs w:val="1"/>
          <w:sz w:val="28"/>
          <w:szCs w:val="28"/>
          <w:highlight w:val="green"/>
        </w:rPr>
        <w:t>goal</w:t>
      </w:r>
      <w:r>
        <w:rPr>
          <w:bCs w:val="1"/>
          <w:sz w:val="28"/>
          <w:szCs w:val="28"/>
          <w:highlight w:val="green"/>
          <w:lang w:val="ru-RU"/>
        </w:rPr>
        <w:t xml:space="preserve">-05/ </w:t>
      </w:r>
      <w:r>
        <w:rPr>
          <w:sz w:val="28"/>
          <w:szCs w:val="28"/>
          <w:highlight w:val="green"/>
          <w:lang w:val="ru-RU"/>
        </w:rPr>
        <w:t>(дата обращения 18.04.2023).</w:t>
      </w:r>
    </w:p>
    <w:p>
      <w:pPr>
        <w:pStyle w:val="P15"/>
        <w:widowControl w:val="1"/>
        <w:numPr>
          <w:ilvl w:val="0"/>
          <w:numId w:val="6"/>
        </w:numPr>
        <w:spacing w:lineRule="auto" w:line="360" w:beforeAutospacing="0" w:afterAutospacing="0"/>
        <w:ind w:firstLine="709" w:left="0"/>
        <w:contextualSpacing w:val="1"/>
        <w:jc w:val="both"/>
        <w:rPr>
          <w:bCs w:val="1"/>
          <w:sz w:val="28"/>
          <w:szCs w:val="28"/>
          <w:highlight w:val="green"/>
        </w:rPr>
      </w:pPr>
      <w:r>
        <w:rPr>
          <w:sz w:val="28"/>
          <w:szCs w:val="28"/>
          <w:highlight w:val="green"/>
        </w:rPr>
        <w:t>United Nations Economic Commission for Africa https://www.uneca.org/</w:t>
      </w:r>
    </w:p>
    <w:p>
      <w:pPr>
        <w:pStyle w:val="P15"/>
        <w:widowControl w:val="1"/>
        <w:numPr>
          <w:ilvl w:val="0"/>
          <w:numId w:val="6"/>
        </w:numPr>
        <w:spacing w:lineRule="auto" w:line="360" w:beforeAutospacing="0" w:afterAutospacing="0"/>
        <w:ind w:firstLine="709" w:left="0"/>
        <w:contextualSpacing w:val="1"/>
        <w:jc w:val="both"/>
        <w:rPr>
          <w:bCs w:val="1"/>
          <w:sz w:val="28"/>
          <w:szCs w:val="28"/>
          <w:highlight w:val="green"/>
          <w:lang w:val="ru-RU"/>
        </w:rPr>
      </w:pPr>
      <w:r>
        <w:rPr>
          <w:bCs w:val="1"/>
          <w:sz w:val="28"/>
          <w:szCs w:val="28"/>
          <w:highlight w:val="green"/>
        </w:rPr>
        <w:t xml:space="preserve">UN. The Sustainable Development Report 2021. </w:t>
      </w:r>
      <w:r>
        <w:rPr>
          <w:sz w:val="28"/>
          <w:szCs w:val="28"/>
          <w:highlight w:val="green"/>
          <w:lang w:val="ru-RU"/>
        </w:rPr>
        <w:t>[Электронный ресурс]. Режим доступа:</w:t>
      </w:r>
      <w:r>
        <w:rPr>
          <w:bCs w:val="1"/>
          <w:sz w:val="28"/>
          <w:szCs w:val="28"/>
          <w:highlight w:val="green"/>
          <w:lang w:val="ru-RU"/>
        </w:rPr>
        <w:t xml:space="preserve"> </w:t>
      </w:r>
      <w:r>
        <w:rPr>
          <w:bCs w:val="1"/>
          <w:sz w:val="28"/>
          <w:szCs w:val="28"/>
          <w:highlight w:val="green"/>
        </w:rPr>
        <w:t>https</w:t>
      </w:r>
      <w:r>
        <w:rPr>
          <w:bCs w:val="1"/>
          <w:sz w:val="28"/>
          <w:szCs w:val="28"/>
          <w:highlight w:val="green"/>
          <w:lang w:val="ru-RU"/>
        </w:rPr>
        <w:t>://</w:t>
      </w:r>
      <w:r>
        <w:rPr>
          <w:bCs w:val="1"/>
          <w:sz w:val="28"/>
          <w:szCs w:val="28"/>
          <w:highlight w:val="green"/>
        </w:rPr>
        <w:t>unstats</w:t>
      </w:r>
      <w:r>
        <w:rPr>
          <w:bCs w:val="1"/>
          <w:sz w:val="28"/>
          <w:szCs w:val="28"/>
          <w:highlight w:val="green"/>
          <w:lang w:val="ru-RU"/>
        </w:rPr>
        <w:t>.</w:t>
      </w:r>
      <w:r>
        <w:rPr>
          <w:bCs w:val="1"/>
          <w:sz w:val="28"/>
          <w:szCs w:val="28"/>
          <w:highlight w:val="green"/>
        </w:rPr>
        <w:t>un</w:t>
      </w:r>
      <w:r>
        <w:rPr>
          <w:bCs w:val="1"/>
          <w:sz w:val="28"/>
          <w:szCs w:val="28"/>
          <w:highlight w:val="green"/>
          <w:lang w:val="ru-RU"/>
        </w:rPr>
        <w:t>.</w:t>
      </w:r>
      <w:r>
        <w:rPr>
          <w:bCs w:val="1"/>
          <w:sz w:val="28"/>
          <w:szCs w:val="28"/>
          <w:highlight w:val="green"/>
        </w:rPr>
        <w:t>org</w:t>
      </w:r>
      <w:r>
        <w:rPr>
          <w:bCs w:val="1"/>
          <w:sz w:val="28"/>
          <w:szCs w:val="28"/>
          <w:highlight w:val="green"/>
          <w:lang w:val="ru-RU"/>
        </w:rPr>
        <w:t>/</w:t>
      </w:r>
      <w:r>
        <w:rPr>
          <w:bCs w:val="1"/>
          <w:sz w:val="28"/>
          <w:szCs w:val="28"/>
          <w:highlight w:val="green"/>
        </w:rPr>
        <w:t>sdgs</w:t>
      </w:r>
      <w:r>
        <w:rPr>
          <w:bCs w:val="1"/>
          <w:sz w:val="28"/>
          <w:szCs w:val="28"/>
          <w:highlight w:val="green"/>
          <w:lang w:val="ru-RU"/>
        </w:rPr>
        <w:t>/</w:t>
      </w:r>
      <w:r>
        <w:rPr>
          <w:bCs w:val="1"/>
          <w:sz w:val="28"/>
          <w:szCs w:val="28"/>
          <w:highlight w:val="green"/>
        </w:rPr>
        <w:t>report</w:t>
      </w:r>
      <w:r>
        <w:rPr>
          <w:bCs w:val="1"/>
          <w:sz w:val="28"/>
          <w:szCs w:val="28"/>
          <w:highlight w:val="green"/>
          <w:lang w:val="ru-RU"/>
        </w:rPr>
        <w:t xml:space="preserve">/2021/ </w:t>
      </w:r>
      <w:r>
        <w:rPr>
          <w:sz w:val="28"/>
          <w:szCs w:val="28"/>
          <w:highlight w:val="green"/>
          <w:lang w:val="ru-RU"/>
        </w:rPr>
        <w:t>(дата обращения 18.04.2023).</w:t>
      </w:r>
    </w:p>
    <w:p>
      <w:pPr>
        <w:pStyle w:val="P15"/>
        <w:widowControl w:val="1"/>
        <w:numPr>
          <w:ilvl w:val="0"/>
          <w:numId w:val="6"/>
        </w:numPr>
        <w:spacing w:lineRule="auto" w:line="360" w:beforeAutospacing="0" w:afterAutospacing="0"/>
        <w:ind w:firstLine="709" w:left="0"/>
        <w:contextualSpacing w:val="1"/>
        <w:jc w:val="both"/>
        <w:rPr>
          <w:bCs w:val="1"/>
          <w:sz w:val="28"/>
          <w:szCs w:val="28"/>
          <w:highlight w:val="green"/>
          <w:lang w:val="ru-RU"/>
        </w:rPr>
      </w:pPr>
      <w:r>
        <w:rPr>
          <w:sz w:val="28"/>
          <w:szCs w:val="28"/>
          <w:highlight w:val="green"/>
          <w:shd w:val="clear" w:color="auto" w:fill="FFFFFF"/>
        </w:rPr>
        <w:t xml:space="preserve">United Nations Statistics Division </w:t>
      </w:r>
      <w:r>
        <w:rPr>
          <w:sz w:val="28"/>
          <w:szCs w:val="28"/>
          <w:highlight w:val="green"/>
        </w:rPr>
        <w:t xml:space="preserve">[Электронный ресурс]. </w:t>
      </w:r>
      <w:r>
        <w:rPr>
          <w:sz w:val="28"/>
          <w:szCs w:val="28"/>
          <w:highlight w:val="green"/>
          <w:lang w:val="ru-RU"/>
        </w:rPr>
        <w:t xml:space="preserve">Режим доступа: </w:t>
      </w:r>
      <w:r>
        <w:rPr>
          <w:sz w:val="28"/>
          <w:szCs w:val="28"/>
          <w:highlight w:val="green"/>
        </w:rPr>
        <w:t>https</w:t>
      </w:r>
      <w:r>
        <w:rPr>
          <w:sz w:val="28"/>
          <w:szCs w:val="28"/>
          <w:highlight w:val="green"/>
          <w:lang w:val="ru-RU"/>
        </w:rPr>
        <w:t>://</w:t>
      </w:r>
      <w:r>
        <w:rPr>
          <w:sz w:val="28"/>
          <w:szCs w:val="28"/>
          <w:highlight w:val="green"/>
        </w:rPr>
        <w:t>unstats</w:t>
      </w:r>
      <w:r>
        <w:rPr>
          <w:sz w:val="28"/>
          <w:szCs w:val="28"/>
          <w:highlight w:val="green"/>
          <w:lang w:val="ru-RU"/>
        </w:rPr>
        <w:t>.</w:t>
      </w:r>
      <w:r>
        <w:rPr>
          <w:sz w:val="28"/>
          <w:szCs w:val="28"/>
          <w:highlight w:val="green"/>
        </w:rPr>
        <w:t>un</w:t>
      </w:r>
      <w:r>
        <w:rPr>
          <w:sz w:val="28"/>
          <w:szCs w:val="28"/>
          <w:highlight w:val="green"/>
          <w:lang w:val="ru-RU"/>
        </w:rPr>
        <w:t>.</w:t>
      </w:r>
      <w:r>
        <w:rPr>
          <w:sz w:val="28"/>
          <w:szCs w:val="28"/>
          <w:highlight w:val="green"/>
        </w:rPr>
        <w:t>org</w:t>
      </w:r>
      <w:r>
        <w:rPr>
          <w:sz w:val="28"/>
          <w:szCs w:val="28"/>
          <w:highlight w:val="green"/>
          <w:lang w:val="ru-RU"/>
        </w:rPr>
        <w:t>/</w:t>
      </w:r>
      <w:r>
        <w:rPr>
          <w:sz w:val="28"/>
          <w:szCs w:val="28"/>
          <w:highlight w:val="green"/>
        </w:rPr>
        <w:t>UNSDWebsite</w:t>
      </w:r>
      <w:r>
        <w:rPr>
          <w:sz w:val="28"/>
          <w:szCs w:val="28"/>
          <w:highlight w:val="green"/>
          <w:lang w:val="ru-RU"/>
        </w:rPr>
        <w:t>/ (дата обращения 11.02.2023).</w:t>
      </w:r>
    </w:p>
    <w:p>
      <w:pPr>
        <w:pStyle w:val="P15"/>
        <w:widowControl w:val="1"/>
        <w:numPr>
          <w:ilvl w:val="0"/>
          <w:numId w:val="6"/>
        </w:numPr>
        <w:spacing w:lineRule="auto" w:line="360" w:beforeAutospacing="0" w:afterAutospacing="0"/>
        <w:ind w:firstLine="709" w:left="0"/>
        <w:contextualSpacing w:val="1"/>
        <w:jc w:val="both"/>
        <w:rPr>
          <w:bCs w:val="1"/>
          <w:sz w:val="28"/>
          <w:szCs w:val="28"/>
          <w:highlight w:val="green"/>
          <w:lang w:val="ru-RU"/>
        </w:rPr>
      </w:pPr>
      <w:r>
        <w:rPr>
          <w:sz w:val="28"/>
          <w:szCs w:val="28"/>
          <w:highlight w:val="green"/>
        </w:rPr>
        <w:t xml:space="preserve">UN WOMEN. 2018. Revisiting Rwanda five years after record-breaking parliamentary elections. </w:t>
      </w:r>
      <w:r>
        <w:rPr>
          <w:sz w:val="28"/>
          <w:szCs w:val="28"/>
          <w:highlight w:val="green"/>
          <w:lang w:val="ru-RU"/>
        </w:rPr>
        <w:t xml:space="preserve">[Электронный ресурс]. Режим доступа: </w:t>
      </w:r>
      <w:r>
        <w:rPr>
          <w:sz w:val="28"/>
          <w:szCs w:val="28"/>
          <w:highlight w:val="green"/>
        </w:rPr>
        <w:t>https</w:t>
      </w:r>
      <w:r>
        <w:rPr>
          <w:sz w:val="28"/>
          <w:szCs w:val="28"/>
          <w:highlight w:val="green"/>
          <w:lang w:val="ru-RU"/>
        </w:rPr>
        <w:t>://</w:t>
      </w:r>
      <w:r>
        <w:rPr>
          <w:sz w:val="28"/>
          <w:szCs w:val="28"/>
          <w:highlight w:val="green"/>
        </w:rPr>
        <w:t>www</w:t>
      </w:r>
      <w:r>
        <w:rPr>
          <w:sz w:val="28"/>
          <w:szCs w:val="28"/>
          <w:highlight w:val="green"/>
          <w:lang w:val="ru-RU"/>
        </w:rPr>
        <w:t>.</w:t>
      </w:r>
      <w:r>
        <w:rPr>
          <w:sz w:val="28"/>
          <w:szCs w:val="28"/>
          <w:highlight w:val="green"/>
        </w:rPr>
        <w:t>unwomen</w:t>
      </w:r>
      <w:r>
        <w:rPr>
          <w:sz w:val="28"/>
          <w:szCs w:val="28"/>
          <w:highlight w:val="green"/>
          <w:lang w:val="ru-RU"/>
        </w:rPr>
        <w:t>.</w:t>
      </w:r>
      <w:r>
        <w:rPr>
          <w:sz w:val="28"/>
          <w:szCs w:val="28"/>
          <w:highlight w:val="green"/>
        </w:rPr>
        <w:t>org</w:t>
      </w:r>
      <w:r>
        <w:rPr>
          <w:sz w:val="28"/>
          <w:szCs w:val="28"/>
          <w:highlight w:val="green"/>
          <w:lang w:val="ru-RU"/>
        </w:rPr>
        <w:t>/</w:t>
      </w:r>
      <w:r>
        <w:rPr>
          <w:sz w:val="28"/>
          <w:szCs w:val="28"/>
          <w:highlight w:val="green"/>
        </w:rPr>
        <w:t>en</w:t>
      </w:r>
      <w:r>
        <w:rPr>
          <w:sz w:val="28"/>
          <w:szCs w:val="28"/>
          <w:highlight w:val="green"/>
          <w:lang w:val="ru-RU"/>
        </w:rPr>
        <w:t>/</w:t>
      </w:r>
      <w:r>
        <w:rPr>
          <w:sz w:val="28"/>
          <w:szCs w:val="28"/>
          <w:highlight w:val="green"/>
        </w:rPr>
        <w:t>news</w:t>
      </w:r>
      <w:r>
        <w:rPr>
          <w:sz w:val="28"/>
          <w:szCs w:val="28"/>
          <w:highlight w:val="green"/>
          <w:lang w:val="ru-RU"/>
        </w:rPr>
        <w:t>/</w:t>
      </w:r>
      <w:r>
        <w:rPr>
          <w:sz w:val="28"/>
          <w:szCs w:val="28"/>
          <w:highlight w:val="green"/>
        </w:rPr>
        <w:t>stories</w:t>
      </w:r>
      <w:r>
        <w:rPr>
          <w:sz w:val="28"/>
          <w:szCs w:val="28"/>
          <w:highlight w:val="green"/>
          <w:lang w:val="ru-RU"/>
        </w:rPr>
        <w:t>/2018/8/</w:t>
      </w:r>
      <w:r>
        <w:rPr>
          <w:sz w:val="28"/>
          <w:szCs w:val="28"/>
          <w:highlight w:val="green"/>
        </w:rPr>
        <w:t>feature</w:t>
      </w:r>
      <w:r>
        <w:rPr>
          <w:sz w:val="28"/>
          <w:szCs w:val="28"/>
          <w:highlight w:val="green"/>
          <w:lang w:val="ru-RU"/>
        </w:rPr>
        <w:t>-</w:t>
      </w:r>
      <w:r>
        <w:rPr>
          <w:sz w:val="28"/>
          <w:szCs w:val="28"/>
          <w:highlight w:val="green"/>
        </w:rPr>
        <w:t>rwanda</w:t>
      </w:r>
      <w:r>
        <w:rPr>
          <w:sz w:val="28"/>
          <w:szCs w:val="28"/>
          <w:highlight w:val="green"/>
          <w:lang w:val="ru-RU"/>
        </w:rPr>
        <w:t>-</w:t>
      </w:r>
      <w:r>
        <w:rPr>
          <w:sz w:val="28"/>
          <w:szCs w:val="28"/>
          <w:highlight w:val="green"/>
        </w:rPr>
        <w:t>women</w:t>
      </w:r>
      <w:r>
        <w:rPr>
          <w:sz w:val="28"/>
          <w:szCs w:val="28"/>
          <w:highlight w:val="green"/>
          <w:lang w:val="ru-RU"/>
        </w:rPr>
        <w:t>-</w:t>
      </w:r>
      <w:r>
        <w:rPr>
          <w:sz w:val="28"/>
          <w:szCs w:val="28"/>
          <w:highlight w:val="green"/>
        </w:rPr>
        <w:t>in</w:t>
      </w:r>
      <w:r>
        <w:rPr>
          <w:sz w:val="28"/>
          <w:szCs w:val="28"/>
          <w:highlight w:val="green"/>
          <w:lang w:val="ru-RU"/>
        </w:rPr>
        <w:t>-</w:t>
      </w:r>
      <w:r>
        <w:rPr>
          <w:sz w:val="28"/>
          <w:szCs w:val="28"/>
          <w:highlight w:val="green"/>
        </w:rPr>
        <w:t>parliament</w:t>
      </w:r>
      <w:r>
        <w:rPr>
          <w:sz w:val="28"/>
          <w:szCs w:val="28"/>
          <w:highlight w:val="green"/>
          <w:lang w:val="ru-RU"/>
        </w:rPr>
        <w:t xml:space="preserve"> (дата обращения 05.04.2023).</w:t>
      </w:r>
    </w:p>
    <w:p>
      <w:pPr>
        <w:pStyle w:val="P15"/>
        <w:widowControl w:val="1"/>
        <w:numPr>
          <w:ilvl w:val="0"/>
          <w:numId w:val="6"/>
        </w:numPr>
        <w:spacing w:lineRule="auto" w:line="360" w:beforeAutospacing="0" w:afterAutospacing="0"/>
        <w:ind w:firstLine="709" w:left="0"/>
        <w:contextualSpacing w:val="1"/>
        <w:jc w:val="both"/>
        <w:rPr>
          <w:bCs w:val="1"/>
          <w:sz w:val="28"/>
          <w:szCs w:val="28"/>
          <w:highlight w:val="green"/>
        </w:rPr>
      </w:pPr>
      <w:r>
        <w:rPr>
          <w:bCs w:val="1"/>
          <w:sz w:val="28"/>
          <w:szCs w:val="28"/>
          <w:highlight w:val="green"/>
        </w:rPr>
        <w:t>Van Biesebroeck J. Exporting Raises Productivity in Sub-Saharan African Manufacturing Firms // Journal of International Economics. 2005. 67(2). pp. 373–391.</w:t>
      </w:r>
    </w:p>
    <w:p>
      <w:pPr>
        <w:pStyle w:val="P15"/>
        <w:widowControl w:val="1"/>
        <w:numPr>
          <w:ilvl w:val="0"/>
          <w:numId w:val="6"/>
        </w:numPr>
        <w:spacing w:lineRule="auto" w:line="360" w:beforeAutospacing="0" w:afterAutospacing="0"/>
        <w:ind w:firstLine="709" w:left="0"/>
        <w:contextualSpacing w:val="1"/>
        <w:jc w:val="both"/>
        <w:rPr>
          <w:bCs w:val="1"/>
          <w:sz w:val="28"/>
          <w:szCs w:val="28"/>
          <w:highlight w:val="green"/>
          <w:lang w:val="ru-RU"/>
        </w:rPr>
      </w:pPr>
      <w:r>
        <w:rPr>
          <w:bCs w:val="1"/>
          <w:sz w:val="28"/>
          <w:szCs w:val="28"/>
          <w:highlight w:val="green"/>
        </w:rPr>
        <w:t xml:space="preserve">Vinitius V.R. Colonialism and underdevelopment in Latin America. </w:t>
      </w:r>
      <w:r>
        <w:rPr>
          <w:sz w:val="28"/>
          <w:szCs w:val="28"/>
          <w:highlight w:val="green"/>
          <w:lang w:val="ru-RU"/>
        </w:rPr>
        <w:t>[Электронный ресурс]. Режим доступа:</w:t>
      </w:r>
      <w:r>
        <w:rPr>
          <w:bCs w:val="1"/>
          <w:sz w:val="28"/>
          <w:szCs w:val="28"/>
          <w:highlight w:val="green"/>
          <w:lang w:val="ru-RU"/>
        </w:rPr>
        <w:t xml:space="preserve"> </w:t>
      </w:r>
      <w:r>
        <w:rPr>
          <w:bCs w:val="1"/>
          <w:sz w:val="28"/>
          <w:szCs w:val="28"/>
          <w:highlight w:val="green"/>
        </w:rPr>
        <w:t>http</w:t>
      </w:r>
      <w:r>
        <w:rPr>
          <w:bCs w:val="1"/>
          <w:sz w:val="28"/>
          <w:szCs w:val="28"/>
          <w:highlight w:val="green"/>
          <w:lang w:val="ru-RU"/>
        </w:rPr>
        <w:t>://</w:t>
      </w:r>
      <w:r>
        <w:rPr>
          <w:bCs w:val="1"/>
          <w:sz w:val="28"/>
          <w:szCs w:val="28"/>
          <w:highlight w:val="green"/>
        </w:rPr>
        <w:t>www</w:t>
      </w:r>
      <w:r>
        <w:rPr>
          <w:bCs w:val="1"/>
          <w:sz w:val="28"/>
          <w:szCs w:val="28"/>
          <w:highlight w:val="green"/>
          <w:lang w:val="ru-RU"/>
        </w:rPr>
        <w:t>.</w:t>
      </w:r>
      <w:r>
        <w:rPr>
          <w:bCs w:val="1"/>
          <w:sz w:val="28"/>
          <w:szCs w:val="28"/>
          <w:highlight w:val="green"/>
        </w:rPr>
        <w:t>politicalaffairs</w:t>
      </w:r>
      <w:r>
        <w:rPr>
          <w:bCs w:val="1"/>
          <w:sz w:val="28"/>
          <w:szCs w:val="28"/>
          <w:highlight w:val="green"/>
          <w:lang w:val="ru-RU"/>
        </w:rPr>
        <w:t>.</w:t>
      </w:r>
      <w:r>
        <w:rPr>
          <w:bCs w:val="1"/>
          <w:sz w:val="28"/>
          <w:szCs w:val="28"/>
          <w:highlight w:val="green"/>
        </w:rPr>
        <w:t>net</w:t>
      </w:r>
      <w:r>
        <w:rPr>
          <w:bCs w:val="1"/>
          <w:sz w:val="28"/>
          <w:szCs w:val="28"/>
          <w:highlight w:val="green"/>
          <w:lang w:val="ru-RU"/>
        </w:rPr>
        <w:t>/</w:t>
      </w:r>
      <w:r>
        <w:rPr>
          <w:bCs w:val="1"/>
          <w:sz w:val="28"/>
          <w:szCs w:val="28"/>
          <w:highlight w:val="green"/>
        </w:rPr>
        <w:t>colonialism</w:t>
      </w:r>
      <w:r>
        <w:rPr>
          <w:bCs w:val="1"/>
          <w:sz w:val="28"/>
          <w:szCs w:val="28"/>
          <w:highlight w:val="green"/>
          <w:lang w:val="ru-RU"/>
        </w:rPr>
        <w:t>-</w:t>
      </w:r>
      <w:r>
        <w:rPr>
          <w:bCs w:val="1"/>
          <w:sz w:val="28"/>
          <w:szCs w:val="28"/>
          <w:highlight w:val="green"/>
        </w:rPr>
        <w:t>and</w:t>
      </w:r>
      <w:r>
        <w:rPr>
          <w:bCs w:val="1"/>
          <w:sz w:val="28"/>
          <w:szCs w:val="28"/>
          <w:highlight w:val="green"/>
          <w:lang w:val="ru-RU"/>
        </w:rPr>
        <w:t>-</w:t>
      </w:r>
      <w:r>
        <w:rPr>
          <w:bCs w:val="1"/>
          <w:sz w:val="28"/>
          <w:szCs w:val="28"/>
          <w:highlight w:val="green"/>
        </w:rPr>
        <w:t>underdevelopment</w:t>
      </w:r>
      <w:r>
        <w:rPr>
          <w:bCs w:val="1"/>
          <w:sz w:val="28"/>
          <w:szCs w:val="28"/>
          <w:highlight w:val="green"/>
          <w:lang w:val="ru-RU"/>
        </w:rPr>
        <w:t>-</w:t>
      </w:r>
      <w:r>
        <w:rPr>
          <w:bCs w:val="1"/>
          <w:sz w:val="28"/>
          <w:szCs w:val="28"/>
          <w:highlight w:val="green"/>
        </w:rPr>
        <w:t>in</w:t>
      </w:r>
      <w:r>
        <w:rPr>
          <w:bCs w:val="1"/>
          <w:sz w:val="28"/>
          <w:szCs w:val="28"/>
          <w:highlight w:val="green"/>
          <w:lang w:val="ru-RU"/>
        </w:rPr>
        <w:t>-</w:t>
      </w:r>
      <w:r>
        <w:rPr>
          <w:bCs w:val="1"/>
          <w:sz w:val="28"/>
          <w:szCs w:val="28"/>
          <w:highlight w:val="green"/>
        </w:rPr>
        <w:t>latin</w:t>
      </w:r>
      <w:r>
        <w:rPr>
          <w:bCs w:val="1"/>
          <w:sz w:val="28"/>
          <w:szCs w:val="28"/>
          <w:highlight w:val="green"/>
          <w:lang w:val="ru-RU"/>
        </w:rPr>
        <w:t>-</w:t>
      </w:r>
      <w:r>
        <w:rPr>
          <w:bCs w:val="1"/>
          <w:sz w:val="28"/>
          <w:szCs w:val="28"/>
          <w:highlight w:val="green"/>
        </w:rPr>
        <w:t>america</w:t>
      </w:r>
      <w:r>
        <w:rPr>
          <w:bCs w:val="1"/>
          <w:sz w:val="28"/>
          <w:szCs w:val="28"/>
          <w:highlight w:val="green"/>
          <w:lang w:val="ru-RU"/>
        </w:rPr>
        <w:t xml:space="preserve">/ </w:t>
      </w:r>
      <w:r>
        <w:rPr>
          <w:sz w:val="28"/>
          <w:szCs w:val="28"/>
          <w:highlight w:val="green"/>
          <w:lang w:val="ru-RU"/>
        </w:rPr>
        <w:t>(дата обращения 05.02.2023).</w:t>
      </w:r>
    </w:p>
    <w:p>
      <w:pPr>
        <w:pStyle w:val="P15"/>
        <w:widowControl w:val="1"/>
        <w:numPr>
          <w:ilvl w:val="0"/>
          <w:numId w:val="6"/>
        </w:numPr>
        <w:spacing w:lineRule="auto" w:line="360" w:beforeAutospacing="0" w:afterAutospacing="0"/>
        <w:ind w:firstLine="709" w:left="0"/>
        <w:contextualSpacing w:val="1"/>
        <w:jc w:val="both"/>
        <w:rPr>
          <w:bCs w:val="1"/>
          <w:sz w:val="28"/>
          <w:szCs w:val="28"/>
          <w:highlight w:val="green"/>
        </w:rPr>
      </w:pPr>
      <w:r>
        <w:rPr>
          <w:bCs w:val="1"/>
          <w:sz w:val="28"/>
          <w:szCs w:val="28"/>
          <w:highlight w:val="green"/>
        </w:rPr>
        <w:t xml:space="preserve">Visser W., McIntosh M., Middelton, C. Corporate citizenship in Africa // Lessons from the past – Path to the future / W. Visser, M. McIntosh, C. Middelton (eds.). Sheffield in England: Greenleaf Publishing Ltd, 2006. pp. 10–17. </w:t>
      </w:r>
    </w:p>
    <w:p>
      <w:pPr>
        <w:pStyle w:val="P15"/>
        <w:widowControl w:val="1"/>
        <w:numPr>
          <w:ilvl w:val="0"/>
          <w:numId w:val="6"/>
        </w:numPr>
        <w:spacing w:lineRule="auto" w:line="360" w:beforeAutospacing="0" w:afterAutospacing="0"/>
        <w:ind w:firstLine="709" w:left="0"/>
        <w:contextualSpacing w:val="1"/>
        <w:jc w:val="both"/>
        <w:rPr>
          <w:bCs w:val="1"/>
          <w:sz w:val="28"/>
          <w:szCs w:val="28"/>
          <w:highlight w:val="green"/>
        </w:rPr>
      </w:pPr>
      <w:r>
        <w:rPr>
          <w:bCs w:val="1"/>
          <w:sz w:val="28"/>
          <w:szCs w:val="28"/>
          <w:highlight w:val="green"/>
        </w:rPr>
        <w:t>Vitols K. Sustainability – Corporate responsibility – Participation: A report on the CSR Debate. Berlin: Edition Sigma, 2011. 132 р.</w:t>
      </w:r>
    </w:p>
    <w:p>
      <w:pPr>
        <w:pStyle w:val="P15"/>
        <w:widowControl w:val="1"/>
        <w:numPr>
          <w:ilvl w:val="0"/>
          <w:numId w:val="6"/>
        </w:numPr>
        <w:spacing w:lineRule="auto" w:line="360" w:beforeAutospacing="0" w:afterAutospacing="0"/>
        <w:ind w:firstLine="709" w:left="0"/>
        <w:contextualSpacing w:val="1"/>
        <w:jc w:val="both"/>
        <w:rPr>
          <w:bCs w:val="1"/>
          <w:sz w:val="28"/>
          <w:szCs w:val="28"/>
          <w:highlight w:val="green"/>
        </w:rPr>
      </w:pPr>
      <w:r>
        <w:rPr>
          <w:bCs w:val="1"/>
          <w:sz w:val="28"/>
          <w:szCs w:val="28"/>
          <w:highlight w:val="green"/>
        </w:rPr>
        <w:t xml:space="preserve">Vogel D. </w:t>
      </w:r>
      <w:r>
        <w:rPr>
          <w:bCs w:val="1"/>
          <w:sz w:val="28"/>
          <w:szCs w:val="28"/>
        </w:rPr>
        <w:t>The Private Regulation of Global Corporate Conduct</w:t>
      </w:r>
      <w:r>
        <w:rPr>
          <w:bCs w:val="1"/>
          <w:sz w:val="28"/>
          <w:szCs w:val="28"/>
          <w:highlight w:val="green"/>
        </w:rPr>
        <w:t xml:space="preserve">// Annual Review of Political Science. 2008. 11(1). pp. 261–282. </w:t>
      </w:r>
    </w:p>
    <w:p>
      <w:pPr>
        <w:pStyle w:val="P15"/>
        <w:widowControl w:val="1"/>
        <w:numPr>
          <w:ilvl w:val="0"/>
          <w:numId w:val="6"/>
        </w:numPr>
        <w:spacing w:lineRule="auto" w:line="360" w:beforeAutospacing="0" w:afterAutospacing="0"/>
        <w:ind w:firstLine="709" w:left="0"/>
        <w:contextualSpacing w:val="1"/>
        <w:jc w:val="both"/>
        <w:rPr>
          <w:bCs w:val="1"/>
          <w:sz w:val="28"/>
          <w:szCs w:val="28"/>
          <w:highlight w:val="green"/>
        </w:rPr>
      </w:pPr>
      <w:r>
        <w:rPr>
          <w:sz w:val="28"/>
          <w:szCs w:val="28"/>
          <w:highlight w:val="green"/>
          <w:shd w:val="clear" w:color="auto" w:fill="FFFFFF"/>
        </w:rPr>
        <w:t>Washington K. Zulu traditional healing, Afrikan worldview and the practice of Ubuntu: Deep thought for Afrikan/Black psychology //The Journal of Pan African Studies. 2010. 3(8). рр. 24-39.</w:t>
      </w:r>
    </w:p>
    <w:p>
      <w:pPr>
        <w:pStyle w:val="P15"/>
        <w:widowControl w:val="1"/>
        <w:numPr>
          <w:ilvl w:val="0"/>
          <w:numId w:val="6"/>
        </w:numPr>
        <w:spacing w:lineRule="auto" w:line="360" w:beforeAutospacing="0" w:afterAutospacing="0"/>
        <w:ind w:firstLine="709" w:left="0"/>
        <w:contextualSpacing w:val="1"/>
        <w:jc w:val="both"/>
        <w:rPr>
          <w:rFonts w:eastAsia="StoneSerifStd-Medium"/>
          <w:bCs w:val="1"/>
          <w:sz w:val="28"/>
          <w:szCs w:val="28"/>
          <w:highlight w:val="green"/>
        </w:rPr>
      </w:pPr>
      <w:r>
        <w:rPr>
          <w:rFonts w:eastAsia="StoneSerifStd-Medium"/>
          <w:bCs w:val="1"/>
          <w:sz w:val="28"/>
          <w:szCs w:val="28"/>
          <w:highlight w:val="green"/>
        </w:rPr>
        <w:t xml:space="preserve">Wold H. Path Models with Latent Variables: The NIPALS Approach // </w:t>
      </w:r>
      <w:r>
        <w:rPr>
          <w:rFonts w:eastAsia="StoneSerifStd-MediumItalic"/>
          <w:bCs w:val="1"/>
          <w:sz w:val="28"/>
          <w:szCs w:val="28"/>
          <w:highlight w:val="green"/>
        </w:rPr>
        <w:t xml:space="preserve">Quantitative Sociology: International Perspectives on Mathematical and Statistical Modeling / </w:t>
      </w:r>
      <w:r>
        <w:rPr>
          <w:rFonts w:eastAsia="StoneSerifStd-Medium"/>
          <w:bCs w:val="1"/>
          <w:sz w:val="28"/>
          <w:szCs w:val="28"/>
          <w:highlight w:val="green"/>
        </w:rPr>
        <w:t>H. M. Blalock, A. Aganbegian, F. M. Borodkin, R. Boudon and V. Capecchi (Eds.). New York: Academic, 1975. рр. 307–357.</w:t>
      </w:r>
      <w:bookmarkStart w:id="93" w:name="_Hlk137383970"/>
    </w:p>
    <w:p>
      <w:pPr>
        <w:pStyle w:val="P15"/>
        <w:widowControl w:val="1"/>
        <w:numPr>
          <w:ilvl w:val="0"/>
          <w:numId w:val="6"/>
        </w:numPr>
        <w:spacing w:lineRule="auto" w:line="360" w:beforeAutospacing="0" w:afterAutospacing="0"/>
        <w:ind w:firstLine="709" w:left="0"/>
        <w:contextualSpacing w:val="1"/>
        <w:jc w:val="both"/>
        <w:rPr>
          <w:rFonts w:eastAsia="StoneSerifStd-Medium"/>
          <w:bCs w:val="1"/>
          <w:sz w:val="28"/>
          <w:szCs w:val="28"/>
          <w:highlight w:val="magenta"/>
        </w:rPr>
      </w:pPr>
      <w:r>
        <w:rPr>
          <w:bCs w:val="1"/>
          <w:sz w:val="28"/>
          <w:szCs w:val="28"/>
          <w:highlight w:val="magenta"/>
        </w:rPr>
        <w:t xml:space="preserve">Wood D.J. </w:t>
      </w:r>
      <w:bookmarkEnd w:id="93"/>
      <w:r>
        <w:rPr>
          <w:bCs w:val="1"/>
          <w:sz w:val="28"/>
          <w:szCs w:val="28"/>
          <w:highlight w:val="magenta"/>
        </w:rPr>
        <w:t xml:space="preserve">Corporate social performance management. Oxford: Oxford University Press, 2016. 387 р. </w:t>
      </w:r>
      <w:bookmarkStart w:id="94" w:name="_bookmark185"/>
      <w:bookmarkEnd w:id="94"/>
    </w:p>
    <w:p>
      <w:pPr>
        <w:pStyle w:val="P15"/>
        <w:widowControl w:val="1"/>
        <w:numPr>
          <w:ilvl w:val="0"/>
          <w:numId w:val="6"/>
        </w:numPr>
        <w:spacing w:lineRule="auto" w:line="360" w:beforeAutospacing="0" w:afterAutospacing="0"/>
        <w:ind w:firstLine="709" w:left="0"/>
        <w:contextualSpacing w:val="1"/>
        <w:jc w:val="both"/>
        <w:rPr>
          <w:rFonts w:eastAsia="StoneSerifStd-Medium"/>
          <w:bCs w:val="1"/>
          <w:sz w:val="28"/>
          <w:szCs w:val="28"/>
          <w:highlight w:val="green"/>
          <w:lang w:val="ru-RU"/>
        </w:rPr>
      </w:pPr>
      <w:r>
        <w:rPr>
          <w:bCs w:val="1"/>
          <w:sz w:val="28"/>
          <w:szCs w:val="28"/>
          <w:highlight w:val="green"/>
        </w:rPr>
        <w:t xml:space="preserve">World Bank World Development Indicators. </w:t>
      </w:r>
      <w:r>
        <w:rPr>
          <w:sz w:val="28"/>
          <w:szCs w:val="28"/>
          <w:highlight w:val="green"/>
          <w:lang w:val="ru-RU"/>
        </w:rPr>
        <w:t xml:space="preserve">[Электронный ресурс]. Режим доступа: </w:t>
      </w:r>
      <w:r>
        <w:rPr>
          <w:bCs w:val="1"/>
          <w:sz w:val="28"/>
          <w:szCs w:val="28"/>
          <w:highlight w:val="green"/>
        </w:rPr>
        <w:t>https</w:t>
      </w:r>
      <w:r>
        <w:rPr>
          <w:bCs w:val="1"/>
          <w:sz w:val="28"/>
          <w:szCs w:val="28"/>
          <w:highlight w:val="green"/>
          <w:lang w:val="ru-RU"/>
        </w:rPr>
        <w:t>://</w:t>
      </w:r>
      <w:r>
        <w:rPr>
          <w:bCs w:val="1"/>
          <w:sz w:val="28"/>
          <w:szCs w:val="28"/>
          <w:highlight w:val="green"/>
        </w:rPr>
        <w:t>databank</w:t>
      </w:r>
      <w:r>
        <w:rPr>
          <w:bCs w:val="1"/>
          <w:sz w:val="28"/>
          <w:szCs w:val="28"/>
          <w:highlight w:val="green"/>
          <w:lang w:val="ru-RU"/>
        </w:rPr>
        <w:t>.</w:t>
      </w:r>
      <w:r>
        <w:rPr>
          <w:bCs w:val="1"/>
          <w:sz w:val="28"/>
          <w:szCs w:val="28"/>
          <w:highlight w:val="green"/>
        </w:rPr>
        <w:t>worldbank</w:t>
      </w:r>
      <w:r>
        <w:rPr>
          <w:bCs w:val="1"/>
          <w:sz w:val="28"/>
          <w:szCs w:val="28"/>
          <w:highlight w:val="green"/>
          <w:lang w:val="ru-RU"/>
        </w:rPr>
        <w:t>.</w:t>
      </w:r>
      <w:r>
        <w:rPr>
          <w:bCs w:val="1"/>
          <w:sz w:val="28"/>
          <w:szCs w:val="28"/>
          <w:highlight w:val="green"/>
        </w:rPr>
        <w:t>org</w:t>
      </w:r>
      <w:r>
        <w:rPr>
          <w:bCs w:val="1"/>
          <w:sz w:val="28"/>
          <w:szCs w:val="28"/>
          <w:highlight w:val="green"/>
          <w:lang w:val="ru-RU"/>
        </w:rPr>
        <w:t>/</w:t>
      </w:r>
      <w:r>
        <w:rPr>
          <w:bCs w:val="1"/>
          <w:sz w:val="28"/>
          <w:szCs w:val="28"/>
          <w:highlight w:val="green"/>
        </w:rPr>
        <w:t>source</w:t>
      </w:r>
      <w:r>
        <w:rPr>
          <w:bCs w:val="1"/>
          <w:sz w:val="28"/>
          <w:szCs w:val="28"/>
          <w:highlight w:val="green"/>
          <w:lang w:val="ru-RU"/>
        </w:rPr>
        <w:t>/</w:t>
      </w:r>
      <w:r>
        <w:rPr>
          <w:bCs w:val="1"/>
          <w:sz w:val="28"/>
          <w:szCs w:val="28"/>
          <w:highlight w:val="green"/>
        </w:rPr>
        <w:t>world</w:t>
      </w:r>
      <w:r>
        <w:rPr>
          <w:bCs w:val="1"/>
          <w:sz w:val="28"/>
          <w:szCs w:val="28"/>
          <w:highlight w:val="green"/>
          <w:lang w:val="ru-RU"/>
        </w:rPr>
        <w:t>-</w:t>
      </w:r>
      <w:r>
        <w:rPr>
          <w:bCs w:val="1"/>
          <w:sz w:val="28"/>
          <w:szCs w:val="28"/>
          <w:highlight w:val="green"/>
        </w:rPr>
        <w:t>development</w:t>
      </w:r>
      <w:r>
        <w:rPr>
          <w:bCs w:val="1"/>
          <w:sz w:val="28"/>
          <w:szCs w:val="28"/>
          <w:highlight w:val="green"/>
          <w:lang w:val="ru-RU"/>
        </w:rPr>
        <w:t>-</w:t>
      </w:r>
      <w:r>
        <w:rPr>
          <w:bCs w:val="1"/>
          <w:sz w:val="28"/>
          <w:szCs w:val="28"/>
          <w:highlight w:val="green"/>
        </w:rPr>
        <w:t>indicators</w:t>
      </w:r>
      <w:r>
        <w:rPr>
          <w:bCs w:val="1"/>
          <w:sz w:val="28"/>
          <w:szCs w:val="28"/>
          <w:highlight w:val="green"/>
          <w:lang w:val="ru-RU"/>
        </w:rPr>
        <w:t xml:space="preserve"> </w:t>
      </w:r>
      <w:r>
        <w:rPr>
          <w:sz w:val="28"/>
          <w:szCs w:val="28"/>
          <w:highlight w:val="green"/>
          <w:lang w:val="ru-RU"/>
        </w:rPr>
        <w:t>(дата обращения 16.05.2023).</w:t>
      </w:r>
    </w:p>
    <w:p>
      <w:pPr>
        <w:pStyle w:val="P13"/>
        <w:numPr>
          <w:ilvl w:val="0"/>
          <w:numId w:val="6"/>
        </w:numPr>
        <w:spacing w:lineRule="auto" w:line="360" w:beforeAutospacing="0" w:afterAutospacing="0"/>
        <w:ind w:firstLine="709" w:left="0"/>
        <w:jc w:val="both"/>
        <w:rPr>
          <w:bCs w:val="1"/>
          <w:sz w:val="28"/>
          <w:szCs w:val="28"/>
          <w:highlight w:val="green"/>
        </w:rPr>
      </w:pPr>
      <w:r>
        <w:rPr>
          <w:bCs w:val="1"/>
          <w:sz w:val="28"/>
          <w:szCs w:val="28"/>
          <w:highlight w:val="green"/>
        </w:rPr>
        <w:t xml:space="preserve">World Commission on Environment and Development. Our common future. Oxford University Press, 1987. 152 </w:t>
      </w:r>
      <w:r>
        <w:rPr>
          <w:bCs w:val="1"/>
          <w:sz w:val="28"/>
          <w:szCs w:val="28"/>
          <w:highlight w:val="green"/>
          <w:lang w:val="ru-RU"/>
        </w:rPr>
        <w:t>р</w:t>
      </w:r>
      <w:r>
        <w:rPr>
          <w:bCs w:val="1"/>
          <w:sz w:val="28"/>
          <w:szCs w:val="28"/>
          <w:highlight w:val="green"/>
        </w:rPr>
        <w:t>.</w:t>
      </w:r>
    </w:p>
    <w:p>
      <w:pPr>
        <w:pStyle w:val="P15"/>
        <w:widowControl w:val="1"/>
        <w:numPr>
          <w:ilvl w:val="0"/>
          <w:numId w:val="6"/>
        </w:numPr>
        <w:spacing w:lineRule="auto" w:line="360" w:beforeAutospacing="0" w:afterAutospacing="0"/>
        <w:ind w:firstLine="709" w:left="0"/>
        <w:contextualSpacing w:val="1"/>
        <w:jc w:val="both"/>
        <w:rPr>
          <w:sz w:val="28"/>
          <w:szCs w:val="28"/>
          <w:highlight w:val="green"/>
        </w:rPr>
      </w:pPr>
      <w:r>
        <w:rPr>
          <w:rFonts w:eastAsia="StoneSerifStd-Medium"/>
          <w:bCs w:val="1"/>
          <w:sz w:val="28"/>
          <w:szCs w:val="28"/>
          <w:highlight w:val="green"/>
        </w:rPr>
        <w:t xml:space="preserve">Zhang J., Bessler D., Leatham D. Does Consumer Debt Cause Economic Recession? Evidence Using Directed Acyclic Graphs // </w:t>
      </w:r>
      <w:r>
        <w:rPr>
          <w:rFonts w:eastAsia="StoneSerifStd-MediumItalic"/>
          <w:bCs w:val="1"/>
          <w:sz w:val="28"/>
          <w:szCs w:val="28"/>
          <w:highlight w:val="green"/>
        </w:rPr>
        <w:t xml:space="preserve">Applied Economics Letters. 2006. </w:t>
      </w:r>
      <w:r>
        <w:rPr>
          <w:rFonts w:eastAsia="StoneSerifStd-Medium"/>
          <w:bCs w:val="1"/>
          <w:sz w:val="28"/>
          <w:szCs w:val="28"/>
          <w:highlight w:val="green"/>
        </w:rPr>
        <w:t xml:space="preserve">13. </w:t>
      </w:r>
      <w:r>
        <w:rPr>
          <w:bCs w:val="1"/>
          <w:sz w:val="28"/>
          <w:szCs w:val="28"/>
          <w:highlight w:val="green"/>
        </w:rPr>
        <w:t>pp.</w:t>
      </w:r>
      <w:r>
        <w:rPr>
          <w:rFonts w:eastAsia="StoneSerifStd-Medium"/>
          <w:bCs w:val="1"/>
          <w:sz w:val="28"/>
          <w:szCs w:val="28"/>
          <w:highlight w:val="green"/>
        </w:rPr>
        <w:t xml:space="preserve"> 401–407.</w:t>
      </w:r>
    </w:p>
    <w:p>
      <w:pPr>
        <w:rPr>
          <w:b w:val="1"/>
          <w:bCs w:val="1"/>
          <w:sz w:val="28"/>
          <w:szCs w:val="28"/>
        </w:rPr>
      </w:pPr>
    </w:p>
    <w:p>
      <w:pPr>
        <w:rPr>
          <w:rFonts w:ascii="Times New Roman" w:hAnsi="Times New Roman" w:cs="Times New Roman" w:eastAsia="Times New Roman"/>
          <w:b w:val="1"/>
          <w:bCs w:val="1"/>
          <w:sz w:val="28"/>
          <w:szCs w:val="28"/>
        </w:rPr>
      </w:pPr>
    </w:p>
    <w:p>
      <w:pPr>
        <w:rPr>
          <w:rFonts w:ascii="Times New Roman" w:hAnsi="Times New Roman" w:cs="Times New Roman" w:eastAsia="Times New Roman"/>
          <w:b w:val="1"/>
          <w:bCs w:val="1"/>
          <w:sz w:val="28"/>
          <w:szCs w:val="28"/>
        </w:rPr>
      </w:pPr>
      <w:r>
        <w:rPr>
          <w:b w:val="1"/>
          <w:bCs w:val="1"/>
          <w:sz w:val="28"/>
          <w:szCs w:val="28"/>
        </w:rPr>
        <w:br w:type="page"/>
      </w:r>
    </w:p>
    <w:p>
      <w:pPr>
        <w:pStyle w:val="P13"/>
        <w:spacing w:lineRule="auto" w:line="360" w:beforeAutospacing="0" w:afterAutospacing="0"/>
        <w:ind w:firstLine="709"/>
        <w:jc w:val="center"/>
        <w:rPr>
          <w:b w:val="1"/>
          <w:bCs w:val="1"/>
          <w:sz w:val="28"/>
          <w:szCs w:val="28"/>
          <w:lang w:val="ru-RU"/>
        </w:rPr>
      </w:pPr>
      <w:r>
        <w:rPr>
          <w:b w:val="1"/>
          <w:bCs w:val="1"/>
          <w:sz w:val="28"/>
          <w:szCs w:val="28"/>
          <w:lang w:val="ru-RU"/>
        </w:rPr>
        <w:t>Приложения</w:t>
      </w:r>
    </w:p>
    <w:sectPr>
      <w:headerReference w:type="default" r:id="RelHdr1"/>
      <w:headerReference w:type="even" r:id="RelHdr2"/>
      <w:footerReference w:type="default" r:id="RelFtr1"/>
      <w:footerReference w:type="even" r:id="RelFtr2"/>
      <w:footnotePr/>
      <w:endnotePr/>
      <w:type w:val="nextPage"/>
      <w:pgSz w:w="11907" w:h="16840" w:code="0"/>
      <w:pgMar w:left="1418" w:right="567" w:top="1134" w:bottom="1134" w:header="567" w:footer="567" w:gutter="0"/>
      <w:titlePg w:val="1"/>
    </w:sectPr>
  </w:body>
</w:document>
</file>

<file path=word/endnotes.xml><?xml version="1.0" encoding="utf-8"?>
<w:endnotes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endnote w:type="separator" w:id="-1">
    <w:p>
      <w:pPr>
        <w:spacing w:lineRule="auto" w:line="240" w:after="0" w:beforeAutospacing="0" w:afterAutospacing="0"/>
      </w:pPr>
      <w:r>
        <w:separator/>
      </w:r>
    </w:p>
  </w:endnote>
  <w:endnote w:type="continuationSeparator" w:id="0">
    <w:p>
      <w:pPr>
        <w:spacing w:lineRule="auto" w:line="240" w:after="0" w:beforeAutospacing="0" w:afterAutospacing="0"/>
      </w:pPr>
      <w:r>
        <w:continuationSeparator/>
      </w:r>
    </w:p>
  </w:endnote>
</w:endnotes>
</file>

<file path=word/footer1.xml><?xml version="1.0" encoding="utf-8"?>
<w:ftr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sdt>
    <w:sdtPr>
      <w:rPr/>
      <w:id w:val="-238489925"/>
      <w:docPartObj>
        <w:docPartGallery w:val="Page Numbers (Bottom of Page)"/>
        <w:docPartCategory w:val=""/>
        <w:docPartUnique/>
      </w:docPartObj>
    </w:sdtPr>
    <w:sdtEndPr>
      <w:rPr>
        <w:rFonts w:ascii="Times New Roman" w:hAnsi="Times New Roman" w:cs="Times New Roman"/>
        <w:sz w:val="24"/>
        <w:szCs w:val="24"/>
      </w:rPr>
    </w:sdtEndPr>
    <w:sdtContent>
      <w:p>
        <w:pPr>
          <w:pStyle w:val="P10"/>
          <w:jc w:val="center"/>
          <w:rPr>
            <w:rFonts w:ascii="Times New Roman" w:hAnsi="Times New Roman" w:cs="Times New Roman"/>
            <w:sz w:val="24"/>
            <w:szCs w:val="24"/>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PAGE   \* MERGEFORMAT</w:instrText>
        </w:r>
        <w:r>
          <w:rPr>
            <w:rFonts w:ascii="Times New Roman" w:hAnsi="Times New Roman" w:cs="Times New Roman"/>
            <w:sz w:val="24"/>
            <w:szCs w:val="24"/>
          </w:rPr>
          <w:fldChar w:fldCharType="separate"/>
        </w:r>
        <w:r>
          <w:rPr>
            <w:rFonts w:ascii="Times New Roman" w:hAnsi="Times New Roman" w:cs="Times New Roman"/>
            <w:noProof w:val="1"/>
            <w:sz w:val="24"/>
            <w:szCs w:val="24"/>
          </w:rPr>
          <w:t>#</w:t>
        </w:r>
        <w:r>
          <w:rPr>
            <w:rFonts w:ascii="Times New Roman" w:hAnsi="Times New Roman" w:cs="Times New Roman"/>
            <w:sz w:val="24"/>
            <w:szCs w:val="24"/>
          </w:rPr>
          <w:fldChar w:fldCharType="end"/>
        </w:r>
      </w:p>
    </w:sdtContent>
  </w:sdt>
  <w:p>
    <w:pPr>
      <w:rPr>
        <w:sz w:val="2"/>
        <w:szCs w:val="2"/>
      </w:rPr>
    </w:pPr>
  </w:p>
</w:ftr>
</file>

<file path=word/footer2.xml><?xml version="1.0" encoding="utf-8"?>
<w:ftr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p>
    <w:pPr>
      <w:rPr>
        <w:sz w:val="2"/>
        <w:szCs w:val="2"/>
      </w:rPr>
    </w:pPr>
    <w:r>
      <w:rPr>
        <w:noProof w:val="1"/>
        <w:lang w:eastAsia="ru-RU"/>
      </w:rPr>
      <mc:AlternateContent>
        <mc:Choice Requires="wps">
          <w:drawing>
            <wp:anchor xmlns:wp="http://schemas.openxmlformats.org/drawingml/2006/wordprocessingDrawing" distT="0" distB="0" distL="63500" distR="63500" simplePos="0" relativeHeight="11" behindDoc="1" locked="0" layoutInCell="1" allowOverlap="1">
              <wp:simplePos x="0" y="0"/>
              <wp:positionH relativeFrom="page">
                <wp:posOffset>2215515</wp:posOffset>
              </wp:positionH>
              <wp:positionV relativeFrom="page">
                <wp:posOffset>12594590</wp:posOffset>
              </wp:positionV>
              <wp:extent cx="135255" cy="162560"/>
              <wp:effectExtent l="0" t="2540" r="1905" b="0"/>
              <wp:wrapNone/>
              <wp:docPr id="39" name="Text Box 39"/>
              <wp:cNvGraphicFramePr/>
              <a:graphic xmlns:a="http://schemas.openxmlformats.org/drawingml/2006/main">
                <a:graphicData uri="http://schemas.microsoft.com/office/word/2010/wordprocessingShape">
                  <wps:wsp>
                    <wps:cNvSpPr txBox="1">
                      <a:spLocks noChangeArrowheads="1"/>
                    </wps:cNvSpPr>
                    <wps:spPr bwMode="auto">
                      <a:xfrm>
                        <a:off x="0" y="0"/>
                        <a:ext cx="135255" cy="162560"/>
                      </a:xfrm>
                      <a:prstGeom prst="rect"/>
                      <a:noFill/>
                      <a:ln>
                        <a:noFill/>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shd w:val="clear" w:fill="000000"/>
                            <w:spacing w:lineRule="auto" w:line="240" w:beforeAutospacing="0" w:afterAutospacing="0"/>
                          </w:pPr>
                          <w:r>
                            <w:fldChar w:fldCharType="begin"/>
                          </w:r>
                          <w:r>
                            <w:instrText xml:space="preserve"> PAGE \* MERGEFORMAT </w:instrText>
                          </w:r>
                          <w:r>
                            <w:fldChar w:fldCharType="separate"/>
                          </w:r>
                          <w:r>
                            <w:rPr>
                              <w:rStyle w:val="C15"/>
                            </w:rPr>
                            <w:t>#</w:t>
                          </w:r>
                          <w:r>
                            <w:rPr>
                              <w:rStyle w:val="C15"/>
                            </w:rPr>
                            <w:fldChar w:fldCharType="end"/>
                          </w:r>
                        </w:p>
                      </w:txbxContent>
                    </wps:txbx>
                    <wps:bodyPr rot="0" vert="horz" wrap="none" lIns="0" tIns="0" rIns="0" bIns="0" anchor="t" anchorCtr="0" upright="1">
                      <a:spAutoFit/>
                    </wps:bodyPr>
                  </wps:wsp>
                </a:graphicData>
              </a:graphic>
            </wp:anchor>
          </w:drawing>
        </mc:Choice>
        <mc:Fallback>
          <w:pict>
            <v:shape xmlns:o="urn:schemas-microsoft-com:office:office" type="#_x0000_t202" id="Text Box 39" o:spid="_x0000_s1339" style="position:absolute;width:10.65pt;height:12.8pt;z-index:-32767;mso-wrap-distance-left:5pt;mso-wrap-distance-top:0pt;mso-wrap-distance-right:5pt;mso-wrap-distance-bottom:0pt;margin-left:174.45pt;margin-top:991.7pt;mso-position-horizontal:absolute;mso-position-horizontal-relative:page;mso-position-vertical:absolute;mso-position-vertical-relative:page;mso-wrap-style:none" o:allowincell="t" filled="f" stroked="f">
              <v:textbox style="mso-fit-shape-to-text:t" inset="0mm,0mm,0mm,0mm">
                <w:txbxContent>
                  <w:p>
                    <w:pPr>
                      <w:shd w:val="clear" w:fill="000000"/>
                      <w:spacing w:lineRule="auto" w:line="240" w:beforeAutospacing="0" w:afterAutospacing="0"/>
                    </w:pPr>
                    <w:r>
                      <w:fldChar w:fldCharType="begin"/>
                    </w:r>
                    <w:r>
                      <w:instrText xml:space="preserve"> PAGE \* MERGEFORMAT </w:instrText>
                    </w:r>
                    <w:r>
                      <w:fldChar w:fldCharType="separate"/>
                    </w:r>
                    <w:r>
                      <w:rPr>
                        <w:rStyle w:val="C15"/>
                      </w:rPr>
                      <w:t>#</w:t>
                    </w:r>
                    <w:r>
                      <w:rPr>
                        <w:rStyle w:val="C15"/>
                      </w:rPr>
                      <w:fldChar w:fldCharType="end"/>
                    </w:r>
                  </w:p>
                </w:txbxContent>
              </v:textbox>
            </v:shape>
          </w:pict>
        </mc:Fallback>
      </mc:AlternateContent>
    </w:r>
  </w:p>
</w:ftr>
</file>

<file path=word/footnotes.xml><?xml version="1.0" encoding="utf-8"?>
<w:footnotes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footnote w:type="separator" w:id="-1">
    <w:p>
      <w:pPr>
        <w:spacing w:lineRule="auto" w:line="240" w:after="0" w:beforeAutospacing="0" w:afterAutospacing="0"/>
      </w:pPr>
      <w:r>
        <w:separator/>
      </w:r>
    </w:p>
  </w:footnote>
  <w:footnote w:type="continuationSeparator" w:id="0">
    <w:p>
      <w:pPr>
        <w:spacing w:lineRule="auto" w:line="240" w:after="0" w:beforeAutospacing="0" w:afterAutospacing="0"/>
      </w:pPr>
      <w:r>
        <w:continuationSeparator/>
      </w:r>
    </w:p>
  </w:footnote>
  <w:footnote w:id="1">
    <w:p>
      <w:pPr>
        <w:spacing w:lineRule="auto" w:line="240" w:after="0" w:beforeAutospacing="0" w:afterAutospacing="0"/>
        <w:contextualSpacing w:val="1"/>
        <w:jc w:val="both"/>
        <w:rPr>
          <w:rFonts w:ascii="Times New Roman" w:hAnsi="Times New Roman" w:cs="Times New Roman"/>
          <w:bCs w:val="1"/>
          <w:sz w:val="20"/>
          <w:szCs w:val="20"/>
          <w:lang w:val="en-US"/>
        </w:rPr>
      </w:pPr>
      <w:r>
        <w:rPr>
          <w:rStyle w:val="C42"/>
          <w:rFonts w:ascii="Times New Roman" w:hAnsi="Times New Roman" w:cs="Times New Roman"/>
          <w:sz w:val="20"/>
          <w:szCs w:val="20"/>
        </w:rPr>
        <w:footnoteRef/>
      </w:r>
      <w:r>
        <w:rPr>
          <w:rFonts w:ascii="Times New Roman" w:hAnsi="Times New Roman" w:cs="Times New Roman"/>
          <w:sz w:val="20"/>
          <w:szCs w:val="20"/>
          <w:lang w:val="en-US"/>
        </w:rPr>
        <w:t xml:space="preserve"> </w:t>
      </w:r>
      <w:r>
        <w:rPr>
          <w:rFonts w:ascii="Times New Roman" w:hAnsi="Times New Roman" w:cs="Times New Roman"/>
          <w:sz w:val="20"/>
          <w:szCs w:val="20"/>
          <w:shd w:val="clear" w:color="auto" w:fill="FFFFFF"/>
          <w:lang w:val="en-US"/>
        </w:rPr>
        <w:t xml:space="preserve">Bosselmann K. The principle of sustainability: transforming law and governance. Taylor &amp; Francis, 2016. 414 </w:t>
      </w:r>
      <w:r>
        <w:rPr>
          <w:rFonts w:ascii="Times New Roman" w:hAnsi="Times New Roman" w:cs="Times New Roman"/>
          <w:sz w:val="20"/>
          <w:szCs w:val="20"/>
          <w:shd w:val="clear" w:color="auto" w:fill="FFFFFF"/>
        </w:rPr>
        <w:t>р</w:t>
      </w:r>
      <w:r>
        <w:rPr>
          <w:rFonts w:ascii="Times New Roman" w:hAnsi="Times New Roman" w:cs="Times New Roman"/>
          <w:bCs w:val="1"/>
          <w:sz w:val="20"/>
          <w:szCs w:val="20"/>
          <w:lang w:val="en-US"/>
        </w:rPr>
        <w:t>.</w:t>
      </w:r>
    </w:p>
  </w:footnote>
  <w:footnote w:id="2">
    <w:p>
      <w:pPr>
        <w:pStyle w:val="P26"/>
        <w:rPr>
          <w:rFonts w:ascii="Times New Roman" w:hAnsi="Times New Roman" w:cs="Times New Roman"/>
          <w:lang w:val="en-US"/>
        </w:rPr>
      </w:pPr>
      <w:r>
        <w:rPr>
          <w:rStyle w:val="C42"/>
          <w:rFonts w:ascii="Times New Roman" w:hAnsi="Times New Roman" w:cs="Times New Roman"/>
        </w:rPr>
        <w:footnoteRef/>
      </w:r>
      <w:r>
        <w:rPr>
          <w:rFonts w:ascii="Times New Roman" w:hAnsi="Times New Roman" w:cs="Times New Roman"/>
          <w:lang w:val="en-US"/>
        </w:rPr>
        <w:t xml:space="preserve"> Arking R. Biology of aging. Observations and principles.  Oxford: Oxford University Press, 2006. 640 р.</w:t>
      </w:r>
    </w:p>
  </w:footnote>
  <w:footnote w:id="3">
    <w:p>
      <w:pPr>
        <w:pStyle w:val="P26"/>
        <w:jc w:val="both"/>
        <w:rPr>
          <w:rFonts w:ascii="Times New Roman" w:hAnsi="Times New Roman" w:cs="Times New Roman"/>
          <w:lang w:val="en-US"/>
        </w:rPr>
      </w:pPr>
      <w:r>
        <w:rPr>
          <w:rStyle w:val="C42"/>
          <w:rFonts w:ascii="Times New Roman" w:hAnsi="Times New Roman" w:cs="Times New Roman"/>
        </w:rPr>
        <w:footnoteRef/>
      </w:r>
      <w:r>
        <w:rPr>
          <w:rFonts w:ascii="Times New Roman" w:hAnsi="Times New Roman" w:cs="Times New Roman"/>
          <w:lang w:val="en-US"/>
        </w:rPr>
        <w:t xml:space="preserve"> </w:t>
      </w:r>
      <w:r>
        <w:rPr>
          <w:rFonts w:ascii="Times New Roman" w:hAnsi="Times New Roman" w:cs="Times New Roman"/>
          <w:spacing w:val="-2"/>
          <w:lang w:val="en-US"/>
        </w:rPr>
        <w:t xml:space="preserve">Grober U. Sustainability – A cultural history. Totnes in England: Green Books, 2012. 461 р.; Hughes J.D. An Environmental History of the World: Humankind’s Changing Role in the Community of Life. London and New York: Routledge, 2009. 320 </w:t>
      </w:r>
      <w:r>
        <w:rPr>
          <w:rFonts w:ascii="Times New Roman" w:hAnsi="Times New Roman" w:cs="Times New Roman"/>
          <w:spacing w:val="-2"/>
        </w:rPr>
        <w:t>р</w:t>
      </w:r>
      <w:r>
        <w:rPr>
          <w:rFonts w:ascii="Times New Roman" w:hAnsi="Times New Roman" w:cs="Times New Roman"/>
          <w:lang w:val="en-US"/>
        </w:rPr>
        <w:t>.</w:t>
      </w:r>
    </w:p>
  </w:footnote>
  <w:footnote w:id="4">
    <w:p>
      <w:pPr>
        <w:pStyle w:val="P26"/>
        <w:rPr>
          <w:rFonts w:ascii="Times New Roman" w:hAnsi="Times New Roman" w:cs="Times New Roman"/>
          <w:lang w:val="en-US"/>
        </w:rPr>
      </w:pPr>
      <w:r>
        <w:rPr>
          <w:rStyle w:val="C42"/>
          <w:rFonts w:ascii="Times New Roman" w:hAnsi="Times New Roman" w:cs="Times New Roman"/>
        </w:rPr>
        <w:footnoteRef/>
      </w:r>
      <w:r>
        <w:rPr>
          <w:rFonts w:ascii="Times New Roman" w:hAnsi="Times New Roman" w:cs="Times New Roman"/>
          <w:lang w:val="en-US"/>
        </w:rPr>
        <w:t>Thomasius H., Bendix B. Sylvicultura oeconomica. Transkription in das Deutsch der Gegenwart. Sylvicultura oeconomica [Transcription into modern-day German]. (1713/2013). Remagen-Oberwinter: Verlag Kessel, 2013. 368 р.</w:t>
      </w:r>
    </w:p>
  </w:footnote>
  <w:footnote w:id="5">
    <w:p>
      <w:pPr>
        <w:pStyle w:val="P26"/>
        <w:rPr>
          <w:lang w:val="en-US"/>
        </w:rPr>
      </w:pPr>
      <w:r>
        <w:rPr>
          <w:rStyle w:val="C42"/>
        </w:rPr>
        <w:footnoteRef/>
      </w:r>
      <w:r>
        <w:rPr>
          <w:lang w:val="en-US"/>
        </w:rPr>
        <w:t xml:space="preserve"> </w:t>
      </w:r>
      <w:r>
        <w:rPr>
          <w:rFonts w:ascii="Times New Roman" w:hAnsi="Times New Roman" w:cs="Times New Roman"/>
          <w:spacing w:val="-2"/>
          <w:lang w:val="en-US"/>
        </w:rPr>
        <w:t>Grober U. Sustainability – A cultural history. Totnes in England: Green Books, 2012. 461 р.</w:t>
      </w:r>
    </w:p>
  </w:footnote>
  <w:footnote w:id="6">
    <w:p>
      <w:pPr>
        <w:pStyle w:val="P26"/>
        <w:rPr>
          <w:lang w:val="en-US"/>
        </w:rPr>
      </w:pPr>
      <w:r>
        <w:rPr>
          <w:rStyle w:val="C42"/>
        </w:rPr>
        <w:footnoteRef/>
      </w:r>
      <w:r>
        <w:rPr>
          <w:lang w:val="en-US"/>
        </w:rPr>
        <w:t xml:space="preserve"> </w:t>
      </w:r>
      <w:r>
        <w:rPr>
          <w:rFonts w:ascii="Times New Roman" w:hAnsi="Times New Roman" w:cs="Times New Roman"/>
          <w:lang w:val="en-US"/>
        </w:rPr>
        <w:t>Marquardt B. Changing times for sustainability: On the historical environmental caesura of 1800 // GAIA. 2005. 14(3). pp. 243–252.</w:t>
      </w:r>
    </w:p>
  </w:footnote>
  <w:footnote w:id="7">
    <w:p>
      <w:pPr>
        <w:pStyle w:val="P26"/>
        <w:jc w:val="both"/>
        <w:rPr>
          <w:rFonts w:ascii="Times New Roman" w:hAnsi="Times New Roman" w:cs="Times New Roman"/>
          <w:lang w:val="en-US"/>
        </w:rPr>
      </w:pPr>
      <w:r>
        <w:rPr>
          <w:rStyle w:val="C42"/>
          <w:rFonts w:ascii="Times New Roman" w:hAnsi="Times New Roman" w:cs="Times New Roman"/>
        </w:rPr>
        <w:footnoteRef/>
      </w:r>
      <w:r>
        <w:rPr>
          <w:rFonts w:ascii="Times New Roman" w:hAnsi="Times New Roman" w:cs="Times New Roman"/>
          <w:lang w:val="en-US"/>
        </w:rPr>
        <w:t xml:space="preserve"> Vinitius V.R. Colonialism and underdevelopment in Latin America. </w:t>
      </w:r>
      <w:r>
        <w:rPr>
          <w:rFonts w:ascii="Times New Roman" w:hAnsi="Times New Roman" w:cs="Times New Roman"/>
        </w:rPr>
        <w:t>[Электронный ресурс]. Режим доступа: http://www.politicalaffairs.net/colonialism-and-underdevelopment-in-latin-america/ (дата обращения 05.02.2023); Карловиц Х.К. фон. Лесоводство и экономика, или Экономические известия и указания по естественному выращиванию диких деревьев / пер. с нем. М. В. Кирьяковой, М. В. Савельевой; науч. ред. М. В. Савельева. Москва</w:t>
      </w:r>
      <w:r>
        <w:rPr>
          <w:rFonts w:ascii="Times New Roman" w:hAnsi="Times New Roman" w:cs="Times New Roman"/>
          <w:lang w:val="en-US"/>
        </w:rPr>
        <w:t xml:space="preserve">: </w:t>
      </w:r>
      <w:r>
        <w:rPr>
          <w:rFonts w:ascii="Times New Roman" w:hAnsi="Times New Roman" w:cs="Times New Roman"/>
        </w:rPr>
        <w:t>Наука</w:t>
      </w:r>
      <w:r>
        <w:rPr>
          <w:rFonts w:ascii="Times New Roman" w:hAnsi="Times New Roman" w:cs="Times New Roman"/>
          <w:lang w:val="en-US"/>
        </w:rPr>
        <w:t xml:space="preserve">, 2019. 463 </w:t>
      </w:r>
      <w:r>
        <w:rPr>
          <w:rFonts w:ascii="Times New Roman" w:hAnsi="Times New Roman" w:cs="Times New Roman"/>
        </w:rPr>
        <w:t>с</w:t>
      </w:r>
      <w:r>
        <w:rPr>
          <w:rFonts w:ascii="Times New Roman" w:hAnsi="Times New Roman" w:cs="Times New Roman"/>
          <w:lang w:val="en-US"/>
        </w:rPr>
        <w:t>.</w:t>
      </w:r>
    </w:p>
  </w:footnote>
  <w:footnote w:id="8">
    <w:p>
      <w:pPr>
        <w:pStyle w:val="P26"/>
        <w:rPr>
          <w:rFonts w:ascii="Times New Roman" w:hAnsi="Times New Roman" w:cs="Times New Roman"/>
          <w:lang w:val="en-US"/>
        </w:rPr>
      </w:pPr>
      <w:r>
        <w:rPr>
          <w:rStyle w:val="C42"/>
          <w:rFonts w:ascii="Times New Roman" w:hAnsi="Times New Roman" w:cs="Times New Roman"/>
        </w:rPr>
        <w:footnoteRef/>
      </w:r>
      <w:r>
        <w:rPr>
          <w:rFonts w:ascii="Times New Roman" w:hAnsi="Times New Roman" w:cs="Times New Roman"/>
          <w:lang w:val="en-US"/>
        </w:rPr>
        <w:t xml:space="preserve"> Carson R. Silent spring. London: Penguin Modern Classics, 2000. 368 </w:t>
      </w:r>
      <w:r>
        <w:rPr>
          <w:rFonts w:ascii="Times New Roman" w:hAnsi="Times New Roman" w:cs="Times New Roman"/>
        </w:rPr>
        <w:t>р</w:t>
      </w:r>
      <w:r>
        <w:rPr>
          <w:rFonts w:ascii="Times New Roman" w:hAnsi="Times New Roman" w:cs="Times New Roman"/>
          <w:lang w:val="en-US"/>
        </w:rPr>
        <w:t>.</w:t>
      </w:r>
    </w:p>
  </w:footnote>
  <w:footnote w:id="9">
    <w:p>
      <w:pPr>
        <w:pStyle w:val="P26"/>
        <w:jc w:val="both"/>
        <w:rPr>
          <w:rFonts w:ascii="Times New Roman" w:hAnsi="Times New Roman" w:cs="Times New Roman"/>
          <w:lang w:val="en-US"/>
        </w:rPr>
      </w:pPr>
      <w:r>
        <w:rPr>
          <w:rStyle w:val="C42"/>
          <w:rFonts w:ascii="Times New Roman" w:hAnsi="Times New Roman" w:cs="Times New Roman"/>
        </w:rPr>
        <w:footnoteRef/>
      </w:r>
      <w:r>
        <w:rPr>
          <w:rFonts w:ascii="Times New Roman" w:hAnsi="Times New Roman" w:cs="Times New Roman"/>
          <w:lang w:val="en-US"/>
        </w:rPr>
        <w:t xml:space="preserve"> Meadows D.H., Meadows D.L., Randers J., William W. Behrens III. The limits to growth. A report to the Club of Rome’s Project on the Predicament of Mankind. New York: Universe Books. 1972. 205 р.</w:t>
      </w:r>
    </w:p>
  </w:footnote>
  <w:footnote w:id="10">
    <w:p>
      <w:pPr>
        <w:pStyle w:val="P26"/>
        <w:rPr>
          <w:lang w:val="en-US"/>
        </w:rPr>
      </w:pPr>
      <w:r>
        <w:rPr>
          <w:rStyle w:val="C42"/>
        </w:rPr>
        <w:footnoteRef/>
      </w:r>
      <w:r>
        <w:rPr>
          <w:lang w:val="en-US"/>
        </w:rPr>
        <w:t xml:space="preserve"> </w:t>
      </w:r>
      <w:r>
        <w:rPr>
          <w:rFonts w:ascii="Times New Roman" w:hAnsi="Times New Roman" w:cs="Times New Roman"/>
          <w:lang w:val="en-US"/>
        </w:rPr>
        <w:t xml:space="preserve">Slaughter A.M. A new world order. Princeton, Oxford : Princeton University Press, cop. 2004.  XVIII, 341 p.</w:t>
      </w:r>
    </w:p>
  </w:footnote>
  <w:footnote w:id="11">
    <w:p>
      <w:pPr>
        <w:pStyle w:val="P26"/>
        <w:rPr>
          <w:lang w:val="en-US"/>
        </w:rPr>
      </w:pPr>
      <w:r>
        <w:rPr>
          <w:rStyle w:val="C42"/>
        </w:rPr>
        <w:footnoteRef/>
      </w:r>
      <w:r>
        <w:rPr>
          <w:lang w:val="en-US"/>
        </w:rPr>
        <w:t xml:space="preserve"> </w:t>
      </w:r>
      <w:r>
        <w:rPr>
          <w:rFonts w:ascii="Times New Roman" w:hAnsi="Times New Roman" w:cs="Times New Roman"/>
          <w:spacing w:val="-2"/>
          <w:lang w:val="en-US"/>
        </w:rPr>
        <w:t>Grober U. Sustainability – A cultural history. Totnes in England: Green Books, 2012. 461 р.</w:t>
      </w:r>
    </w:p>
  </w:footnote>
  <w:footnote w:id="12">
    <w:p>
      <w:pPr>
        <w:pStyle w:val="P26"/>
        <w:jc w:val="both"/>
        <w:rPr>
          <w:lang w:val="en-US"/>
        </w:rPr>
      </w:pPr>
      <w:r>
        <w:rPr>
          <w:rStyle w:val="C42"/>
        </w:rPr>
        <w:footnoteRef/>
      </w:r>
      <w:r>
        <w:rPr>
          <w:lang w:val="en-US"/>
        </w:rPr>
        <w:t xml:space="preserve"> </w:t>
      </w:r>
      <w:r>
        <w:rPr>
          <w:rFonts w:ascii="Times New Roman" w:hAnsi="Times New Roman" w:cs="Times New Roman"/>
          <w:lang w:val="en-US"/>
        </w:rPr>
        <w:t>Meadows D.H., Meadows D.L., Randers J., William W. Behrens III. The limits to growth. A report to the Club of Rome’s Project on the Predicament of Mankind. New York: Universe Books. 1972. 205 р.</w:t>
      </w:r>
    </w:p>
  </w:footnote>
  <w:footnote w:id="13">
    <w:p>
      <w:pPr>
        <w:pStyle w:val="P26"/>
        <w:rPr>
          <w:rFonts w:ascii="Times New Roman" w:hAnsi="Times New Roman" w:cs="Times New Roman"/>
          <w:highlight w:val="green"/>
          <w:lang w:val="en-US"/>
        </w:rPr>
      </w:pPr>
      <w:r>
        <w:rPr>
          <w:rStyle w:val="C42"/>
          <w:rFonts w:ascii="Times New Roman" w:hAnsi="Times New Roman" w:cs="Times New Roman"/>
          <w:highlight w:val="green"/>
        </w:rPr>
        <w:footnoteRef/>
      </w:r>
      <w:r>
        <w:rPr>
          <w:rFonts w:ascii="Times New Roman" w:hAnsi="Times New Roman" w:cs="Times New Roman"/>
          <w:highlight w:val="green"/>
          <w:lang w:val="en-US"/>
        </w:rPr>
        <w:t xml:space="preserve"> https://www.brundtland.co.za/wp-content/uploads/2022/08/Brundtland-Report-1987-Our-Common-Future.pdf?utm_source=chatgpt.com.</w:t>
      </w:r>
    </w:p>
  </w:footnote>
  <w:footnote w:id="14">
    <w:p>
      <w:pPr>
        <w:pStyle w:val="P26"/>
        <w:jc w:val="both"/>
        <w:rPr>
          <w:rFonts w:ascii="Times New Roman" w:hAnsi="Times New Roman" w:cs="Times New Roman"/>
          <w:highlight w:val="green"/>
          <w:lang w:val="en-US"/>
        </w:rPr>
      </w:pPr>
      <w:r>
        <w:rPr>
          <w:rStyle w:val="C42"/>
          <w:rFonts w:ascii="Times New Roman" w:hAnsi="Times New Roman" w:cs="Times New Roman"/>
          <w:highlight w:val="green"/>
        </w:rPr>
        <w:footnoteRef/>
      </w:r>
      <w:r>
        <w:rPr>
          <w:rFonts w:ascii="Times New Roman" w:hAnsi="Times New Roman" w:cs="Times New Roman"/>
          <w:highlight w:val="green"/>
          <w:lang w:val="en-US"/>
        </w:rPr>
        <w:t xml:space="preserve"> https://eur-lex.europa.eu/summary/glossary/sustainable_development.html?utm_source=chatgpt.com.</w:t>
      </w:r>
    </w:p>
  </w:footnote>
  <w:footnote w:id="15">
    <w:p>
      <w:pPr>
        <w:pStyle w:val="P26"/>
        <w:jc w:val="both"/>
        <w:rPr>
          <w:rFonts w:ascii="Times New Roman" w:hAnsi="Times New Roman" w:cs="Times New Roman"/>
          <w:highlight w:val="green"/>
          <w:lang w:val="en-US"/>
        </w:rPr>
      </w:pPr>
      <w:r>
        <w:rPr>
          <w:rStyle w:val="C42"/>
          <w:rFonts w:ascii="Times New Roman" w:hAnsi="Times New Roman" w:cs="Times New Roman"/>
          <w:highlight w:val="green"/>
        </w:rPr>
        <w:footnoteRef/>
      </w:r>
      <w:r>
        <w:rPr>
          <w:rFonts w:ascii="Times New Roman" w:hAnsi="Times New Roman" w:cs="Times New Roman"/>
          <w:highlight w:val="green"/>
          <w:lang w:val="en-US"/>
        </w:rPr>
        <w:t xml:space="preserve"> https://sdgs.un.org/2030agenda?utm_source=chatgpt.com.</w:t>
      </w:r>
    </w:p>
  </w:footnote>
  <w:footnote w:id="16">
    <w:p>
      <w:pPr>
        <w:pStyle w:val="P26"/>
        <w:jc w:val="both"/>
        <w:rPr>
          <w:rFonts w:ascii="Times New Roman" w:hAnsi="Times New Roman" w:cs="Times New Roman"/>
          <w:highlight w:val="green"/>
          <w:lang w:val="en-US"/>
        </w:rPr>
      </w:pPr>
      <w:r>
        <w:rPr>
          <w:rStyle w:val="C42"/>
          <w:rFonts w:ascii="Times New Roman" w:hAnsi="Times New Roman" w:cs="Times New Roman"/>
          <w:highlight w:val="green"/>
        </w:rPr>
        <w:footnoteRef/>
      </w:r>
      <w:r>
        <w:rPr>
          <w:rFonts w:ascii="Times New Roman" w:hAnsi="Times New Roman" w:cs="Times New Roman"/>
          <w:highlight w:val="green"/>
          <w:lang w:val="en-US"/>
        </w:rPr>
        <w:t xml:space="preserve"> https://www.undp.org/sustainable-development-goals?utm_source=chatgpt.com.</w:t>
      </w:r>
    </w:p>
  </w:footnote>
  <w:footnote w:id="17">
    <w:p>
      <w:pPr>
        <w:pStyle w:val="P26"/>
        <w:rPr>
          <w:highlight w:val="green"/>
          <w:lang w:val="en-US"/>
        </w:rPr>
      </w:pPr>
      <w:r>
        <w:rPr>
          <w:rStyle w:val="C42"/>
          <w:rFonts w:ascii="Times New Roman" w:hAnsi="Times New Roman" w:cs="Times New Roman"/>
          <w:highlight w:val="green"/>
        </w:rPr>
        <w:footnoteRef/>
      </w:r>
      <w:r>
        <w:rPr>
          <w:rFonts w:ascii="Times New Roman" w:hAnsi="Times New Roman" w:cs="Times New Roman"/>
          <w:highlight w:val="green"/>
          <w:lang w:val="en-US"/>
        </w:rPr>
        <w:t xml:space="preserve"> https://eur-lex.europa.eu/summary/glossary/sustainable_development.html?utm_source=chatgpt.com.</w:t>
      </w:r>
    </w:p>
  </w:footnote>
  <w:footnote w:id="18">
    <w:p>
      <w:pPr>
        <w:pStyle w:val="P26"/>
        <w:rPr>
          <w:rFonts w:ascii="Times New Roman" w:hAnsi="Times New Roman" w:cs="Times New Roman"/>
          <w:lang w:val="en-US"/>
        </w:rPr>
      </w:pPr>
      <w:r>
        <w:rPr>
          <w:rStyle w:val="C42"/>
          <w:rFonts w:ascii="Times New Roman" w:hAnsi="Times New Roman" w:cs="Times New Roman"/>
          <w:highlight w:val="green"/>
        </w:rPr>
        <w:footnoteRef/>
      </w:r>
      <w:r>
        <w:rPr>
          <w:rFonts w:ascii="Times New Roman" w:hAnsi="Times New Roman" w:cs="Times New Roman"/>
          <w:highlight w:val="green"/>
          <w:lang w:val="en-US"/>
        </w:rPr>
        <w:t xml:space="preserve"> https://www.brundtland.co.za/wp-content/uploads/2022/08/Brundtland-Report-1987-Our-Common-Future.pdf?utm_source=chatgpt.com</w:t>
      </w:r>
    </w:p>
  </w:footnote>
  <w:footnote w:id="19">
    <w:p>
      <w:pPr>
        <w:pStyle w:val="P26"/>
        <w:jc w:val="both"/>
        <w:rPr>
          <w:rFonts w:ascii="Times New Roman" w:hAnsi="Times New Roman" w:cs="Times New Roman"/>
        </w:rPr>
      </w:pPr>
      <w:r>
        <w:rPr>
          <w:rStyle w:val="C42"/>
          <w:rFonts w:ascii="Times New Roman" w:hAnsi="Times New Roman" w:cs="Times New Roman"/>
        </w:rPr>
        <w:footnoteRef/>
      </w:r>
      <w:r>
        <w:rPr>
          <w:rFonts w:ascii="Times New Roman" w:hAnsi="Times New Roman" w:cs="Times New Roman"/>
          <w:lang w:val="en-US"/>
        </w:rPr>
        <w:t xml:space="preserve"> Solow R.M. Intergenerational Equity and Exhaustible Resources // The Review of Economic Studies.  </w:t>
      </w:r>
      <w:r>
        <w:rPr>
          <w:rFonts w:ascii="Times New Roman" w:hAnsi="Times New Roman" w:cs="Times New Roman"/>
        </w:rPr>
        <w:t xml:space="preserve">1974.  </w:t>
      </w:r>
      <w:r>
        <w:rPr>
          <w:rFonts w:ascii="Times New Roman" w:hAnsi="Times New Roman" w:cs="Times New Roman"/>
          <w:lang w:val="en-US"/>
        </w:rPr>
        <w:t>Vol</w:t>
      </w:r>
      <w:r>
        <w:rPr>
          <w:rFonts w:ascii="Times New Roman" w:hAnsi="Times New Roman" w:cs="Times New Roman"/>
        </w:rPr>
        <w:t xml:space="preserve">. 41. </w:t>
      </w:r>
      <w:r>
        <w:rPr>
          <w:rFonts w:ascii="Times New Roman" w:hAnsi="Times New Roman" w:cs="Times New Roman"/>
          <w:lang w:val="en-US"/>
        </w:rPr>
        <w:t>P</w:t>
      </w:r>
      <w:r>
        <w:rPr>
          <w:rFonts w:ascii="Times New Roman" w:hAnsi="Times New Roman" w:cs="Times New Roman"/>
        </w:rPr>
        <w:t>. 29–45.</w:t>
      </w:r>
    </w:p>
  </w:footnote>
  <w:footnote w:id="20">
    <w:p>
      <w:pPr>
        <w:pStyle w:val="P26"/>
        <w:jc w:val="both"/>
        <w:rPr>
          <w:lang w:val="en-US"/>
        </w:rPr>
      </w:pPr>
      <w:r>
        <w:rPr>
          <w:rStyle w:val="C42"/>
          <w:rFonts w:ascii="Times New Roman" w:hAnsi="Times New Roman" w:cs="Times New Roman"/>
        </w:rPr>
        <w:footnoteRef/>
      </w:r>
      <w:r>
        <w:rPr>
          <w:rFonts w:ascii="Times New Roman" w:hAnsi="Times New Roman" w:cs="Times New Roman"/>
          <w:lang w:val="en-US"/>
        </w:rPr>
        <w:t xml:space="preserve"> Solow R.M. On the Intergenerational Allocation of Natural Resources // Scandinavian Journal of Economics. </w:t>
      </w:r>
      <w:r>
        <w:rPr>
          <w:rFonts w:ascii="Times New Roman" w:hAnsi="Times New Roman" w:cs="Times New Roman"/>
        </w:rPr>
        <w:t xml:space="preserve">1986.  </w:t>
      </w:r>
      <w:r>
        <w:rPr>
          <w:rFonts w:ascii="Times New Roman" w:hAnsi="Times New Roman" w:cs="Times New Roman"/>
          <w:lang w:val="en-US"/>
        </w:rPr>
        <w:t>Vol</w:t>
      </w:r>
      <w:r>
        <w:rPr>
          <w:rFonts w:ascii="Times New Roman" w:hAnsi="Times New Roman" w:cs="Times New Roman"/>
        </w:rPr>
        <w:t xml:space="preserve">. 88. </w:t>
      </w:r>
      <w:r>
        <w:rPr>
          <w:rFonts w:ascii="Times New Roman" w:hAnsi="Times New Roman" w:cs="Times New Roman"/>
          <w:lang w:val="en-US"/>
        </w:rPr>
        <w:t>No</w:t>
      </w:r>
      <w:r>
        <w:rPr>
          <w:rFonts w:ascii="Times New Roman" w:hAnsi="Times New Roman" w:cs="Times New Roman"/>
        </w:rPr>
        <w:t xml:space="preserve">. 1.  </w:t>
      </w:r>
      <w:r>
        <w:rPr>
          <w:rFonts w:ascii="Times New Roman" w:hAnsi="Times New Roman" w:cs="Times New Roman"/>
          <w:lang w:val="en-US"/>
        </w:rPr>
        <w:t>P. 141–149.</w:t>
      </w:r>
    </w:p>
  </w:footnote>
  <w:footnote w:id="21">
    <w:p>
      <w:pPr>
        <w:pStyle w:val="P26"/>
        <w:rPr>
          <w:rFonts w:ascii="Times New Roman" w:hAnsi="Times New Roman" w:cs="Times New Roman"/>
          <w:lang w:val="en-US"/>
        </w:rPr>
      </w:pPr>
      <w:r>
        <w:rPr>
          <w:rStyle w:val="C42"/>
          <w:rFonts w:ascii="Times New Roman" w:hAnsi="Times New Roman" w:cs="Times New Roman"/>
        </w:rPr>
        <w:footnoteRef/>
      </w:r>
      <w:r>
        <w:rPr>
          <w:rFonts w:ascii="Times New Roman" w:hAnsi="Times New Roman" w:cs="Times New Roman"/>
          <w:lang w:val="en-US"/>
        </w:rPr>
        <w:t xml:space="preserve"> Daly H.E. Beyond Growth: The Economics of Sustainable Development. Boston: Beacon Press, 1997. 264 p.</w:t>
      </w:r>
    </w:p>
  </w:footnote>
  <w:footnote w:id="22">
    <w:p>
      <w:pPr>
        <w:pStyle w:val="P26"/>
        <w:jc w:val="both"/>
        <w:rPr>
          <w:rFonts w:ascii="Times New Roman" w:hAnsi="Times New Roman" w:cs="Times New Roman"/>
          <w:spacing w:val="-2"/>
          <w:lang w:val="en-US"/>
        </w:rPr>
      </w:pPr>
      <w:r>
        <w:rPr>
          <w:rStyle w:val="C42"/>
          <w:rFonts w:ascii="Times New Roman" w:hAnsi="Times New Roman" w:cs="Times New Roman"/>
          <w:spacing w:val="-2"/>
        </w:rPr>
        <w:footnoteRef/>
      </w:r>
      <w:r>
        <w:rPr>
          <w:rFonts w:ascii="Times New Roman" w:hAnsi="Times New Roman" w:cs="Times New Roman"/>
          <w:spacing w:val="-2"/>
          <w:lang w:val="en-US"/>
        </w:rPr>
        <w:t xml:space="preserve"> Georgescu-Roegen N. The Entropy Law and the Economic Process. Cambridge, MA: Harvard University Press, 1971. 418 p.</w:t>
      </w:r>
    </w:p>
  </w:footnote>
  <w:footnote w:id="23">
    <w:p>
      <w:pPr>
        <w:pStyle w:val="P26"/>
        <w:jc w:val="both"/>
        <w:rPr>
          <w:rFonts w:ascii="Times New Roman" w:hAnsi="Times New Roman" w:cs="Times New Roman"/>
          <w:lang w:val="en-US"/>
        </w:rPr>
      </w:pPr>
      <w:r>
        <w:rPr>
          <w:rStyle w:val="C42"/>
          <w:rFonts w:ascii="Times New Roman" w:hAnsi="Times New Roman" w:cs="Times New Roman"/>
        </w:rPr>
        <w:footnoteRef/>
      </w:r>
      <w:r>
        <w:rPr>
          <w:rFonts w:ascii="Times New Roman" w:hAnsi="Times New Roman" w:cs="Times New Roman"/>
          <w:lang w:val="en-US"/>
        </w:rPr>
        <w:t xml:space="preserve"> North D. Institutions, Institutional Change and Economic Performance. Cambridge: Cambridge University Press, 1990. 152 p.</w:t>
      </w:r>
    </w:p>
  </w:footnote>
  <w:footnote w:id="24">
    <w:p>
      <w:pPr>
        <w:spacing w:lineRule="auto" w:line="240" w:after="0" w:beforeAutospacing="0" w:afterAutospacing="0"/>
        <w:contextualSpacing w:val="1"/>
        <w:jc w:val="both"/>
        <w:rPr>
          <w:rFonts w:ascii="Times New Roman" w:hAnsi="Times New Roman" w:cs="Times New Roman"/>
          <w:sz w:val="20"/>
          <w:szCs w:val="20"/>
          <w:highlight w:val="green"/>
        </w:rPr>
      </w:pPr>
      <w:r>
        <w:rPr>
          <w:rStyle w:val="C42"/>
          <w:rFonts w:ascii="Times New Roman" w:hAnsi="Times New Roman" w:cs="Times New Roman"/>
          <w:sz w:val="20"/>
          <w:szCs w:val="20"/>
        </w:rPr>
        <w:footnoteRef/>
      </w:r>
      <w:r>
        <w:rPr>
          <w:rFonts w:cstheme="minorHAnsi"/>
          <w:lang w:val="en-US"/>
        </w:rPr>
        <w:t xml:space="preserve"> </w:t>
      </w:r>
      <w:r>
        <w:rPr>
          <w:rFonts w:ascii="Times New Roman" w:hAnsi="Times New Roman" w:cs="Times New Roman"/>
          <w:color w:val="000000"/>
          <w:sz w:val="20"/>
          <w:szCs w:val="20"/>
          <w:shd w:val="clear" w:color="auto" w:fill="FFFFFF"/>
          <w:spacing w:val="3"/>
          <w:lang w:val="en-US"/>
        </w:rPr>
        <w:t>Ostrom E. </w:t>
      </w:r>
      <w:r>
        <w:rPr>
          <w:rStyle w:val="C52"/>
          <w:rFonts w:ascii="Times New Roman" w:hAnsi="Times New Roman" w:cs="Times New Roman"/>
          <w:i w:val="0"/>
          <w:color w:val="000000"/>
          <w:sz w:val="20"/>
          <w:szCs w:val="20"/>
          <w:shd w:val="clear" w:color="auto" w:fill="FFFFFF"/>
          <w:spacing w:val="3"/>
          <w:lang w:val="en-US"/>
        </w:rPr>
        <w:t>Governing the Commons: The Evolution of Institutions for Collective Action</w:t>
      </w:r>
      <w:r>
        <w:rPr>
          <w:rFonts w:ascii="Times New Roman" w:hAnsi="Times New Roman" w:cs="Times New Roman"/>
          <w:i w:val="1"/>
          <w:color w:val="000000"/>
          <w:sz w:val="20"/>
          <w:szCs w:val="20"/>
          <w:shd w:val="clear" w:color="auto" w:fill="FFFFFF"/>
          <w:spacing w:val="3"/>
          <w:lang w:val="en-US"/>
        </w:rPr>
        <w:t>.</w:t>
      </w:r>
      <w:r>
        <w:rPr>
          <w:rFonts w:ascii="Times New Roman" w:hAnsi="Times New Roman" w:cs="Times New Roman"/>
          <w:color w:val="000000"/>
          <w:sz w:val="20"/>
          <w:szCs w:val="20"/>
          <w:shd w:val="clear" w:color="auto" w:fill="FFFFFF"/>
          <w:spacing w:val="3"/>
          <w:lang w:val="en-US"/>
        </w:rPr>
        <w:t xml:space="preserve"> Cambridge</w:t>
      </w:r>
      <w:r>
        <w:rPr>
          <w:rFonts w:ascii="Times New Roman" w:hAnsi="Times New Roman" w:cs="Times New Roman"/>
          <w:color w:val="000000"/>
          <w:sz w:val="20"/>
          <w:szCs w:val="20"/>
          <w:shd w:val="clear" w:color="auto" w:fill="FFFFFF"/>
          <w:spacing w:val="3"/>
        </w:rPr>
        <w:t xml:space="preserve">: </w:t>
      </w:r>
      <w:r>
        <w:rPr>
          <w:rFonts w:ascii="Times New Roman" w:hAnsi="Times New Roman" w:cs="Times New Roman"/>
          <w:color w:val="000000"/>
          <w:sz w:val="20"/>
          <w:szCs w:val="20"/>
          <w:shd w:val="clear" w:color="auto" w:fill="FFFFFF"/>
          <w:spacing w:val="3"/>
          <w:lang w:val="en-US"/>
        </w:rPr>
        <w:t>Cambridge</w:t>
      </w:r>
      <w:r>
        <w:rPr>
          <w:rFonts w:ascii="Times New Roman" w:hAnsi="Times New Roman" w:cs="Times New Roman"/>
          <w:color w:val="000000"/>
          <w:sz w:val="20"/>
          <w:szCs w:val="20"/>
          <w:shd w:val="clear" w:color="auto" w:fill="FFFFFF"/>
          <w:spacing w:val="3"/>
        </w:rPr>
        <w:t xml:space="preserve"> </w:t>
      </w:r>
      <w:r>
        <w:rPr>
          <w:rFonts w:ascii="Times New Roman" w:hAnsi="Times New Roman" w:cs="Times New Roman"/>
          <w:color w:val="000000"/>
          <w:sz w:val="20"/>
          <w:szCs w:val="20"/>
          <w:shd w:val="clear" w:color="auto" w:fill="FFFFFF"/>
          <w:spacing w:val="3"/>
          <w:lang w:val="en-US"/>
        </w:rPr>
        <w:t>University</w:t>
      </w:r>
      <w:r>
        <w:rPr>
          <w:rFonts w:ascii="Times New Roman" w:hAnsi="Times New Roman" w:cs="Times New Roman"/>
          <w:color w:val="000000"/>
          <w:sz w:val="20"/>
          <w:szCs w:val="20"/>
          <w:shd w:val="clear" w:color="auto" w:fill="FFFFFF"/>
          <w:spacing w:val="3"/>
        </w:rPr>
        <w:t xml:space="preserve"> </w:t>
      </w:r>
      <w:r>
        <w:rPr>
          <w:rFonts w:ascii="Times New Roman" w:hAnsi="Times New Roman" w:cs="Times New Roman"/>
          <w:color w:val="000000"/>
          <w:sz w:val="20"/>
          <w:szCs w:val="20"/>
          <w:shd w:val="clear" w:color="auto" w:fill="FFFFFF"/>
          <w:spacing w:val="3"/>
          <w:lang w:val="en-US"/>
        </w:rPr>
        <w:t>Press</w:t>
      </w:r>
      <w:r>
        <w:rPr>
          <w:rFonts w:ascii="Times New Roman" w:hAnsi="Times New Roman" w:cs="Times New Roman"/>
          <w:color w:val="000000"/>
          <w:sz w:val="20"/>
          <w:szCs w:val="20"/>
          <w:shd w:val="clear" w:color="auto" w:fill="FFFFFF"/>
          <w:spacing w:val="3"/>
        </w:rPr>
        <w:t>, 1990. 280</w:t>
      </w:r>
      <w:r>
        <w:rPr>
          <w:rFonts w:ascii="Times New Roman" w:hAnsi="Times New Roman" w:cs="Times New Roman"/>
          <w:color w:val="000000"/>
          <w:sz w:val="20"/>
          <w:szCs w:val="20"/>
          <w:shd w:val="clear" w:color="auto" w:fill="FFFFFF"/>
          <w:spacing w:val="3"/>
          <w:lang w:val="en-US"/>
        </w:rPr>
        <w:t> p</w:t>
      </w:r>
      <w:r>
        <w:rPr>
          <w:rFonts w:ascii="Times New Roman" w:hAnsi="Times New Roman" w:cs="Times New Roman"/>
          <w:color w:val="000000"/>
          <w:sz w:val="20"/>
          <w:szCs w:val="20"/>
          <w:shd w:val="clear" w:color="auto" w:fill="FFFFFF"/>
          <w:spacing w:val="3"/>
        </w:rPr>
        <w:t>.</w:t>
      </w:r>
    </w:p>
  </w:footnote>
  <w:footnote w:id="25">
    <w:p>
      <w:pPr>
        <w:pStyle w:val="P26"/>
        <w:jc w:val="both"/>
        <w:rPr>
          <w:rFonts w:ascii="Times New Roman" w:hAnsi="Times New Roman" w:cs="Times New Roman"/>
        </w:rPr>
      </w:pPr>
      <w:r>
        <w:rPr>
          <w:rStyle w:val="C42"/>
          <w:rFonts w:ascii="Times New Roman" w:hAnsi="Times New Roman" w:cs="Times New Roman"/>
        </w:rPr>
        <w:footnoteRef/>
      </w:r>
      <w:r>
        <w:rPr>
          <w:rFonts w:ascii="Times New Roman" w:hAnsi="Times New Roman" w:cs="Times New Roman"/>
        </w:rPr>
        <w:t xml:space="preserve"> Сен А. Развитие как свобода; пер. с англ. ; общ. ред. и послесл. Р.М. Нуреева.  Москва : Новое издательство, 2004.  432 с.</w:t>
      </w:r>
    </w:p>
  </w:footnote>
  <w:footnote w:id="26">
    <w:p>
      <w:pPr>
        <w:spacing w:lineRule="auto" w:line="240" w:after="0" w:beforeAutospacing="0" w:afterAutospacing="0"/>
        <w:contextualSpacing w:val="1"/>
        <w:jc w:val="both"/>
        <w:rPr>
          <w:rFonts w:ascii="Times New Roman" w:hAnsi="Times New Roman" w:cs="Times New Roman"/>
          <w:sz w:val="20"/>
          <w:szCs w:val="20"/>
          <w:highlight w:val="green"/>
        </w:rPr>
      </w:pPr>
      <w:r>
        <w:rPr>
          <w:rStyle w:val="C42"/>
          <w:rFonts w:ascii="Times New Roman" w:hAnsi="Times New Roman" w:cs="Times New Roman"/>
          <w:sz w:val="20"/>
          <w:szCs w:val="20"/>
        </w:rPr>
        <w:footnoteRef/>
      </w:r>
      <w:r>
        <w:rPr>
          <w:rFonts w:ascii="Times New Roman" w:hAnsi="Times New Roman" w:cs="Times New Roman"/>
          <w:sz w:val="20"/>
          <w:szCs w:val="20"/>
        </w:rPr>
        <w:t xml:space="preserve"> Стиглиц Дж.,  Сен А.,  Фитусси  Ж.-П. Неверно оценивая нашу жизнь: Почему ВВП не имеет смысла? : доклад Комиссии по измерению эффективности экономики и социального прогресса; пер. с англ. И. Кушнаревой; ред. В. Автономов. Москва : Изд-во Института Гайдара, 2016.  216 с.</w:t>
      </w:r>
    </w:p>
  </w:footnote>
  <w:footnote w:id="27">
    <w:p>
      <w:pPr>
        <w:pStyle w:val="P26"/>
        <w:jc w:val="both"/>
        <w:rPr>
          <w:rFonts w:ascii="Times New Roman" w:hAnsi="Times New Roman" w:cs="Times New Roman"/>
          <w:lang w:val="en-US"/>
        </w:rPr>
      </w:pPr>
      <w:r>
        <w:rPr>
          <w:rStyle w:val="C42"/>
          <w:rFonts w:ascii="Times New Roman" w:hAnsi="Times New Roman" w:cs="Times New Roman"/>
        </w:rPr>
        <w:footnoteRef/>
      </w:r>
      <w:r>
        <w:rPr>
          <w:rFonts w:ascii="Times New Roman" w:hAnsi="Times New Roman" w:cs="Times New Roman"/>
        </w:rPr>
        <w:t xml:space="preserve"> Нельсон Р.Р. Уинтер С.Дж. Эволюционная теория экономических изменений; пер. с англ. М.Я. Каждана, В.Л. Макарова.  Москва</w:t>
      </w:r>
      <w:r>
        <w:rPr>
          <w:rFonts w:ascii="Times New Roman" w:hAnsi="Times New Roman" w:cs="Times New Roman"/>
          <w:lang w:val="en-US"/>
        </w:rPr>
        <w:t xml:space="preserve"> : </w:t>
      </w:r>
      <w:r>
        <w:rPr>
          <w:rFonts w:ascii="Times New Roman" w:hAnsi="Times New Roman" w:cs="Times New Roman"/>
        </w:rPr>
        <w:t>Дело</w:t>
      </w:r>
      <w:r>
        <w:rPr>
          <w:rFonts w:ascii="Times New Roman" w:hAnsi="Times New Roman" w:cs="Times New Roman"/>
          <w:lang w:val="en-US"/>
        </w:rPr>
        <w:t xml:space="preserve">, 2002.  536 </w:t>
      </w:r>
      <w:r>
        <w:rPr>
          <w:rFonts w:ascii="Times New Roman" w:hAnsi="Times New Roman" w:cs="Times New Roman"/>
        </w:rPr>
        <w:t>с</w:t>
      </w:r>
      <w:r>
        <w:rPr>
          <w:rFonts w:ascii="Times New Roman" w:hAnsi="Times New Roman" w:cs="Times New Roman"/>
          <w:lang w:val="en-US"/>
        </w:rPr>
        <w:t>.</w:t>
      </w:r>
    </w:p>
  </w:footnote>
  <w:footnote w:id="28">
    <w:p>
      <w:pPr>
        <w:pStyle w:val="P26"/>
        <w:jc w:val="both"/>
        <w:rPr>
          <w:rFonts w:ascii="Times New Roman" w:hAnsi="Times New Roman" w:cs="Times New Roman"/>
          <w:lang w:val="en-US"/>
        </w:rPr>
      </w:pPr>
      <w:r>
        <w:rPr>
          <w:rStyle w:val="C42"/>
          <w:rFonts w:ascii="Times New Roman" w:hAnsi="Times New Roman" w:cs="Times New Roman"/>
        </w:rPr>
        <w:footnoteRef/>
      </w:r>
      <w:r>
        <w:rPr>
          <w:rFonts w:ascii="Times New Roman" w:hAnsi="Times New Roman" w:cs="Times New Roman"/>
          <w:lang w:val="en-US"/>
        </w:rPr>
        <w:t xml:space="preserve"> Beinhocker E. D. The Origin of Wealth: Evolution, Complexity, and the Radical Remaking of Economics.  Boston</w:t>
      </w:r>
      <w:r>
        <w:rPr>
          <w:rFonts w:ascii="Times New Roman" w:hAnsi="Times New Roman" w:cs="Times New Roman"/>
        </w:rPr>
        <w:t xml:space="preserve"> : </w:t>
      </w:r>
      <w:r>
        <w:rPr>
          <w:rFonts w:ascii="Times New Roman" w:hAnsi="Times New Roman" w:cs="Times New Roman"/>
          <w:lang w:val="en-US"/>
        </w:rPr>
        <w:t>Harvard</w:t>
      </w:r>
      <w:r>
        <w:rPr>
          <w:rFonts w:ascii="Times New Roman" w:hAnsi="Times New Roman" w:cs="Times New Roman"/>
        </w:rPr>
        <w:t xml:space="preserve"> </w:t>
      </w:r>
      <w:r>
        <w:rPr>
          <w:rFonts w:ascii="Times New Roman" w:hAnsi="Times New Roman" w:cs="Times New Roman"/>
          <w:lang w:val="en-US"/>
        </w:rPr>
        <w:t>Business</w:t>
      </w:r>
      <w:r>
        <w:rPr>
          <w:rFonts w:ascii="Times New Roman" w:hAnsi="Times New Roman" w:cs="Times New Roman"/>
        </w:rPr>
        <w:t xml:space="preserve"> </w:t>
      </w:r>
      <w:r>
        <w:rPr>
          <w:rFonts w:ascii="Times New Roman" w:hAnsi="Times New Roman" w:cs="Times New Roman"/>
          <w:lang w:val="en-US"/>
        </w:rPr>
        <w:t>School</w:t>
      </w:r>
      <w:r>
        <w:rPr>
          <w:rFonts w:ascii="Times New Roman" w:hAnsi="Times New Roman" w:cs="Times New Roman"/>
        </w:rPr>
        <w:t xml:space="preserve"> </w:t>
      </w:r>
      <w:r>
        <w:rPr>
          <w:rFonts w:ascii="Times New Roman" w:hAnsi="Times New Roman" w:cs="Times New Roman"/>
          <w:lang w:val="en-US"/>
        </w:rPr>
        <w:t>Press</w:t>
      </w:r>
      <w:r>
        <w:rPr>
          <w:rFonts w:ascii="Times New Roman" w:hAnsi="Times New Roman" w:cs="Times New Roman"/>
        </w:rPr>
        <w:t xml:space="preserve">, 2006.  527 </w:t>
      </w:r>
      <w:r>
        <w:rPr>
          <w:rFonts w:ascii="Times New Roman" w:hAnsi="Times New Roman" w:cs="Times New Roman"/>
          <w:lang w:val="en-US"/>
        </w:rPr>
        <w:t>p</w:t>
      </w:r>
      <w:r>
        <w:rPr>
          <w:rFonts w:ascii="Times New Roman" w:hAnsi="Times New Roman" w:cs="Times New Roman"/>
        </w:rPr>
        <w:t xml:space="preserve">.; Глинский В.В., Фрейдина, Е.В. Серга Л.К. Конвергенция сложности адаптации социально экономических систем // Научные труды Института народнохозяйственного прогнозирования РАН. 2023. № 3. С. 98–123; Афанасьев М.Ю. Структурная сложность экономики и адаптивное управление // Экономическая наука современной России.  </w:t>
      </w:r>
      <w:r>
        <w:rPr>
          <w:rFonts w:ascii="Times New Roman" w:hAnsi="Times New Roman" w:cs="Times New Roman"/>
          <w:lang w:val="en-US"/>
        </w:rPr>
        <w:t xml:space="preserve">2021. № 4. </w:t>
      </w:r>
      <w:r>
        <w:rPr>
          <w:rFonts w:ascii="Times New Roman" w:hAnsi="Times New Roman" w:cs="Times New Roman"/>
        </w:rPr>
        <w:t>С</w:t>
      </w:r>
      <w:r>
        <w:rPr>
          <w:rFonts w:ascii="Times New Roman" w:hAnsi="Times New Roman" w:cs="Times New Roman"/>
          <w:lang w:val="en-US"/>
        </w:rPr>
        <w:t>. 45–62.</w:t>
      </w:r>
    </w:p>
  </w:footnote>
  <w:footnote w:id="29">
    <w:p>
      <w:pPr>
        <w:spacing w:lineRule="auto" w:line="240" w:after="0" w:beforeAutospacing="0" w:afterAutospacing="0"/>
        <w:contextualSpacing w:val="1"/>
        <w:jc w:val="both"/>
        <w:rPr>
          <w:rFonts w:ascii="Times New Roman" w:hAnsi="Times New Roman" w:cs="Times New Roman"/>
          <w:sz w:val="20"/>
          <w:szCs w:val="20"/>
          <w:highlight w:val="green"/>
          <w:lang w:val="en-US"/>
        </w:rPr>
      </w:pPr>
      <w:r>
        <w:rPr>
          <w:rStyle w:val="C42"/>
          <w:rFonts w:ascii="Times New Roman" w:hAnsi="Times New Roman" w:cs="Times New Roman"/>
          <w:sz w:val="20"/>
          <w:szCs w:val="20"/>
        </w:rPr>
        <w:footnoteRef/>
      </w:r>
      <w:r>
        <w:rPr>
          <w:rFonts w:ascii="Times New Roman" w:hAnsi="Times New Roman" w:cs="Times New Roman"/>
          <w:sz w:val="20"/>
          <w:szCs w:val="20"/>
          <w:lang w:val="en-US"/>
        </w:rPr>
        <w:t xml:space="preserve"> </w:t>
      </w:r>
      <w:r>
        <w:rPr>
          <w:rStyle w:val="C53"/>
          <w:rFonts w:ascii="Times New Roman" w:hAnsi="Times New Roman" w:cs="Times New Roman"/>
          <w:color w:val="000000"/>
          <w:sz w:val="20"/>
          <w:szCs w:val="20"/>
          <w:shd w:val="clear" w:color="auto" w:fill="FFFFFF"/>
          <w:spacing w:val="3"/>
          <w:lang w:val="en-US"/>
        </w:rPr>
        <w:t>Arthur W.B.  </w:t>
      </w:r>
      <w:r>
        <w:rPr>
          <w:rStyle w:val="C53"/>
          <w:rFonts w:ascii="Times New Roman" w:hAnsi="Times New Roman" w:cs="Times New Roman"/>
          <w:iCs w:val="1"/>
          <w:color w:val="000000"/>
          <w:sz w:val="20"/>
          <w:szCs w:val="20"/>
          <w:shd w:val="clear" w:color="auto" w:fill="FFFFFF"/>
          <w:spacing w:val="3"/>
          <w:lang w:val="en-US"/>
        </w:rPr>
        <w:t>Complexity and the economy</w:t>
      </w:r>
      <w:r>
        <w:rPr>
          <w:rStyle w:val="C53"/>
          <w:rFonts w:ascii="Times New Roman" w:hAnsi="Times New Roman" w:cs="Times New Roman"/>
          <w:color w:val="000000"/>
          <w:sz w:val="20"/>
          <w:szCs w:val="20"/>
          <w:shd w:val="clear" w:color="auto" w:fill="FFFFFF"/>
          <w:spacing w:val="3"/>
          <w:lang w:val="en-US"/>
        </w:rPr>
        <w:t xml:space="preserve">. Oxford University Press, 2015. 192 </w:t>
      </w:r>
      <w:r>
        <w:rPr>
          <w:rStyle w:val="C53"/>
          <w:rFonts w:ascii="Times New Roman" w:hAnsi="Times New Roman" w:cs="Times New Roman"/>
          <w:color w:val="000000"/>
          <w:sz w:val="20"/>
          <w:szCs w:val="20"/>
          <w:shd w:val="clear" w:color="auto" w:fill="FFFFFF"/>
          <w:spacing w:val="3"/>
        </w:rPr>
        <w:t>р</w:t>
      </w:r>
      <w:r>
        <w:rPr>
          <w:rStyle w:val="C53"/>
          <w:rFonts w:ascii="Times New Roman" w:hAnsi="Times New Roman" w:cs="Times New Roman"/>
          <w:color w:val="000000"/>
          <w:sz w:val="20"/>
          <w:szCs w:val="20"/>
          <w:shd w:val="clear" w:color="auto" w:fill="FFFFFF"/>
          <w:spacing w:val="3"/>
          <w:lang w:val="en-US"/>
        </w:rPr>
        <w:t>.</w:t>
      </w:r>
    </w:p>
  </w:footnote>
  <w:footnote w:id="30">
    <w:p>
      <w:pPr>
        <w:pStyle w:val="P26"/>
        <w:jc w:val="both"/>
        <w:rPr>
          <w:rFonts w:ascii="Times New Roman" w:hAnsi="Times New Roman" w:cs="Times New Roman"/>
          <w:lang w:val="en-US"/>
        </w:rPr>
      </w:pPr>
      <w:r>
        <w:rPr>
          <w:rStyle w:val="C42"/>
          <w:rFonts w:ascii="Times New Roman" w:hAnsi="Times New Roman" w:cs="Times New Roman"/>
        </w:rPr>
        <w:footnoteRef/>
      </w:r>
      <w:r>
        <w:rPr>
          <w:rFonts w:ascii="Times New Roman" w:hAnsi="Times New Roman" w:cs="Times New Roman"/>
          <w:lang w:val="en-US"/>
        </w:rPr>
        <w:t xml:space="preserve"> Solow R.M. Intergenerational Equity and Exhaustible Resources // The Review of Economic Studies.  1974.  Vol. 41. P. 29–45.</w:t>
      </w:r>
    </w:p>
  </w:footnote>
  <w:footnote w:id="31">
    <w:p>
      <w:pPr>
        <w:pStyle w:val="P26"/>
        <w:jc w:val="both"/>
        <w:rPr>
          <w:rFonts w:ascii="Times New Roman" w:hAnsi="Times New Roman" w:cs="Times New Roman"/>
          <w:lang w:val="en-US"/>
        </w:rPr>
      </w:pPr>
      <w:r>
        <w:rPr>
          <w:rStyle w:val="C42"/>
          <w:rFonts w:ascii="Times New Roman" w:hAnsi="Times New Roman" w:cs="Times New Roman"/>
        </w:rPr>
        <w:footnoteRef/>
      </w:r>
      <w:r>
        <w:rPr>
          <w:rFonts w:ascii="Times New Roman" w:hAnsi="Times New Roman" w:cs="Times New Roman"/>
          <w:lang w:val="en-US"/>
        </w:rPr>
        <w:t xml:space="preserve"> Daly H.E. Beyond Growth: The Economics of Sustainable Development. Boston: Beacon Press, 1997. 264 p.</w:t>
      </w:r>
    </w:p>
  </w:footnote>
  <w:footnote w:id="32">
    <w:p>
      <w:pPr>
        <w:pStyle w:val="P26"/>
        <w:jc w:val="both"/>
        <w:rPr>
          <w:rFonts w:ascii="Times New Roman" w:hAnsi="Times New Roman" w:cs="Times New Roman"/>
          <w:lang w:val="en-US"/>
        </w:rPr>
      </w:pPr>
      <w:r>
        <w:rPr>
          <w:rStyle w:val="C42"/>
          <w:rFonts w:ascii="Times New Roman" w:hAnsi="Times New Roman" w:cs="Times New Roman"/>
        </w:rPr>
        <w:footnoteRef/>
      </w:r>
      <w:r>
        <w:rPr>
          <w:rFonts w:ascii="Times New Roman" w:hAnsi="Times New Roman" w:cs="Times New Roman"/>
          <w:lang w:val="en-US"/>
        </w:rPr>
        <w:t xml:space="preserve"> </w:t>
      </w:r>
      <w:r>
        <w:rPr>
          <w:rFonts w:ascii="Times New Roman" w:hAnsi="Times New Roman" w:cs="Times New Roman"/>
          <w:spacing w:val="-2"/>
          <w:lang w:val="en-US"/>
        </w:rPr>
        <w:t>Georgescu-Roegen N. The Entropy Law and the Economic Process. Cambridge, MA: Harvard University Press, 1971. 418 p.</w:t>
      </w:r>
    </w:p>
  </w:footnote>
  <w:footnote w:id="33">
    <w:p>
      <w:pPr>
        <w:pStyle w:val="P26"/>
        <w:jc w:val="both"/>
        <w:rPr>
          <w:rFonts w:ascii="Times New Roman" w:hAnsi="Times New Roman" w:cs="Times New Roman"/>
          <w:lang w:val="en-US"/>
        </w:rPr>
      </w:pPr>
      <w:r>
        <w:rPr>
          <w:rStyle w:val="C42"/>
          <w:rFonts w:ascii="Times New Roman" w:hAnsi="Times New Roman" w:cs="Times New Roman"/>
        </w:rPr>
        <w:footnoteRef/>
      </w:r>
      <w:r>
        <w:rPr>
          <w:rFonts w:ascii="Times New Roman" w:hAnsi="Times New Roman" w:cs="Times New Roman"/>
          <w:lang w:val="en-US"/>
        </w:rPr>
        <w:t xml:space="preserve"> North D. Institutions, Institutional Change and Economic Performance. Cambridge: Cambridge University Press, 1990. 152 p.</w:t>
      </w:r>
    </w:p>
  </w:footnote>
  <w:footnote w:id="34">
    <w:p>
      <w:pPr>
        <w:pStyle w:val="P26"/>
        <w:jc w:val="both"/>
        <w:rPr>
          <w:rFonts w:ascii="Times New Roman" w:hAnsi="Times New Roman" w:cs="Times New Roman"/>
        </w:rPr>
      </w:pPr>
      <w:r>
        <w:rPr>
          <w:rStyle w:val="C42"/>
          <w:rFonts w:ascii="Times New Roman" w:hAnsi="Times New Roman" w:cs="Times New Roman"/>
        </w:rPr>
        <w:footnoteRef/>
      </w:r>
      <w:r>
        <w:rPr>
          <w:rFonts w:ascii="Times New Roman" w:hAnsi="Times New Roman" w:cs="Times New Roman"/>
          <w:lang w:val="en-US"/>
        </w:rPr>
        <w:t xml:space="preserve"> </w:t>
      </w:r>
      <w:r>
        <w:rPr>
          <w:rFonts w:ascii="Times New Roman" w:hAnsi="Times New Roman" w:cs="Times New Roman"/>
          <w:color w:val="000000"/>
          <w:shd w:val="clear" w:color="auto" w:fill="FFFFFF"/>
          <w:spacing w:val="3"/>
          <w:lang w:val="en-US"/>
        </w:rPr>
        <w:t>Ostrom E. </w:t>
      </w:r>
      <w:r>
        <w:rPr>
          <w:rStyle w:val="C52"/>
          <w:rFonts w:ascii="Times New Roman" w:hAnsi="Times New Roman" w:cs="Times New Roman"/>
          <w:i w:val="0"/>
          <w:color w:val="000000"/>
          <w:shd w:val="clear" w:color="auto" w:fill="FFFFFF"/>
          <w:spacing w:val="3"/>
          <w:lang w:val="en-US"/>
        </w:rPr>
        <w:t>Governing the Commons: The Evolution of Institutions for Collective Action</w:t>
      </w:r>
      <w:r>
        <w:rPr>
          <w:rFonts w:ascii="Times New Roman" w:hAnsi="Times New Roman" w:cs="Times New Roman"/>
          <w:i w:val="1"/>
          <w:color w:val="000000"/>
          <w:shd w:val="clear" w:color="auto" w:fill="FFFFFF"/>
          <w:spacing w:val="3"/>
          <w:lang w:val="en-US"/>
        </w:rPr>
        <w:t>.</w:t>
      </w:r>
      <w:r>
        <w:rPr>
          <w:rFonts w:ascii="Times New Roman" w:hAnsi="Times New Roman" w:cs="Times New Roman"/>
          <w:color w:val="000000"/>
          <w:shd w:val="clear" w:color="auto" w:fill="FFFFFF"/>
          <w:spacing w:val="3"/>
          <w:lang w:val="en-US"/>
        </w:rPr>
        <w:t xml:space="preserve"> Cambridge</w:t>
      </w:r>
      <w:r>
        <w:rPr>
          <w:rFonts w:ascii="Times New Roman" w:hAnsi="Times New Roman" w:cs="Times New Roman"/>
          <w:color w:val="000000"/>
          <w:shd w:val="clear" w:color="auto" w:fill="FFFFFF"/>
          <w:spacing w:val="3"/>
        </w:rPr>
        <w:t xml:space="preserve">: </w:t>
      </w:r>
      <w:r>
        <w:rPr>
          <w:rFonts w:ascii="Times New Roman" w:hAnsi="Times New Roman" w:cs="Times New Roman"/>
          <w:color w:val="000000"/>
          <w:shd w:val="clear" w:color="auto" w:fill="FFFFFF"/>
          <w:spacing w:val="3"/>
          <w:lang w:val="en-US"/>
        </w:rPr>
        <w:t>Cambridge</w:t>
      </w:r>
      <w:r>
        <w:rPr>
          <w:rFonts w:ascii="Times New Roman" w:hAnsi="Times New Roman" w:cs="Times New Roman"/>
          <w:color w:val="000000"/>
          <w:shd w:val="clear" w:color="auto" w:fill="FFFFFF"/>
          <w:spacing w:val="3"/>
        </w:rPr>
        <w:t xml:space="preserve"> </w:t>
      </w:r>
      <w:r>
        <w:rPr>
          <w:rFonts w:ascii="Times New Roman" w:hAnsi="Times New Roman" w:cs="Times New Roman"/>
          <w:color w:val="000000"/>
          <w:shd w:val="clear" w:color="auto" w:fill="FFFFFF"/>
          <w:spacing w:val="3"/>
          <w:lang w:val="en-US"/>
        </w:rPr>
        <w:t>University</w:t>
      </w:r>
      <w:r>
        <w:rPr>
          <w:rFonts w:ascii="Times New Roman" w:hAnsi="Times New Roman" w:cs="Times New Roman"/>
          <w:color w:val="000000"/>
          <w:shd w:val="clear" w:color="auto" w:fill="FFFFFF"/>
          <w:spacing w:val="3"/>
        </w:rPr>
        <w:t xml:space="preserve"> </w:t>
      </w:r>
      <w:r>
        <w:rPr>
          <w:rFonts w:ascii="Times New Roman" w:hAnsi="Times New Roman" w:cs="Times New Roman"/>
          <w:color w:val="000000"/>
          <w:shd w:val="clear" w:color="auto" w:fill="FFFFFF"/>
          <w:spacing w:val="3"/>
          <w:lang w:val="en-US"/>
        </w:rPr>
        <w:t>Press</w:t>
      </w:r>
      <w:r>
        <w:rPr>
          <w:rFonts w:ascii="Times New Roman" w:hAnsi="Times New Roman" w:cs="Times New Roman"/>
          <w:color w:val="000000"/>
          <w:shd w:val="clear" w:color="auto" w:fill="FFFFFF"/>
          <w:spacing w:val="3"/>
        </w:rPr>
        <w:t>, 1990. 280</w:t>
      </w:r>
      <w:r>
        <w:rPr>
          <w:rFonts w:ascii="Times New Roman" w:hAnsi="Times New Roman" w:cs="Times New Roman"/>
          <w:color w:val="000000"/>
          <w:shd w:val="clear" w:color="auto" w:fill="FFFFFF"/>
          <w:spacing w:val="3"/>
          <w:lang w:val="en-US"/>
        </w:rPr>
        <w:t> p</w:t>
      </w:r>
      <w:r>
        <w:rPr>
          <w:rFonts w:ascii="Times New Roman" w:hAnsi="Times New Roman" w:cs="Times New Roman"/>
          <w:color w:val="000000"/>
          <w:shd w:val="clear" w:color="auto" w:fill="FFFFFF"/>
          <w:spacing w:val="3"/>
        </w:rPr>
        <w:t>.</w:t>
      </w:r>
    </w:p>
  </w:footnote>
  <w:footnote w:id="35">
    <w:p>
      <w:pPr>
        <w:spacing w:lineRule="auto" w:line="240" w:after="0" w:beforeAutospacing="0" w:afterAutospacing="0"/>
        <w:contextualSpacing w:val="1"/>
        <w:jc w:val="both"/>
        <w:rPr>
          <w:rFonts w:ascii="Times New Roman" w:hAnsi="Times New Roman" w:cs="Times New Roman"/>
          <w:sz w:val="20"/>
          <w:szCs w:val="20"/>
          <w:highlight w:val="green"/>
        </w:rPr>
      </w:pPr>
      <w:r>
        <w:rPr>
          <w:rStyle w:val="C42"/>
          <w:rFonts w:ascii="Times New Roman" w:hAnsi="Times New Roman" w:cs="Times New Roman"/>
          <w:sz w:val="20"/>
          <w:szCs w:val="20"/>
        </w:rPr>
        <w:footnoteRef/>
      </w:r>
      <w:r>
        <w:rPr>
          <w:rFonts w:ascii="Times New Roman" w:hAnsi="Times New Roman" w:cs="Times New Roman"/>
          <w:sz w:val="20"/>
          <w:szCs w:val="20"/>
        </w:rPr>
        <w:t xml:space="preserve"> Стиглиц Дж.,  Сен А.,  Фитусси  Ж.-П. Неверно оценивая нашу жизнь: Почему ВВП не имеет смысла? : доклад Комиссии по измерению эффективности экономики и социального прогресса; пер. с англ. И. Кушнаревой; ред. В. Автономов. Москва : Изд-во Института Гайдара, 2016.  216 с.</w:t>
      </w:r>
    </w:p>
  </w:footnote>
  <w:footnote w:id="36">
    <w:p>
      <w:pPr>
        <w:pStyle w:val="P26"/>
        <w:jc w:val="both"/>
        <w:rPr>
          <w:rFonts w:ascii="Times New Roman" w:hAnsi="Times New Roman" w:cs="Times New Roman"/>
        </w:rPr>
      </w:pPr>
      <w:r>
        <w:rPr>
          <w:rStyle w:val="C42"/>
          <w:rFonts w:ascii="Times New Roman" w:hAnsi="Times New Roman" w:cs="Times New Roman"/>
        </w:rPr>
        <w:footnoteRef/>
      </w:r>
      <w:r>
        <w:rPr>
          <w:rFonts w:ascii="Times New Roman" w:hAnsi="Times New Roman" w:cs="Times New Roman"/>
        </w:rPr>
        <w:t xml:space="preserve"> Нельсон Р.Р. Уинтер С.Дж. Эволюционная теория экономических изменений; пер. с англ. М.Я. Каждана, В.Л. Макарова.  Москва : Дело, 2002.  536 с.</w:t>
      </w:r>
    </w:p>
  </w:footnote>
  <w:footnote w:id="37">
    <w:p>
      <w:pPr>
        <w:pStyle w:val="P26"/>
        <w:jc w:val="both"/>
        <w:rPr>
          <w:rFonts w:ascii="Times New Roman" w:hAnsi="Times New Roman" w:cs="Times New Roman"/>
        </w:rPr>
      </w:pPr>
      <w:r>
        <w:rPr>
          <w:rStyle w:val="C42"/>
          <w:rFonts w:ascii="Times New Roman" w:hAnsi="Times New Roman" w:cs="Times New Roman"/>
          <w:highlight w:val="green"/>
        </w:rPr>
        <w:footnoteRef/>
      </w:r>
      <w:r>
        <w:rPr>
          <w:rFonts w:ascii="Times New Roman" w:hAnsi="Times New Roman" w:cs="Times New Roman"/>
          <w:highlight w:val="green"/>
        </w:rPr>
        <w:t xml:space="preserve"> Кичинский К. Понятие инклюзивности [Электронный ресурс]. URL: https://outofline.ru/понятие-инклюзивности-ce8f59171508 (дата обращения 20.03.2019); </w:t>
      </w:r>
      <w:r>
        <w:rPr>
          <w:rFonts w:ascii="Times New Roman" w:hAnsi="Times New Roman" w:cs="Times New Roman" w:eastAsia="TimesNewRomanPSMT"/>
          <w:highlight w:val="green"/>
        </w:rPr>
        <w:t>Бирюков А.В. Инклюзивное развитие как ответ на вызов глобализации по-американски // Геополитика многополярного мира: материалы международной научной конференции. Москва</w:t>
      </w:r>
      <w:r>
        <w:rPr>
          <w:rFonts w:ascii="Times New Roman" w:hAnsi="Times New Roman" w:cs="Times New Roman"/>
          <w:highlight w:val="green"/>
          <w:shd w:val="clear" w:color="auto" w:fill="FFFFFF"/>
        </w:rPr>
        <w:t>: Евразийское Движение,</w:t>
      </w:r>
      <w:r>
        <w:rPr>
          <w:rFonts w:ascii="Times New Roman" w:hAnsi="Times New Roman" w:cs="Times New Roman" w:eastAsia="TimesNewRomanPSMT"/>
          <w:highlight w:val="green"/>
        </w:rPr>
        <w:t xml:space="preserve"> 2011. Вып. 3. С. 55.</w:t>
      </w:r>
    </w:p>
  </w:footnote>
  <w:footnote w:id="38">
    <w:p>
      <w:pPr>
        <w:pStyle w:val="P26"/>
        <w:rPr>
          <w:rFonts w:ascii="Times New Roman" w:hAnsi="Times New Roman" w:cs="Times New Roman"/>
          <w:highlight w:val="green"/>
        </w:rPr>
      </w:pPr>
      <w:r>
        <w:rPr>
          <w:rStyle w:val="C42"/>
          <w:rFonts w:ascii="Times New Roman" w:hAnsi="Times New Roman" w:cs="Times New Roman"/>
          <w:highlight w:val="green"/>
        </w:rPr>
        <w:footnoteRef/>
      </w:r>
      <w:r>
        <w:rPr>
          <w:rFonts w:ascii="Times New Roman" w:hAnsi="Times New Roman" w:cs="Times New Roman"/>
          <w:highlight w:val="green"/>
        </w:rPr>
        <w:t xml:space="preserve"> </w:t>
      </w:r>
      <w:hyperlink r:id="RA">
        <w:r>
          <w:rPr>
            <w:rStyle w:val="C2"/>
            <w:rFonts w:ascii="Times New Roman" w:hAnsi="Times New Roman" w:cs="Times New Roman"/>
            <w:highlight w:val="green"/>
          </w:rPr>
          <w:t>https://documents1.worldbank.org/curated/en/771771468180864543/pdf/WPS4851.pdf?utm_source=chatgpt.com</w:t>
        </w:r>
      </w:hyperlink>
      <w:r>
        <w:rPr>
          <w:rFonts w:ascii="Times New Roman" w:hAnsi="Times New Roman" w:cs="Times New Roman"/>
          <w:highlight w:val="green"/>
        </w:rPr>
        <w:t>; https://documents1.worldbank.org/curated/en/842461468335940798/pdf/794450BRI0Incl0Boc0377373B00PUBLIC0.pdf?utm_source=chatgpt.com</w:t>
      </w:r>
    </w:p>
  </w:footnote>
  <w:footnote w:id="39">
    <w:p>
      <w:pPr>
        <w:pStyle w:val="P26"/>
        <w:rPr>
          <w:rFonts w:ascii="Times New Roman" w:hAnsi="Times New Roman" w:cs="Times New Roman"/>
          <w:highlight w:val="green"/>
        </w:rPr>
      </w:pPr>
      <w:r>
        <w:rPr>
          <w:rStyle w:val="C42"/>
          <w:rFonts w:ascii="Times New Roman" w:hAnsi="Times New Roman" w:cs="Times New Roman"/>
          <w:highlight w:val="green"/>
        </w:rPr>
        <w:footnoteRef/>
      </w:r>
      <w:r>
        <w:rPr>
          <w:rFonts w:ascii="Times New Roman" w:hAnsi="Times New Roman" w:cs="Times New Roman"/>
          <w:highlight w:val="green"/>
        </w:rPr>
        <w:t xml:space="preserve"> https://www.elibrary.imf.org/display/book/9781616353797/ch008.xml?utm_source=chatgpt.com.</w:t>
      </w:r>
    </w:p>
  </w:footnote>
  <w:footnote w:id="40">
    <w:p>
      <w:pPr>
        <w:pStyle w:val="P26"/>
        <w:rPr>
          <w:rFonts w:ascii="Times New Roman" w:hAnsi="Times New Roman" w:cs="Times New Roman"/>
          <w:highlight w:val="magenta"/>
        </w:rPr>
      </w:pPr>
      <w:r>
        <w:rPr>
          <w:rStyle w:val="C42"/>
          <w:rFonts w:ascii="Times New Roman" w:hAnsi="Times New Roman" w:cs="Times New Roman"/>
          <w:highlight w:val="magenta"/>
        </w:rPr>
        <w:footnoteRef/>
      </w:r>
      <w:r>
        <w:rPr>
          <w:rFonts w:ascii="Times New Roman" w:hAnsi="Times New Roman" w:cs="Times New Roman"/>
          <w:highlight w:val="magenta"/>
        </w:rPr>
        <w:t xml:space="preserve"> https://www.oecd.org/content/dam/oecd/en/publications/reports/2016/02/promoting-inclusive-growth-through-better-regulation_g17a2766/5jm3tqwqp1vj-en.pdf?utm_source=chatgpt.com.</w:t>
      </w:r>
    </w:p>
  </w:footnote>
  <w:footnote w:id="41">
    <w:p>
      <w:pPr>
        <w:pStyle w:val="P26"/>
        <w:rPr>
          <w:rFonts w:ascii="Times New Roman" w:hAnsi="Times New Roman" w:cs="Times New Roman"/>
          <w:highlight w:val="green"/>
        </w:rPr>
      </w:pPr>
      <w:r>
        <w:rPr>
          <w:rStyle w:val="C42"/>
          <w:rFonts w:ascii="Times New Roman" w:hAnsi="Times New Roman" w:cs="Times New Roman"/>
          <w:highlight w:val="green"/>
        </w:rPr>
        <w:footnoteRef/>
      </w:r>
      <w:r>
        <w:rPr>
          <w:rFonts w:ascii="Times New Roman" w:hAnsi="Times New Roman" w:cs="Times New Roman"/>
          <w:highlight w:val="green"/>
        </w:rPr>
        <w:t xml:space="preserve"> https://www.adb.org/sites/default/files/publication/42976/ki2011-special-supplement.pdf?utm_source=chatgpt.com.</w:t>
      </w:r>
    </w:p>
  </w:footnote>
  <w:footnote w:id="42">
    <w:p>
      <w:pPr>
        <w:pStyle w:val="P26"/>
      </w:pPr>
      <w:r>
        <w:rPr>
          <w:rStyle w:val="C42"/>
          <w:rFonts w:ascii="Times New Roman" w:hAnsi="Times New Roman" w:cs="Times New Roman"/>
          <w:highlight w:val="magenta"/>
        </w:rPr>
        <w:footnoteRef/>
      </w:r>
      <w:r>
        <w:rPr>
          <w:rFonts w:ascii="Times New Roman" w:hAnsi="Times New Roman" w:cs="Times New Roman"/>
          <w:highlight w:val="magenta"/>
        </w:rPr>
        <w:t xml:space="preserve"> https://www.jica.go.jp/jica-ri/publication/booksandreports/jrft3q00000029wt-att/Chapter_5.pdf?utm_source=chatgpt.com.</w:t>
      </w:r>
    </w:p>
  </w:footnote>
  <w:footnote w:id="43">
    <w:p>
      <w:pPr>
        <w:pStyle w:val="P26"/>
        <w:jc w:val="both"/>
        <w:rPr>
          <w:rFonts w:ascii="Times New Roman" w:hAnsi="Times New Roman" w:cs="Times New Roman"/>
          <w:highlight w:val="green"/>
        </w:rPr>
      </w:pPr>
      <w:r>
        <w:rPr>
          <w:rStyle w:val="C42"/>
          <w:rFonts w:ascii="Times New Roman" w:hAnsi="Times New Roman" w:cs="Times New Roman"/>
          <w:highlight w:val="green"/>
        </w:rPr>
        <w:footnoteRef/>
      </w:r>
      <w:r>
        <w:rPr>
          <w:rFonts w:ascii="Times New Roman" w:hAnsi="Times New Roman" w:cs="Times New Roman"/>
          <w:highlight w:val="green"/>
        </w:rPr>
        <w:t xml:space="preserve"> Икрамов М.М., Давлатова З.Р. Инклюзивные бизнес-модели в предпринимательской деятельности Узбекистана // Экономика и бизнес: теория и практика. 2018. №6. С. 83-85.</w:t>
      </w:r>
    </w:p>
  </w:footnote>
  <w:footnote w:id="44">
    <w:p>
      <w:pPr>
        <w:pStyle w:val="P26"/>
        <w:jc w:val="both"/>
        <w:rPr>
          <w:rFonts w:ascii="Times New Roman" w:hAnsi="Times New Roman" w:cs="Times New Roman"/>
          <w:highlight w:val="green"/>
        </w:rPr>
      </w:pPr>
      <w:r>
        <w:rPr>
          <w:rStyle w:val="C42"/>
          <w:rFonts w:ascii="Times New Roman" w:hAnsi="Times New Roman" w:cs="Times New Roman"/>
          <w:highlight w:val="green"/>
        </w:rPr>
        <w:footnoteRef/>
      </w:r>
      <w:r>
        <w:rPr>
          <w:rFonts w:ascii="Times New Roman" w:hAnsi="Times New Roman" w:cs="Times New Roman"/>
          <w:highlight w:val="green"/>
        </w:rPr>
        <w:t xml:space="preserve"> Богдан Н., Вархурст С. Инновации для инклюзивного развития регионов Беларуси // Экономический вестник университета. 2014. Вып. 22/1. С. 14-20; Федулова Л.И. Инклюзивные инновации в системе социально-экономического развития // Экономика: реалии времени. 2016. №3 (25). С. 56-65.</w:t>
      </w:r>
    </w:p>
  </w:footnote>
  <w:footnote w:id="45">
    <w:p>
      <w:pPr>
        <w:pStyle w:val="P26"/>
        <w:jc w:val="both"/>
        <w:rPr>
          <w:rFonts w:ascii="Times New Roman" w:hAnsi="Times New Roman" w:cs="Times New Roman"/>
          <w:lang w:val="en-US"/>
        </w:rPr>
      </w:pPr>
      <w:r>
        <w:rPr>
          <w:rStyle w:val="C42"/>
          <w:rFonts w:ascii="Times New Roman" w:hAnsi="Times New Roman" w:cs="Times New Roman"/>
          <w:highlight w:val="green"/>
        </w:rPr>
        <w:footnoteRef/>
      </w:r>
      <w:r>
        <w:rPr>
          <w:rFonts w:ascii="Times New Roman" w:hAnsi="Times New Roman" w:cs="Times New Roman"/>
          <w:highlight w:val="green"/>
        </w:rPr>
        <w:t xml:space="preserve"> Тер-Григорьянц, А.А. Инклюзивный подход в развитии инновационных экосистем / А.А. Тер-Григорьянц, М.Н. Деньщик // Социально-экономическое развитие России и Монголии: проблемы и перспективы: материалы VI международной научно-практической конференции. – Улан-Удэ: ВСГУТУ, 2019. – С. 321-324; Деньщик М.Н., Година О.В., Тер-Григорьянц А.А. Инновационные экосистемы: становление и развитие: монография. Ставрополь</w:t>
      </w:r>
      <w:r>
        <w:rPr>
          <w:rFonts w:ascii="Times New Roman" w:hAnsi="Times New Roman" w:cs="Times New Roman"/>
          <w:highlight w:val="green"/>
          <w:lang w:val="en-US"/>
        </w:rPr>
        <w:t xml:space="preserve">: </w:t>
      </w:r>
      <w:r>
        <w:rPr>
          <w:rFonts w:ascii="Times New Roman" w:hAnsi="Times New Roman" w:cs="Times New Roman"/>
          <w:highlight w:val="green"/>
        </w:rPr>
        <w:t>Изд</w:t>
      </w:r>
      <w:r>
        <w:rPr>
          <w:rFonts w:ascii="Times New Roman" w:hAnsi="Times New Roman" w:cs="Times New Roman"/>
          <w:highlight w:val="green"/>
          <w:lang w:val="en-US"/>
        </w:rPr>
        <w:t>-</w:t>
      </w:r>
      <w:r>
        <w:rPr>
          <w:rFonts w:ascii="Times New Roman" w:hAnsi="Times New Roman" w:cs="Times New Roman"/>
          <w:highlight w:val="green"/>
        </w:rPr>
        <w:t>во</w:t>
      </w:r>
      <w:r>
        <w:rPr>
          <w:rFonts w:ascii="Times New Roman" w:hAnsi="Times New Roman" w:cs="Times New Roman"/>
          <w:highlight w:val="green"/>
          <w:lang w:val="en-US"/>
        </w:rPr>
        <w:t xml:space="preserve"> </w:t>
      </w:r>
      <w:r>
        <w:rPr>
          <w:rFonts w:ascii="Times New Roman" w:hAnsi="Times New Roman" w:cs="Times New Roman"/>
          <w:highlight w:val="green"/>
        </w:rPr>
        <w:t>СКФУ</w:t>
      </w:r>
      <w:r>
        <w:rPr>
          <w:rFonts w:ascii="Times New Roman" w:hAnsi="Times New Roman" w:cs="Times New Roman"/>
          <w:highlight w:val="green"/>
          <w:lang w:val="en-US"/>
        </w:rPr>
        <w:t xml:space="preserve">, 2023.  283 </w:t>
      </w:r>
      <w:r>
        <w:rPr>
          <w:rFonts w:ascii="Times New Roman" w:hAnsi="Times New Roman" w:cs="Times New Roman"/>
          <w:highlight w:val="green"/>
        </w:rPr>
        <w:t>с</w:t>
      </w:r>
      <w:r>
        <w:rPr>
          <w:rFonts w:ascii="Times New Roman" w:hAnsi="Times New Roman" w:cs="Times New Roman"/>
          <w:highlight w:val="green"/>
          <w:lang w:val="en-US"/>
        </w:rPr>
        <w:t>.</w:t>
        <w:tab/>
      </w:r>
    </w:p>
  </w:footnote>
  <w:footnote w:id="46">
    <w:p>
      <w:pPr>
        <w:pStyle w:val="P26"/>
        <w:jc w:val="both"/>
        <w:rPr>
          <w:rFonts w:ascii="Times New Roman" w:hAnsi="Times New Roman" w:cs="Times New Roman"/>
          <w:highlight w:val="green"/>
          <w:lang w:val="en-US"/>
        </w:rPr>
      </w:pPr>
      <w:r>
        <w:rPr>
          <w:rStyle w:val="C42"/>
          <w:rFonts w:ascii="Times New Roman" w:hAnsi="Times New Roman" w:cs="Times New Roman"/>
          <w:highlight w:val="green"/>
        </w:rPr>
        <w:footnoteRef/>
      </w:r>
      <w:r>
        <w:rPr>
          <w:rFonts w:ascii="Times New Roman" w:hAnsi="Times New Roman" w:cs="Times New Roman"/>
          <w:highlight w:val="green"/>
          <w:lang w:val="en-US"/>
        </w:rPr>
        <w:t xml:space="preserve"> UNDP (Human Development Reports); Stiglitz J., Sen A., Fitoussi J.-P. Report on the Measurement of Economic Performance and Social Progress.</w:t>
      </w:r>
    </w:p>
  </w:footnote>
  <w:footnote w:id="47">
    <w:p>
      <w:pPr>
        <w:pStyle w:val="P26"/>
        <w:jc w:val="both"/>
        <w:rPr>
          <w:rFonts w:ascii="Times New Roman" w:hAnsi="Times New Roman" w:cs="Times New Roman"/>
          <w:highlight w:val="green"/>
          <w:lang w:val="en-US"/>
        </w:rPr>
      </w:pPr>
      <w:r>
        <w:rPr>
          <w:rStyle w:val="C42"/>
          <w:rFonts w:ascii="Times New Roman" w:hAnsi="Times New Roman" w:cs="Times New Roman"/>
          <w:highlight w:val="green"/>
        </w:rPr>
        <w:footnoteRef/>
      </w:r>
      <w:r>
        <w:rPr>
          <w:rFonts w:ascii="Times New Roman" w:hAnsi="Times New Roman" w:cs="Times New Roman"/>
          <w:highlight w:val="green"/>
          <w:lang w:val="en-US"/>
        </w:rPr>
        <w:t xml:space="preserve"> World Bank — Ianchovichina, Lundstrom (2009). Inclusive Growth Analytics; World Bank (2013). The Role of Growth and Distribution in Poverty Reduction; OECD (2013). Promoting Inclusive Growth; IMF (2013). Inclusive Growth: Measurement and Determinants.</w:t>
      </w:r>
    </w:p>
  </w:footnote>
  <w:footnote w:id="48">
    <w:p>
      <w:pPr>
        <w:pStyle w:val="P26"/>
        <w:jc w:val="both"/>
        <w:rPr>
          <w:rFonts w:ascii="Times New Roman" w:hAnsi="Times New Roman" w:cs="Times New Roman"/>
          <w:lang w:val="en-US"/>
        </w:rPr>
      </w:pPr>
      <w:r>
        <w:rPr>
          <w:rStyle w:val="C42"/>
          <w:rFonts w:ascii="Times New Roman" w:hAnsi="Times New Roman" w:cs="Times New Roman"/>
          <w:highlight w:val="green"/>
        </w:rPr>
        <w:footnoteRef/>
      </w:r>
      <w:r>
        <w:rPr>
          <w:rFonts w:ascii="Times New Roman" w:hAnsi="Times New Roman" w:cs="Times New Roman"/>
          <w:highlight w:val="green"/>
          <w:lang w:val="en-US"/>
        </w:rPr>
        <w:t xml:space="preserve"> OECD (2018). Oslo Manual; OECD (2015). Innovation and Inclusive Growth.</w:t>
      </w:r>
    </w:p>
  </w:footnote>
  <w:footnote w:id="49">
    <w:p>
      <w:pPr>
        <w:pStyle w:val="P26"/>
        <w:jc w:val="both"/>
        <w:rPr>
          <w:lang w:val="en-US"/>
        </w:rPr>
      </w:pPr>
      <w:r>
        <w:rPr>
          <w:rStyle w:val="C42"/>
          <w:highlight w:val="green"/>
        </w:rPr>
        <w:footnoteRef/>
      </w:r>
      <w:r>
        <w:rPr>
          <w:highlight w:val="green"/>
        </w:rPr>
        <w:t xml:space="preserve"> </w:t>
      </w:r>
      <w:r>
        <w:rPr>
          <w:rFonts w:ascii="Times New Roman" w:hAnsi="Times New Roman" w:cs="Times New Roman"/>
          <w:highlight w:val="green"/>
        </w:rPr>
        <w:t>Тер-Григорьянц, А.А. Инклюзивный подход в развитии инновационных экосистем / А.А. Тер-Григорьянц, М.Н. Деньщик // Социально-экономическое развитие России и Монголии: проблемы и перспективы: материалы VI международной научно-практической конференции. – Улан-Удэ: ВСГУТУ, 2019. – С. 321-324; Деньщик М.Н., Година О.В., Тер-Григорьянц А.А. Инновационные экосистемы: становление и развитие: монография. Ставрополь</w:t>
      </w:r>
      <w:r>
        <w:rPr>
          <w:rFonts w:ascii="Times New Roman" w:hAnsi="Times New Roman" w:cs="Times New Roman"/>
          <w:highlight w:val="green"/>
          <w:lang w:val="en-US"/>
        </w:rPr>
        <w:t xml:space="preserve">: </w:t>
      </w:r>
      <w:r>
        <w:rPr>
          <w:rFonts w:ascii="Times New Roman" w:hAnsi="Times New Roman" w:cs="Times New Roman"/>
          <w:highlight w:val="green"/>
        </w:rPr>
        <w:t>Изд</w:t>
      </w:r>
      <w:r>
        <w:rPr>
          <w:rFonts w:ascii="Times New Roman" w:hAnsi="Times New Roman" w:cs="Times New Roman"/>
          <w:highlight w:val="green"/>
          <w:lang w:val="en-US"/>
        </w:rPr>
        <w:t>-</w:t>
      </w:r>
      <w:r>
        <w:rPr>
          <w:rFonts w:ascii="Times New Roman" w:hAnsi="Times New Roman" w:cs="Times New Roman"/>
          <w:highlight w:val="green"/>
        </w:rPr>
        <w:t>во</w:t>
      </w:r>
      <w:r>
        <w:rPr>
          <w:rFonts w:ascii="Times New Roman" w:hAnsi="Times New Roman" w:cs="Times New Roman"/>
          <w:highlight w:val="green"/>
          <w:lang w:val="en-US"/>
        </w:rPr>
        <w:t xml:space="preserve"> </w:t>
      </w:r>
      <w:r>
        <w:rPr>
          <w:rFonts w:ascii="Times New Roman" w:hAnsi="Times New Roman" w:cs="Times New Roman"/>
          <w:highlight w:val="green"/>
        </w:rPr>
        <w:t>СКФУ</w:t>
      </w:r>
      <w:r>
        <w:rPr>
          <w:rFonts w:ascii="Times New Roman" w:hAnsi="Times New Roman" w:cs="Times New Roman"/>
          <w:highlight w:val="green"/>
          <w:lang w:val="en-US"/>
        </w:rPr>
        <w:t xml:space="preserve">, 2023.  283 </w:t>
      </w:r>
      <w:r>
        <w:rPr>
          <w:rFonts w:ascii="Times New Roman" w:hAnsi="Times New Roman" w:cs="Times New Roman"/>
          <w:highlight w:val="green"/>
        </w:rPr>
        <w:t>с</w:t>
      </w:r>
      <w:r>
        <w:rPr>
          <w:rFonts w:ascii="Times New Roman" w:hAnsi="Times New Roman" w:cs="Times New Roman"/>
          <w:highlight w:val="green"/>
          <w:lang w:val="en-US"/>
        </w:rPr>
        <w:t>.</w:t>
      </w:r>
    </w:p>
  </w:footnote>
  <w:footnote w:id="50">
    <w:p>
      <w:pPr>
        <w:pStyle w:val="P26"/>
        <w:rPr>
          <w:highlight w:val="green"/>
          <w:lang w:val="en-US"/>
        </w:rPr>
      </w:pPr>
      <w:r>
        <w:rPr>
          <w:rStyle w:val="C42"/>
          <w:highlight w:val="green"/>
        </w:rPr>
        <w:footnoteRef/>
      </w:r>
      <w:r>
        <w:rPr>
          <w:highlight w:val="green"/>
          <w:lang w:val="en-US"/>
        </w:rPr>
        <w:t xml:space="preserve"> </w:t>
      </w:r>
      <w:r>
        <w:rPr>
          <w:rFonts w:ascii="Times New Roman" w:hAnsi="Times New Roman" w:cs="Times New Roman"/>
          <w:highlight w:val="green"/>
          <w:lang w:val="en-US"/>
        </w:rPr>
        <w:t>The Global Startup Ecosystem Report 2025. San Francisco : Startup Genome, 2025. URL: https://startupgenome.com/report/gser2025/introduction</w:t>
      </w:r>
    </w:p>
  </w:footnote>
  <w:footnote w:id="51">
    <w:p>
      <w:pPr>
        <w:pStyle w:val="P26"/>
        <w:rPr>
          <w:lang w:val="en-US"/>
        </w:rPr>
      </w:pPr>
      <w:r>
        <w:rPr>
          <w:rStyle w:val="C42"/>
          <w:highlight w:val="green"/>
        </w:rPr>
        <w:footnoteRef/>
      </w:r>
      <w:r>
        <w:rPr>
          <w:highlight w:val="green"/>
          <w:lang w:val="en-US"/>
        </w:rPr>
        <w:t xml:space="preserve"> </w:t>
      </w:r>
      <w:r>
        <w:rPr>
          <w:rFonts w:ascii="Times New Roman" w:hAnsi="Times New Roman" w:cs="Times New Roman"/>
          <w:highlight w:val="green"/>
          <w:lang w:val="en-US"/>
        </w:rPr>
        <w:t>The Global Startup Ecosystem Report 2025. San Francisco : Startup Genome, 2025. URL: https://startupgenome.com/report/gser2025/introduction</w:t>
      </w:r>
    </w:p>
  </w:footnote>
  <w:footnote w:id="52">
    <w:p>
      <w:pPr>
        <w:pStyle w:val="P26"/>
        <w:rPr>
          <w:rFonts w:ascii="Times New Roman" w:hAnsi="Times New Roman" w:cs="Times New Roman"/>
          <w:lang w:val="en-US"/>
        </w:rPr>
      </w:pPr>
      <w:r>
        <w:rPr>
          <w:rStyle w:val="C42"/>
          <w:rFonts w:ascii="Times New Roman" w:hAnsi="Times New Roman" w:cs="Times New Roman"/>
          <w:highlight w:val="green"/>
        </w:rPr>
        <w:footnoteRef/>
      </w:r>
      <w:r>
        <w:rPr>
          <w:rFonts w:ascii="Times New Roman" w:hAnsi="Times New Roman" w:cs="Times New Roman"/>
          <w:highlight w:val="green"/>
          <w:lang w:val="en-US"/>
        </w:rPr>
        <w:t xml:space="preserve"> The Global Startup Ecosystem Report 2025. San Francisco : Startup Genome, 2025. URL: https://startupgenome.com/report/gser2025/introduction</w:t>
      </w:r>
    </w:p>
  </w:footnote>
  <w:footnote w:id="53">
    <w:p>
      <w:pPr>
        <w:pStyle w:val="P26"/>
        <w:jc w:val="both"/>
        <w:rPr>
          <w:rFonts w:ascii="Times New Roman" w:hAnsi="Times New Roman" w:cs="Times New Roman"/>
          <w:lang w:val="en-US"/>
        </w:rPr>
      </w:pPr>
      <w:r>
        <w:rPr>
          <w:rStyle w:val="C42"/>
          <w:rFonts w:ascii="Times New Roman" w:hAnsi="Times New Roman" w:cs="Times New Roman"/>
        </w:rPr>
        <w:footnoteRef/>
      </w:r>
      <w:r>
        <w:rPr>
          <w:rFonts w:ascii="Times New Roman" w:hAnsi="Times New Roman" w:cs="Times New Roman"/>
          <w:lang w:val="en-US"/>
        </w:rPr>
        <w:t xml:space="preserve"> </w:t>
      </w:r>
      <w:r>
        <w:rPr>
          <w:rFonts w:ascii="Times New Roman" w:hAnsi="Times New Roman" w:cs="Times New Roman"/>
        </w:rPr>
        <w:t>Составлено</w:t>
      </w:r>
      <w:r>
        <w:rPr>
          <w:rFonts w:ascii="Times New Roman" w:hAnsi="Times New Roman" w:cs="Times New Roman"/>
          <w:lang w:val="en-US"/>
        </w:rPr>
        <w:t xml:space="preserve"> </w:t>
      </w:r>
      <w:r>
        <w:rPr>
          <w:rFonts w:ascii="Times New Roman" w:hAnsi="Times New Roman" w:cs="Times New Roman"/>
        </w:rPr>
        <w:t>автором</w:t>
      </w:r>
      <w:r>
        <w:rPr>
          <w:rFonts w:ascii="Times New Roman" w:hAnsi="Times New Roman" w:cs="Times New Roman"/>
          <w:lang w:val="en-US"/>
        </w:rPr>
        <w:t xml:space="preserve"> </w:t>
      </w:r>
      <w:r>
        <w:rPr>
          <w:rFonts w:ascii="Times New Roman" w:hAnsi="Times New Roman" w:cs="Times New Roman"/>
        </w:rPr>
        <w:t>по</w:t>
      </w:r>
      <w:r>
        <w:rPr>
          <w:rFonts w:ascii="Times New Roman" w:hAnsi="Times New Roman" w:cs="Times New Roman"/>
          <w:lang w:val="en-US"/>
        </w:rPr>
        <w:t xml:space="preserve">: </w:t>
      </w:r>
      <w:r>
        <w:rPr>
          <w:rFonts w:ascii="Times New Roman" w:hAnsi="Times New Roman" w:cs="Times New Roman"/>
          <w:highlight w:val="green"/>
          <w:lang w:val="en-US"/>
        </w:rPr>
        <w:t>The Global Startup Ecosystem Report 2025. San Francisco : Startup Genome, 2025. URL: https://startupgenome.com/report/gser2025/introduction</w:t>
      </w:r>
    </w:p>
  </w:footnote>
  <w:footnote w:id="54">
    <w:p>
      <w:pPr>
        <w:pStyle w:val="P26"/>
        <w:rPr>
          <w:rFonts w:ascii="Times New Roman" w:hAnsi="Times New Roman" w:cs="Times New Roman"/>
        </w:rPr>
      </w:pPr>
      <w:r>
        <w:rPr>
          <w:rStyle w:val="C42"/>
          <w:rFonts w:ascii="Times New Roman" w:hAnsi="Times New Roman" w:cs="Times New Roman"/>
          <w:highlight w:val="yellow"/>
        </w:rPr>
        <w:footnoteRef/>
      </w:r>
      <w:r>
        <w:rPr>
          <w:rFonts w:ascii="Times New Roman" w:hAnsi="Times New Roman" w:cs="Times New Roman"/>
          <w:highlight w:val="yellow"/>
        </w:rPr>
        <w:t xml:space="preserve"> Составлено автором по:+++++добавить</w:t>
      </w:r>
    </w:p>
  </w:footnote>
  <w:footnote w:id="55">
    <w:p>
      <w:pPr>
        <w:pStyle w:val="P26"/>
        <w:jc w:val="both"/>
        <w:rPr>
          <w:rFonts w:ascii="Times New Roman" w:hAnsi="Times New Roman" w:cs="Times New Roman"/>
        </w:rPr>
      </w:pPr>
      <w:r>
        <w:rPr>
          <w:rStyle w:val="C42"/>
          <w:rFonts w:ascii="Times New Roman" w:hAnsi="Times New Roman" w:cs="Times New Roman"/>
          <w:highlight w:val="green"/>
        </w:rPr>
        <w:footnoteRef/>
      </w:r>
      <w:r>
        <w:rPr>
          <w:rFonts w:ascii="Times New Roman" w:hAnsi="Times New Roman" w:cs="Times New Roman"/>
          <w:highlight w:val="green"/>
        </w:rPr>
        <w:t xml:space="preserve">   Юдина Т.Н., Купчишина Е.В. Доверие как трансакционный институт цифровой экономики // Информационное общество. 2023. № 6. С. 106–112.</w:t>
      </w:r>
    </w:p>
  </w:footnote>
  <w:footnote w:id="56">
    <w:p>
      <w:pPr>
        <w:pStyle w:val="P26"/>
        <w:jc w:val="both"/>
        <w:rPr>
          <w:rFonts w:ascii="Times New Roman" w:hAnsi="Times New Roman" w:cs="Times New Roman"/>
          <w:highlight w:val="green"/>
        </w:rPr>
      </w:pPr>
      <w:r>
        <w:rPr>
          <w:rStyle w:val="C42"/>
          <w:rFonts w:ascii="Times New Roman" w:hAnsi="Times New Roman" w:cs="Times New Roman"/>
          <w:highlight w:val="green"/>
        </w:rPr>
        <w:footnoteRef/>
      </w:r>
      <w:r>
        <w:rPr>
          <w:rFonts w:ascii="Times New Roman" w:hAnsi="Times New Roman" w:cs="Times New Roman"/>
          <w:highlight w:val="green"/>
        </w:rPr>
        <w:t xml:space="preserve">   Генеративный ИИ и фальшивые отзывы: как маркетплейсы рискуют потерять доверие покупателей // Logistics.ru. [Электронный ресурс]. URL: [URL не указан в источнике]. (Дата обращения: [Текущая дата])</w:t>
      </w:r>
    </w:p>
  </w:footnote>
  <w:footnote w:id="57">
    <w:p>
      <w:pPr>
        <w:pStyle w:val="P26"/>
        <w:jc w:val="both"/>
        <w:rPr>
          <w:rFonts w:ascii="Times New Roman" w:hAnsi="Times New Roman" w:cs="Times New Roman"/>
          <w:lang w:val="en-US"/>
        </w:rPr>
      </w:pPr>
      <w:r>
        <w:rPr>
          <w:rStyle w:val="C42"/>
          <w:rFonts w:ascii="Times New Roman" w:hAnsi="Times New Roman" w:cs="Times New Roman"/>
          <w:highlight w:val="green"/>
        </w:rPr>
        <w:footnoteRef/>
      </w:r>
      <w:r>
        <w:rPr>
          <w:rFonts w:ascii="Times New Roman" w:hAnsi="Times New Roman" w:cs="Times New Roman"/>
          <w:highlight w:val="green"/>
        </w:rPr>
        <w:t xml:space="preserve"> Юдина Т.Н., Купчишина Е.В. Доверие как трансакционный институт цифровой экономики //  Информационное общество. </w:t>
      </w:r>
      <w:r>
        <w:rPr>
          <w:rFonts w:ascii="Times New Roman" w:hAnsi="Times New Roman" w:cs="Times New Roman"/>
          <w:highlight w:val="green"/>
          <w:lang w:val="en-US"/>
        </w:rPr>
        <w:t xml:space="preserve">2023. № 6. </w:t>
      </w:r>
      <w:r>
        <w:rPr>
          <w:rFonts w:ascii="Times New Roman" w:hAnsi="Times New Roman" w:cs="Times New Roman"/>
          <w:highlight w:val="green"/>
        </w:rPr>
        <w:t>С</w:t>
      </w:r>
      <w:r>
        <w:rPr>
          <w:rFonts w:ascii="Times New Roman" w:hAnsi="Times New Roman" w:cs="Times New Roman"/>
          <w:highlight w:val="green"/>
          <w:lang w:val="en-US"/>
        </w:rPr>
        <w:t>. 106–112.</w:t>
      </w:r>
    </w:p>
  </w:footnote>
  <w:footnote w:id="58">
    <w:p>
      <w:pPr>
        <w:pStyle w:val="P26"/>
        <w:jc w:val="both"/>
        <w:rPr>
          <w:rFonts w:ascii="Times New Roman" w:hAnsi="Times New Roman" w:cs="Times New Roman"/>
          <w:highlight w:val="green"/>
          <w:lang w:val="en-US"/>
        </w:rPr>
      </w:pPr>
      <w:r>
        <w:rPr>
          <w:rStyle w:val="C42"/>
          <w:rFonts w:ascii="Times New Roman" w:hAnsi="Times New Roman" w:cs="Times New Roman"/>
          <w:highlight w:val="green"/>
        </w:rPr>
        <w:footnoteRef/>
      </w:r>
      <w:r>
        <w:rPr>
          <w:rFonts w:ascii="Times New Roman" w:hAnsi="Times New Roman" w:cs="Times New Roman"/>
          <w:highlight w:val="green"/>
          <w:lang w:val="en-US"/>
        </w:rPr>
        <w:t xml:space="preserve"> Arrow, K. (1972), “Gifts and Exchanges”, Philosophy and Public Affairs, 1, 4, p. 343-362.</w:t>
      </w:r>
    </w:p>
  </w:footnote>
  <w:footnote w:id="59">
    <w:p>
      <w:pPr>
        <w:pStyle w:val="P26"/>
        <w:jc w:val="both"/>
        <w:rPr>
          <w:rFonts w:ascii="Times New Roman" w:hAnsi="Times New Roman" w:cs="Times New Roman"/>
          <w:highlight w:val="green"/>
          <w:lang w:val="en-US"/>
        </w:rPr>
      </w:pPr>
      <w:r>
        <w:rPr>
          <w:rStyle w:val="C42"/>
          <w:rFonts w:ascii="Times New Roman" w:hAnsi="Times New Roman" w:cs="Times New Roman"/>
          <w:highlight w:val="green"/>
        </w:rPr>
        <w:footnoteRef/>
      </w:r>
      <w:r>
        <w:rPr>
          <w:rFonts w:ascii="Times New Roman" w:hAnsi="Times New Roman" w:cs="Times New Roman"/>
          <w:highlight w:val="green"/>
          <w:lang w:val="en-US"/>
        </w:rPr>
        <w:t xml:space="preserve"> Cameron, K. S. (2013). Practicing Positive Leadership: Tools and Techniques That Create Extraordinary Results. </w:t>
      </w:r>
      <w:r>
        <w:rPr>
          <w:rFonts w:ascii="Times New Roman" w:hAnsi="Times New Roman" w:cs="Times New Roman"/>
          <w:highlight w:val="green"/>
        </w:rPr>
        <w:t>Соединенные</w:t>
      </w:r>
      <w:r>
        <w:rPr>
          <w:rFonts w:ascii="Times New Roman" w:hAnsi="Times New Roman" w:cs="Times New Roman"/>
          <w:highlight w:val="green"/>
          <w:lang w:val="en-US"/>
        </w:rPr>
        <w:t xml:space="preserve"> </w:t>
      </w:r>
      <w:r>
        <w:rPr>
          <w:rFonts w:ascii="Times New Roman" w:hAnsi="Times New Roman" w:cs="Times New Roman"/>
          <w:highlight w:val="green"/>
        </w:rPr>
        <w:t>Штаты</w:t>
      </w:r>
      <w:r>
        <w:rPr>
          <w:rFonts w:ascii="Times New Roman" w:hAnsi="Times New Roman" w:cs="Times New Roman"/>
          <w:highlight w:val="green"/>
          <w:lang w:val="en-US"/>
        </w:rPr>
        <w:t xml:space="preserve"> </w:t>
      </w:r>
      <w:r>
        <w:rPr>
          <w:rFonts w:ascii="Times New Roman" w:hAnsi="Times New Roman" w:cs="Times New Roman"/>
          <w:highlight w:val="green"/>
        </w:rPr>
        <w:t>Америки</w:t>
      </w:r>
      <w:r>
        <w:rPr>
          <w:rFonts w:ascii="Times New Roman" w:hAnsi="Times New Roman" w:cs="Times New Roman"/>
          <w:highlight w:val="green"/>
          <w:lang w:val="en-US"/>
        </w:rPr>
        <w:t>: Berrett-Koehler Publishers.</w:t>
      </w:r>
    </w:p>
  </w:footnote>
  <w:footnote w:id="60">
    <w:p>
      <w:pPr>
        <w:pStyle w:val="P26"/>
        <w:jc w:val="both"/>
        <w:rPr>
          <w:highlight w:val="green"/>
          <w:lang w:val="en-US"/>
        </w:rPr>
      </w:pPr>
      <w:r>
        <w:rPr>
          <w:rStyle w:val="C42"/>
          <w:rFonts w:ascii="Times New Roman" w:hAnsi="Times New Roman" w:cs="Times New Roman"/>
          <w:highlight w:val="green"/>
        </w:rPr>
        <w:footnoteRef/>
      </w:r>
      <w:r>
        <w:rPr>
          <w:rFonts w:ascii="Times New Roman" w:hAnsi="Times New Roman" w:cs="Times New Roman"/>
          <w:highlight w:val="green"/>
          <w:lang w:val="en-US"/>
        </w:rPr>
        <w:t xml:space="preserve"> Zucker, Lynne G. Research in organizational behavior: an annual series of analytical essays and critical reviews. - Amsterdam: Elsevier, ISSN 0191-3085, ZDB-ID 717544-9. - Vol. 8.1986, p. 53-111.</w:t>
      </w:r>
    </w:p>
  </w:footnote>
  <w:footnote w:id="61">
    <w:p>
      <w:pPr>
        <w:pStyle w:val="P26"/>
        <w:jc w:val="both"/>
        <w:rPr>
          <w:rFonts w:ascii="Times New Roman" w:hAnsi="Times New Roman" w:cs="Times New Roman"/>
        </w:rPr>
      </w:pPr>
      <w:r>
        <w:rPr>
          <w:rStyle w:val="C42"/>
          <w:rFonts w:ascii="Times New Roman" w:hAnsi="Times New Roman" w:cs="Times New Roman"/>
          <w:highlight w:val="green"/>
        </w:rPr>
        <w:footnoteRef/>
      </w:r>
      <w:r>
        <w:rPr>
          <w:rFonts w:ascii="Times New Roman" w:hAnsi="Times New Roman" w:cs="Times New Roman"/>
          <w:highlight w:val="green"/>
        </w:rPr>
        <w:t xml:space="preserve"> Юдина Т.Н., Купчишина Е.В. Доверие как трансакционный институт цифровой экономики // Журнал Информационное общество. 2023. № 6. С. 106–112.</w:t>
      </w:r>
    </w:p>
  </w:footnote>
  <w:footnote w:id="62">
    <w:p>
      <w:pPr>
        <w:pStyle w:val="P26"/>
        <w:jc w:val="both"/>
        <w:rPr>
          <w:rFonts w:ascii="Times New Roman" w:hAnsi="Times New Roman" w:cs="Times New Roman"/>
        </w:rPr>
      </w:pPr>
      <w:r>
        <w:rPr>
          <w:rStyle w:val="C42"/>
          <w:rFonts w:ascii="Times New Roman" w:hAnsi="Times New Roman" w:cs="Times New Roman"/>
          <w:highlight w:val="green"/>
        </w:rPr>
        <w:footnoteRef/>
      </w:r>
      <w:r>
        <w:rPr>
          <w:rFonts w:ascii="Times New Roman" w:hAnsi="Times New Roman" w:cs="Times New Roman"/>
          <w:highlight w:val="green"/>
        </w:rPr>
        <w:t xml:space="preserve"> Информация для потребителей, их защита и права: законы, нормативные положения, экономические основы, сети потребителей: Отчет о результатах работы по Вопросу 6/1 МСЭ-D за исследовательский период 2018–2021 годов. Женева: Международный союз электросвязи, 2021. 301 с. ISBN 978-92-61-34624-9 (электронная версия).</w:t>
      </w:r>
    </w:p>
  </w:footnote>
  <w:footnote w:id="63">
    <w:p>
      <w:pPr>
        <w:pStyle w:val="P26"/>
        <w:jc w:val="both"/>
        <w:rPr>
          <w:rFonts w:ascii="Times New Roman" w:hAnsi="Times New Roman" w:cs="Times New Roman"/>
        </w:rPr>
      </w:pPr>
      <w:r>
        <w:rPr>
          <w:rStyle w:val="C42"/>
          <w:highlight w:val="green"/>
        </w:rPr>
        <w:footnoteRef/>
      </w:r>
      <w:r>
        <w:rPr>
          <w:highlight w:val="green"/>
        </w:rPr>
        <w:t xml:space="preserve"> </w:t>
      </w:r>
      <w:r>
        <w:rPr>
          <w:rFonts w:ascii="Times New Roman" w:hAnsi="Times New Roman" w:cs="Times New Roman"/>
          <w:highlight w:val="green"/>
        </w:rPr>
        <w:t>Юдина Т.Н., Купчишина Е.В. Доверие как трансакционный институт цифровой экономики // Журнал Информационное общество. 2023. № 6. С. 106–112.</w:t>
      </w:r>
    </w:p>
  </w:footnote>
  <w:footnote w:id="64">
    <w:p>
      <w:pPr>
        <w:pStyle w:val="P26"/>
        <w:jc w:val="both"/>
        <w:rPr>
          <w:rFonts w:ascii="Times New Roman" w:hAnsi="Times New Roman" w:cs="Times New Roman"/>
          <w:highlight w:val="green"/>
        </w:rPr>
      </w:pPr>
      <w:r>
        <w:rPr>
          <w:rStyle w:val="C42"/>
          <w:rFonts w:ascii="Times New Roman" w:hAnsi="Times New Roman" w:cs="Times New Roman"/>
          <w:highlight w:val="green"/>
        </w:rPr>
        <w:footnoteRef/>
      </w:r>
      <w:r>
        <w:rPr>
          <w:rFonts w:ascii="Times New Roman" w:hAnsi="Times New Roman" w:cs="Times New Roman"/>
          <w:highlight w:val="green"/>
        </w:rPr>
        <w:t xml:space="preserve"> Юдина Т.Н., Купчишина Е.В. Доверие как трансакционный институт цифровой экономики // Журнал Информационное общество. 2023. № 6. С. 106–112.</w:t>
      </w:r>
    </w:p>
  </w:footnote>
  <w:footnote w:id="65">
    <w:p>
      <w:pPr>
        <w:pStyle w:val="P26"/>
        <w:jc w:val="both"/>
        <w:rPr>
          <w:rFonts w:ascii="Times New Roman" w:hAnsi="Times New Roman" w:cs="Times New Roman"/>
          <w:highlight w:val="green"/>
        </w:rPr>
      </w:pPr>
      <w:r>
        <w:rPr>
          <w:rStyle w:val="C42"/>
          <w:rFonts w:ascii="Times New Roman" w:hAnsi="Times New Roman" w:cs="Times New Roman"/>
          <w:highlight w:val="green"/>
        </w:rPr>
        <w:footnoteRef/>
      </w:r>
      <w:r>
        <w:rPr>
          <w:rFonts w:ascii="Times New Roman" w:hAnsi="Times New Roman" w:cs="Times New Roman"/>
          <w:highlight w:val="green"/>
        </w:rPr>
        <w:t xml:space="preserve"> Информация для потребителей, их защита и права: законы, нормативные положения, экономические основы, сети потребителей: Отчет о результатах работы по Вопросу 6/1 МСЭ-D за исследовательский период 2018–2021 годов. Женева: Международный союз электросвязи, 2021. 301 с. ISBN 978-92-61-34624-9 (электронная версия).</w:t>
      </w:r>
    </w:p>
  </w:footnote>
  <w:footnote w:id="66">
    <w:p>
      <w:pPr>
        <w:pStyle w:val="P26"/>
        <w:jc w:val="both"/>
        <w:rPr>
          <w:rFonts w:ascii="Times New Roman" w:hAnsi="Times New Roman" w:cs="Times New Roman"/>
        </w:rPr>
      </w:pPr>
      <w:r>
        <w:rPr>
          <w:rStyle w:val="C42"/>
          <w:rFonts w:ascii="Times New Roman" w:hAnsi="Times New Roman" w:cs="Times New Roman"/>
          <w:highlight w:val="green"/>
        </w:rPr>
        <w:footnoteRef/>
      </w:r>
      <w:r>
        <w:rPr>
          <w:rFonts w:ascii="Times New Roman" w:hAnsi="Times New Roman" w:cs="Times New Roman"/>
          <w:highlight w:val="green"/>
        </w:rPr>
        <w:t xml:space="preserve"> Liu Qinyuan, Petrukovich N.G. Роль блокчейна в совершенствовании налоговой платформы «Один пояс, один путь» // Economics: Yesterday, Today and Tomorrow. 2024. Vol. 14, Is. 2A. P. 346–348.</w:t>
      </w:r>
    </w:p>
  </w:footnote>
  <w:footnote w:id="67">
    <w:p>
      <w:pPr>
        <w:pStyle w:val="P26"/>
        <w:jc w:val="both"/>
        <w:rPr>
          <w:rFonts w:ascii="Times New Roman" w:hAnsi="Times New Roman" w:cs="Times New Roman"/>
          <w:highlight w:val="green"/>
        </w:rPr>
      </w:pPr>
      <w:r>
        <w:rPr>
          <w:rStyle w:val="C42"/>
          <w:highlight w:val="green"/>
        </w:rPr>
        <w:footnoteRef/>
      </w:r>
      <w:r>
        <w:rPr>
          <w:highlight w:val="green"/>
        </w:rPr>
        <w:t xml:space="preserve"> </w:t>
      </w:r>
      <w:r>
        <w:rPr>
          <w:rFonts w:ascii="Times New Roman" w:hAnsi="Times New Roman" w:cs="Times New Roman"/>
          <w:highlight w:val="green"/>
        </w:rPr>
        <w:t>Информация для потребителей, их защита и права: законы, нормативные положения, экономические основы, сети потребителей: Отчет о результатах работы по Вопросу 6/1 МСЭ-D за исследовательский период 2018–2021 годов. Женева: Международный союз электросвязи, 2021. 301 с. ISBN 978-92-61-34624-9 (электронная версия).</w:t>
      </w:r>
    </w:p>
  </w:footnote>
  <w:footnote w:id="68">
    <w:p>
      <w:pPr>
        <w:pStyle w:val="P26"/>
      </w:pPr>
      <w:r>
        <w:rPr>
          <w:rStyle w:val="C42"/>
          <w:highlight w:val="green"/>
        </w:rPr>
        <w:footnoteRef/>
      </w:r>
      <w:r>
        <w:rPr>
          <w:highlight w:val="green"/>
        </w:rPr>
        <w:t xml:space="preserve"> </w:t>
      </w:r>
      <w:r>
        <w:rPr>
          <w:rFonts w:ascii="Times New Roman" w:hAnsi="Times New Roman" w:cs="Times New Roman"/>
          <w:highlight w:val="green"/>
        </w:rPr>
        <w:t>Юдина Т.Н., Купчишина Е.В. Доверие как трансакционный институт цифровой экономики // Журнал Информационное общество. 2023. № 6. С. 106–112.</w:t>
      </w:r>
    </w:p>
  </w:footnote>
  <w:footnote w:id="69">
    <w:p>
      <w:pPr>
        <w:pStyle w:val="P26"/>
        <w:rPr>
          <w:highlight w:val="green"/>
        </w:rPr>
      </w:pPr>
      <w:r>
        <w:rPr>
          <w:rStyle w:val="C42"/>
          <w:highlight w:val="green"/>
        </w:rPr>
        <w:footnoteRef/>
      </w:r>
      <w:r>
        <w:rPr>
          <w:rFonts w:ascii="Times New Roman" w:hAnsi="Times New Roman" w:cs="Times New Roman"/>
          <w:highlight w:val="green"/>
        </w:rPr>
        <w:t>Юдина Т.Н., Купчишина Е.В. Доверие как трансакционный институт цифровой экономики // Журнал Информационное общество. 2023. № 6. С. 106–112.</w:t>
      </w:r>
    </w:p>
  </w:footnote>
  <w:footnote w:id="70">
    <w:p>
      <w:pPr>
        <w:pStyle w:val="P26"/>
        <w:jc w:val="both"/>
        <w:rPr>
          <w:rFonts w:ascii="Times New Roman" w:hAnsi="Times New Roman" w:cs="Times New Roman"/>
        </w:rPr>
      </w:pPr>
      <w:r>
        <w:rPr>
          <w:rStyle w:val="C42"/>
          <w:highlight w:val="green"/>
        </w:rPr>
        <w:footnoteRef/>
      </w:r>
      <w:r>
        <w:rPr>
          <w:highlight w:val="green"/>
        </w:rPr>
        <w:t xml:space="preserve"> </w:t>
      </w:r>
      <w:r>
        <w:rPr>
          <w:rFonts w:ascii="Times New Roman" w:hAnsi="Times New Roman" w:cs="Times New Roman"/>
          <w:highlight w:val="green"/>
        </w:rPr>
        <w:t>Информация для потребителей, их защита и права: законы, нормативные положения, экономические основы, сети потребителей: Отчет о результатах работы по Вопросу 6/1 МСЭ-D за исследовательский период 2018–2021 годов. Женева: Международный союз электросвязи, 2021. 301 с. ISBN 978-92-61-34624-9 (электронная версия).</w:t>
      </w:r>
    </w:p>
  </w:footnote>
  <w:footnote w:id="71">
    <w:p>
      <w:pPr>
        <w:pStyle w:val="P26"/>
        <w:jc w:val="both"/>
      </w:pPr>
      <w:r>
        <w:rPr>
          <w:rStyle w:val="C42"/>
          <w:highlight w:val="green"/>
        </w:rPr>
        <w:footnoteRef/>
      </w:r>
      <w:r>
        <w:rPr>
          <w:rFonts w:ascii="Times New Roman" w:hAnsi="Times New Roman" w:cs="Times New Roman"/>
          <w:highlight w:val="green"/>
        </w:rPr>
        <w:t>Юдина Т.Н., Купчишина Е.В. Доверие как трансакционный институт цифровой экономики // Журнал Информационное общество. 2023. № 6. С. 106–112.</w:t>
      </w:r>
      <w:r>
        <w:t xml:space="preserve"> </w:t>
      </w:r>
    </w:p>
  </w:footnote>
  <w:footnote w:id="72">
    <w:p>
      <w:pPr>
        <w:pStyle w:val="P26"/>
        <w:jc w:val="both"/>
      </w:pPr>
      <w:r>
        <w:rPr>
          <w:rStyle w:val="C42"/>
          <w:highlight w:val="green"/>
        </w:rPr>
        <w:footnoteRef/>
      </w:r>
      <w:r>
        <w:rPr>
          <w:highlight w:val="green"/>
        </w:rPr>
        <w:t xml:space="preserve"> </w:t>
      </w:r>
      <w:r>
        <w:rPr>
          <w:rFonts w:ascii="Times New Roman" w:hAnsi="Times New Roman" w:cs="Times New Roman"/>
          <w:highlight w:val="green"/>
        </w:rPr>
        <w:t>Юдина Т.Н., Купчишина Е.В. Доверие как трансакционный институт цифровой экономики // Журнал Информационное общество. 2023. № 6. С. 106–112.</w:t>
      </w:r>
    </w:p>
  </w:footnote>
  <w:footnote w:id="73">
    <w:p>
      <w:pPr>
        <w:pStyle w:val="P26"/>
        <w:jc w:val="both"/>
        <w:rPr>
          <w:rFonts w:ascii="Times New Roman" w:hAnsi="Times New Roman" w:cs="Times New Roman"/>
        </w:rPr>
      </w:pPr>
      <w:r>
        <w:rPr>
          <w:rStyle w:val="C42"/>
          <w:rFonts w:ascii="Times New Roman" w:hAnsi="Times New Roman" w:cs="Times New Roman"/>
          <w:highlight w:val="yellow"/>
        </w:rPr>
        <w:footnoteRef/>
      </w:r>
      <w:r>
        <w:rPr>
          <w:rFonts w:ascii="Times New Roman" w:hAnsi="Times New Roman" w:cs="Times New Roman"/>
          <w:highlight w:val="yellow"/>
        </w:rPr>
        <w:t xml:space="preserve"> Составлено автором по: [11, 133]</w:t>
      </w:r>
    </w:p>
  </w:footnote>
  <w:footnote w:id="74">
    <w:p>
      <w:pPr>
        <w:pStyle w:val="P26"/>
        <w:jc w:val="both"/>
        <w:rPr>
          <w:rFonts w:ascii="Times New Roman" w:hAnsi="Times New Roman" w:cs="Times New Roman"/>
        </w:rPr>
      </w:pPr>
      <w:r>
        <w:rPr>
          <w:rStyle w:val="C42"/>
          <w:rFonts w:ascii="Times New Roman" w:hAnsi="Times New Roman" w:cs="Times New Roman"/>
          <w:highlight w:val="yellow"/>
        </w:rPr>
        <w:footnoteRef/>
      </w:r>
      <w:r>
        <w:rPr>
          <w:rFonts w:ascii="Times New Roman" w:hAnsi="Times New Roman" w:cs="Times New Roman"/>
          <w:highlight w:val="yellow"/>
        </w:rPr>
        <w:t xml:space="preserve"> Составлено автором по: [11, 66]</w:t>
      </w:r>
    </w:p>
  </w:footnote>
  <w:footnote w:id="75">
    <w:p>
      <w:pPr>
        <w:pStyle w:val="P26"/>
        <w:rPr>
          <w:rFonts w:ascii="Times New Roman" w:hAnsi="Times New Roman" w:cs="Times New Roman"/>
        </w:rPr>
      </w:pPr>
      <w:r>
        <w:rPr>
          <w:rStyle w:val="C42"/>
          <w:rFonts w:ascii="Times New Roman" w:hAnsi="Times New Roman" w:cs="Times New Roman"/>
          <w:highlight w:val="yellow"/>
        </w:rPr>
        <w:footnoteRef/>
      </w:r>
      <w:r>
        <w:rPr>
          <w:rFonts w:ascii="Times New Roman" w:hAnsi="Times New Roman" w:cs="Times New Roman"/>
          <w:highlight w:val="yellow"/>
        </w:rPr>
        <w:t xml:space="preserve"> Составлено автором по:</w:t>
      </w:r>
      <w:r>
        <w:rPr>
          <w:rFonts w:ascii="Times New Roman" w:hAnsi="Times New Roman" w:cs="Times New Roman"/>
          <w:iCs w:val="1"/>
          <w:highlight w:val="yellow"/>
        </w:rPr>
        <w:t xml:space="preserve"> [176]</w:t>
      </w:r>
    </w:p>
  </w:footnote>
  <w:footnote w:id="76">
    <w:p>
      <w:pPr>
        <w:pStyle w:val="P26"/>
        <w:rPr>
          <w:rFonts w:ascii="Times New Roman" w:hAnsi="Times New Roman" w:cs="Times New Roman"/>
        </w:rPr>
      </w:pPr>
      <w:r>
        <w:rPr>
          <w:rStyle w:val="C42"/>
          <w:rFonts w:ascii="Times New Roman" w:hAnsi="Times New Roman" w:cs="Times New Roman"/>
          <w:highlight w:val="yellow"/>
        </w:rPr>
        <w:footnoteRef/>
      </w:r>
      <w:r>
        <w:rPr>
          <w:rFonts w:ascii="Times New Roman" w:hAnsi="Times New Roman" w:cs="Times New Roman"/>
          <w:highlight w:val="yellow"/>
        </w:rPr>
        <w:t xml:space="preserve"> Составлено автором по:</w:t>
      </w:r>
      <w:r>
        <w:rPr>
          <w:rFonts w:ascii="Times New Roman" w:hAnsi="Times New Roman" w:cs="Times New Roman"/>
          <w:iCs w:val="1"/>
          <w:highlight w:val="yellow"/>
        </w:rPr>
        <w:t xml:space="preserve"> [62, 79]</w:t>
      </w:r>
    </w:p>
  </w:footnote>
  <w:footnote w:id="77">
    <w:p>
      <w:pPr>
        <w:pStyle w:val="P26"/>
        <w:rPr>
          <w:rFonts w:ascii="Times New Roman" w:hAnsi="Times New Roman" w:cs="Times New Roman"/>
          <w:lang w:val="en-US"/>
        </w:rPr>
      </w:pPr>
      <w:r>
        <w:rPr>
          <w:rStyle w:val="C42"/>
          <w:rFonts w:ascii="Times New Roman" w:hAnsi="Times New Roman" w:cs="Times New Roman"/>
          <w:highlight w:val="yellow"/>
        </w:rPr>
        <w:footnoteRef/>
      </w:r>
      <w:r>
        <w:rPr>
          <w:rFonts w:ascii="Times New Roman" w:hAnsi="Times New Roman" w:cs="Times New Roman"/>
          <w:highlight w:val="yellow"/>
          <w:lang w:val="en-US"/>
        </w:rPr>
        <w:t xml:space="preserve"> </w:t>
      </w:r>
      <w:r>
        <w:rPr>
          <w:rFonts w:ascii="Times New Roman" w:hAnsi="Times New Roman" w:cs="Times New Roman"/>
          <w:highlight w:val="yellow"/>
        </w:rPr>
        <w:t>Составлено</w:t>
      </w:r>
      <w:r>
        <w:rPr>
          <w:rFonts w:ascii="Times New Roman" w:hAnsi="Times New Roman" w:cs="Times New Roman"/>
          <w:highlight w:val="yellow"/>
          <w:lang w:val="en-US"/>
        </w:rPr>
        <w:t xml:space="preserve"> </w:t>
      </w:r>
      <w:r>
        <w:rPr>
          <w:rFonts w:ascii="Times New Roman" w:hAnsi="Times New Roman" w:cs="Times New Roman"/>
          <w:highlight w:val="yellow"/>
        </w:rPr>
        <w:t>автором</w:t>
      </w:r>
      <w:r>
        <w:rPr>
          <w:rFonts w:ascii="Times New Roman" w:hAnsi="Times New Roman" w:cs="Times New Roman"/>
          <w:highlight w:val="yellow"/>
          <w:lang w:val="en-US"/>
        </w:rPr>
        <w:t xml:space="preserve"> </w:t>
      </w:r>
      <w:r>
        <w:rPr>
          <w:rFonts w:ascii="Times New Roman" w:hAnsi="Times New Roman" w:cs="Times New Roman"/>
          <w:highlight w:val="yellow"/>
        </w:rPr>
        <w:t>по</w:t>
      </w:r>
      <w:r>
        <w:rPr>
          <w:rFonts w:ascii="Times New Roman" w:hAnsi="Times New Roman" w:cs="Times New Roman"/>
          <w:highlight w:val="yellow"/>
          <w:lang w:val="en-US"/>
        </w:rPr>
        <w:t>:</w:t>
      </w:r>
      <w:r>
        <w:rPr>
          <w:rFonts w:ascii="Times New Roman" w:hAnsi="Times New Roman" w:cs="Times New Roman"/>
          <w:iCs w:val="1"/>
          <w:highlight w:val="yellow"/>
          <w:lang w:val="en-US"/>
        </w:rPr>
        <w:t xml:space="preserve"> [30]</w:t>
      </w:r>
    </w:p>
  </w:footnote>
  <w:footnote w:id="78">
    <w:p>
      <w:pPr>
        <w:pStyle w:val="P26"/>
        <w:jc w:val="both"/>
        <w:rPr>
          <w:rFonts w:ascii="Times New Roman" w:hAnsi="Times New Roman" w:cs="Times New Roman"/>
          <w:lang w:val="fr-FR"/>
        </w:rPr>
      </w:pPr>
      <w:r>
        <w:rPr>
          <w:rStyle w:val="C42"/>
          <w:rFonts w:ascii="Times New Roman" w:hAnsi="Times New Roman" w:cs="Times New Roman"/>
          <w:highlight w:val="green"/>
        </w:rPr>
        <w:footnoteRef/>
      </w:r>
      <w:r>
        <w:rPr>
          <w:rFonts w:ascii="Times New Roman" w:hAnsi="Times New Roman" w:cs="Times New Roman"/>
          <w:highlight w:val="green"/>
          <w:lang w:val="en-US"/>
        </w:rPr>
        <w:t xml:space="preserve"> Africa - Population Reference Bureau.</w:t>
      </w:r>
      <w:r>
        <w:rPr>
          <w:highlight w:val="green"/>
          <w:lang w:val="en-US"/>
        </w:rPr>
        <w:t xml:space="preserve"> </w:t>
      </w:r>
      <w:r>
        <w:rPr>
          <w:rFonts w:ascii="Times New Roman" w:hAnsi="Times New Roman" w:cs="Times New Roman"/>
          <w:highlight w:val="green"/>
          <w:lang w:val="en-US"/>
        </w:rPr>
        <w:t xml:space="preserve">2024 World Population Data Sheet. </w:t>
      </w:r>
      <w:r>
        <w:rPr>
          <w:rFonts w:ascii="Times New Roman" w:hAnsi="Times New Roman" w:cs="Times New Roman"/>
          <w:highlight w:val="green"/>
          <w:lang w:val="fr-FR"/>
        </w:rPr>
        <w:t>URL: https://2024-wpds.prb.org/africa/#western-africa.</w:t>
      </w:r>
    </w:p>
  </w:footnote>
  <w:footnote w:id="79">
    <w:p>
      <w:pPr>
        <w:pStyle w:val="P26"/>
        <w:jc w:val="both"/>
        <w:rPr>
          <w:rFonts w:ascii="Times New Roman" w:hAnsi="Times New Roman" w:cs="Times New Roman"/>
          <w:lang w:val="fr-FR"/>
        </w:rPr>
      </w:pPr>
      <w:r>
        <w:rPr>
          <w:rStyle w:val="C42"/>
          <w:rFonts w:ascii="Times New Roman" w:hAnsi="Times New Roman" w:cs="Times New Roman"/>
          <w:highlight w:val="green"/>
        </w:rPr>
        <w:footnoteRef/>
      </w:r>
      <w:r>
        <w:rPr>
          <w:rFonts w:ascii="Times New Roman" w:hAnsi="Times New Roman" w:cs="Times New Roman"/>
          <w:highlight w:val="green"/>
          <w:lang w:val="fr-FR"/>
        </w:rPr>
        <w:t xml:space="preserve"> Ministère de l'Économie et des Finances de Côte d'Ivoire. Rapport économique et financier 2025. — Abidjan, 2025. — 186 p.; African Development Bank Group. Country Report 2025: Côte d'Ivoire. — Abidjan: AfDB, 2025. — 112 p.</w:t>
      </w:r>
    </w:p>
  </w:footnote>
  <w:footnote w:id="80">
    <w:p>
      <w:pPr>
        <w:pStyle w:val="P26"/>
        <w:jc w:val="both"/>
        <w:rPr>
          <w:rFonts w:ascii="Times New Roman" w:hAnsi="Times New Roman" w:cs="Times New Roman"/>
          <w:lang w:val="fr-FR"/>
        </w:rPr>
      </w:pPr>
      <w:r>
        <w:rPr>
          <w:rStyle w:val="C42"/>
          <w:rFonts w:ascii="Times New Roman" w:hAnsi="Times New Roman" w:cs="Times New Roman"/>
          <w:highlight w:val="green"/>
        </w:rPr>
        <w:footnoteRef/>
      </w:r>
      <w:r>
        <w:rPr>
          <w:rFonts w:ascii="Times New Roman" w:hAnsi="Times New Roman" w:cs="Times New Roman"/>
          <w:highlight w:val="green"/>
          <w:lang w:val="fr-FR"/>
        </w:rPr>
        <w:t xml:space="preserve"> </w:t>
      </w:r>
      <w:r>
        <w:rPr>
          <w:rFonts w:ascii="Times New Roman" w:hAnsi="Times New Roman" w:cs="Times New Roman"/>
          <w:highlight w:val="green"/>
        </w:rPr>
        <w:t>Кулаговская</w:t>
      </w:r>
      <w:r>
        <w:rPr>
          <w:rFonts w:ascii="Times New Roman" w:hAnsi="Times New Roman" w:cs="Times New Roman"/>
          <w:highlight w:val="green"/>
          <w:lang w:val="fr-FR"/>
        </w:rPr>
        <w:t xml:space="preserve"> </w:t>
      </w:r>
      <w:r>
        <w:rPr>
          <w:rFonts w:ascii="Times New Roman" w:hAnsi="Times New Roman" w:cs="Times New Roman"/>
          <w:highlight w:val="green"/>
        </w:rPr>
        <w:t>Т</w:t>
      </w:r>
      <w:r>
        <w:rPr>
          <w:rFonts w:ascii="Times New Roman" w:hAnsi="Times New Roman" w:cs="Times New Roman"/>
          <w:highlight w:val="green"/>
          <w:lang w:val="fr-FR"/>
        </w:rPr>
        <w:t xml:space="preserve">. </w:t>
      </w:r>
      <w:r>
        <w:rPr>
          <w:rFonts w:ascii="Times New Roman" w:hAnsi="Times New Roman" w:cs="Times New Roman"/>
          <w:highlight w:val="green"/>
        </w:rPr>
        <w:t>А</w:t>
      </w:r>
      <w:r>
        <w:rPr>
          <w:rFonts w:ascii="Times New Roman" w:hAnsi="Times New Roman" w:cs="Times New Roman"/>
          <w:highlight w:val="green"/>
          <w:lang w:val="fr-FR"/>
        </w:rPr>
        <w:t xml:space="preserve">., </w:t>
      </w:r>
      <w:r>
        <w:rPr>
          <w:rFonts w:ascii="Times New Roman" w:hAnsi="Times New Roman" w:cs="Times New Roman"/>
          <w:highlight w:val="green"/>
        </w:rPr>
        <w:t>Йео</w:t>
      </w:r>
      <w:r>
        <w:rPr>
          <w:rFonts w:ascii="Times New Roman" w:hAnsi="Times New Roman" w:cs="Times New Roman"/>
          <w:highlight w:val="green"/>
          <w:lang w:val="fr-FR"/>
        </w:rPr>
        <w:t xml:space="preserve"> </w:t>
      </w:r>
      <w:r>
        <w:rPr>
          <w:rFonts w:ascii="Times New Roman" w:hAnsi="Times New Roman" w:cs="Times New Roman"/>
          <w:highlight w:val="green"/>
        </w:rPr>
        <w:t>Н</w:t>
      </w:r>
      <w:r>
        <w:rPr>
          <w:rFonts w:ascii="Times New Roman" w:hAnsi="Times New Roman" w:cs="Times New Roman"/>
          <w:highlight w:val="green"/>
          <w:lang w:val="fr-FR"/>
        </w:rPr>
        <w:t xml:space="preserve">. </w:t>
      </w:r>
      <w:r>
        <w:rPr>
          <w:rFonts w:ascii="Times New Roman" w:hAnsi="Times New Roman" w:cs="Times New Roman"/>
          <w:highlight w:val="green"/>
        </w:rPr>
        <w:t>Моделирование</w:t>
      </w:r>
      <w:r>
        <w:rPr>
          <w:rFonts w:ascii="Times New Roman" w:hAnsi="Times New Roman" w:cs="Times New Roman"/>
          <w:highlight w:val="green"/>
          <w:lang w:val="fr-FR"/>
        </w:rPr>
        <w:t xml:space="preserve"> </w:t>
      </w:r>
      <w:r>
        <w:rPr>
          <w:rFonts w:ascii="Times New Roman" w:hAnsi="Times New Roman" w:cs="Times New Roman"/>
          <w:highlight w:val="green"/>
        </w:rPr>
        <w:t>синергетического</w:t>
      </w:r>
      <w:r>
        <w:rPr>
          <w:rFonts w:ascii="Times New Roman" w:hAnsi="Times New Roman" w:cs="Times New Roman"/>
          <w:highlight w:val="green"/>
          <w:lang w:val="fr-FR"/>
        </w:rPr>
        <w:t xml:space="preserve"> </w:t>
      </w:r>
      <w:r>
        <w:rPr>
          <w:rFonts w:ascii="Times New Roman" w:hAnsi="Times New Roman" w:cs="Times New Roman"/>
          <w:highlight w:val="green"/>
        </w:rPr>
        <w:t>эффекта</w:t>
      </w:r>
      <w:r>
        <w:rPr>
          <w:rFonts w:ascii="Times New Roman" w:hAnsi="Times New Roman" w:cs="Times New Roman"/>
          <w:highlight w:val="green"/>
          <w:lang w:val="fr-FR"/>
        </w:rPr>
        <w:t xml:space="preserve"> </w:t>
      </w:r>
      <w:r>
        <w:rPr>
          <w:rFonts w:ascii="Times New Roman" w:hAnsi="Times New Roman" w:cs="Times New Roman"/>
          <w:highlight w:val="green"/>
        </w:rPr>
        <w:t>целей</w:t>
      </w:r>
      <w:r>
        <w:rPr>
          <w:rFonts w:ascii="Times New Roman" w:hAnsi="Times New Roman" w:cs="Times New Roman"/>
          <w:highlight w:val="green"/>
          <w:lang w:val="fr-FR"/>
        </w:rPr>
        <w:t xml:space="preserve"> </w:t>
      </w:r>
      <w:r>
        <w:rPr>
          <w:rFonts w:ascii="Times New Roman" w:hAnsi="Times New Roman" w:cs="Times New Roman"/>
          <w:highlight w:val="green"/>
        </w:rPr>
        <w:t>устойчивого</w:t>
      </w:r>
      <w:r>
        <w:rPr>
          <w:rFonts w:ascii="Times New Roman" w:hAnsi="Times New Roman" w:cs="Times New Roman"/>
          <w:highlight w:val="green"/>
          <w:lang w:val="fr-FR"/>
        </w:rPr>
        <w:t xml:space="preserve"> </w:t>
      </w:r>
      <w:r>
        <w:rPr>
          <w:rFonts w:ascii="Times New Roman" w:hAnsi="Times New Roman" w:cs="Times New Roman"/>
          <w:highlight w:val="green"/>
        </w:rPr>
        <w:t>развития</w:t>
      </w:r>
      <w:r>
        <w:rPr>
          <w:rFonts w:ascii="Times New Roman" w:hAnsi="Times New Roman" w:cs="Times New Roman"/>
          <w:highlight w:val="green"/>
          <w:lang w:val="fr-FR"/>
        </w:rPr>
        <w:t xml:space="preserve"> </w:t>
      </w:r>
      <w:r>
        <w:rPr>
          <w:rFonts w:ascii="Times New Roman" w:hAnsi="Times New Roman" w:cs="Times New Roman"/>
          <w:highlight w:val="green"/>
        </w:rPr>
        <w:t>и</w:t>
      </w:r>
      <w:r>
        <w:rPr>
          <w:rFonts w:ascii="Times New Roman" w:hAnsi="Times New Roman" w:cs="Times New Roman"/>
          <w:highlight w:val="green"/>
          <w:lang w:val="fr-FR"/>
        </w:rPr>
        <w:t xml:space="preserve"> </w:t>
      </w:r>
      <w:r>
        <w:rPr>
          <w:rFonts w:ascii="Times New Roman" w:hAnsi="Times New Roman" w:cs="Times New Roman"/>
          <w:highlight w:val="green"/>
        </w:rPr>
        <w:t>его</w:t>
      </w:r>
      <w:r>
        <w:rPr>
          <w:rFonts w:ascii="Times New Roman" w:hAnsi="Times New Roman" w:cs="Times New Roman"/>
          <w:highlight w:val="green"/>
          <w:lang w:val="fr-FR"/>
        </w:rPr>
        <w:t xml:space="preserve"> </w:t>
      </w:r>
      <w:r>
        <w:rPr>
          <w:rFonts w:ascii="Times New Roman" w:hAnsi="Times New Roman" w:cs="Times New Roman"/>
          <w:highlight w:val="green"/>
        </w:rPr>
        <w:t>влияния</w:t>
      </w:r>
      <w:r>
        <w:rPr>
          <w:rFonts w:ascii="Times New Roman" w:hAnsi="Times New Roman" w:cs="Times New Roman"/>
          <w:highlight w:val="green"/>
          <w:lang w:val="fr-FR"/>
        </w:rPr>
        <w:t xml:space="preserve"> </w:t>
      </w:r>
      <w:r>
        <w:rPr>
          <w:rFonts w:ascii="Times New Roman" w:hAnsi="Times New Roman" w:cs="Times New Roman"/>
          <w:highlight w:val="green"/>
        </w:rPr>
        <w:t>на</w:t>
      </w:r>
      <w:r>
        <w:rPr>
          <w:rFonts w:ascii="Times New Roman" w:hAnsi="Times New Roman" w:cs="Times New Roman"/>
          <w:highlight w:val="green"/>
          <w:lang w:val="fr-FR"/>
        </w:rPr>
        <w:t xml:space="preserve"> </w:t>
      </w:r>
      <w:r>
        <w:rPr>
          <w:rFonts w:ascii="Times New Roman" w:hAnsi="Times New Roman" w:cs="Times New Roman"/>
          <w:highlight w:val="green"/>
        </w:rPr>
        <w:t>инклюзивный</w:t>
      </w:r>
      <w:r>
        <w:rPr>
          <w:rFonts w:ascii="Times New Roman" w:hAnsi="Times New Roman" w:cs="Times New Roman"/>
          <w:highlight w:val="green"/>
          <w:lang w:val="fr-FR"/>
        </w:rPr>
        <w:t xml:space="preserve"> </w:t>
      </w:r>
      <w:r>
        <w:rPr>
          <w:rFonts w:ascii="Times New Roman" w:hAnsi="Times New Roman" w:cs="Times New Roman"/>
          <w:highlight w:val="green"/>
        </w:rPr>
        <w:t>рост</w:t>
      </w:r>
      <w:r>
        <w:rPr>
          <w:rFonts w:ascii="Times New Roman" w:hAnsi="Times New Roman" w:cs="Times New Roman"/>
          <w:highlight w:val="green"/>
          <w:lang w:val="fr-FR"/>
        </w:rPr>
        <w:t xml:space="preserve"> </w:t>
      </w:r>
      <w:r>
        <w:rPr>
          <w:rFonts w:ascii="Times New Roman" w:hAnsi="Times New Roman" w:cs="Times New Roman"/>
          <w:highlight w:val="green"/>
        </w:rPr>
        <w:t>Республики</w:t>
      </w:r>
      <w:r>
        <w:rPr>
          <w:rFonts w:ascii="Times New Roman" w:hAnsi="Times New Roman" w:cs="Times New Roman"/>
          <w:highlight w:val="green"/>
          <w:lang w:val="fr-FR"/>
        </w:rPr>
        <w:t xml:space="preserve"> </w:t>
      </w:r>
      <w:r>
        <w:rPr>
          <w:rFonts w:ascii="Times New Roman" w:hAnsi="Times New Roman" w:cs="Times New Roman"/>
          <w:highlight w:val="green"/>
        </w:rPr>
        <w:t>Кот</w:t>
      </w:r>
      <w:r>
        <w:rPr>
          <w:rFonts w:ascii="Times New Roman" w:hAnsi="Times New Roman" w:cs="Times New Roman"/>
          <w:highlight w:val="green"/>
          <w:lang w:val="fr-FR"/>
        </w:rPr>
        <w:t>-</w:t>
      </w:r>
      <w:r>
        <w:rPr>
          <w:rFonts w:ascii="Times New Roman" w:hAnsi="Times New Roman" w:cs="Times New Roman"/>
          <w:highlight w:val="green"/>
        </w:rPr>
        <w:t>д</w:t>
      </w:r>
      <w:r>
        <w:rPr>
          <w:rFonts w:ascii="Times New Roman" w:hAnsi="Times New Roman" w:cs="Times New Roman"/>
          <w:highlight w:val="green"/>
          <w:lang w:val="fr-FR"/>
        </w:rPr>
        <w:t>’</w:t>
      </w:r>
      <w:r>
        <w:rPr>
          <w:rFonts w:ascii="Times New Roman" w:hAnsi="Times New Roman" w:cs="Times New Roman"/>
          <w:highlight w:val="green"/>
        </w:rPr>
        <w:t>Ивуар</w:t>
      </w:r>
      <w:r>
        <w:rPr>
          <w:rFonts w:ascii="Times New Roman" w:hAnsi="Times New Roman" w:cs="Times New Roman"/>
          <w:highlight w:val="green"/>
          <w:lang w:val="fr-FR"/>
        </w:rPr>
        <w:t xml:space="preserve"> // </w:t>
      </w:r>
      <w:r>
        <w:rPr>
          <w:rFonts w:ascii="Times New Roman" w:hAnsi="Times New Roman" w:cs="Times New Roman"/>
          <w:highlight w:val="green"/>
        </w:rPr>
        <w:t>Вестник</w:t>
      </w:r>
      <w:r>
        <w:rPr>
          <w:rFonts w:ascii="Times New Roman" w:hAnsi="Times New Roman" w:cs="Times New Roman"/>
          <w:highlight w:val="green"/>
          <w:lang w:val="fr-FR"/>
        </w:rPr>
        <w:t xml:space="preserve"> </w:t>
      </w:r>
      <w:r>
        <w:rPr>
          <w:rFonts w:ascii="Times New Roman" w:hAnsi="Times New Roman" w:cs="Times New Roman"/>
          <w:highlight w:val="green"/>
        </w:rPr>
        <w:t>Северо</w:t>
      </w:r>
      <w:r>
        <w:rPr>
          <w:rFonts w:ascii="Times New Roman" w:hAnsi="Times New Roman" w:cs="Times New Roman"/>
          <w:highlight w:val="green"/>
          <w:lang w:val="fr-FR"/>
        </w:rPr>
        <w:t>-</w:t>
      </w:r>
      <w:r>
        <w:rPr>
          <w:rFonts w:ascii="Times New Roman" w:hAnsi="Times New Roman" w:cs="Times New Roman"/>
          <w:highlight w:val="green"/>
        </w:rPr>
        <w:t>Кавказского</w:t>
      </w:r>
      <w:r>
        <w:rPr>
          <w:rFonts w:ascii="Times New Roman" w:hAnsi="Times New Roman" w:cs="Times New Roman"/>
          <w:highlight w:val="green"/>
          <w:lang w:val="fr-FR"/>
        </w:rPr>
        <w:t xml:space="preserve"> </w:t>
      </w:r>
      <w:r>
        <w:rPr>
          <w:rFonts w:ascii="Times New Roman" w:hAnsi="Times New Roman" w:cs="Times New Roman"/>
          <w:highlight w:val="green"/>
        </w:rPr>
        <w:t>федерального</w:t>
      </w:r>
      <w:r>
        <w:rPr>
          <w:rFonts w:ascii="Times New Roman" w:hAnsi="Times New Roman" w:cs="Times New Roman"/>
          <w:highlight w:val="green"/>
          <w:lang w:val="fr-FR"/>
        </w:rPr>
        <w:t xml:space="preserve"> </w:t>
      </w:r>
      <w:r>
        <w:rPr>
          <w:rFonts w:ascii="Times New Roman" w:hAnsi="Times New Roman" w:cs="Times New Roman"/>
          <w:highlight w:val="green"/>
        </w:rPr>
        <w:t>университета</w:t>
      </w:r>
      <w:r>
        <w:rPr>
          <w:rFonts w:ascii="Times New Roman" w:hAnsi="Times New Roman" w:cs="Times New Roman"/>
          <w:highlight w:val="green"/>
          <w:lang w:val="fr-FR"/>
        </w:rPr>
        <w:t xml:space="preserve">. — 2023. — № 4 (97). — </w:t>
      </w:r>
      <w:r>
        <w:rPr>
          <w:rFonts w:ascii="Times New Roman" w:hAnsi="Times New Roman" w:cs="Times New Roman"/>
          <w:highlight w:val="green"/>
        </w:rPr>
        <w:t>С</w:t>
      </w:r>
      <w:r>
        <w:rPr>
          <w:rFonts w:ascii="Times New Roman" w:hAnsi="Times New Roman" w:cs="Times New Roman"/>
          <w:highlight w:val="green"/>
          <w:lang w:val="fr-FR"/>
        </w:rPr>
        <w:t>. 114–124.</w:t>
      </w:r>
    </w:p>
  </w:footnote>
  <w:footnote w:id="81">
    <w:p>
      <w:pPr>
        <w:pStyle w:val="P26"/>
        <w:rPr>
          <w:rFonts w:ascii="Times New Roman" w:hAnsi="Times New Roman" w:cs="Times New Roman"/>
        </w:rPr>
      </w:pPr>
      <w:r>
        <w:rPr>
          <w:rStyle w:val="C42"/>
          <w:rFonts w:ascii="Times New Roman" w:hAnsi="Times New Roman" w:cs="Times New Roman"/>
          <w:highlight w:val="yellow"/>
        </w:rPr>
        <w:footnoteRef/>
      </w:r>
      <w:r>
        <w:rPr>
          <w:rFonts w:ascii="Times New Roman" w:hAnsi="Times New Roman" w:cs="Times New Roman"/>
          <w:highlight w:val="yellow"/>
        </w:rPr>
        <w:t xml:space="preserve"> Составлено автором по: [100]</w:t>
      </w:r>
    </w:p>
  </w:footnote>
  <w:footnote w:id="82">
    <w:p>
      <w:pPr>
        <w:pStyle w:val="P26"/>
        <w:jc w:val="both"/>
      </w:pPr>
      <w:r>
        <w:rPr>
          <w:rStyle w:val="C42"/>
          <w:highlight w:val="green"/>
        </w:rPr>
        <w:footnoteRef/>
      </w:r>
      <w:r>
        <w:rPr>
          <w:highlight w:val="green"/>
        </w:rPr>
        <w:t xml:space="preserve"> </w:t>
      </w:r>
      <w:r>
        <w:rPr>
          <w:rFonts w:ascii="Times New Roman" w:hAnsi="Times New Roman" w:cs="Times New Roman"/>
          <w:highlight w:val="green"/>
        </w:rPr>
        <w:t>Кулаговская Т. А., Йео Н. Моделирование синергетического эффекта целей устойчивого развития и его влияния на инклюзивный рост Республики Кот-д’Ивуар // Вестник Северо-Кавказского федерального университета. — 2023. — № 4 (97). — С. 114–124.</w:t>
      </w:r>
    </w:p>
  </w:footnote>
  <w:footnote w:id="83">
    <w:p>
      <w:pPr>
        <w:pStyle w:val="P26"/>
        <w:jc w:val="both"/>
        <w:rPr>
          <w:rFonts w:ascii="Times New Roman" w:hAnsi="Times New Roman" w:cs="Times New Roman"/>
          <w:highlight w:val="green"/>
          <w:lang w:val="fr-FR"/>
        </w:rPr>
      </w:pPr>
      <w:r>
        <w:rPr>
          <w:rStyle w:val="C42"/>
          <w:rFonts w:ascii="Times New Roman" w:hAnsi="Times New Roman" w:cs="Times New Roman"/>
          <w:highlight w:val="green"/>
        </w:rPr>
        <w:footnoteRef/>
      </w:r>
      <w:r>
        <w:rPr>
          <w:rFonts w:ascii="Times New Roman" w:hAnsi="Times New Roman" w:cs="Times New Roman"/>
          <w:highlight w:val="green"/>
          <w:lang w:val="fr-FR"/>
        </w:rPr>
        <w:t xml:space="preserve"> Gouvernement de la République de Côte d'Ivoire. Bilan 2011–2025. Abidjan: Ministère du Plan et du Développement, août 2025. 221 p.</w:t>
      </w:r>
    </w:p>
  </w:footnote>
  <w:footnote w:id="84">
    <w:p>
      <w:pPr>
        <w:pStyle w:val="P26"/>
        <w:jc w:val="both"/>
        <w:rPr>
          <w:rFonts w:ascii="Times New Roman" w:hAnsi="Times New Roman" w:cs="Times New Roman"/>
          <w:lang w:val="fr-FR"/>
        </w:rPr>
      </w:pPr>
      <w:r>
        <w:rPr>
          <w:rStyle w:val="C42"/>
          <w:rFonts w:ascii="Times New Roman" w:hAnsi="Times New Roman" w:cs="Times New Roman"/>
          <w:highlight w:val="green"/>
        </w:rPr>
        <w:footnoteRef/>
      </w:r>
      <w:r>
        <w:rPr>
          <w:rFonts w:ascii="Times New Roman" w:hAnsi="Times New Roman" w:cs="Times New Roman"/>
          <w:highlight w:val="green"/>
          <w:lang w:val="fr-FR"/>
        </w:rPr>
        <w:t xml:space="preserve"> Gouvernement de la République de Côte d'Ivoire. Bilan 2011–2025. Abidjan: Ministère du Plan et du Développement, août 2025. 221 p.</w:t>
      </w:r>
    </w:p>
  </w:footnote>
  <w:footnote w:id="85">
    <w:p>
      <w:pPr>
        <w:spacing w:after="0" w:beforeAutospacing="0" w:afterAutospacing="0"/>
        <w:jc w:val="both"/>
        <w:rPr>
          <w:rFonts w:ascii="Times New Roman" w:hAnsi="Times New Roman" w:cs="Times New Roman"/>
          <w:sz w:val="20"/>
          <w:szCs w:val="20"/>
          <w:highlight w:val="green"/>
          <w:lang w:val="fr-FR"/>
        </w:rPr>
      </w:pPr>
      <w:r>
        <w:rPr>
          <w:rStyle w:val="C42"/>
          <w:rFonts w:ascii="Times New Roman" w:hAnsi="Times New Roman" w:cs="Times New Roman"/>
          <w:sz w:val="20"/>
          <w:szCs w:val="20"/>
          <w:highlight w:val="green"/>
        </w:rPr>
        <w:footnoteRef/>
      </w:r>
      <w:r>
        <w:rPr>
          <w:rFonts w:ascii="Times New Roman" w:hAnsi="Times New Roman" w:cs="Times New Roman"/>
          <w:sz w:val="20"/>
          <w:szCs w:val="20"/>
          <w:highlight w:val="green"/>
          <w:lang w:val="fr-FR"/>
        </w:rPr>
        <w:t xml:space="preserve"> Programme des Nations Unies pour le Développement (PNUD). Rapport sur la situation des ODD, prenant en compte les personnes vulnérables et le genre en Côte d'Ivoire, 2017–2020. Abidjan: PNUD Côte d'Ivoire, 2022. 84 p.</w:t>
      </w:r>
    </w:p>
  </w:footnote>
  <w:footnote w:id="86">
    <w:p>
      <w:pPr>
        <w:spacing w:after="0" w:beforeAutospacing="0" w:afterAutospacing="0"/>
        <w:jc w:val="both"/>
        <w:rPr>
          <w:rFonts w:ascii="Times New Roman" w:hAnsi="Times New Roman" w:cs="Times New Roman"/>
          <w:sz w:val="20"/>
          <w:szCs w:val="20"/>
          <w:lang w:val="fr-FR"/>
        </w:rPr>
      </w:pPr>
      <w:r>
        <w:rPr>
          <w:rStyle w:val="C42"/>
          <w:rFonts w:ascii="Times New Roman" w:hAnsi="Times New Roman" w:cs="Times New Roman"/>
          <w:sz w:val="20"/>
          <w:szCs w:val="20"/>
          <w:highlight w:val="green"/>
        </w:rPr>
        <w:footnoteRef/>
      </w:r>
      <w:r>
        <w:rPr>
          <w:rFonts w:ascii="Times New Roman" w:hAnsi="Times New Roman" w:cs="Times New Roman"/>
          <w:sz w:val="20"/>
          <w:szCs w:val="20"/>
          <w:highlight w:val="green"/>
          <w:lang w:val="fr-FR"/>
        </w:rPr>
        <w:t xml:space="preserve"> </w:t>
      </w:r>
      <w:r>
        <w:rPr>
          <w:rFonts w:ascii="Times New Roman" w:hAnsi="Times New Roman" w:cs="Times New Roman"/>
          <w:color w:val="FF0000"/>
          <w:sz w:val="20"/>
          <w:szCs w:val="20"/>
          <w:highlight w:val="green"/>
        </w:rPr>
        <w:t>Составлено</w:t>
      </w:r>
      <w:r>
        <w:rPr>
          <w:rFonts w:ascii="Times New Roman" w:hAnsi="Times New Roman" w:cs="Times New Roman"/>
          <w:color w:val="FF0000"/>
          <w:sz w:val="20"/>
          <w:szCs w:val="20"/>
          <w:highlight w:val="green"/>
          <w:lang w:val="fr-FR"/>
        </w:rPr>
        <w:t xml:space="preserve"> </w:t>
      </w:r>
      <w:r>
        <w:rPr>
          <w:rFonts w:ascii="Times New Roman" w:hAnsi="Times New Roman" w:cs="Times New Roman"/>
          <w:color w:val="FF0000"/>
          <w:sz w:val="20"/>
          <w:szCs w:val="20"/>
          <w:highlight w:val="green"/>
        </w:rPr>
        <w:t>автором</w:t>
      </w:r>
      <w:r>
        <w:rPr>
          <w:rFonts w:ascii="Times New Roman" w:hAnsi="Times New Roman" w:cs="Times New Roman"/>
          <w:color w:val="FF0000"/>
          <w:sz w:val="20"/>
          <w:szCs w:val="20"/>
          <w:highlight w:val="green"/>
          <w:lang w:val="fr-FR"/>
        </w:rPr>
        <w:t xml:space="preserve"> </w:t>
      </w:r>
      <w:r>
        <w:rPr>
          <w:rFonts w:ascii="Times New Roman" w:hAnsi="Times New Roman" w:cs="Times New Roman"/>
          <w:color w:val="FF0000"/>
          <w:sz w:val="20"/>
          <w:szCs w:val="20"/>
          <w:highlight w:val="green"/>
        </w:rPr>
        <w:t>по</w:t>
      </w:r>
      <w:r>
        <w:rPr>
          <w:rFonts w:ascii="Times New Roman" w:hAnsi="Times New Roman" w:cs="Times New Roman"/>
          <w:color w:val="FF0000"/>
          <w:sz w:val="20"/>
          <w:szCs w:val="20"/>
          <w:highlight w:val="green"/>
          <w:lang w:val="fr-FR"/>
        </w:rPr>
        <w:t xml:space="preserve">: </w:t>
      </w:r>
      <w:r>
        <w:rPr>
          <w:rFonts w:ascii="Times New Roman" w:hAnsi="Times New Roman" w:cs="Times New Roman"/>
          <w:sz w:val="20"/>
          <w:szCs w:val="20"/>
          <w:highlight w:val="green"/>
          <w:lang w:val="fr-FR"/>
        </w:rPr>
        <w:t xml:space="preserve">Banque africaine de développement. </w:t>
      </w:r>
      <w:r>
        <w:rPr>
          <w:rFonts w:ascii="Times New Roman" w:hAnsi="Times New Roman" w:cs="Times New Roman"/>
          <w:sz w:val="20"/>
          <w:szCs w:val="20"/>
          <w:highlight w:val="green"/>
          <w:lang w:val="en-US"/>
        </w:rPr>
        <w:t xml:space="preserve">African Economic Outlook 2025: Rapport Pays 2025 Côte d'Ivoire. Abidjan: BAD, 2025. </w:t>
      </w:r>
      <w:r>
        <w:rPr>
          <w:rFonts w:ascii="Times New Roman" w:hAnsi="Times New Roman" w:cs="Times New Roman"/>
          <w:sz w:val="20"/>
          <w:szCs w:val="20"/>
          <w:highlight w:val="green"/>
          <w:lang w:val="fr-FR"/>
        </w:rPr>
        <w:t>23 p.; Gouvernement de la République de Côte d'Ivoire. Bilan 2011–2025. Abidjan: Ministère du Plan et du Développement, août 2025. 221 p.; Programme des Nations Unies pour le Développement (PNUD). Rapport sur la situation des ODD, prenant en compte les personnes vulnérables et le genre en Côte d'Ivoire, 2017–2020. Abidjan: PNUD Côte d'Ivoire, 2022. 84 p.; Centre Suisse de Recherches Scientifiques (CSRS). Rapport sur le développement durable en Côte d'Ivoire: état des lieux et tendances. Abidjan: CSRS, 2021. 42 p.</w:t>
      </w:r>
    </w:p>
  </w:footnote>
  <w:footnote w:id="87">
    <w:p>
      <w:pPr>
        <w:pStyle w:val="P26"/>
        <w:jc w:val="both"/>
        <w:rPr>
          <w:rFonts w:ascii="Times New Roman" w:hAnsi="Times New Roman" w:cs="Times New Roman"/>
          <w:lang w:val="fr-FR"/>
        </w:rPr>
      </w:pPr>
      <w:r>
        <w:rPr>
          <w:rStyle w:val="C42"/>
          <w:rFonts w:ascii="Times New Roman" w:hAnsi="Times New Roman" w:cs="Times New Roman"/>
          <w:highlight w:val="magenta"/>
        </w:rPr>
        <w:footnoteRef/>
      </w:r>
      <w:r>
        <w:rPr>
          <w:rFonts w:ascii="Times New Roman" w:hAnsi="Times New Roman" w:cs="Times New Roman"/>
          <w:highlight w:val="magenta"/>
          <w:lang w:val="fr-FR"/>
        </w:rPr>
        <w:t xml:space="preserve"> Gouvernement de la République de Côte d'Ivoire. Bilan 2011–2025. Abidjan: Ministère du Plan et du Développement, août 2025. 221 p.</w:t>
      </w:r>
    </w:p>
  </w:footnote>
  <w:footnote w:id="88">
    <w:p>
      <w:pPr>
        <w:spacing w:after="0" w:beforeAutospacing="0" w:afterAutospacing="0"/>
        <w:jc w:val="both"/>
        <w:rPr>
          <w:rFonts w:ascii="Times New Roman" w:hAnsi="Times New Roman" w:cs="Times New Roman"/>
          <w:sz w:val="20"/>
          <w:szCs w:val="20"/>
          <w:lang w:val="fr-FR"/>
        </w:rPr>
      </w:pPr>
      <w:r>
        <w:rPr>
          <w:rStyle w:val="C42"/>
          <w:rFonts w:ascii="Times New Roman" w:hAnsi="Times New Roman" w:cs="Times New Roman"/>
          <w:sz w:val="20"/>
          <w:szCs w:val="20"/>
          <w:highlight w:val="green"/>
        </w:rPr>
        <w:footnoteRef/>
      </w:r>
      <w:r>
        <w:rPr>
          <w:rFonts w:ascii="Times New Roman" w:hAnsi="Times New Roman" w:cs="Times New Roman"/>
          <w:sz w:val="20"/>
          <w:szCs w:val="20"/>
          <w:highlight w:val="green"/>
          <w:lang w:val="fr-FR"/>
        </w:rPr>
        <w:t xml:space="preserve"> Ministère du Plan et du Développement. Étude nationale prospective « Côte d'Ivoire 2040 ». Rapport final. Abidjan: Bureau National de la Prospective et de la Veille Stratégique, 2016. 162 p.</w:t>
      </w:r>
    </w:p>
  </w:footnote>
  <w:footnote w:id="89">
    <w:p>
      <w:pPr>
        <w:pStyle w:val="P26"/>
        <w:rPr>
          <w:lang w:val="fr-FR"/>
        </w:rPr>
      </w:pPr>
      <w:r>
        <w:rPr>
          <w:rStyle w:val="C42"/>
          <w:highlight w:val="magenta"/>
        </w:rPr>
        <w:footnoteRef/>
      </w:r>
      <w:r>
        <w:rPr>
          <w:highlight w:val="magenta"/>
          <w:lang w:val="fr-FR"/>
        </w:rPr>
        <w:t xml:space="preserve"> </w:t>
      </w:r>
      <w:r>
        <w:rPr>
          <w:rFonts w:ascii="Times New Roman" w:hAnsi="Times New Roman" w:cs="Times New Roman"/>
          <w:highlight w:val="magenta"/>
          <w:lang w:val="fr-FR"/>
        </w:rPr>
        <w:t>Centre Suisse de Recherches Scientifiques (CSRS). Rapport sur le développement durable en Côte d'Ivoire: état des lieux et tendances. Abidjan: CSRS, 2021. 42 p</w:t>
      </w:r>
    </w:p>
  </w:footnote>
  <w:footnote w:id="90">
    <w:p>
      <w:pPr>
        <w:pStyle w:val="P26"/>
        <w:jc w:val="both"/>
        <w:rPr>
          <w:highlight w:val="green"/>
          <w:lang w:val="fr-FR"/>
        </w:rPr>
      </w:pPr>
      <w:r>
        <w:rPr>
          <w:rStyle w:val="C42"/>
          <w:highlight w:val="green"/>
        </w:rPr>
        <w:footnoteRef/>
      </w:r>
      <w:r>
        <w:rPr>
          <w:highlight w:val="green"/>
          <w:lang w:val="fr-FR"/>
        </w:rPr>
        <w:t xml:space="preserve"> </w:t>
      </w:r>
      <w:r>
        <w:rPr>
          <w:rFonts w:ascii="Times New Roman" w:hAnsi="Times New Roman" w:cs="Times New Roman"/>
          <w:highlight w:val="green"/>
          <w:lang w:val="fr-FR"/>
        </w:rPr>
        <w:t>Ministère du Plan et du Développement. Étude nationale prospective « Côte d'Ivoire 2040 ». Rapport final. Abidjan: Bureau National de la Prospective et de la Veille Stratégique, 2016. 162 p.</w:t>
      </w:r>
    </w:p>
  </w:footnote>
  <w:footnote w:id="91">
    <w:p>
      <w:pPr>
        <w:pStyle w:val="P26"/>
        <w:jc w:val="both"/>
        <w:rPr>
          <w:rFonts w:ascii="Times New Roman" w:hAnsi="Times New Roman" w:cs="Times New Roman"/>
          <w:lang w:val="fr-FR"/>
        </w:rPr>
      </w:pPr>
      <w:r>
        <w:rPr>
          <w:rStyle w:val="C42"/>
          <w:rFonts w:ascii="Times New Roman" w:hAnsi="Times New Roman" w:cs="Times New Roman"/>
          <w:highlight w:val="green"/>
        </w:rPr>
        <w:footnoteRef/>
      </w:r>
      <w:r>
        <w:rPr>
          <w:rFonts w:ascii="Times New Roman" w:hAnsi="Times New Roman" w:cs="Times New Roman"/>
          <w:highlight w:val="green"/>
          <w:lang w:val="fr-FR"/>
        </w:rPr>
        <w:t xml:space="preserve"> Programme des Nations Unies pour le Développement (PNUDRapport d'Examen National Volontaire, prenant en compte les personnes vulnérables et le genre en Côte d'Ivoire, 2017–2020. Abidjan: PNUD Côte d'Ivoire, 2022. 84 p.</w:t>
      </w:r>
    </w:p>
  </w:footnote>
  <w:footnote w:id="92">
    <w:p>
      <w:pPr>
        <w:pStyle w:val="P26"/>
        <w:jc w:val="both"/>
        <w:rPr>
          <w:rFonts w:ascii="Times New Roman" w:hAnsi="Times New Roman" w:cs="Times New Roman"/>
          <w:highlight w:val="green"/>
          <w:lang w:val="fr-FR"/>
        </w:rPr>
      </w:pPr>
      <w:r>
        <w:rPr>
          <w:rStyle w:val="C42"/>
          <w:rFonts w:ascii="Times New Roman" w:hAnsi="Times New Roman" w:cs="Times New Roman"/>
          <w:highlight w:val="green"/>
        </w:rPr>
        <w:footnoteRef/>
      </w:r>
      <w:r>
        <w:rPr>
          <w:rFonts w:ascii="Times New Roman" w:hAnsi="Times New Roman" w:cs="Times New Roman"/>
          <w:highlight w:val="green"/>
          <w:lang w:val="fr-FR"/>
        </w:rPr>
        <w:t xml:space="preserve"> Gouvernement de la République de Côte d'Ivoire. Bilan 2011–2025. Abidjan: Ministère du Plan et du Développement, août 2025. 221 p.</w:t>
      </w:r>
    </w:p>
  </w:footnote>
  <w:footnote w:id="93">
    <w:p>
      <w:pPr>
        <w:pStyle w:val="P26"/>
        <w:jc w:val="both"/>
        <w:rPr>
          <w:rFonts w:ascii="Times New Roman" w:hAnsi="Times New Roman" w:cs="Times New Roman"/>
          <w:highlight w:val="green"/>
          <w:lang w:val="fr-FR"/>
        </w:rPr>
      </w:pPr>
      <w:r>
        <w:rPr>
          <w:rStyle w:val="C42"/>
          <w:rFonts w:ascii="Times New Roman" w:hAnsi="Times New Roman" w:cs="Times New Roman"/>
          <w:highlight w:val="green"/>
        </w:rPr>
        <w:footnoteRef/>
      </w:r>
      <w:r>
        <w:rPr>
          <w:rFonts w:ascii="Times New Roman" w:hAnsi="Times New Roman" w:cs="Times New Roman"/>
          <w:highlight w:val="green"/>
          <w:lang w:val="fr-FR"/>
        </w:rPr>
        <w:t xml:space="preserve"> Banque africaine de développement. African Economic Outlook 2025: Rapport Pays 2025 Côte d'Ivoire. Abidjan: BAD, 2025. 23 p.</w:t>
      </w:r>
    </w:p>
  </w:footnote>
  <w:footnote w:id="94">
    <w:p>
      <w:pPr>
        <w:pStyle w:val="P26"/>
        <w:jc w:val="both"/>
        <w:rPr>
          <w:highlight w:val="green"/>
          <w:lang w:val="fr-FR"/>
        </w:rPr>
      </w:pPr>
      <w:r>
        <w:rPr>
          <w:rStyle w:val="C42"/>
          <w:rFonts w:ascii="Times New Roman" w:hAnsi="Times New Roman" w:cs="Times New Roman"/>
          <w:highlight w:val="green"/>
        </w:rPr>
        <w:footnoteRef/>
      </w:r>
      <w:r>
        <w:rPr>
          <w:rFonts w:ascii="Times New Roman" w:hAnsi="Times New Roman" w:cs="Times New Roman"/>
          <w:highlight w:val="green"/>
          <w:lang w:val="fr-FR"/>
        </w:rPr>
        <w:t xml:space="preserve"> Ministère du Plan et du Développement. Étude nationale prospective « Côte d'Ivoire 2040 ». Rapport final. Abidjan: Bureau National de la Prospective et de la Veille Stratégique, 2016. 162 p.</w:t>
      </w:r>
    </w:p>
  </w:footnote>
  <w:footnote w:id="95">
    <w:p>
      <w:pPr>
        <w:pStyle w:val="P26"/>
        <w:jc w:val="both"/>
        <w:rPr>
          <w:lang w:val="fr-FR"/>
        </w:rPr>
      </w:pPr>
      <w:r>
        <w:rPr>
          <w:rStyle w:val="C42"/>
          <w:highlight w:val="green"/>
        </w:rPr>
        <w:footnoteRef/>
      </w:r>
      <w:r>
        <w:rPr>
          <w:highlight w:val="green"/>
          <w:lang w:val="fr-FR"/>
        </w:rPr>
        <w:t xml:space="preserve"> </w:t>
      </w:r>
      <w:r>
        <w:rPr>
          <w:rFonts w:ascii="Times New Roman" w:hAnsi="Times New Roman" w:cs="Times New Roman"/>
          <w:color w:val="FF0000"/>
          <w:highlight w:val="green"/>
        </w:rPr>
        <w:t>Составлено</w:t>
      </w:r>
      <w:r>
        <w:rPr>
          <w:rFonts w:ascii="Times New Roman" w:hAnsi="Times New Roman" w:cs="Times New Roman"/>
          <w:color w:val="FF0000"/>
          <w:highlight w:val="green"/>
          <w:lang w:val="fr-FR"/>
        </w:rPr>
        <w:t xml:space="preserve"> </w:t>
      </w:r>
      <w:r>
        <w:rPr>
          <w:rFonts w:ascii="Times New Roman" w:hAnsi="Times New Roman" w:cs="Times New Roman"/>
          <w:color w:val="FF0000"/>
          <w:highlight w:val="green"/>
        </w:rPr>
        <w:t>автором</w:t>
      </w:r>
      <w:r>
        <w:rPr>
          <w:rFonts w:ascii="Times New Roman" w:hAnsi="Times New Roman" w:cs="Times New Roman"/>
          <w:color w:val="FF0000"/>
          <w:highlight w:val="green"/>
          <w:lang w:val="fr-FR"/>
        </w:rPr>
        <w:t xml:space="preserve"> </w:t>
      </w:r>
      <w:r>
        <w:rPr>
          <w:rFonts w:ascii="Times New Roman" w:hAnsi="Times New Roman" w:cs="Times New Roman"/>
          <w:color w:val="FF0000"/>
          <w:highlight w:val="green"/>
        </w:rPr>
        <w:t>по</w:t>
      </w:r>
      <w:r>
        <w:rPr>
          <w:rFonts w:ascii="Times New Roman" w:hAnsi="Times New Roman" w:cs="Times New Roman"/>
          <w:color w:val="FF0000"/>
          <w:highlight w:val="green"/>
          <w:lang w:val="fr-FR"/>
        </w:rPr>
        <w:t xml:space="preserve">: </w:t>
      </w:r>
      <w:r>
        <w:rPr>
          <w:rFonts w:ascii="Times New Roman" w:hAnsi="Times New Roman" w:cs="Times New Roman"/>
          <w:highlight w:val="green"/>
          <w:lang w:val="fr-FR"/>
        </w:rPr>
        <w:t xml:space="preserve">Banque africaine de développement. </w:t>
      </w:r>
      <w:r>
        <w:rPr>
          <w:rFonts w:ascii="Times New Roman" w:hAnsi="Times New Roman" w:cs="Times New Roman"/>
          <w:highlight w:val="green"/>
          <w:lang w:val="en-GB"/>
        </w:rPr>
        <w:t xml:space="preserve">African Economic Outlook 2025: Rapport Pays 2025 Côte d'Ivoire. Abidjan: BAD, 2025. </w:t>
      </w:r>
      <w:r>
        <w:rPr>
          <w:rFonts w:ascii="Times New Roman" w:hAnsi="Times New Roman" w:cs="Times New Roman"/>
          <w:highlight w:val="green"/>
          <w:lang w:val="fr-FR"/>
        </w:rPr>
        <w:t>23 p.; Gouvernement de la République de Côte d'Ivoire. Bilan 2011–2025. Abidjan: Ministère du Plan et du Développement, août 2025. 221 p.; Ministère du Plan et du Développement. Étude nationale prospective « Côte d'Ivoire 2040 ». Rapport final. Abidjan: Bureau National de la Prospective et de la Veille Stratégique, 2016. 162 p.</w:t>
      </w:r>
    </w:p>
  </w:footnote>
  <w:footnote w:id="96">
    <w:p>
      <w:pPr>
        <w:pStyle w:val="P26"/>
        <w:jc w:val="both"/>
      </w:pPr>
      <w:r>
        <w:rPr>
          <w:rStyle w:val="C42"/>
          <w:highlight w:val="green"/>
        </w:rPr>
        <w:footnoteRef/>
      </w:r>
      <w:r>
        <w:rPr>
          <w:highlight w:val="green"/>
          <w:lang w:val="fr-FR"/>
        </w:rPr>
        <w:t xml:space="preserve"> </w:t>
      </w:r>
      <w:r>
        <w:rPr>
          <w:rFonts w:ascii="Times New Roman" w:hAnsi="Times New Roman" w:cs="Times New Roman"/>
          <w:highlight w:val="green"/>
          <w:lang w:val="fr-FR"/>
        </w:rPr>
        <w:t xml:space="preserve">Gouvernement de la République de Côte d'Ivoire. Bilan 2011–2025. Abidjan: Ministère du Plan et du Développement, août 2025. </w:t>
      </w:r>
      <w:r>
        <w:rPr>
          <w:rFonts w:ascii="Times New Roman" w:hAnsi="Times New Roman" w:cs="Times New Roman"/>
          <w:highlight w:val="green"/>
        </w:rPr>
        <w:t xml:space="preserve">221 </w:t>
      </w:r>
      <w:r>
        <w:rPr>
          <w:rFonts w:ascii="Times New Roman" w:hAnsi="Times New Roman" w:cs="Times New Roman"/>
          <w:highlight w:val="green"/>
          <w:lang w:val="en-US"/>
        </w:rPr>
        <w:t>p</w:t>
      </w:r>
      <w:r>
        <w:rPr>
          <w:rFonts w:ascii="Times New Roman" w:hAnsi="Times New Roman" w:cs="Times New Roman"/>
          <w:highlight w:val="green"/>
        </w:rPr>
        <w:t>.</w:t>
      </w:r>
    </w:p>
  </w:footnote>
  <w:footnote w:id="97">
    <w:p>
      <w:pPr>
        <w:pStyle w:val="P26"/>
        <w:jc w:val="both"/>
        <w:rPr>
          <w:rFonts w:ascii="Times New Roman" w:hAnsi="Times New Roman" w:cs="Times New Roman"/>
          <w:lang w:val="en-US"/>
        </w:rPr>
      </w:pPr>
      <w:r>
        <w:rPr>
          <w:rStyle w:val="C42"/>
          <w:rFonts w:ascii="Times New Roman" w:hAnsi="Times New Roman" w:cs="Times New Roman"/>
          <w:highlight w:val="green"/>
        </w:rPr>
        <w:footnoteRef/>
      </w:r>
      <w:r>
        <w:rPr>
          <w:rFonts w:ascii="Times New Roman" w:hAnsi="Times New Roman" w:cs="Times New Roman"/>
          <w:highlight w:val="green"/>
        </w:rPr>
        <w:t xml:space="preserve"> Кулаговская Т.А., Йео Н. Роль международных организаций в обеспечении устойчивого развития стран Западной Африки // Прорывные научные исследования как двигатель науки : сборник статей международной научно-практической конференции. Уфа</w:t>
      </w:r>
      <w:r>
        <w:rPr>
          <w:rFonts w:ascii="Times New Roman" w:hAnsi="Times New Roman" w:cs="Times New Roman"/>
          <w:highlight w:val="green"/>
          <w:lang w:val="en-US"/>
        </w:rPr>
        <w:t xml:space="preserve">: </w:t>
      </w:r>
      <w:r>
        <w:rPr>
          <w:rFonts w:ascii="Times New Roman" w:hAnsi="Times New Roman" w:cs="Times New Roman"/>
          <w:highlight w:val="green"/>
        </w:rPr>
        <w:t>Аэтерна</w:t>
      </w:r>
      <w:r>
        <w:rPr>
          <w:rFonts w:ascii="Times New Roman" w:hAnsi="Times New Roman" w:cs="Times New Roman"/>
          <w:highlight w:val="green"/>
          <w:lang w:val="en-US"/>
        </w:rPr>
        <w:t xml:space="preserve">, 2023. </w:t>
      </w:r>
      <w:r>
        <w:rPr>
          <w:rFonts w:ascii="Times New Roman" w:hAnsi="Times New Roman" w:cs="Times New Roman"/>
          <w:highlight w:val="green"/>
        </w:rPr>
        <w:t>С</w:t>
      </w:r>
      <w:r>
        <w:rPr>
          <w:rFonts w:ascii="Times New Roman" w:hAnsi="Times New Roman" w:cs="Times New Roman"/>
          <w:highlight w:val="green"/>
          <w:lang w:val="en-US"/>
        </w:rPr>
        <w:t>. 50-55.</w:t>
      </w:r>
    </w:p>
  </w:footnote>
  <w:footnote w:id="98">
    <w:p>
      <w:pPr>
        <w:pStyle w:val="P26"/>
        <w:rPr>
          <w:rFonts w:ascii="Times New Roman" w:hAnsi="Times New Roman" w:cs="Times New Roman"/>
          <w:lang w:val="en-US"/>
        </w:rPr>
      </w:pPr>
      <w:r>
        <w:rPr>
          <w:rStyle w:val="C42"/>
          <w:rFonts w:ascii="Times New Roman" w:hAnsi="Times New Roman" w:cs="Times New Roman"/>
        </w:rPr>
        <w:footnoteRef/>
      </w:r>
      <w:r>
        <w:rPr>
          <w:rFonts w:ascii="Times New Roman" w:hAnsi="Times New Roman" w:cs="Times New Roman"/>
          <w:lang w:val="en-US"/>
        </w:rPr>
        <w:t xml:space="preserve"> </w:t>
      </w:r>
      <w:r>
        <w:rPr>
          <w:rFonts w:ascii="Times New Roman" w:hAnsi="Times New Roman" w:cs="Times New Roman"/>
        </w:rPr>
        <w:t>Там</w:t>
      </w:r>
      <w:r>
        <w:rPr>
          <w:rFonts w:ascii="Times New Roman" w:hAnsi="Times New Roman" w:cs="Times New Roman"/>
          <w:lang w:val="en-US"/>
        </w:rPr>
        <w:t xml:space="preserve"> </w:t>
      </w:r>
      <w:r>
        <w:rPr>
          <w:rFonts w:ascii="Times New Roman" w:hAnsi="Times New Roman" w:cs="Times New Roman"/>
        </w:rPr>
        <w:t>же</w:t>
      </w:r>
      <w:r>
        <w:rPr>
          <w:rFonts w:ascii="Times New Roman" w:hAnsi="Times New Roman" w:cs="Times New Roman"/>
          <w:lang w:val="en-US"/>
        </w:rPr>
        <w:t>.</w:t>
      </w:r>
    </w:p>
  </w:footnote>
  <w:footnote w:id="99">
    <w:p>
      <w:pPr>
        <w:pStyle w:val="P30"/>
        <w:spacing w:before="0" w:after="0" w:beforeAutospacing="0" w:afterAutospacing="0"/>
        <w:jc w:val="both"/>
        <w:rPr>
          <w:sz w:val="20"/>
          <w:szCs w:val="20"/>
          <w:lang w:val="en-GB"/>
        </w:rPr>
      </w:pPr>
      <w:r>
        <w:rPr>
          <w:rStyle w:val="C42"/>
          <w:sz w:val="20"/>
          <w:szCs w:val="20"/>
          <w:highlight w:val="green"/>
        </w:rPr>
        <w:footnoteRef/>
      </w:r>
      <w:r>
        <w:rPr>
          <w:sz w:val="20"/>
          <w:szCs w:val="20"/>
          <w:highlight w:val="green"/>
          <w:lang w:val="en-GB"/>
        </w:rPr>
        <w:t xml:space="preserve"> </w:t>
      </w:r>
      <w:r>
        <w:rPr>
          <w:sz w:val="20"/>
          <w:szCs w:val="20"/>
          <w:highlight w:val="green"/>
        </w:rPr>
        <w:t>Составлено</w:t>
      </w:r>
      <w:r>
        <w:rPr>
          <w:sz w:val="20"/>
          <w:szCs w:val="20"/>
          <w:highlight w:val="green"/>
          <w:lang w:val="en-GB"/>
        </w:rPr>
        <w:t xml:space="preserve"> </w:t>
      </w:r>
      <w:r>
        <w:rPr>
          <w:sz w:val="20"/>
          <w:szCs w:val="20"/>
          <w:highlight w:val="green"/>
        </w:rPr>
        <w:t>автором</w:t>
      </w:r>
      <w:r>
        <w:rPr>
          <w:sz w:val="20"/>
          <w:szCs w:val="20"/>
          <w:highlight w:val="green"/>
          <w:lang w:val="en-GB"/>
        </w:rPr>
        <w:t xml:space="preserve"> </w:t>
      </w:r>
      <w:r>
        <w:rPr>
          <w:sz w:val="20"/>
          <w:szCs w:val="20"/>
          <w:highlight w:val="green"/>
        </w:rPr>
        <w:t>по</w:t>
      </w:r>
      <w:r>
        <w:rPr>
          <w:sz w:val="20"/>
          <w:szCs w:val="20"/>
          <w:highlight w:val="green"/>
          <w:lang w:val="en-GB"/>
        </w:rPr>
        <w:t xml:space="preserve"> </w:t>
      </w:r>
      <w:r>
        <w:rPr>
          <w:sz w:val="20"/>
          <w:szCs w:val="20"/>
          <w:highlight w:val="green"/>
        </w:rPr>
        <w:t>данным</w:t>
      </w:r>
      <w:r>
        <w:rPr>
          <w:sz w:val="20"/>
          <w:szCs w:val="20"/>
          <w:highlight w:val="green"/>
          <w:lang w:val="en-GB"/>
        </w:rPr>
        <w:t xml:space="preserve"> </w:t>
      </w:r>
      <w:r>
        <w:rPr>
          <w:sz w:val="20"/>
          <w:szCs w:val="20"/>
          <w:highlight w:val="green"/>
          <w:lang w:val="en-US"/>
        </w:rPr>
        <w:t>World</w:t>
      </w:r>
      <w:r>
        <w:rPr>
          <w:sz w:val="20"/>
          <w:szCs w:val="20"/>
          <w:highlight w:val="green"/>
          <w:lang w:val="en-GB"/>
        </w:rPr>
        <w:t xml:space="preserve"> </w:t>
      </w:r>
      <w:r>
        <w:rPr>
          <w:sz w:val="20"/>
          <w:szCs w:val="20"/>
          <w:highlight w:val="green"/>
          <w:lang w:val="en-US"/>
        </w:rPr>
        <w:t>Bank</w:t>
      </w:r>
      <w:r>
        <w:rPr>
          <w:sz w:val="20"/>
          <w:szCs w:val="20"/>
          <w:highlight w:val="green"/>
          <w:lang w:val="en-GB"/>
        </w:rPr>
        <w:t xml:space="preserve">, </w:t>
      </w:r>
      <w:r>
        <w:rPr>
          <w:sz w:val="20"/>
          <w:szCs w:val="20"/>
          <w:highlight w:val="green"/>
          <w:lang w:val="en-US"/>
        </w:rPr>
        <w:t>World</w:t>
      </w:r>
      <w:r>
        <w:rPr>
          <w:sz w:val="20"/>
          <w:szCs w:val="20"/>
          <w:highlight w:val="green"/>
          <w:lang w:val="en-GB"/>
        </w:rPr>
        <w:t xml:space="preserve"> </w:t>
      </w:r>
      <w:r>
        <w:rPr>
          <w:sz w:val="20"/>
          <w:szCs w:val="20"/>
          <w:highlight w:val="green"/>
          <w:lang w:val="en-US"/>
        </w:rPr>
        <w:t>Development</w:t>
      </w:r>
      <w:r>
        <w:rPr>
          <w:sz w:val="20"/>
          <w:szCs w:val="20"/>
          <w:highlight w:val="green"/>
          <w:lang w:val="en-GB"/>
        </w:rPr>
        <w:t xml:space="preserve"> </w:t>
      </w:r>
      <w:r>
        <w:rPr>
          <w:sz w:val="20"/>
          <w:szCs w:val="20"/>
          <w:highlight w:val="green"/>
          <w:lang w:val="en-US"/>
        </w:rPr>
        <w:t>Indicators</w:t>
      </w:r>
      <w:r>
        <w:rPr>
          <w:sz w:val="20"/>
          <w:szCs w:val="20"/>
          <w:highlight w:val="green"/>
          <w:lang w:val="en-GB"/>
        </w:rPr>
        <w:t xml:space="preserve"> (</w:t>
      </w:r>
      <w:r>
        <w:rPr>
          <w:sz w:val="20"/>
          <w:szCs w:val="20"/>
          <w:highlight w:val="green"/>
          <w:lang w:val="en-US"/>
        </w:rPr>
        <w:t>WDI</w:t>
      </w:r>
      <w:r>
        <w:rPr>
          <w:sz w:val="20"/>
          <w:szCs w:val="20"/>
          <w:highlight w:val="green"/>
          <w:lang w:val="en-GB"/>
        </w:rPr>
        <w:t xml:space="preserve">), </w:t>
      </w:r>
      <w:r>
        <w:rPr>
          <w:sz w:val="20"/>
          <w:szCs w:val="20"/>
          <w:highlight w:val="green"/>
          <w:lang w:val="en-US"/>
        </w:rPr>
        <w:t>UNCTADstat</w:t>
      </w:r>
      <w:r>
        <w:rPr>
          <w:sz w:val="20"/>
          <w:szCs w:val="20"/>
          <w:highlight w:val="green"/>
          <w:lang w:val="en-GB"/>
        </w:rPr>
        <w:t xml:space="preserve"> </w:t>
      </w:r>
      <w:r>
        <w:rPr>
          <w:sz w:val="20"/>
          <w:szCs w:val="20"/>
          <w:highlight w:val="green"/>
          <w:lang w:val="en-US"/>
        </w:rPr>
        <w:t>Database</w:t>
      </w:r>
      <w:r>
        <w:rPr>
          <w:sz w:val="20"/>
          <w:szCs w:val="20"/>
          <w:highlight w:val="green"/>
          <w:lang w:val="en-GB"/>
        </w:rPr>
        <w:t xml:space="preserve">, </w:t>
      </w:r>
      <w:r>
        <w:rPr>
          <w:sz w:val="20"/>
          <w:szCs w:val="20"/>
          <w:highlight w:val="green"/>
          <w:lang w:val="en-US"/>
        </w:rPr>
        <w:t>IMF</w:t>
      </w:r>
      <w:r>
        <w:rPr>
          <w:sz w:val="20"/>
          <w:szCs w:val="20"/>
          <w:highlight w:val="green"/>
          <w:lang w:val="en-GB"/>
        </w:rPr>
        <w:t xml:space="preserve"> </w:t>
      </w:r>
      <w:r>
        <w:rPr>
          <w:sz w:val="20"/>
          <w:szCs w:val="20"/>
          <w:highlight w:val="green"/>
          <w:lang w:val="en-US"/>
        </w:rPr>
        <w:t>Direction</w:t>
      </w:r>
      <w:r>
        <w:rPr>
          <w:sz w:val="20"/>
          <w:szCs w:val="20"/>
          <w:highlight w:val="green"/>
          <w:lang w:val="en-GB"/>
        </w:rPr>
        <w:t xml:space="preserve"> </w:t>
      </w:r>
      <w:r>
        <w:rPr>
          <w:sz w:val="20"/>
          <w:szCs w:val="20"/>
          <w:highlight w:val="green"/>
          <w:lang w:val="en-US"/>
        </w:rPr>
        <w:t>of</w:t>
      </w:r>
      <w:r>
        <w:rPr>
          <w:sz w:val="20"/>
          <w:szCs w:val="20"/>
          <w:highlight w:val="green"/>
          <w:lang w:val="en-GB"/>
        </w:rPr>
        <w:t xml:space="preserve"> </w:t>
      </w:r>
      <w:r>
        <w:rPr>
          <w:sz w:val="20"/>
          <w:szCs w:val="20"/>
          <w:highlight w:val="green"/>
          <w:lang w:val="en-US"/>
        </w:rPr>
        <w:t>Trade</w:t>
      </w:r>
      <w:r>
        <w:rPr>
          <w:sz w:val="20"/>
          <w:szCs w:val="20"/>
          <w:highlight w:val="green"/>
          <w:lang w:val="en-GB"/>
        </w:rPr>
        <w:t xml:space="preserve"> </w:t>
      </w:r>
      <w:r>
        <w:rPr>
          <w:sz w:val="20"/>
          <w:szCs w:val="20"/>
          <w:highlight w:val="green"/>
          <w:lang w:val="en-US"/>
        </w:rPr>
        <w:t>Statistics</w:t>
      </w:r>
      <w:r>
        <w:rPr>
          <w:sz w:val="20"/>
          <w:szCs w:val="20"/>
          <w:highlight w:val="green"/>
          <w:lang w:val="en-GB"/>
        </w:rPr>
        <w:t xml:space="preserve">,  </w:t>
      </w:r>
      <w:r>
        <w:rPr>
          <w:sz w:val="20"/>
          <w:szCs w:val="20"/>
          <w:highlight w:val="green"/>
          <w:lang w:val="en-US"/>
        </w:rPr>
        <w:t>National</w:t>
      </w:r>
      <w:r>
        <w:rPr>
          <w:sz w:val="20"/>
          <w:szCs w:val="20"/>
          <w:highlight w:val="green"/>
          <w:lang w:val="en-GB"/>
        </w:rPr>
        <w:t xml:space="preserve"> </w:t>
      </w:r>
      <w:r>
        <w:rPr>
          <w:sz w:val="20"/>
          <w:szCs w:val="20"/>
          <w:highlight w:val="green"/>
          <w:lang w:val="en-US"/>
        </w:rPr>
        <w:t>Institute</w:t>
      </w:r>
      <w:r>
        <w:rPr>
          <w:sz w:val="20"/>
          <w:szCs w:val="20"/>
          <w:highlight w:val="green"/>
          <w:lang w:val="en-GB"/>
        </w:rPr>
        <w:t xml:space="preserve"> </w:t>
      </w:r>
      <w:r>
        <w:rPr>
          <w:sz w:val="20"/>
          <w:szCs w:val="20"/>
          <w:highlight w:val="green"/>
          <w:lang w:val="en-US"/>
        </w:rPr>
        <w:t>of</w:t>
      </w:r>
      <w:r>
        <w:rPr>
          <w:sz w:val="20"/>
          <w:szCs w:val="20"/>
          <w:highlight w:val="green"/>
          <w:lang w:val="en-GB"/>
        </w:rPr>
        <w:t xml:space="preserve"> </w:t>
      </w:r>
      <w:r>
        <w:rPr>
          <w:sz w:val="20"/>
          <w:szCs w:val="20"/>
          <w:highlight w:val="green"/>
          <w:lang w:val="en-US"/>
        </w:rPr>
        <w:t>Statistics</w:t>
      </w:r>
      <w:r>
        <w:rPr>
          <w:sz w:val="20"/>
          <w:szCs w:val="20"/>
          <w:highlight w:val="green"/>
          <w:lang w:val="en-GB"/>
        </w:rPr>
        <w:t xml:space="preserve"> </w:t>
      </w:r>
      <w:r>
        <w:rPr>
          <w:sz w:val="20"/>
          <w:szCs w:val="20"/>
          <w:highlight w:val="green"/>
          <w:lang w:val="en-US"/>
        </w:rPr>
        <w:t>C</w:t>
      </w:r>
      <w:r>
        <w:rPr>
          <w:sz w:val="20"/>
          <w:szCs w:val="20"/>
          <w:highlight w:val="green"/>
          <w:lang w:val="en-GB"/>
        </w:rPr>
        <w:t>ô</w:t>
      </w:r>
      <w:r>
        <w:rPr>
          <w:sz w:val="20"/>
          <w:szCs w:val="20"/>
          <w:highlight w:val="green"/>
          <w:lang w:val="en-US"/>
        </w:rPr>
        <w:t>te</w:t>
      </w:r>
      <w:r>
        <w:rPr>
          <w:sz w:val="20"/>
          <w:szCs w:val="20"/>
          <w:highlight w:val="green"/>
          <w:lang w:val="en-GB"/>
        </w:rPr>
        <w:t xml:space="preserve"> </w:t>
      </w:r>
      <w:r>
        <w:rPr>
          <w:sz w:val="20"/>
          <w:szCs w:val="20"/>
          <w:highlight w:val="green"/>
          <w:lang w:val="en-US"/>
        </w:rPr>
        <w:t>d</w:t>
      </w:r>
      <w:r>
        <w:rPr>
          <w:sz w:val="20"/>
          <w:szCs w:val="20"/>
          <w:highlight w:val="green"/>
          <w:lang w:val="en-GB"/>
        </w:rPr>
        <w:t>’</w:t>
      </w:r>
      <w:r>
        <w:rPr>
          <w:sz w:val="20"/>
          <w:szCs w:val="20"/>
          <w:highlight w:val="green"/>
          <w:lang w:val="en-US"/>
        </w:rPr>
        <w:t>Ivoire</w:t>
      </w:r>
      <w:r>
        <w:rPr>
          <w:sz w:val="20"/>
          <w:szCs w:val="20"/>
          <w:highlight w:val="green"/>
          <w:lang w:val="en-GB"/>
        </w:rPr>
        <w:t xml:space="preserve"> (</w:t>
      </w:r>
      <w:r>
        <w:rPr>
          <w:sz w:val="20"/>
          <w:szCs w:val="20"/>
          <w:highlight w:val="green"/>
          <w:lang w:val="en-US"/>
        </w:rPr>
        <w:t>INS</w:t>
      </w:r>
      <w:r>
        <w:rPr>
          <w:sz w:val="20"/>
          <w:szCs w:val="20"/>
          <w:highlight w:val="green"/>
          <w:lang w:val="en-GB"/>
        </w:rPr>
        <w:t xml:space="preserve">), </w:t>
      </w:r>
      <w:r>
        <w:rPr>
          <w:sz w:val="20"/>
          <w:szCs w:val="20"/>
          <w:highlight w:val="green"/>
          <w:lang w:val="en-US"/>
        </w:rPr>
        <w:t>AfDB</w:t>
      </w:r>
      <w:r>
        <w:rPr>
          <w:sz w:val="20"/>
          <w:szCs w:val="20"/>
          <w:highlight w:val="green"/>
          <w:lang w:val="en-GB"/>
        </w:rPr>
        <w:t xml:space="preserve"> </w:t>
      </w:r>
      <w:r>
        <w:rPr>
          <w:sz w:val="20"/>
          <w:szCs w:val="20"/>
          <w:highlight w:val="green"/>
          <w:lang w:val="en-US"/>
        </w:rPr>
        <w:t>Country</w:t>
      </w:r>
      <w:r>
        <w:rPr>
          <w:sz w:val="20"/>
          <w:szCs w:val="20"/>
          <w:highlight w:val="green"/>
          <w:lang w:val="en-GB"/>
        </w:rPr>
        <w:t xml:space="preserve"> </w:t>
      </w:r>
      <w:r>
        <w:rPr>
          <w:sz w:val="20"/>
          <w:szCs w:val="20"/>
          <w:highlight w:val="green"/>
          <w:lang w:val="en-US"/>
        </w:rPr>
        <w:t>Economic</w:t>
      </w:r>
      <w:r>
        <w:rPr>
          <w:sz w:val="20"/>
          <w:szCs w:val="20"/>
          <w:highlight w:val="green"/>
          <w:lang w:val="en-GB"/>
        </w:rPr>
        <w:t xml:space="preserve"> </w:t>
      </w:r>
      <w:r>
        <w:rPr>
          <w:sz w:val="20"/>
          <w:szCs w:val="20"/>
          <w:highlight w:val="green"/>
          <w:lang w:val="en-US"/>
        </w:rPr>
        <w:t>Outlook</w:t>
      </w:r>
      <w:r>
        <w:rPr>
          <w:sz w:val="20"/>
          <w:szCs w:val="20"/>
          <w:highlight w:val="green"/>
          <w:lang w:val="en-GB"/>
        </w:rPr>
        <w:t xml:space="preserve"> </w:t>
      </w:r>
      <w:r>
        <w:rPr>
          <w:sz w:val="20"/>
          <w:szCs w:val="20"/>
          <w:highlight w:val="green"/>
          <w:lang w:val="en-US"/>
        </w:rPr>
        <w:t>C</w:t>
      </w:r>
      <w:r>
        <w:rPr>
          <w:sz w:val="20"/>
          <w:szCs w:val="20"/>
          <w:highlight w:val="green"/>
          <w:lang w:val="en-GB"/>
        </w:rPr>
        <w:t>ô</w:t>
      </w:r>
      <w:r>
        <w:rPr>
          <w:sz w:val="20"/>
          <w:szCs w:val="20"/>
          <w:highlight w:val="green"/>
          <w:lang w:val="en-US"/>
        </w:rPr>
        <w:t>te</w:t>
      </w:r>
      <w:r>
        <w:rPr>
          <w:sz w:val="20"/>
          <w:szCs w:val="20"/>
          <w:highlight w:val="green"/>
          <w:lang w:val="en-GB"/>
        </w:rPr>
        <w:t xml:space="preserve"> </w:t>
      </w:r>
      <w:r>
        <w:rPr>
          <w:sz w:val="20"/>
          <w:szCs w:val="20"/>
          <w:highlight w:val="green"/>
          <w:lang w:val="en-US"/>
        </w:rPr>
        <w:t>d</w:t>
      </w:r>
      <w:r>
        <w:rPr>
          <w:sz w:val="20"/>
          <w:szCs w:val="20"/>
          <w:highlight w:val="green"/>
          <w:lang w:val="en-GB"/>
        </w:rPr>
        <w:t>’</w:t>
      </w:r>
      <w:r>
        <w:rPr>
          <w:sz w:val="20"/>
          <w:szCs w:val="20"/>
          <w:highlight w:val="green"/>
          <w:lang w:val="en-US"/>
        </w:rPr>
        <w:t>Ivoire</w:t>
      </w:r>
      <w:r>
        <w:rPr>
          <w:sz w:val="20"/>
          <w:szCs w:val="20"/>
          <w:highlight w:val="green"/>
          <w:lang w:val="en-GB"/>
        </w:rPr>
        <w:t xml:space="preserve"> (2023–2024).</w:t>
      </w:r>
    </w:p>
  </w:footnote>
  <w:footnote w:id="100">
    <w:p>
      <w:pPr>
        <w:pStyle w:val="P26"/>
        <w:jc w:val="both"/>
        <w:rPr>
          <w:rFonts w:ascii="Times New Roman" w:hAnsi="Times New Roman" w:cs="Times New Roman"/>
          <w:lang w:val="en-GB"/>
        </w:rPr>
      </w:pPr>
      <w:r>
        <w:rPr>
          <w:rStyle w:val="C42"/>
          <w:rFonts w:ascii="Times New Roman" w:hAnsi="Times New Roman" w:cs="Times New Roman"/>
          <w:highlight w:val="green"/>
        </w:rPr>
        <w:footnoteRef/>
      </w:r>
      <w:r>
        <w:rPr>
          <w:rFonts w:ascii="Times New Roman" w:hAnsi="Times New Roman" w:cs="Times New Roman"/>
          <w:highlight w:val="green"/>
          <w:lang w:val="en-GB"/>
        </w:rPr>
        <w:t xml:space="preserve"> </w:t>
      </w:r>
      <w:r>
        <w:rPr>
          <w:rFonts w:ascii="Times New Roman" w:hAnsi="Times New Roman" w:cs="Times New Roman"/>
          <w:highlight w:val="green"/>
        </w:rPr>
        <w:t>Составлено</w:t>
      </w:r>
      <w:r>
        <w:rPr>
          <w:rFonts w:ascii="Times New Roman" w:hAnsi="Times New Roman" w:cs="Times New Roman"/>
          <w:highlight w:val="green"/>
          <w:lang w:val="en-GB"/>
        </w:rPr>
        <w:t xml:space="preserve"> </w:t>
      </w:r>
      <w:r>
        <w:rPr>
          <w:rFonts w:ascii="Times New Roman" w:hAnsi="Times New Roman" w:cs="Times New Roman"/>
          <w:highlight w:val="green"/>
        </w:rPr>
        <w:t>автором</w:t>
      </w:r>
      <w:r>
        <w:rPr>
          <w:rFonts w:ascii="Times New Roman" w:hAnsi="Times New Roman" w:cs="Times New Roman"/>
          <w:highlight w:val="green"/>
          <w:lang w:val="en-GB"/>
        </w:rPr>
        <w:t xml:space="preserve"> </w:t>
      </w:r>
      <w:r>
        <w:rPr>
          <w:rFonts w:ascii="Times New Roman" w:hAnsi="Times New Roman" w:cs="Times New Roman"/>
          <w:highlight w:val="green"/>
        </w:rPr>
        <w:t>по</w:t>
      </w:r>
      <w:r>
        <w:rPr>
          <w:rFonts w:ascii="Times New Roman" w:hAnsi="Times New Roman" w:cs="Times New Roman"/>
          <w:highlight w:val="green"/>
          <w:lang w:val="en-GB"/>
        </w:rPr>
        <w:t xml:space="preserve"> </w:t>
      </w:r>
      <w:r>
        <w:rPr>
          <w:rFonts w:ascii="Times New Roman" w:hAnsi="Times New Roman" w:cs="Times New Roman"/>
          <w:highlight w:val="green"/>
        </w:rPr>
        <w:t>данным</w:t>
      </w:r>
      <w:r>
        <w:rPr>
          <w:rFonts w:ascii="Times New Roman" w:hAnsi="Times New Roman" w:cs="Times New Roman"/>
          <w:highlight w:val="green"/>
          <w:lang w:val="en-GB"/>
        </w:rPr>
        <w:t xml:space="preserve"> </w:t>
      </w:r>
      <w:r>
        <w:rPr>
          <w:rFonts w:ascii="Times New Roman" w:hAnsi="Times New Roman" w:cs="Times New Roman"/>
          <w:highlight w:val="green"/>
          <w:lang w:val="en-US"/>
        </w:rPr>
        <w:t>ITC</w:t>
      </w:r>
      <w:r>
        <w:rPr>
          <w:rFonts w:ascii="Times New Roman" w:hAnsi="Times New Roman" w:cs="Times New Roman"/>
          <w:highlight w:val="green"/>
          <w:lang w:val="en-GB"/>
        </w:rPr>
        <w:t xml:space="preserve"> </w:t>
      </w:r>
      <w:r>
        <w:rPr>
          <w:rFonts w:ascii="Times New Roman" w:hAnsi="Times New Roman" w:cs="Times New Roman"/>
          <w:highlight w:val="green"/>
          <w:lang w:val="en-US"/>
        </w:rPr>
        <w:t>Trade</w:t>
      </w:r>
      <w:r>
        <w:rPr>
          <w:rFonts w:ascii="Times New Roman" w:hAnsi="Times New Roman" w:cs="Times New Roman"/>
          <w:highlight w:val="green"/>
          <w:lang w:val="en-GB"/>
        </w:rPr>
        <w:t xml:space="preserve"> </w:t>
      </w:r>
      <w:r>
        <w:rPr>
          <w:rFonts w:ascii="Times New Roman" w:hAnsi="Times New Roman" w:cs="Times New Roman"/>
          <w:highlight w:val="green"/>
          <w:lang w:val="en-US"/>
        </w:rPr>
        <w:t>Map</w:t>
      </w:r>
      <w:r>
        <w:rPr>
          <w:rFonts w:ascii="Times New Roman" w:hAnsi="Times New Roman" w:cs="Times New Roman"/>
          <w:highlight w:val="green"/>
          <w:lang w:val="en-GB"/>
        </w:rPr>
        <w:t xml:space="preserve">, </w:t>
      </w:r>
      <w:r>
        <w:rPr>
          <w:rFonts w:ascii="Times New Roman" w:hAnsi="Times New Roman" w:cs="Times New Roman"/>
          <w:highlight w:val="green"/>
          <w:lang w:val="en-US"/>
        </w:rPr>
        <w:t>UN</w:t>
      </w:r>
      <w:r>
        <w:rPr>
          <w:rFonts w:ascii="Times New Roman" w:hAnsi="Times New Roman" w:cs="Times New Roman"/>
          <w:highlight w:val="green"/>
          <w:lang w:val="en-GB"/>
        </w:rPr>
        <w:t xml:space="preserve"> </w:t>
      </w:r>
      <w:r>
        <w:rPr>
          <w:rFonts w:ascii="Times New Roman" w:hAnsi="Times New Roman" w:cs="Times New Roman"/>
          <w:highlight w:val="green"/>
          <w:lang w:val="en-US"/>
        </w:rPr>
        <w:t>Comtrade</w:t>
      </w:r>
      <w:r>
        <w:rPr>
          <w:rFonts w:ascii="Times New Roman" w:hAnsi="Times New Roman" w:cs="Times New Roman"/>
          <w:highlight w:val="green"/>
          <w:lang w:val="en-GB"/>
        </w:rPr>
        <w:t xml:space="preserve"> </w:t>
      </w:r>
      <w:r>
        <w:rPr>
          <w:rFonts w:ascii="Times New Roman" w:hAnsi="Times New Roman" w:cs="Times New Roman"/>
          <w:highlight w:val="green"/>
          <w:lang w:val="en-US"/>
        </w:rPr>
        <w:t>Database</w:t>
      </w:r>
      <w:r>
        <w:rPr>
          <w:rFonts w:ascii="Times New Roman" w:hAnsi="Times New Roman" w:cs="Times New Roman"/>
          <w:highlight w:val="green"/>
          <w:lang w:val="en-GB"/>
        </w:rPr>
        <w:t xml:space="preserve">, </w:t>
      </w:r>
      <w:r>
        <w:rPr>
          <w:rFonts w:ascii="Times New Roman" w:hAnsi="Times New Roman" w:cs="Times New Roman"/>
          <w:highlight w:val="green"/>
          <w:lang w:val="en-US"/>
        </w:rPr>
        <w:t>FAOSTAT</w:t>
      </w:r>
      <w:r>
        <w:rPr>
          <w:rFonts w:ascii="Times New Roman" w:hAnsi="Times New Roman" w:cs="Times New Roman"/>
          <w:highlight w:val="green"/>
          <w:lang w:val="en-GB"/>
        </w:rPr>
        <w:t xml:space="preserve"> (</w:t>
      </w:r>
      <w:r>
        <w:rPr>
          <w:rFonts w:ascii="Times New Roman" w:hAnsi="Times New Roman" w:cs="Times New Roman"/>
          <w:highlight w:val="green"/>
        </w:rPr>
        <w:t>по</w:t>
      </w:r>
      <w:r>
        <w:rPr>
          <w:rFonts w:ascii="Times New Roman" w:hAnsi="Times New Roman" w:cs="Times New Roman"/>
          <w:highlight w:val="green"/>
          <w:lang w:val="en-GB"/>
        </w:rPr>
        <w:t xml:space="preserve"> </w:t>
      </w:r>
      <w:r>
        <w:rPr>
          <w:rFonts w:ascii="Times New Roman" w:hAnsi="Times New Roman" w:cs="Times New Roman"/>
          <w:highlight w:val="green"/>
        </w:rPr>
        <w:t>какао</w:t>
      </w:r>
      <w:r>
        <w:rPr>
          <w:rFonts w:ascii="Times New Roman" w:hAnsi="Times New Roman" w:cs="Times New Roman"/>
          <w:highlight w:val="green"/>
          <w:lang w:val="en-GB"/>
        </w:rPr>
        <w:t xml:space="preserve">, </w:t>
      </w:r>
      <w:r>
        <w:rPr>
          <w:rFonts w:ascii="Times New Roman" w:hAnsi="Times New Roman" w:cs="Times New Roman"/>
          <w:highlight w:val="green"/>
        </w:rPr>
        <w:t>кешью</w:t>
      </w:r>
      <w:r>
        <w:rPr>
          <w:rFonts w:ascii="Times New Roman" w:hAnsi="Times New Roman" w:cs="Times New Roman"/>
          <w:highlight w:val="green"/>
          <w:lang w:val="en-GB"/>
        </w:rPr>
        <w:t xml:space="preserve">), </w:t>
      </w:r>
      <w:r>
        <w:rPr>
          <w:rFonts w:ascii="Times New Roman" w:hAnsi="Times New Roman" w:cs="Times New Roman"/>
          <w:highlight w:val="green"/>
          <w:lang w:val="en-US"/>
        </w:rPr>
        <w:t>UNCTAD</w:t>
      </w:r>
      <w:r>
        <w:rPr>
          <w:rFonts w:ascii="Times New Roman" w:hAnsi="Times New Roman" w:cs="Times New Roman"/>
          <w:highlight w:val="green"/>
          <w:lang w:val="en-GB"/>
        </w:rPr>
        <w:t xml:space="preserve"> </w:t>
      </w:r>
      <w:r>
        <w:rPr>
          <w:rFonts w:ascii="Times New Roman" w:hAnsi="Times New Roman" w:cs="Times New Roman"/>
          <w:highlight w:val="green"/>
          <w:lang w:val="en-US"/>
        </w:rPr>
        <w:t>Commodity</w:t>
      </w:r>
      <w:r>
        <w:rPr>
          <w:rFonts w:ascii="Times New Roman" w:hAnsi="Times New Roman" w:cs="Times New Roman"/>
          <w:highlight w:val="green"/>
          <w:lang w:val="en-GB"/>
        </w:rPr>
        <w:t xml:space="preserve"> </w:t>
      </w:r>
      <w:r>
        <w:rPr>
          <w:rFonts w:ascii="Times New Roman" w:hAnsi="Times New Roman" w:cs="Times New Roman"/>
          <w:highlight w:val="green"/>
          <w:lang w:val="en-US"/>
        </w:rPr>
        <w:t>Statistics</w:t>
      </w:r>
      <w:r>
        <w:rPr>
          <w:rFonts w:ascii="Times New Roman" w:hAnsi="Times New Roman" w:cs="Times New Roman"/>
          <w:highlight w:val="green"/>
          <w:lang w:val="en-GB"/>
        </w:rPr>
        <w:t xml:space="preserve">, </w:t>
      </w:r>
      <w:r>
        <w:rPr>
          <w:rFonts w:ascii="Times New Roman" w:hAnsi="Times New Roman" w:cs="Times New Roman"/>
          <w:highlight w:val="green"/>
        </w:rPr>
        <w:t>Министерство</w:t>
      </w:r>
      <w:r>
        <w:rPr>
          <w:rFonts w:ascii="Times New Roman" w:hAnsi="Times New Roman" w:cs="Times New Roman"/>
          <w:highlight w:val="green"/>
          <w:lang w:val="en-GB"/>
        </w:rPr>
        <w:t xml:space="preserve"> </w:t>
      </w:r>
      <w:r>
        <w:rPr>
          <w:rFonts w:ascii="Times New Roman" w:hAnsi="Times New Roman" w:cs="Times New Roman"/>
          <w:highlight w:val="green"/>
        </w:rPr>
        <w:t>торговли</w:t>
      </w:r>
      <w:r>
        <w:rPr>
          <w:rFonts w:ascii="Times New Roman" w:hAnsi="Times New Roman" w:cs="Times New Roman"/>
          <w:highlight w:val="green"/>
          <w:lang w:val="en-GB"/>
        </w:rPr>
        <w:t xml:space="preserve"> </w:t>
      </w:r>
      <w:r>
        <w:rPr>
          <w:rFonts w:ascii="Times New Roman" w:hAnsi="Times New Roman" w:cs="Times New Roman"/>
          <w:highlight w:val="green"/>
        </w:rPr>
        <w:t>Кот</w:t>
      </w:r>
      <w:r>
        <w:rPr>
          <w:rFonts w:ascii="Times New Roman" w:hAnsi="Times New Roman" w:cs="Times New Roman"/>
          <w:highlight w:val="green"/>
          <w:lang w:val="en-GB"/>
        </w:rPr>
        <w:t>-</w:t>
      </w:r>
      <w:r>
        <w:rPr>
          <w:rFonts w:ascii="Times New Roman" w:hAnsi="Times New Roman" w:cs="Times New Roman"/>
          <w:highlight w:val="green"/>
        </w:rPr>
        <w:t>д</w:t>
      </w:r>
      <w:r>
        <w:rPr>
          <w:rFonts w:ascii="Times New Roman" w:hAnsi="Times New Roman" w:cs="Times New Roman"/>
          <w:highlight w:val="green"/>
          <w:lang w:val="en-GB"/>
        </w:rPr>
        <w:t>’</w:t>
      </w:r>
      <w:r>
        <w:rPr>
          <w:rFonts w:ascii="Times New Roman" w:hAnsi="Times New Roman" w:cs="Times New Roman"/>
          <w:highlight w:val="green"/>
        </w:rPr>
        <w:t>Ивуара</w:t>
      </w:r>
      <w:r>
        <w:rPr>
          <w:rFonts w:ascii="Times New Roman" w:hAnsi="Times New Roman" w:cs="Times New Roman"/>
          <w:highlight w:val="green"/>
          <w:lang w:val="en-GB"/>
        </w:rPr>
        <w:t>.</w:t>
      </w:r>
    </w:p>
  </w:footnote>
  <w:footnote w:id="101">
    <w:p>
      <w:pPr>
        <w:pStyle w:val="P30"/>
        <w:spacing w:before="0" w:after="0" w:beforeAutospacing="0" w:afterAutospacing="0"/>
        <w:jc w:val="both"/>
        <w:rPr>
          <w:sz w:val="20"/>
          <w:szCs w:val="20"/>
          <w:lang w:val="en-US"/>
        </w:rPr>
      </w:pPr>
      <w:r>
        <w:rPr>
          <w:rStyle w:val="C42"/>
          <w:sz w:val="20"/>
          <w:szCs w:val="20"/>
          <w:highlight w:val="green"/>
        </w:rPr>
        <w:footnoteRef/>
      </w:r>
      <w:r>
        <w:rPr>
          <w:sz w:val="20"/>
          <w:szCs w:val="20"/>
          <w:highlight w:val="green"/>
          <w:lang w:val="en-US"/>
        </w:rPr>
        <w:t xml:space="preserve"> </w:t>
      </w:r>
      <w:r>
        <w:rPr>
          <w:sz w:val="20"/>
          <w:szCs w:val="20"/>
          <w:highlight w:val="green"/>
        </w:rPr>
        <w:t>Составлено</w:t>
      </w:r>
      <w:r>
        <w:rPr>
          <w:sz w:val="20"/>
          <w:szCs w:val="20"/>
          <w:highlight w:val="green"/>
          <w:lang w:val="en-US"/>
        </w:rPr>
        <w:t xml:space="preserve"> </w:t>
      </w:r>
      <w:r>
        <w:rPr>
          <w:sz w:val="20"/>
          <w:szCs w:val="20"/>
          <w:highlight w:val="green"/>
        </w:rPr>
        <w:t>автором</w:t>
      </w:r>
      <w:r>
        <w:rPr>
          <w:sz w:val="20"/>
          <w:szCs w:val="20"/>
          <w:highlight w:val="green"/>
          <w:lang w:val="en-US"/>
        </w:rPr>
        <w:t xml:space="preserve"> </w:t>
      </w:r>
      <w:r>
        <w:rPr>
          <w:sz w:val="20"/>
          <w:szCs w:val="20"/>
          <w:highlight w:val="green"/>
        </w:rPr>
        <w:t>по</w:t>
      </w:r>
      <w:r>
        <w:rPr>
          <w:sz w:val="20"/>
          <w:szCs w:val="20"/>
          <w:highlight w:val="green"/>
          <w:lang w:val="en-US"/>
        </w:rPr>
        <w:t xml:space="preserve"> </w:t>
      </w:r>
      <w:r>
        <w:rPr>
          <w:sz w:val="20"/>
          <w:szCs w:val="20"/>
          <w:highlight w:val="green"/>
        </w:rPr>
        <w:t>данным</w:t>
      </w:r>
      <w:r>
        <w:rPr>
          <w:sz w:val="20"/>
          <w:szCs w:val="20"/>
          <w:highlight w:val="green"/>
          <w:lang w:val="en-US"/>
        </w:rPr>
        <w:t xml:space="preserve"> International Cocoa Organization (ICCO), African Cashew Alliance Reports, World Bank Agricultural Value Chain Assessments, National Development Plan 2021–2025.</w:t>
      </w:r>
    </w:p>
  </w:footnote>
  <w:footnote w:id="102">
    <w:p>
      <w:pPr>
        <w:pStyle w:val="P26"/>
        <w:rPr>
          <w:rFonts w:ascii="Times New Roman" w:hAnsi="Times New Roman" w:cs="Times New Roman"/>
          <w:lang w:val="en-US"/>
        </w:rPr>
      </w:pPr>
      <w:r>
        <w:rPr>
          <w:rStyle w:val="C42"/>
          <w:rFonts w:ascii="Times New Roman" w:hAnsi="Times New Roman" w:cs="Times New Roman"/>
          <w:highlight w:val="green"/>
        </w:rPr>
        <w:footnoteRef/>
      </w:r>
      <w:r>
        <w:rPr>
          <w:rFonts w:ascii="Times New Roman" w:hAnsi="Times New Roman" w:cs="Times New Roman"/>
          <w:highlight w:val="green"/>
          <w:lang w:val="en-US"/>
        </w:rPr>
        <w:t xml:space="preserve"> </w:t>
      </w:r>
      <w:r>
        <w:rPr>
          <w:rFonts w:ascii="Times New Roman" w:hAnsi="Times New Roman" w:cs="Times New Roman"/>
          <w:highlight w:val="green"/>
        </w:rPr>
        <w:t>Составлено</w:t>
      </w:r>
      <w:r>
        <w:rPr>
          <w:rFonts w:ascii="Times New Roman" w:hAnsi="Times New Roman" w:cs="Times New Roman"/>
          <w:highlight w:val="green"/>
          <w:lang w:val="en-US"/>
        </w:rPr>
        <w:t xml:space="preserve"> </w:t>
      </w:r>
      <w:r>
        <w:rPr>
          <w:rFonts w:ascii="Times New Roman" w:hAnsi="Times New Roman" w:cs="Times New Roman"/>
          <w:highlight w:val="green"/>
        </w:rPr>
        <w:t>автором</w:t>
      </w:r>
      <w:r>
        <w:rPr>
          <w:rFonts w:ascii="Times New Roman" w:hAnsi="Times New Roman" w:cs="Times New Roman"/>
          <w:highlight w:val="green"/>
          <w:lang w:val="en-US"/>
        </w:rPr>
        <w:t xml:space="preserve"> </w:t>
      </w:r>
      <w:r>
        <w:rPr>
          <w:rFonts w:ascii="Times New Roman" w:hAnsi="Times New Roman" w:cs="Times New Roman"/>
          <w:highlight w:val="green"/>
        </w:rPr>
        <w:t>по</w:t>
      </w:r>
      <w:r>
        <w:rPr>
          <w:rFonts w:ascii="Times New Roman" w:hAnsi="Times New Roman" w:cs="Times New Roman"/>
          <w:highlight w:val="green"/>
          <w:lang w:val="en-US"/>
        </w:rPr>
        <w:t xml:space="preserve"> </w:t>
      </w:r>
      <w:r>
        <w:rPr>
          <w:rFonts w:ascii="Times New Roman" w:hAnsi="Times New Roman" w:cs="Times New Roman"/>
          <w:highlight w:val="green"/>
        </w:rPr>
        <w:t>данным</w:t>
      </w:r>
      <w:r>
        <w:rPr>
          <w:rFonts w:ascii="Times New Roman" w:hAnsi="Times New Roman" w:cs="Times New Roman"/>
          <w:highlight w:val="green"/>
          <w:lang w:val="en-US"/>
        </w:rPr>
        <w:t>: ECOWAS Trade Statistics, UN Comtrade, AfCFTA Secretariat Reports, WTO Trade Profiles Côte d’Ivoire.</w:t>
      </w:r>
    </w:p>
  </w:footnote>
  <w:footnote w:id="103">
    <w:p>
      <w:pPr>
        <w:pStyle w:val="P26"/>
        <w:jc w:val="both"/>
        <w:rPr>
          <w:rFonts w:ascii="Times New Roman" w:hAnsi="Times New Roman" w:cs="Times New Roman"/>
          <w:lang w:val="en-US"/>
        </w:rPr>
      </w:pPr>
      <w:r>
        <w:rPr>
          <w:rStyle w:val="C42"/>
          <w:rFonts w:ascii="Times New Roman" w:hAnsi="Times New Roman" w:cs="Times New Roman"/>
          <w:highlight w:val="green"/>
        </w:rPr>
        <w:footnoteRef/>
      </w:r>
      <w:r>
        <w:rPr>
          <w:rFonts w:ascii="Times New Roman" w:hAnsi="Times New Roman" w:cs="Times New Roman"/>
          <w:highlight w:val="green"/>
          <w:lang w:val="en-US"/>
        </w:rPr>
        <w:t xml:space="preserve"> </w:t>
      </w:r>
      <w:r>
        <w:rPr>
          <w:rFonts w:ascii="Times New Roman" w:hAnsi="Times New Roman" w:cs="Times New Roman"/>
          <w:highlight w:val="green"/>
        </w:rPr>
        <w:t>Составлено</w:t>
      </w:r>
      <w:r>
        <w:rPr>
          <w:rFonts w:ascii="Times New Roman" w:hAnsi="Times New Roman" w:cs="Times New Roman"/>
          <w:highlight w:val="green"/>
          <w:lang w:val="en-US"/>
        </w:rPr>
        <w:t xml:space="preserve"> </w:t>
      </w:r>
      <w:r>
        <w:rPr>
          <w:rFonts w:ascii="Times New Roman" w:hAnsi="Times New Roman" w:cs="Times New Roman"/>
          <w:highlight w:val="green"/>
        </w:rPr>
        <w:t>автором</w:t>
      </w:r>
      <w:r>
        <w:rPr>
          <w:rFonts w:ascii="Times New Roman" w:hAnsi="Times New Roman" w:cs="Times New Roman"/>
          <w:highlight w:val="green"/>
          <w:lang w:val="en-US"/>
        </w:rPr>
        <w:t xml:space="preserve"> </w:t>
      </w:r>
      <w:r>
        <w:rPr>
          <w:rFonts w:ascii="Times New Roman" w:hAnsi="Times New Roman" w:cs="Times New Roman"/>
          <w:highlight w:val="green"/>
        </w:rPr>
        <w:t>по</w:t>
      </w:r>
      <w:r>
        <w:rPr>
          <w:rFonts w:ascii="Times New Roman" w:hAnsi="Times New Roman" w:cs="Times New Roman"/>
          <w:highlight w:val="green"/>
          <w:lang w:val="en-US"/>
        </w:rPr>
        <w:t xml:space="preserve"> </w:t>
      </w:r>
      <w:r>
        <w:rPr>
          <w:rFonts w:ascii="Times New Roman" w:hAnsi="Times New Roman" w:cs="Times New Roman"/>
          <w:highlight w:val="green"/>
        </w:rPr>
        <w:t>данным</w:t>
      </w:r>
      <w:r>
        <w:rPr>
          <w:rFonts w:ascii="Times New Roman" w:hAnsi="Times New Roman" w:cs="Times New Roman"/>
          <w:highlight w:val="green"/>
          <w:lang w:val="en-US"/>
        </w:rPr>
        <w:t>: WTO Trade Policy Review Côte d’Ivoire, ITC Non-Tariff Measures Database, Enterprise Surveys (World Bank), OECD Trade Facilitation Indicators.</w:t>
      </w:r>
    </w:p>
  </w:footnote>
  <w:footnote w:id="104">
    <w:p>
      <w:pPr>
        <w:pStyle w:val="P26"/>
        <w:jc w:val="both"/>
        <w:rPr>
          <w:rFonts w:ascii="Times New Roman" w:hAnsi="Times New Roman" w:cs="Times New Roman"/>
          <w:lang w:val="en-US"/>
        </w:rPr>
      </w:pPr>
      <w:r>
        <w:rPr>
          <w:rStyle w:val="C42"/>
          <w:rFonts w:ascii="Times New Roman" w:hAnsi="Times New Roman" w:cs="Times New Roman"/>
          <w:highlight w:val="green"/>
        </w:rPr>
        <w:footnoteRef/>
      </w:r>
      <w:r>
        <w:rPr>
          <w:rFonts w:ascii="Times New Roman" w:hAnsi="Times New Roman" w:cs="Times New Roman"/>
          <w:highlight w:val="green"/>
          <w:lang w:val="en-US"/>
        </w:rPr>
        <w:t xml:space="preserve"> </w:t>
      </w:r>
      <w:r>
        <w:rPr>
          <w:rFonts w:ascii="Times New Roman" w:hAnsi="Times New Roman" w:cs="Times New Roman"/>
          <w:highlight w:val="green"/>
        </w:rPr>
        <w:t>Составлено</w:t>
      </w:r>
      <w:r>
        <w:rPr>
          <w:rFonts w:ascii="Times New Roman" w:hAnsi="Times New Roman" w:cs="Times New Roman"/>
          <w:highlight w:val="green"/>
          <w:lang w:val="en-US"/>
        </w:rPr>
        <w:t xml:space="preserve"> </w:t>
      </w:r>
      <w:r>
        <w:rPr>
          <w:rFonts w:ascii="Times New Roman" w:hAnsi="Times New Roman" w:cs="Times New Roman"/>
          <w:highlight w:val="green"/>
        </w:rPr>
        <w:t>автором</w:t>
      </w:r>
      <w:r>
        <w:rPr>
          <w:rFonts w:ascii="Times New Roman" w:hAnsi="Times New Roman" w:cs="Times New Roman"/>
          <w:highlight w:val="green"/>
          <w:lang w:val="en-US"/>
        </w:rPr>
        <w:t xml:space="preserve"> </w:t>
      </w:r>
      <w:r>
        <w:rPr>
          <w:rFonts w:ascii="Times New Roman" w:hAnsi="Times New Roman" w:cs="Times New Roman"/>
          <w:highlight w:val="green"/>
        </w:rPr>
        <w:t>по</w:t>
      </w:r>
      <w:r>
        <w:rPr>
          <w:rFonts w:ascii="Times New Roman" w:hAnsi="Times New Roman" w:cs="Times New Roman"/>
          <w:highlight w:val="green"/>
          <w:lang w:val="en-US"/>
        </w:rPr>
        <w:t xml:space="preserve"> </w:t>
      </w:r>
      <w:r>
        <w:rPr>
          <w:rFonts w:ascii="Times New Roman" w:hAnsi="Times New Roman" w:cs="Times New Roman"/>
          <w:highlight w:val="green"/>
        </w:rPr>
        <w:t>данным</w:t>
      </w:r>
      <w:r>
        <w:rPr>
          <w:rFonts w:ascii="Times New Roman" w:hAnsi="Times New Roman" w:cs="Times New Roman"/>
          <w:highlight w:val="green"/>
          <w:lang w:val="en-US"/>
        </w:rPr>
        <w:t>: World Bank Logistics Performance Index (LPI), Doing Business Reports (Trading Across Borders), UNCTAD Maritime Transport Review, Port Authority of Abidjan (</w:t>
      </w:r>
      <w:r>
        <w:rPr>
          <w:rFonts w:ascii="Times New Roman" w:hAnsi="Times New Roman" w:cs="Times New Roman"/>
          <w:highlight w:val="green"/>
        </w:rPr>
        <w:t>годовые</w:t>
      </w:r>
      <w:r>
        <w:rPr>
          <w:rFonts w:ascii="Times New Roman" w:hAnsi="Times New Roman" w:cs="Times New Roman"/>
          <w:highlight w:val="green"/>
          <w:lang w:val="en-US"/>
        </w:rPr>
        <w:t xml:space="preserve"> </w:t>
      </w:r>
      <w:r>
        <w:rPr>
          <w:rFonts w:ascii="Times New Roman" w:hAnsi="Times New Roman" w:cs="Times New Roman"/>
          <w:highlight w:val="green"/>
        </w:rPr>
        <w:t>отчеты</w:t>
      </w:r>
      <w:r>
        <w:rPr>
          <w:rFonts w:ascii="Times New Roman" w:hAnsi="Times New Roman" w:cs="Times New Roman"/>
          <w:highlight w:val="green"/>
          <w:lang w:val="en-US"/>
        </w:rPr>
        <w:t>).</w:t>
      </w:r>
    </w:p>
  </w:footnote>
  <w:footnote w:id="105">
    <w:p>
      <w:pPr>
        <w:pStyle w:val="P26"/>
        <w:rPr>
          <w:rFonts w:ascii="Times New Roman" w:hAnsi="Times New Roman" w:cs="Times New Roman"/>
          <w:lang w:val="fr-FR"/>
        </w:rPr>
      </w:pPr>
      <w:r>
        <w:rPr>
          <w:rStyle w:val="C42"/>
          <w:rFonts w:ascii="Times New Roman" w:hAnsi="Times New Roman" w:cs="Times New Roman"/>
          <w:highlight w:val="green"/>
        </w:rPr>
        <w:footnoteRef/>
      </w:r>
      <w:r>
        <w:rPr>
          <w:rFonts w:ascii="Times New Roman" w:hAnsi="Times New Roman" w:cs="Times New Roman"/>
          <w:highlight w:val="green"/>
          <w:lang w:val="fr-FR"/>
        </w:rPr>
        <w:t xml:space="preserve"> Ministère de l'Économie et des Finances de Côte d'Ivoire. Rapport économique et financier 2025.  Abidjan, 2025. </w:t>
      </w:r>
      <w:r>
        <w:rPr>
          <w:rFonts w:ascii="Times New Roman" w:hAnsi="Times New Roman" w:cs="Times New Roman"/>
          <w:highlight w:val="green"/>
          <w:lang w:val="en-US"/>
        </w:rPr>
        <w:t xml:space="preserve">186 p.; </w:t>
      </w:r>
      <w:r>
        <w:rPr>
          <w:rFonts w:ascii="Times New Roman" w:hAnsi="Times New Roman" w:cs="Times New Roman"/>
          <w:highlight w:val="magenta"/>
          <w:lang w:val="en-US"/>
        </w:rPr>
        <w:t xml:space="preserve">UNCTAD. Economic Development in Africa Report 2024: Diversification and Industrialization.  </w:t>
      </w:r>
      <w:r>
        <w:rPr>
          <w:rFonts w:ascii="Times New Roman" w:hAnsi="Times New Roman" w:cs="Times New Roman"/>
          <w:highlight w:val="magenta"/>
          <w:lang w:val="fr-FR"/>
        </w:rPr>
        <w:t xml:space="preserve">Geneva: UNCTAD, 2024.  168 p.</w:t>
      </w:r>
    </w:p>
  </w:footnote>
  <w:footnote w:id="106">
    <w:p>
      <w:pPr>
        <w:pStyle w:val="P26"/>
        <w:jc w:val="both"/>
        <w:rPr>
          <w:lang w:val="fr-FR"/>
        </w:rPr>
      </w:pPr>
      <w:r>
        <w:rPr>
          <w:rStyle w:val="C42"/>
          <w:highlight w:val="green"/>
        </w:rPr>
        <w:footnoteRef/>
      </w:r>
      <w:r>
        <w:rPr>
          <w:highlight w:val="green"/>
          <w:lang w:val="fr-FR"/>
        </w:rPr>
        <w:t xml:space="preserve"> </w:t>
      </w:r>
      <w:r>
        <w:rPr>
          <w:rFonts w:ascii="Times New Roman" w:hAnsi="Times New Roman" w:cs="Times New Roman"/>
          <w:highlight w:val="green"/>
          <w:lang w:val="fr-FR"/>
        </w:rPr>
        <w:t xml:space="preserve">Ministère de l'Économie et des Finances de Côte d'Ivoire. Rapport économique et financier 2025.  Abidjan, 2025. </w:t>
      </w:r>
      <w:r>
        <w:rPr>
          <w:rFonts w:ascii="Times New Roman" w:hAnsi="Times New Roman" w:cs="Times New Roman"/>
          <w:highlight w:val="green"/>
          <w:lang w:val="en-US"/>
        </w:rPr>
        <w:t xml:space="preserve">186 p.; </w:t>
      </w:r>
      <w:r>
        <w:rPr>
          <w:rFonts w:ascii="Times New Roman" w:hAnsi="Times New Roman" w:cs="Times New Roman"/>
          <w:highlight w:val="magenta"/>
          <w:lang w:val="en-US"/>
        </w:rPr>
        <w:t xml:space="preserve">UNCTAD. Economic Development in Africa Report 2024: Diversification and Industrialization.  </w:t>
      </w:r>
      <w:r>
        <w:rPr>
          <w:rFonts w:ascii="Times New Roman" w:hAnsi="Times New Roman" w:cs="Times New Roman"/>
          <w:highlight w:val="magenta"/>
          <w:lang w:val="fr-FR"/>
        </w:rPr>
        <w:t xml:space="preserve">Geneva: UNCTAD, 2024.  168 p.</w:t>
      </w:r>
    </w:p>
  </w:footnote>
  <w:footnote w:id="107">
    <w:p>
      <w:pPr>
        <w:spacing w:lineRule="auto" w:line="240" w:after="0" w:beforeAutospacing="0" w:afterAutospacing="0"/>
        <w:jc w:val="both"/>
        <w:rPr>
          <w:rFonts w:ascii="Times New Roman" w:hAnsi="Times New Roman" w:cs="Times New Roman"/>
          <w:sz w:val="20"/>
          <w:szCs w:val="20"/>
          <w:lang w:val="en-US"/>
        </w:rPr>
      </w:pPr>
      <w:r>
        <w:rPr>
          <w:rStyle w:val="C42"/>
          <w:rFonts w:ascii="Times New Roman" w:hAnsi="Times New Roman" w:cs="Times New Roman"/>
          <w:sz w:val="20"/>
          <w:szCs w:val="20"/>
          <w:highlight w:val="green"/>
        </w:rPr>
        <w:footnoteRef/>
      </w:r>
      <w:r>
        <w:rPr>
          <w:rFonts w:ascii="Times New Roman" w:hAnsi="Times New Roman" w:cs="Times New Roman"/>
          <w:sz w:val="20"/>
          <w:szCs w:val="20"/>
          <w:highlight w:val="green"/>
          <w:lang w:val="fr-FR"/>
        </w:rPr>
        <w:t xml:space="preserve"> </w:t>
      </w:r>
      <w:r>
        <w:rPr>
          <w:rFonts w:ascii="Times New Roman" w:hAnsi="Times New Roman" w:cs="Times New Roman"/>
          <w:sz w:val="20"/>
          <w:szCs w:val="20"/>
          <w:highlight w:val="green"/>
        </w:rPr>
        <w:t>Составлено</w:t>
      </w:r>
      <w:r>
        <w:rPr>
          <w:rFonts w:ascii="Times New Roman" w:hAnsi="Times New Roman" w:cs="Times New Roman"/>
          <w:sz w:val="20"/>
          <w:szCs w:val="20"/>
          <w:highlight w:val="green"/>
          <w:lang w:val="fr-FR"/>
        </w:rPr>
        <w:t xml:space="preserve"> </w:t>
      </w:r>
      <w:r>
        <w:rPr>
          <w:rFonts w:ascii="Times New Roman" w:hAnsi="Times New Roman" w:cs="Times New Roman"/>
          <w:sz w:val="20"/>
          <w:szCs w:val="20"/>
          <w:highlight w:val="green"/>
        </w:rPr>
        <w:t>автором</w:t>
      </w:r>
      <w:r>
        <w:rPr>
          <w:rFonts w:ascii="Times New Roman" w:hAnsi="Times New Roman" w:cs="Times New Roman"/>
          <w:sz w:val="20"/>
          <w:szCs w:val="20"/>
          <w:highlight w:val="green"/>
          <w:lang w:val="fr-FR"/>
        </w:rPr>
        <w:t xml:space="preserve"> </w:t>
      </w:r>
      <w:r>
        <w:rPr>
          <w:rFonts w:ascii="Times New Roman" w:hAnsi="Times New Roman" w:cs="Times New Roman"/>
          <w:sz w:val="20"/>
          <w:szCs w:val="20"/>
          <w:highlight w:val="green"/>
        </w:rPr>
        <w:t>по</w:t>
      </w:r>
      <w:r>
        <w:rPr>
          <w:rFonts w:ascii="Times New Roman" w:hAnsi="Times New Roman" w:cs="Times New Roman"/>
          <w:sz w:val="20"/>
          <w:szCs w:val="20"/>
          <w:highlight w:val="green"/>
          <w:lang w:val="fr-FR"/>
        </w:rPr>
        <w:t xml:space="preserve">: Ministère de l'Économie et des Finances de Côte d'Ivoire. </w:t>
      </w:r>
      <w:r>
        <w:rPr>
          <w:rFonts w:ascii="Times New Roman" w:hAnsi="Times New Roman" w:cs="Times New Roman"/>
          <w:sz w:val="20"/>
          <w:szCs w:val="20"/>
          <w:highlight w:val="green"/>
          <w:lang w:val="en-US"/>
        </w:rPr>
        <w:t xml:space="preserve">Rapport économique et financier 2025.  Abidjan, 2025. 186 p.; IMF. World Economic Outlook: Steady but Slow: Resilience amid Divergence»Washington: IMF, 2024.  214 p.; African Development Bank Group. Country Report 2025: Côte d'Ivoire. — Abidjan: AfDB, 2025. — 112 p.; UNCTAD. Economic  Development in Africa Report 2024 — «Unlocking Africa’s Trade Potential: Boosting Regional Markets and Reducing Risks».  Geneva: UNCTAD, 2024.  168 p.</w:t>
      </w:r>
    </w:p>
    <w:p>
      <w:pPr>
        <w:pStyle w:val="P26"/>
        <w:rPr>
          <w:lang w:val="en-US"/>
        </w:rPr>
      </w:pPr>
    </w:p>
  </w:footnote>
  <w:footnote w:id="108">
    <w:p>
      <w:pPr>
        <w:pStyle w:val="P26"/>
        <w:jc w:val="both"/>
        <w:rPr>
          <w:rFonts w:ascii="Times New Roman" w:hAnsi="Times New Roman" w:cs="Times New Roman"/>
          <w:highlight w:val="green"/>
          <w:lang w:val="en-US"/>
        </w:rPr>
      </w:pPr>
      <w:r>
        <w:rPr>
          <w:rStyle w:val="C42"/>
          <w:rFonts w:ascii="Times New Roman" w:hAnsi="Times New Roman" w:cs="Times New Roman"/>
          <w:highlight w:val="green"/>
        </w:rPr>
        <w:footnoteRef/>
      </w:r>
      <w:r>
        <w:rPr>
          <w:rFonts w:ascii="Times New Roman" w:hAnsi="Times New Roman" w:cs="Times New Roman"/>
          <w:highlight w:val="green"/>
          <w:lang w:val="en-US"/>
        </w:rPr>
        <w:t xml:space="preserve"> World Bank. Firms with a bank loan or line of credit (% of firms) – Côte d’Ivoire // World Bank Enterprise Surveys DataBank. </w:t>
      </w:r>
      <w:r>
        <w:rPr>
          <w:rFonts w:ascii="Times New Roman" w:hAnsi="Times New Roman" w:cs="Times New Roman"/>
          <w:highlight w:val="green"/>
        </w:rPr>
        <w:t xml:space="preserve">2023. </w:t>
      </w:r>
      <w:r>
        <w:rPr>
          <w:rFonts w:ascii="Times New Roman" w:hAnsi="Times New Roman" w:cs="Times New Roman"/>
          <w:highlight w:val="green"/>
          <w:lang w:val="en-US"/>
        </w:rPr>
        <w:t>URL</w:t>
      </w:r>
      <w:r>
        <w:rPr>
          <w:rFonts w:ascii="Times New Roman" w:hAnsi="Times New Roman" w:cs="Times New Roman"/>
          <w:highlight w:val="green"/>
        </w:rPr>
        <w:t xml:space="preserve">: </w:t>
      </w:r>
      <w:r>
        <w:rPr>
          <w:rFonts w:ascii="Times New Roman" w:hAnsi="Times New Roman" w:cs="Times New Roman"/>
          <w:highlight w:val="green"/>
          <w:lang w:val="en-US"/>
        </w:rPr>
        <w:t>https</w:t>
      </w:r>
      <w:r>
        <w:rPr>
          <w:rFonts w:ascii="Times New Roman" w:hAnsi="Times New Roman" w:cs="Times New Roman"/>
          <w:highlight w:val="green"/>
        </w:rPr>
        <w:t>://</w:t>
      </w:r>
      <w:r>
        <w:rPr>
          <w:rFonts w:ascii="Times New Roman" w:hAnsi="Times New Roman" w:cs="Times New Roman"/>
          <w:highlight w:val="green"/>
          <w:lang w:val="en-US"/>
        </w:rPr>
        <w:t>data</w:t>
      </w:r>
      <w:r>
        <w:rPr>
          <w:rFonts w:ascii="Times New Roman" w:hAnsi="Times New Roman" w:cs="Times New Roman"/>
          <w:highlight w:val="green"/>
        </w:rPr>
        <w:t>.</w:t>
      </w:r>
      <w:r>
        <w:rPr>
          <w:rFonts w:ascii="Times New Roman" w:hAnsi="Times New Roman" w:cs="Times New Roman"/>
          <w:highlight w:val="green"/>
          <w:lang w:val="en-US"/>
        </w:rPr>
        <w:t>worldbank</w:t>
      </w:r>
      <w:r>
        <w:rPr>
          <w:rFonts w:ascii="Times New Roman" w:hAnsi="Times New Roman" w:cs="Times New Roman"/>
          <w:highlight w:val="green"/>
        </w:rPr>
        <w:t>.</w:t>
      </w:r>
      <w:r>
        <w:rPr>
          <w:rFonts w:ascii="Times New Roman" w:hAnsi="Times New Roman" w:cs="Times New Roman"/>
          <w:highlight w:val="green"/>
          <w:lang w:val="en-US"/>
        </w:rPr>
        <w:t>org</w:t>
      </w:r>
      <w:r>
        <w:rPr>
          <w:rFonts w:ascii="Times New Roman" w:hAnsi="Times New Roman" w:cs="Times New Roman"/>
          <w:highlight w:val="green"/>
        </w:rPr>
        <w:t>/</w:t>
      </w:r>
      <w:r>
        <w:rPr>
          <w:rFonts w:ascii="Times New Roman" w:hAnsi="Times New Roman" w:cs="Times New Roman"/>
          <w:highlight w:val="green"/>
          <w:lang w:val="en-US"/>
        </w:rPr>
        <w:t>indicator</w:t>
      </w:r>
      <w:r>
        <w:rPr>
          <w:rFonts w:ascii="Times New Roman" w:hAnsi="Times New Roman" w:cs="Times New Roman"/>
          <w:highlight w:val="green"/>
        </w:rPr>
        <w:t>/</w:t>
      </w:r>
      <w:r>
        <w:rPr>
          <w:rFonts w:ascii="Times New Roman" w:hAnsi="Times New Roman" w:cs="Times New Roman"/>
          <w:highlight w:val="green"/>
          <w:lang w:val="en-US"/>
        </w:rPr>
        <w:t>IC</w:t>
      </w:r>
      <w:r>
        <w:rPr>
          <w:rFonts w:ascii="Times New Roman" w:hAnsi="Times New Roman" w:cs="Times New Roman"/>
          <w:highlight w:val="green"/>
        </w:rPr>
        <w:t>.</w:t>
      </w:r>
      <w:r>
        <w:rPr>
          <w:rFonts w:ascii="Times New Roman" w:hAnsi="Times New Roman" w:cs="Times New Roman"/>
          <w:highlight w:val="green"/>
          <w:lang w:val="en-US"/>
        </w:rPr>
        <w:t>FRM</w:t>
      </w:r>
      <w:r>
        <w:rPr>
          <w:rFonts w:ascii="Times New Roman" w:hAnsi="Times New Roman" w:cs="Times New Roman"/>
          <w:highlight w:val="green"/>
        </w:rPr>
        <w:t>.</w:t>
      </w:r>
      <w:r>
        <w:rPr>
          <w:rFonts w:ascii="Times New Roman" w:hAnsi="Times New Roman" w:cs="Times New Roman"/>
          <w:highlight w:val="green"/>
          <w:lang w:val="en-US"/>
        </w:rPr>
        <w:t>BNKL</w:t>
      </w:r>
      <w:r>
        <w:rPr>
          <w:rFonts w:ascii="Times New Roman" w:hAnsi="Times New Roman" w:cs="Times New Roman"/>
          <w:highlight w:val="green"/>
        </w:rPr>
        <w:t>.</w:t>
      </w:r>
      <w:r>
        <w:rPr>
          <w:rFonts w:ascii="Times New Roman" w:hAnsi="Times New Roman" w:cs="Times New Roman"/>
          <w:highlight w:val="green"/>
          <w:lang w:val="en-US"/>
        </w:rPr>
        <w:t>ZS</w:t>
      </w:r>
      <w:r>
        <w:rPr>
          <w:rFonts w:ascii="Times New Roman" w:hAnsi="Times New Roman" w:cs="Times New Roman"/>
          <w:highlight w:val="green"/>
        </w:rPr>
        <w:t>?</w:t>
      </w:r>
      <w:r>
        <w:rPr>
          <w:rFonts w:ascii="Times New Roman" w:hAnsi="Times New Roman" w:cs="Times New Roman"/>
          <w:highlight w:val="green"/>
          <w:lang w:val="en-US"/>
        </w:rPr>
        <w:t>locations</w:t>
      </w:r>
      <w:r>
        <w:rPr>
          <w:rFonts w:ascii="Times New Roman" w:hAnsi="Times New Roman" w:cs="Times New Roman"/>
          <w:highlight w:val="green"/>
        </w:rPr>
        <w:t>=</w:t>
      </w:r>
      <w:r>
        <w:rPr>
          <w:rFonts w:ascii="Times New Roman" w:hAnsi="Times New Roman" w:cs="Times New Roman"/>
          <w:highlight w:val="green"/>
          <w:lang w:val="en-US"/>
        </w:rPr>
        <w:t>CI</w:t>
      </w:r>
      <w:r>
        <w:rPr>
          <w:rFonts w:ascii="Times New Roman" w:hAnsi="Times New Roman" w:cs="Times New Roman"/>
          <w:highlight w:val="green"/>
        </w:rPr>
        <w:t xml:space="preserve"> (дата обращения: 02.04.2025); </w:t>
      </w:r>
      <w:r>
        <w:rPr>
          <w:rFonts w:ascii="Times New Roman" w:hAnsi="Times New Roman" w:cs="Times New Roman"/>
          <w:highlight w:val="green"/>
          <w:lang w:val="en-US"/>
        </w:rPr>
        <w:t>World</w:t>
      </w:r>
      <w:r>
        <w:rPr>
          <w:rFonts w:ascii="Times New Roman" w:hAnsi="Times New Roman" w:cs="Times New Roman"/>
          <w:highlight w:val="green"/>
        </w:rPr>
        <w:t xml:space="preserve"> </w:t>
      </w:r>
      <w:r>
        <w:rPr>
          <w:rFonts w:ascii="Times New Roman" w:hAnsi="Times New Roman" w:cs="Times New Roman"/>
          <w:highlight w:val="green"/>
          <w:lang w:val="en-US"/>
        </w:rPr>
        <w:t>Bank</w:t>
      </w:r>
      <w:r>
        <w:rPr>
          <w:rFonts w:ascii="Times New Roman" w:hAnsi="Times New Roman" w:cs="Times New Roman"/>
          <w:highlight w:val="green"/>
        </w:rPr>
        <w:t xml:space="preserve">. </w:t>
      </w:r>
      <w:r>
        <w:rPr>
          <w:rFonts w:ascii="Times New Roman" w:hAnsi="Times New Roman" w:cs="Times New Roman"/>
          <w:highlight w:val="green"/>
          <w:lang w:val="en-US"/>
        </w:rPr>
        <w:t>Firms using banks to finance investment (% of firms) – Côte d’Ivoire // World Bank Enterprise Surveys DataBank. 2023. URL: https://data.worldbank.org/indicator/IC.FRM.BNKS.ZS?locations=CI</w:t>
      </w:r>
    </w:p>
    <w:p>
      <w:pPr>
        <w:pStyle w:val="P26"/>
        <w:jc w:val="both"/>
        <w:rPr>
          <w:rFonts w:ascii="Times New Roman" w:hAnsi="Times New Roman" w:cs="Times New Roman"/>
          <w:highlight w:val="green"/>
          <w:lang w:val="en-US"/>
        </w:rPr>
      </w:pPr>
      <w:r>
        <w:rPr>
          <w:rFonts w:ascii="Times New Roman" w:hAnsi="Times New Roman" w:cs="Times New Roman"/>
          <w:highlight w:val="green"/>
          <w:lang w:val="en-US"/>
        </w:rPr>
        <w:t xml:space="preserve"> (дата обращения: 02.04.2025); World Bank. Firms using banks to finance working capital (% of firms) – Côte d’Ivoire // World Bank Enterprise Surveys DataBank. 2023. URL: https://data.worldbank.org/indicator/IC.FRM.BKWC.ZS?locations=CI</w:t>
      </w:r>
    </w:p>
    <w:p>
      <w:pPr>
        <w:pStyle w:val="P26"/>
        <w:jc w:val="both"/>
        <w:rPr>
          <w:lang w:val="en-US"/>
        </w:rPr>
      </w:pPr>
      <w:r>
        <w:rPr>
          <w:rFonts w:ascii="Times New Roman" w:hAnsi="Times New Roman" w:cs="Times New Roman"/>
          <w:highlight w:val="green"/>
          <w:lang w:val="en-US"/>
        </w:rPr>
        <w:t xml:space="preserve"> (дата обращения: 02.04.2025).</w:t>
      </w:r>
    </w:p>
  </w:footnote>
  <w:footnote w:id="109">
    <w:p>
      <w:pPr>
        <w:pStyle w:val="P30"/>
        <w:jc w:val="both"/>
        <w:rPr>
          <w:b w:val="1"/>
          <w:sz w:val="20"/>
          <w:szCs w:val="20"/>
        </w:rPr>
      </w:pPr>
      <w:r>
        <w:rPr>
          <w:rStyle w:val="C42"/>
          <w:b w:val="1"/>
          <w:sz w:val="20"/>
          <w:szCs w:val="20"/>
          <w:highlight w:val="green"/>
        </w:rPr>
        <w:footnoteRef/>
      </w:r>
      <w:r>
        <w:rPr>
          <w:rStyle w:val="C47"/>
          <w:b w:val="0"/>
          <w:sz w:val="20"/>
          <w:szCs w:val="20"/>
          <w:highlight w:val="green"/>
          <w:lang w:val="en-US"/>
        </w:rPr>
        <w:t>World Bank Enterprise Surveys. URL</w:t>
      </w:r>
      <w:r>
        <w:rPr>
          <w:rStyle w:val="C47"/>
          <w:b w:val="0"/>
          <w:sz w:val="20"/>
          <w:szCs w:val="20"/>
          <w:highlight w:val="green"/>
        </w:rPr>
        <w:t xml:space="preserve">: </w:t>
      </w:r>
      <w:hyperlink r:id="RB" w:tgtFrame="_new">
        <w:r>
          <w:rPr>
            <w:rStyle w:val="C2"/>
            <w:bCs w:val="1"/>
            <w:color w:val="auto"/>
            <w:sz w:val="20"/>
            <w:szCs w:val="20"/>
            <w:u w:val="none"/>
            <w:highlight w:val="green"/>
            <w:lang w:val="en-US"/>
          </w:rPr>
          <w:t>https</w:t>
        </w:r>
        <w:r>
          <w:rPr>
            <w:rStyle w:val="C2"/>
            <w:bCs w:val="1"/>
            <w:color w:val="auto"/>
            <w:sz w:val="20"/>
            <w:szCs w:val="20"/>
            <w:u w:val="none"/>
            <w:highlight w:val="green"/>
          </w:rPr>
          <w:t>://</w:t>
        </w:r>
        <w:r>
          <w:rPr>
            <w:rStyle w:val="C2"/>
            <w:bCs w:val="1"/>
            <w:color w:val="auto"/>
            <w:sz w:val="20"/>
            <w:szCs w:val="20"/>
            <w:u w:val="none"/>
            <w:highlight w:val="green"/>
            <w:lang w:val="en-US"/>
          </w:rPr>
          <w:t>www</w:t>
        </w:r>
        <w:r>
          <w:rPr>
            <w:rStyle w:val="C2"/>
            <w:bCs w:val="1"/>
            <w:color w:val="auto"/>
            <w:sz w:val="20"/>
            <w:szCs w:val="20"/>
            <w:u w:val="none"/>
            <w:highlight w:val="green"/>
          </w:rPr>
          <w:t>.</w:t>
        </w:r>
        <w:r>
          <w:rPr>
            <w:rStyle w:val="C2"/>
            <w:bCs w:val="1"/>
            <w:color w:val="auto"/>
            <w:sz w:val="20"/>
            <w:szCs w:val="20"/>
            <w:u w:val="none"/>
            <w:highlight w:val="green"/>
            <w:lang w:val="en-US"/>
          </w:rPr>
          <w:t>enterprisesurveys</w:t>
        </w:r>
        <w:r>
          <w:rPr>
            <w:rStyle w:val="C2"/>
            <w:bCs w:val="1"/>
            <w:color w:val="auto"/>
            <w:sz w:val="20"/>
            <w:szCs w:val="20"/>
            <w:u w:val="none"/>
            <w:highlight w:val="green"/>
          </w:rPr>
          <w:t>.</w:t>
        </w:r>
        <w:r>
          <w:rPr>
            <w:rStyle w:val="C2"/>
            <w:bCs w:val="1"/>
            <w:color w:val="auto"/>
            <w:sz w:val="20"/>
            <w:szCs w:val="20"/>
            <w:u w:val="none"/>
            <w:highlight w:val="green"/>
            <w:lang w:val="en-US"/>
          </w:rPr>
          <w:t>org</w:t>
        </w:r>
        <w:r>
          <w:rPr>
            <w:rStyle w:val="C2"/>
            <w:bCs w:val="1"/>
            <w:color w:val="auto"/>
            <w:sz w:val="20"/>
            <w:szCs w:val="20"/>
            <w:u w:val="none"/>
            <w:highlight w:val="green"/>
          </w:rPr>
          <w:t>/</w:t>
        </w:r>
        <w:r>
          <w:rPr>
            <w:rStyle w:val="C2"/>
            <w:bCs w:val="1"/>
            <w:color w:val="auto"/>
            <w:sz w:val="20"/>
            <w:szCs w:val="20"/>
            <w:u w:val="none"/>
            <w:highlight w:val="green"/>
            <w:lang w:val="en-US"/>
          </w:rPr>
          <w:t>en</w:t>
        </w:r>
        <w:r>
          <w:rPr>
            <w:rStyle w:val="C2"/>
            <w:bCs w:val="1"/>
            <w:color w:val="auto"/>
            <w:sz w:val="20"/>
            <w:szCs w:val="20"/>
            <w:u w:val="none"/>
            <w:highlight w:val="green"/>
          </w:rPr>
          <w:t>/</w:t>
        </w:r>
        <w:r>
          <w:rPr>
            <w:rStyle w:val="C2"/>
            <w:bCs w:val="1"/>
            <w:color w:val="auto"/>
            <w:sz w:val="20"/>
            <w:szCs w:val="20"/>
            <w:u w:val="none"/>
            <w:highlight w:val="green"/>
            <w:lang w:val="en-US"/>
          </w:rPr>
          <w:t>enterprisesurveys</w:t>
        </w:r>
      </w:hyperlink>
      <w:r>
        <w:rPr>
          <w:rStyle w:val="C47"/>
          <w:sz w:val="20"/>
          <w:szCs w:val="20"/>
          <w:highlight w:val="green"/>
        </w:rPr>
        <w:t xml:space="preserve"> </w:t>
      </w:r>
      <w:r>
        <w:rPr>
          <w:rStyle w:val="C47"/>
          <w:b w:val="0"/>
          <w:sz w:val="20"/>
          <w:szCs w:val="20"/>
          <w:highlight w:val="green"/>
        </w:rPr>
        <w:t>(дата обращения: 02.12.2023).</w:t>
      </w:r>
      <w:r>
        <w:rPr>
          <w:b w:val="1"/>
          <w:sz w:val="20"/>
          <w:szCs w:val="20"/>
        </w:rPr>
        <w:t xml:space="preserve"> </w:t>
      </w:r>
    </w:p>
  </w:footnote>
  <w:footnote w:id="110">
    <w:p>
      <w:pPr>
        <w:pStyle w:val="P26"/>
        <w:jc w:val="both"/>
        <w:rPr>
          <w:rFonts w:ascii="Times New Roman" w:hAnsi="Times New Roman" w:cs="Times New Roman"/>
          <w:highlight w:val="green"/>
          <w:lang w:val="en-US"/>
        </w:rPr>
      </w:pPr>
      <w:r>
        <w:rPr>
          <w:rStyle w:val="C42"/>
          <w:rFonts w:ascii="Times New Roman" w:hAnsi="Times New Roman" w:cs="Times New Roman"/>
          <w:highlight w:val="green"/>
        </w:rPr>
        <w:footnoteRef/>
      </w:r>
      <w:r>
        <w:rPr>
          <w:rFonts w:ascii="Times New Roman" w:hAnsi="Times New Roman" w:cs="Times New Roman"/>
          <w:highlight w:val="green"/>
        </w:rPr>
        <w:t>Йео Н. Развитие финансовых институтов как фактор обеспечения инклюзивного роста в Республике Кот-д’Ивуар // Экономика и управление: проблемы, решения. 2023. № 8. Т. 2. С. 68–75; Кулаговская Т.А., Йео Н. Финансовые инструменты обеспечения инклюзивного роста стран Западной Африки // Актуальные вопросы экономических наук и современного менеджмента : сборник статей LXXIV Международной научно-практической конференции. Новосибирск</w:t>
      </w:r>
      <w:r>
        <w:rPr>
          <w:rFonts w:ascii="Times New Roman" w:hAnsi="Times New Roman" w:cs="Times New Roman"/>
          <w:highlight w:val="green"/>
          <w:lang w:val="en-US"/>
        </w:rPr>
        <w:t xml:space="preserve">: </w:t>
      </w:r>
      <w:r>
        <w:rPr>
          <w:rFonts w:ascii="Times New Roman" w:hAnsi="Times New Roman" w:cs="Times New Roman"/>
          <w:highlight w:val="green"/>
        </w:rPr>
        <w:t>ООО</w:t>
      </w:r>
      <w:r>
        <w:rPr>
          <w:rFonts w:ascii="Times New Roman" w:hAnsi="Times New Roman" w:cs="Times New Roman"/>
          <w:highlight w:val="green"/>
          <w:lang w:val="en-US"/>
        </w:rPr>
        <w:t xml:space="preserve"> «</w:t>
      </w:r>
      <w:r>
        <w:rPr>
          <w:rFonts w:ascii="Times New Roman" w:hAnsi="Times New Roman" w:cs="Times New Roman"/>
          <w:highlight w:val="green"/>
        </w:rPr>
        <w:t>СибАК</w:t>
      </w:r>
      <w:r>
        <w:rPr>
          <w:rFonts w:ascii="Times New Roman" w:hAnsi="Times New Roman" w:cs="Times New Roman"/>
          <w:highlight w:val="green"/>
          <w:lang w:val="en-US"/>
        </w:rPr>
        <w:t xml:space="preserve">», 2023.  </w:t>
      </w:r>
      <w:r>
        <w:rPr>
          <w:rFonts w:ascii="Times New Roman" w:hAnsi="Times New Roman" w:cs="Times New Roman"/>
          <w:highlight w:val="green"/>
        </w:rPr>
        <w:t>С</w:t>
      </w:r>
      <w:r>
        <w:rPr>
          <w:rFonts w:ascii="Times New Roman" w:hAnsi="Times New Roman" w:cs="Times New Roman"/>
          <w:highlight w:val="green"/>
          <w:lang w:val="en-US"/>
        </w:rPr>
        <w:t>. 14 -18.</w:t>
      </w:r>
    </w:p>
  </w:footnote>
  <w:footnote w:id="111">
    <w:p>
      <w:pPr>
        <w:pStyle w:val="P26"/>
        <w:rPr>
          <w:rFonts w:ascii="Times New Roman" w:hAnsi="Times New Roman" w:cs="Times New Roman"/>
          <w:lang w:val="en-US"/>
        </w:rPr>
      </w:pPr>
      <w:r>
        <w:rPr>
          <w:rStyle w:val="C42"/>
          <w:rFonts w:ascii="Times New Roman" w:hAnsi="Times New Roman" w:cs="Times New Roman"/>
        </w:rPr>
        <w:footnoteRef/>
      </w:r>
      <w:r>
        <w:rPr>
          <w:rFonts w:ascii="Times New Roman" w:hAnsi="Times New Roman" w:cs="Times New Roman"/>
          <w:lang w:val="en-US"/>
        </w:rPr>
        <w:t xml:space="preserve"> </w:t>
      </w:r>
      <w:r>
        <w:rPr>
          <w:rFonts w:ascii="Times New Roman" w:hAnsi="Times New Roman" w:cs="Times New Roman"/>
        </w:rPr>
        <w:t>Там</w:t>
      </w:r>
      <w:r>
        <w:rPr>
          <w:rFonts w:ascii="Times New Roman" w:hAnsi="Times New Roman" w:cs="Times New Roman"/>
          <w:lang w:val="en-US"/>
        </w:rPr>
        <w:t xml:space="preserve"> </w:t>
      </w:r>
      <w:r>
        <w:rPr>
          <w:rFonts w:ascii="Times New Roman" w:hAnsi="Times New Roman" w:cs="Times New Roman"/>
        </w:rPr>
        <w:t>же</w:t>
      </w:r>
      <w:r>
        <w:rPr>
          <w:rFonts w:ascii="Times New Roman" w:hAnsi="Times New Roman" w:cs="Times New Roman"/>
          <w:lang w:val="en-US"/>
        </w:rPr>
        <w:t>.</w:t>
      </w:r>
    </w:p>
  </w:footnote>
  <w:footnote w:id="112">
    <w:p>
      <w:pPr>
        <w:pStyle w:val="P26"/>
        <w:jc w:val="both"/>
        <w:rPr>
          <w:rFonts w:ascii="Times New Roman" w:hAnsi="Times New Roman" w:cs="Times New Roman"/>
          <w:lang w:val="en-US"/>
        </w:rPr>
      </w:pPr>
      <w:r>
        <w:rPr>
          <w:rStyle w:val="C42"/>
          <w:rFonts w:ascii="Times New Roman" w:hAnsi="Times New Roman" w:cs="Times New Roman"/>
          <w:highlight w:val="green"/>
        </w:rPr>
        <w:footnoteRef/>
      </w:r>
      <w:r>
        <w:rPr>
          <w:rFonts w:ascii="Times New Roman" w:hAnsi="Times New Roman" w:cs="Times New Roman"/>
          <w:highlight w:val="green"/>
          <w:lang w:val="en-US"/>
        </w:rPr>
        <w:t xml:space="preserve"> IMF. Côte d’Ivoire: Poverty Reduction and Growth Strategy / Selected Issues related to the National Development Plan 2021–2025.  Washington, DC: International Monetary Fund, 2023. 35 </w:t>
      </w:r>
      <w:r>
        <w:rPr>
          <w:rFonts w:ascii="Times New Roman" w:hAnsi="Times New Roman" w:cs="Times New Roman"/>
          <w:highlight w:val="green"/>
        </w:rPr>
        <w:t>р</w:t>
      </w:r>
      <w:r>
        <w:rPr>
          <w:rFonts w:ascii="Times New Roman" w:hAnsi="Times New Roman" w:cs="Times New Roman"/>
          <w:highlight w:val="green"/>
          <w:lang w:val="en-US"/>
        </w:rPr>
        <w:t>.</w:t>
      </w:r>
    </w:p>
  </w:footnote>
  <w:footnote w:id="113">
    <w:p>
      <w:pPr>
        <w:pStyle w:val="P26"/>
        <w:jc w:val="both"/>
        <w:rPr>
          <w:rFonts w:ascii="Times New Roman" w:hAnsi="Times New Roman" w:cs="Times New Roman"/>
          <w:color w:val="000000" w:themeColor="text1"/>
          <w:lang w:val="en-US"/>
        </w:rPr>
      </w:pPr>
      <w:r>
        <w:rPr>
          <w:rStyle w:val="C42"/>
          <w:rFonts w:ascii="Times New Roman" w:hAnsi="Times New Roman" w:cs="Times New Roman"/>
          <w:highlight w:val="green"/>
        </w:rPr>
        <w:footnoteRef/>
      </w:r>
      <w:r>
        <w:rPr>
          <w:rFonts w:ascii="Times New Roman" w:hAnsi="Times New Roman" w:cs="Times New Roman"/>
          <w:highlight w:val="green"/>
          <w:lang w:val="en-US"/>
        </w:rPr>
        <w:t xml:space="preserve"> </w:t>
      </w:r>
      <w:r>
        <w:rPr>
          <w:rFonts w:ascii="Times New Roman" w:hAnsi="Times New Roman" w:cs="Times New Roman"/>
          <w:color w:val="000000" w:themeColor="text1"/>
          <w:highlight w:val="green"/>
          <w:lang w:val="en-US"/>
        </w:rPr>
        <w:t xml:space="preserve">World Bank Group. Creating Markets in Côte d’Ivoire: Mobilizing the Private Sector in Support of Economic Transformation in Côte d’Ivoire. Country Private Sector Diagnostic. Washington, DC: World Bank Group, 2020.  </w:t>
      </w:r>
      <w:r>
        <w:rPr>
          <w:rFonts w:ascii="Times New Roman" w:hAnsi="Times New Roman" w:cs="Times New Roman" w:eastAsiaTheme="majorEastAsia"/>
          <w:color w:val="000000" w:themeColor="text1"/>
          <w:highlight w:val="green"/>
          <w:lang w:val="en-US"/>
        </w:rPr>
        <w:t xml:space="preserve">URL: </w:t>
      </w:r>
      <w:r>
        <w:rPr>
          <w:rFonts w:ascii="Times New Roman" w:hAnsi="Times New Roman" w:cs="Times New Roman"/>
          <w:color w:val="000000" w:themeColor="text1"/>
          <w:highlight w:val="green"/>
          <w:lang w:val="en-US"/>
        </w:rPr>
        <w:t xml:space="preserve"> </w:t>
      </w:r>
      <w:r>
        <w:rPr>
          <w:rStyle w:val="C2"/>
          <w:rFonts w:ascii="Times New Roman" w:hAnsi="Times New Roman" w:cs="Times New Roman"/>
          <w:color w:val="000000" w:themeColor="text1"/>
          <w:highlight w:val="green"/>
          <w:lang w:val="en-US"/>
        </w:rPr>
        <w:t>https://documents1.worldbank.org/curated/en/901971613751744691/pdf/Country-Private-Sector-Diagnostic-Creating-Markets-in-Cote-d-Ivoire-Mobilizing-the-Private-Sector-in-Support-of-Economic-Transformation-in-Cote-d-Ivoire.pdf</w:t>
      </w:r>
      <w:r>
        <w:rPr>
          <w:rFonts w:ascii="Times New Roman" w:hAnsi="Times New Roman" w:cs="Times New Roman"/>
          <w:color w:val="000000" w:themeColor="text1"/>
          <w:highlight w:val="green"/>
          <w:lang w:val="en-US"/>
        </w:rPr>
        <w:t xml:space="preserve">  (</w:t>
      </w:r>
      <w:r>
        <w:rPr>
          <w:rFonts w:ascii="Times New Roman" w:hAnsi="Times New Roman" w:cs="Times New Roman"/>
          <w:color w:val="000000" w:themeColor="text1"/>
          <w:highlight w:val="green"/>
        </w:rPr>
        <w:t>дата</w:t>
      </w:r>
      <w:r>
        <w:rPr>
          <w:rFonts w:ascii="Times New Roman" w:hAnsi="Times New Roman" w:cs="Times New Roman"/>
          <w:color w:val="000000" w:themeColor="text1"/>
          <w:highlight w:val="green"/>
          <w:lang w:val="en-US"/>
        </w:rPr>
        <w:t xml:space="preserve"> </w:t>
      </w:r>
      <w:r>
        <w:rPr>
          <w:rFonts w:ascii="Times New Roman" w:hAnsi="Times New Roman" w:cs="Times New Roman"/>
          <w:color w:val="000000" w:themeColor="text1"/>
          <w:highlight w:val="green"/>
        </w:rPr>
        <w:t>обращения</w:t>
      </w:r>
      <w:r>
        <w:rPr>
          <w:rFonts w:ascii="Times New Roman" w:hAnsi="Times New Roman" w:cs="Times New Roman"/>
          <w:color w:val="000000" w:themeColor="text1"/>
          <w:highlight w:val="green"/>
          <w:lang w:val="en-US"/>
        </w:rPr>
        <w:t>: 09.12.2025).</w:t>
      </w:r>
    </w:p>
    <w:p>
      <w:pPr>
        <w:pStyle w:val="P26"/>
        <w:rPr>
          <w:lang w:val="en-US"/>
        </w:rPr>
      </w:pPr>
    </w:p>
  </w:footnote>
  <w:footnote w:id="114">
    <w:p>
      <w:pPr>
        <w:pStyle w:val="P26"/>
        <w:jc w:val="both"/>
        <w:rPr>
          <w:rFonts w:ascii="Times New Roman" w:hAnsi="Times New Roman" w:cs="Times New Roman"/>
          <w:lang w:val="en-US"/>
        </w:rPr>
      </w:pPr>
      <w:r>
        <w:rPr>
          <w:rStyle w:val="C42"/>
          <w:rFonts w:ascii="Times New Roman" w:hAnsi="Times New Roman" w:cs="Times New Roman"/>
          <w:highlight w:val="green"/>
        </w:rPr>
        <w:footnoteRef/>
      </w:r>
      <w:r>
        <w:rPr>
          <w:rFonts w:ascii="Times New Roman" w:hAnsi="Times New Roman" w:cs="Times New Roman"/>
          <w:highlight w:val="green"/>
          <w:lang w:val="en-US"/>
        </w:rPr>
        <w:t xml:space="preserve"> World Trade Organization; World Bank. Côte d’Ivoire: Digital Trade for Africa Initiative Country Report.  Geneva; Washington, DC, 2025. URL:  https://www.wto.org/english/tratop_e/serv_e/cote-d-ivoire-report-digital-trade-for-africa-initiative_e.pdf. (дата обращения: 09.12.2025).</w:t>
      </w:r>
    </w:p>
  </w:footnote>
  <w:footnote w:id="115">
    <w:p>
      <w:pPr>
        <w:spacing w:lineRule="auto" w:line="264" w:before="40" w:after="40" w:beforeAutospacing="0" w:afterAutospacing="0"/>
        <w:jc w:val="both"/>
        <w:rPr>
          <w:lang w:val="en-US"/>
        </w:rPr>
      </w:pPr>
      <w:r>
        <w:rPr>
          <w:rStyle w:val="C42"/>
        </w:rPr>
        <w:footnoteRef/>
      </w:r>
      <w:r>
        <w:rPr>
          <w:rFonts w:ascii="Times New Roman" w:hAnsi="Times New Roman" w:cs="Times New Roman"/>
          <w:sz w:val="20"/>
          <w:szCs w:val="20"/>
          <w:highlight w:val="yellow"/>
        </w:rPr>
        <w:t>С</w:t>
      </w:r>
      <w:r>
        <w:rPr>
          <w:rFonts w:ascii="Times New Roman" w:hAnsi="Times New Roman" w:cs="Times New Roman" w:eastAsia="Times New Roman"/>
          <w:sz w:val="20"/>
          <w:szCs w:val="20"/>
          <w:highlight w:val="yellow"/>
        </w:rPr>
        <w:t xml:space="preserve">оставлено автором по: </w:t>
      </w:r>
      <w:r>
        <w:rPr>
          <w:rFonts w:ascii="Times New Roman" w:hAnsi="Times New Roman" w:cs="Times New Roman" w:eastAsia="Times New Roman"/>
          <w:sz w:val="20"/>
          <w:szCs w:val="20"/>
          <w:highlight w:val="yellow"/>
          <w:lang w:val="en-US"/>
        </w:rPr>
        <w:t>World</w:t>
      </w:r>
      <w:r>
        <w:rPr>
          <w:rFonts w:ascii="Times New Roman" w:hAnsi="Times New Roman" w:cs="Times New Roman" w:eastAsia="Times New Roman"/>
          <w:sz w:val="20"/>
          <w:szCs w:val="20"/>
          <w:highlight w:val="yellow"/>
        </w:rPr>
        <w:t xml:space="preserve"> </w:t>
      </w:r>
      <w:r>
        <w:rPr>
          <w:rFonts w:ascii="Times New Roman" w:hAnsi="Times New Roman" w:cs="Times New Roman" w:eastAsia="Times New Roman"/>
          <w:sz w:val="20"/>
          <w:szCs w:val="20"/>
          <w:highlight w:val="yellow"/>
          <w:lang w:val="en-US"/>
        </w:rPr>
        <w:t>Bank</w:t>
      </w:r>
      <w:r>
        <w:rPr>
          <w:rFonts w:ascii="Times New Roman" w:hAnsi="Times New Roman" w:cs="Times New Roman" w:eastAsia="Times New Roman"/>
          <w:sz w:val="20"/>
          <w:szCs w:val="20"/>
          <w:highlight w:val="yellow"/>
        </w:rPr>
        <w:t xml:space="preserve">. </w:t>
      </w:r>
      <w:r>
        <w:rPr>
          <w:rFonts w:ascii="Times New Roman" w:hAnsi="Times New Roman" w:cs="Times New Roman" w:eastAsia="Times New Roman"/>
          <w:sz w:val="20"/>
          <w:szCs w:val="20"/>
          <w:highlight w:val="yellow"/>
          <w:lang w:val="en-US"/>
        </w:rPr>
        <w:t>Infrastructure Investment in Sub-Saharan Africa: Returns and Multipliers. Policy Research Working Paper No. 9562. Washington, DC: World Bank, 2021; Hoekman B., Sanfilippo M., Tambussi M. Trade and value chain participation: Domestic firms and FDI spillovers in Africa // The World Economy. 2023. Vol. 46. No. 9. P. 2624–2654; World Bank. Digital Economy for Africa (DE4A) – Côte d'Ivoire Diagnostic. 2022.</w:t>
      </w:r>
    </w:p>
    <w:p>
      <w:pPr>
        <w:pStyle w:val="P26"/>
        <w:rPr>
          <w:lang w:val="en-US"/>
        </w:rPr>
      </w:pPr>
    </w:p>
  </w:footnote>
  <w:footnote w:id="116">
    <w:p>
      <w:pPr>
        <w:pStyle w:val="P26"/>
        <w:jc w:val="both"/>
        <w:rPr>
          <w:lang w:val="en-US"/>
        </w:rPr>
      </w:pPr>
      <w:r>
        <w:rPr>
          <w:rStyle w:val="C42"/>
        </w:rPr>
        <w:footnoteRef/>
      </w:r>
      <w:r>
        <w:rPr>
          <w:lang w:val="en-US"/>
        </w:rPr>
        <w:t xml:space="preserve"> </w:t>
      </w:r>
      <w:r>
        <w:rPr>
          <w:rFonts w:ascii="Times New Roman" w:hAnsi="Times New Roman" w:cs="Times New Roman" w:eastAsia="Times New Roman"/>
          <w:highlight w:val="yellow"/>
          <w:lang w:val="en-US"/>
        </w:rPr>
        <w:t>Hoekman B., Sanfilippo M., Tambussi M. Trade and value chain participation: Domestic firms and FDI spillovers in Africa // The World Economy. 2023. Vol. 46. No. 9. P. 2624–2654</w:t>
      </w:r>
    </w:p>
  </w:footnote>
  <w:footnote w:id="117">
    <w:p>
      <w:pPr>
        <w:widowControl w:val="0"/>
        <w:spacing w:lineRule="auto" w:line="240" w:after="0" w:beforeAutospacing="0" w:afterAutospacing="0"/>
        <w:jc w:val="both"/>
        <w:rPr>
          <w:rFonts w:ascii="Times New Roman" w:hAnsi="Times New Roman" w:cs="Times New Roman"/>
          <w:sz w:val="20"/>
          <w:szCs w:val="20"/>
          <w:lang w:val="en-GB"/>
        </w:rPr>
      </w:pPr>
      <w:r>
        <w:rPr>
          <w:rStyle w:val="C42"/>
          <w:highlight w:val="magenta"/>
        </w:rPr>
        <w:footnoteRef/>
      </w:r>
      <w:r>
        <w:rPr>
          <w:highlight w:val="magenta"/>
          <w:lang w:val="fr-FR"/>
        </w:rPr>
        <w:t xml:space="preserve"> </w:t>
      </w:r>
      <w:r>
        <w:rPr>
          <w:rFonts w:ascii="Times New Roman" w:hAnsi="Times New Roman" w:cs="Times New Roman"/>
          <w:sz w:val="20"/>
          <w:szCs w:val="20"/>
          <w:highlight w:val="magenta"/>
        </w:rPr>
        <w:t>Составлено</w:t>
      </w:r>
      <w:r>
        <w:rPr>
          <w:rFonts w:ascii="Times New Roman" w:hAnsi="Times New Roman" w:cs="Times New Roman"/>
          <w:sz w:val="20"/>
          <w:szCs w:val="20"/>
          <w:highlight w:val="magenta"/>
          <w:lang w:val="fr-FR"/>
        </w:rPr>
        <w:t xml:space="preserve"> </w:t>
      </w:r>
      <w:r>
        <w:rPr>
          <w:rFonts w:ascii="Times New Roman" w:hAnsi="Times New Roman" w:cs="Times New Roman"/>
          <w:sz w:val="20"/>
          <w:szCs w:val="20"/>
          <w:highlight w:val="magenta"/>
        </w:rPr>
        <w:t>автором</w:t>
      </w:r>
      <w:r>
        <w:rPr>
          <w:rFonts w:ascii="Times New Roman" w:hAnsi="Times New Roman" w:cs="Times New Roman"/>
          <w:sz w:val="20"/>
          <w:szCs w:val="20"/>
          <w:highlight w:val="magenta"/>
          <w:lang w:val="fr-FR"/>
        </w:rPr>
        <w:t xml:space="preserve"> </w:t>
      </w:r>
      <w:r>
        <w:rPr>
          <w:rFonts w:ascii="Times New Roman" w:hAnsi="Times New Roman" w:cs="Times New Roman"/>
          <w:sz w:val="20"/>
          <w:szCs w:val="20"/>
          <w:highlight w:val="magenta"/>
        </w:rPr>
        <w:t>по</w:t>
      </w:r>
      <w:r>
        <w:rPr>
          <w:rFonts w:ascii="Times New Roman" w:hAnsi="Times New Roman" w:cs="Times New Roman"/>
          <w:sz w:val="20"/>
          <w:szCs w:val="20"/>
          <w:highlight w:val="magenta"/>
          <w:lang w:val="fr-FR"/>
        </w:rPr>
        <w:t xml:space="preserve">: Ministère de l'Économie et des Finances de Côte d'Ivoire. </w:t>
      </w:r>
      <w:r>
        <w:rPr>
          <w:rFonts w:ascii="Times New Roman" w:hAnsi="Times New Roman" w:cs="Times New Roman"/>
          <w:sz w:val="20"/>
          <w:szCs w:val="20"/>
          <w:highlight w:val="magenta"/>
          <w:lang w:val="en-GB"/>
        </w:rPr>
        <w:t>Rapport économique et financier 2025. Abidjan, 2025. 186 p.</w:t>
      </w:r>
      <w:r>
        <w:rPr>
          <w:rFonts w:ascii="Times New Roman" w:hAnsi="Times New Roman" w:cs="Times New Roman"/>
          <w:sz w:val="20"/>
          <w:szCs w:val="20"/>
          <w:highlight w:val="magenta"/>
          <w:lang w:val="en-US"/>
        </w:rPr>
        <w:t>; IMF. World Economic Outlook: Navigating Global Divergences. Washington: IMF, 2024. 214 p.; African Development Bank Group. Country Report 2025: Côte d'Ivoire. Abidjan: AfDB, 2025. 112 p.; UNCTAD. Economic Development in Africa Report 2024: Diversification and Industrialization. Geneva: UNCTAD, 2024. 168 p.</w:t>
      </w:r>
    </w:p>
    <w:p>
      <w:pPr>
        <w:pStyle w:val="P26"/>
        <w:rPr>
          <w:lang w:val="en-GB"/>
        </w:rPr>
      </w:pPr>
    </w:p>
  </w:footnote>
  <w:footnote w:id="118">
    <w:p>
      <w:pPr>
        <w:pStyle w:val="P26"/>
        <w:jc w:val="both"/>
        <w:rPr>
          <w:lang w:val="en-GB"/>
        </w:rPr>
      </w:pPr>
      <w:r>
        <w:rPr>
          <w:rStyle w:val="C42"/>
          <w:highlight w:val="green"/>
        </w:rPr>
        <w:footnoteRef/>
      </w:r>
      <w:r>
        <w:rPr>
          <w:highlight w:val="green"/>
          <w:lang w:val="en-US"/>
        </w:rPr>
        <w:t xml:space="preserve"> </w:t>
      </w:r>
      <w:r>
        <w:rPr>
          <w:rFonts w:ascii="Times New Roman" w:hAnsi="Times New Roman" w:cs="Times New Roman"/>
          <w:highlight w:val="green"/>
          <w:lang w:val="en-US"/>
        </w:rPr>
        <w:t>African Development Bank Group. Country Report 2025: Côte d'Ivoire. Abidjan: AfDB, 2025. 112 p.; UNCTAD. Economic Development in Africa Report 2024: Unlocking Africa’s trade potential: Boosting regional markets and reducing risks</w:t>
      </w:r>
      <w:r>
        <w:rPr>
          <w:rFonts w:ascii="Times New Roman" w:hAnsi="Times New Roman" w:cs="Times New Roman"/>
          <w:highlight w:val="green"/>
          <w:lang w:val="en-GB"/>
        </w:rPr>
        <w:t xml:space="preserve"> UNCTAD, 2024. </w:t>
      </w:r>
      <w:r>
        <w:rPr>
          <w:rFonts w:ascii="Times New Roman" w:hAnsi="Times New Roman" w:cs="Times New Roman"/>
          <w:highlight w:val="green"/>
          <w:lang w:val="fr-FR"/>
        </w:rPr>
        <w:t xml:space="preserve">168 p.; CSRS – GSDE Research Group. Recherches en partenariat pour le développement durable 2025. </w:t>
      </w:r>
      <w:r>
        <w:rPr>
          <w:rFonts w:ascii="Times New Roman" w:hAnsi="Times New Roman" w:cs="Times New Roman"/>
          <w:highlight w:val="green"/>
          <w:lang w:val="en-GB"/>
        </w:rPr>
        <w:t xml:space="preserve">Abidjan: CSRS, 2025.  96 p.</w:t>
      </w:r>
    </w:p>
  </w:footnote>
  <w:footnote w:id="119">
    <w:p>
      <w:pPr>
        <w:pStyle w:val="P26"/>
        <w:jc w:val="both"/>
        <w:rPr>
          <w:rFonts w:ascii="Times New Roman" w:hAnsi="Times New Roman" w:cs="Times New Roman"/>
          <w:highlight w:val="green"/>
          <w:lang w:val="en-US"/>
        </w:rPr>
      </w:pPr>
      <w:r>
        <w:rPr>
          <w:rStyle w:val="C42"/>
          <w:rFonts w:ascii="Times New Roman" w:hAnsi="Times New Roman" w:cs="Times New Roman"/>
          <w:highlight w:val="green"/>
        </w:rPr>
        <w:footnoteRef/>
      </w:r>
      <w:r>
        <w:rPr>
          <w:rFonts w:ascii="Times New Roman" w:hAnsi="Times New Roman" w:cs="Times New Roman"/>
          <w:highlight w:val="green"/>
          <w:lang w:val="en-US"/>
        </w:rPr>
        <w:t xml:space="preserve"> Rodrik D. Industrial Policy for the Twenty-First Century // NBER Working Paper.  2004.  № 10673; African Development Bank Group. Country Report 2025: Côte d'Ivoire. Abidjan: AfDB, 2025. 112 p.</w:t>
      </w:r>
    </w:p>
  </w:footnote>
  <w:footnote w:id="120">
    <w:p>
      <w:pPr>
        <w:pStyle w:val="P26"/>
        <w:jc w:val="both"/>
        <w:rPr>
          <w:rFonts w:ascii="Times New Roman" w:hAnsi="Times New Roman" w:cs="Times New Roman"/>
          <w:lang w:val="en-US"/>
        </w:rPr>
      </w:pPr>
      <w:r>
        <w:rPr>
          <w:rStyle w:val="C42"/>
          <w:highlight w:val="green"/>
        </w:rPr>
        <w:footnoteRef/>
      </w:r>
      <w:r>
        <w:rPr>
          <w:highlight w:val="green"/>
          <w:lang w:val="en-US"/>
        </w:rPr>
        <w:t xml:space="preserve"> </w:t>
      </w:r>
      <w:r>
        <w:rPr>
          <w:rFonts w:ascii="Times New Roman" w:hAnsi="Times New Roman" w:cs="Times New Roman"/>
          <w:highlight w:val="green"/>
          <w:lang w:val="en-US"/>
        </w:rPr>
        <w:t xml:space="preserve">African Development Bank Group. Country Report 2025: Côte d'Ivoire. Abidjan: AfDB, 2025. 112 p. World Bank. World Development Report 2024: The Middle Income Trap.  Washington: WB, 2024. 310 p.</w:t>
      </w:r>
    </w:p>
  </w:footnote>
  <w:footnote w:id="121">
    <w:p>
      <w:pPr>
        <w:pStyle w:val="P26"/>
        <w:jc w:val="both"/>
        <w:rPr>
          <w:highlight w:val="green"/>
          <w:lang w:val="en-GB"/>
        </w:rPr>
      </w:pPr>
      <w:r>
        <w:rPr>
          <w:rStyle w:val="C42"/>
          <w:highlight w:val="green"/>
        </w:rPr>
        <w:footnoteRef/>
      </w:r>
      <w:r>
        <w:rPr>
          <w:highlight w:val="green"/>
          <w:lang w:val="fr-FR"/>
        </w:rPr>
        <w:t xml:space="preserve"> </w:t>
      </w:r>
      <w:r>
        <w:rPr>
          <w:rFonts w:ascii="Times New Roman" w:hAnsi="Times New Roman" w:cs="Times New Roman"/>
          <w:highlight w:val="green"/>
          <w:lang w:val="fr-FR"/>
        </w:rPr>
        <w:t xml:space="preserve">CSRS – GSDE Research Group. Recherches en partenariat pour le développement durable 2025. </w:t>
      </w:r>
      <w:r>
        <w:rPr>
          <w:rFonts w:ascii="Times New Roman" w:hAnsi="Times New Roman" w:cs="Times New Roman"/>
          <w:highlight w:val="green"/>
          <w:lang w:val="en-GB"/>
        </w:rPr>
        <w:t xml:space="preserve">Abidjan: CSRS, 2025.  96 p.</w:t>
      </w:r>
    </w:p>
  </w:footnote>
  <w:footnote w:id="122">
    <w:p>
      <w:pPr>
        <w:widowControl w:val="0"/>
        <w:spacing w:lineRule="auto" w:line="240" w:after="0" w:beforeAutospacing="0" w:afterAutospacing="0"/>
        <w:jc w:val="both"/>
        <w:rPr>
          <w:rFonts w:ascii="Times New Roman" w:hAnsi="Times New Roman" w:cs="Times New Roman"/>
          <w:sz w:val="20"/>
          <w:szCs w:val="20"/>
          <w:highlight w:val="green"/>
          <w:lang w:val="en-GB"/>
        </w:rPr>
      </w:pPr>
      <w:r>
        <w:rPr>
          <w:rStyle w:val="C42"/>
          <w:highlight w:val="green"/>
        </w:rPr>
        <w:footnoteRef/>
      </w:r>
      <w:r>
        <w:rPr>
          <w:highlight w:val="green"/>
          <w:lang w:val="en-US"/>
        </w:rPr>
        <w:t xml:space="preserve"> </w:t>
      </w:r>
      <w:r>
        <w:rPr>
          <w:rFonts w:ascii="Times New Roman" w:hAnsi="Times New Roman" w:cs="Times New Roman"/>
          <w:sz w:val="20"/>
          <w:szCs w:val="20"/>
          <w:highlight w:val="green"/>
          <w:lang w:val="en-US"/>
        </w:rPr>
        <w:t>African Development Bank Group. Country Report 2025: Côte d'Ivoire. Abidjan: AfDB, 2025. 112 p.</w:t>
      </w:r>
      <w:r>
        <w:rPr>
          <w:rFonts w:ascii="Times New Roman" w:hAnsi="Times New Roman" w:cs="Times New Roman"/>
          <w:sz w:val="20"/>
          <w:szCs w:val="20"/>
          <w:lang w:val="en-US"/>
        </w:rPr>
        <w:t xml:space="preserve"> UNCTAD. </w:t>
      </w:r>
      <w:r>
        <w:rPr>
          <w:rFonts w:ascii="Times New Roman" w:hAnsi="Times New Roman" w:cs="Times New Roman"/>
          <w:sz w:val="20"/>
          <w:szCs w:val="20"/>
          <w:highlight w:val="green"/>
          <w:lang w:val="en-US"/>
        </w:rPr>
        <w:t xml:space="preserve">Economic Development in Africa Report 2025. Geneva: United Nations, 2025; </w:t>
      </w:r>
    </w:p>
    <w:p>
      <w:pPr>
        <w:widowControl w:val="0"/>
        <w:spacing w:lineRule="auto" w:line="240" w:after="0" w:beforeAutospacing="0" w:afterAutospacing="0"/>
        <w:jc w:val="both"/>
        <w:rPr>
          <w:rFonts w:ascii="Times New Roman" w:hAnsi="Times New Roman" w:cs="Times New Roman"/>
          <w:sz w:val="20"/>
          <w:szCs w:val="20"/>
          <w:lang w:val="en-US"/>
        </w:rPr>
      </w:pPr>
      <w:r>
        <w:rPr>
          <w:rStyle w:val="C42"/>
          <w:highlight w:val="green"/>
        </w:rPr>
        <w:footnoteRef/>
      </w:r>
      <w:r>
        <w:rPr>
          <w:rFonts w:ascii="Times New Roman" w:hAnsi="Times New Roman" w:cs="Times New Roman"/>
          <w:sz w:val="20"/>
          <w:szCs w:val="20"/>
          <w:highlight w:val="green"/>
          <w:lang w:val="en-US"/>
        </w:rPr>
        <w:t>. Economic Development in Africa Report 2024: Unlocking Africa’s Trade Potential – Boosting Regional Markets and Reducing Risks. Geneva: UNCTAD, 2024. 168 p..</w:t>
      </w:r>
    </w:p>
  </w:footnote>
  <w:footnote w:id="123">
    <w:p>
      <w:pPr>
        <w:pStyle w:val="P13"/>
        <w:jc w:val="both"/>
        <w:rPr>
          <w:highlight w:val="green"/>
          <w:lang w:val="ru-RU"/>
        </w:rPr>
      </w:pPr>
      <w:r>
        <w:rPr>
          <w:rStyle w:val="C42"/>
          <w:highlight w:val="green"/>
        </w:rPr>
        <w:footnoteRef/>
      </w:r>
      <w:r>
        <w:rPr>
          <w:highlight w:val="green"/>
        </w:rPr>
        <w:t>Gouvernement de la Côte d’Ivoire. Bilan 2011–2025 [</w:t>
      </w:r>
      <w:r>
        <w:rPr>
          <w:highlight w:val="green"/>
          <w:lang w:val="ru-RU"/>
        </w:rPr>
        <w:t>Электронный</w:t>
      </w:r>
      <w:r>
        <w:rPr>
          <w:highlight w:val="green"/>
        </w:rPr>
        <w:t xml:space="preserve"> </w:t>
      </w:r>
      <w:r>
        <w:rPr>
          <w:highlight w:val="green"/>
          <w:lang w:val="ru-RU"/>
        </w:rPr>
        <w:t>ресурс</w:t>
      </w:r>
      <w:r>
        <w:rPr>
          <w:highlight w:val="green"/>
        </w:rPr>
        <w:t>]. URL</w:t>
      </w:r>
      <w:r>
        <w:rPr>
          <w:highlight w:val="green"/>
          <w:lang w:val="ru-RU"/>
        </w:rPr>
        <w:t xml:space="preserve">: </w:t>
      </w:r>
      <w:hyperlink r:id="RC" w:tgtFrame="_new">
        <w:r>
          <w:rPr>
            <w:rStyle w:val="C2"/>
            <w:highlight w:val="green"/>
          </w:rPr>
          <w:t>https</w:t>
        </w:r>
        <w:r>
          <w:rPr>
            <w:rStyle w:val="C2"/>
            <w:highlight w:val="green"/>
            <w:lang w:val="ru-RU"/>
          </w:rPr>
          <w:t>://</w:t>
        </w:r>
        <w:r>
          <w:rPr>
            <w:rStyle w:val="C2"/>
            <w:highlight w:val="green"/>
          </w:rPr>
          <w:t>www</w:t>
        </w:r>
        <w:r>
          <w:rPr>
            <w:rStyle w:val="C2"/>
            <w:highlight w:val="green"/>
            <w:lang w:val="ru-RU"/>
          </w:rPr>
          <w:t>.</w:t>
        </w:r>
        <w:r>
          <w:rPr>
            <w:rStyle w:val="C2"/>
            <w:highlight w:val="green"/>
          </w:rPr>
          <w:t>gouv</w:t>
        </w:r>
        <w:r>
          <w:rPr>
            <w:rStyle w:val="C2"/>
            <w:highlight w:val="green"/>
            <w:lang w:val="ru-RU"/>
          </w:rPr>
          <w:t>.</w:t>
        </w:r>
        <w:r>
          <w:rPr>
            <w:rStyle w:val="C2"/>
            <w:highlight w:val="green"/>
          </w:rPr>
          <w:t>ci</w:t>
        </w:r>
        <w:r>
          <w:rPr>
            <w:rStyle w:val="C2"/>
            <w:highlight w:val="green"/>
            <w:lang w:val="ru-RU"/>
          </w:rPr>
          <w:t>/</w:t>
        </w:r>
        <w:r>
          <w:rPr>
            <w:rStyle w:val="C2"/>
            <w:highlight w:val="green"/>
          </w:rPr>
          <w:t>uploads</w:t>
        </w:r>
        <w:r>
          <w:rPr>
            <w:rStyle w:val="C2"/>
            <w:highlight w:val="green"/>
            <w:lang w:val="ru-RU"/>
          </w:rPr>
          <w:t>/</w:t>
        </w:r>
        <w:r>
          <w:rPr>
            <w:rStyle w:val="C2"/>
            <w:highlight w:val="green"/>
          </w:rPr>
          <w:t>publications</w:t>
        </w:r>
        <w:r>
          <w:rPr>
            <w:rStyle w:val="C2"/>
            <w:highlight w:val="green"/>
            <w:lang w:val="ru-RU"/>
          </w:rPr>
          <w:t>/175819822877.</w:t>
        </w:r>
        <w:r>
          <w:rPr>
            <w:rStyle w:val="C2"/>
            <w:highlight w:val="green"/>
          </w:rPr>
          <w:t>pdf</w:t>
        </w:r>
      </w:hyperlink>
      <w:r>
        <w:rPr>
          <w:highlight w:val="green"/>
          <w:lang w:val="ru-RU"/>
        </w:rPr>
        <w:t xml:space="preserve"> (дата обращения: 05.12.2025).</w:t>
      </w:r>
    </w:p>
  </w:footnote>
  <w:footnote w:id="124">
    <w:p>
      <w:pPr>
        <w:pStyle w:val="P26"/>
        <w:rPr>
          <w:rFonts w:ascii="Times New Roman" w:hAnsi="Times New Roman" w:cs="Times New Roman"/>
          <w:lang w:val="en-US"/>
        </w:rPr>
      </w:pPr>
      <w:r>
        <w:rPr>
          <w:rStyle w:val="C42"/>
          <w:rFonts w:ascii="Times New Roman" w:hAnsi="Times New Roman" w:cs="Times New Roman"/>
        </w:rPr>
        <w:footnoteRef/>
      </w:r>
      <w:r>
        <w:rPr>
          <w:rFonts w:ascii="Times New Roman" w:hAnsi="Times New Roman" w:cs="Times New Roman"/>
          <w:lang w:val="en-US"/>
        </w:rPr>
        <w:t xml:space="preserve"> </w:t>
      </w:r>
      <w:r>
        <w:rPr>
          <w:rFonts w:ascii="Times New Roman" w:hAnsi="Times New Roman" w:cs="Times New Roman"/>
        </w:rPr>
        <w:t>Там</w:t>
      </w:r>
      <w:r>
        <w:rPr>
          <w:rFonts w:ascii="Times New Roman" w:hAnsi="Times New Roman" w:cs="Times New Roman"/>
          <w:lang w:val="en-US"/>
        </w:rPr>
        <w:t xml:space="preserve"> </w:t>
      </w:r>
      <w:r>
        <w:rPr>
          <w:rFonts w:ascii="Times New Roman" w:hAnsi="Times New Roman" w:cs="Times New Roman"/>
        </w:rPr>
        <w:t>же</w:t>
      </w:r>
      <w:r>
        <w:rPr>
          <w:rFonts w:ascii="Times New Roman" w:hAnsi="Times New Roman" w:cs="Times New Roman"/>
          <w:lang w:val="en-US"/>
        </w:rPr>
        <w:t>.</w:t>
      </w:r>
    </w:p>
  </w:footnote>
  <w:footnote w:id="125">
    <w:p>
      <w:pPr>
        <w:pStyle w:val="P26"/>
        <w:jc w:val="both"/>
        <w:rPr>
          <w:rFonts w:ascii="Times New Roman" w:hAnsi="Times New Roman" w:cs="Times New Roman"/>
        </w:rPr>
      </w:pPr>
      <w:r>
        <w:rPr>
          <w:rStyle w:val="C42"/>
          <w:rFonts w:ascii="Times New Roman" w:hAnsi="Times New Roman" w:cs="Times New Roman"/>
          <w:highlight w:val="yellow"/>
        </w:rPr>
        <w:footnoteRef/>
      </w:r>
      <w:r>
        <w:rPr>
          <w:rFonts w:ascii="Times New Roman" w:hAnsi="Times New Roman" w:cs="Times New Roman"/>
          <w:highlight w:val="yellow"/>
          <w:lang w:val="en-US"/>
        </w:rPr>
        <w:t xml:space="preserve"> </w:t>
      </w:r>
      <w:r>
        <w:rPr>
          <w:rFonts w:ascii="Times New Roman" w:hAnsi="Times New Roman" w:cs="Times New Roman"/>
          <w:highlight w:val="yellow"/>
        </w:rPr>
        <w:t>Составлено</w:t>
      </w:r>
      <w:r>
        <w:rPr>
          <w:rFonts w:ascii="Times New Roman" w:hAnsi="Times New Roman" w:cs="Times New Roman"/>
          <w:highlight w:val="yellow"/>
          <w:lang w:val="en-US"/>
        </w:rPr>
        <w:t xml:space="preserve"> </w:t>
      </w:r>
      <w:r>
        <w:rPr>
          <w:rFonts w:ascii="Times New Roman" w:hAnsi="Times New Roman" w:cs="Times New Roman"/>
          <w:highlight w:val="yellow"/>
        </w:rPr>
        <w:t>автором</w:t>
      </w:r>
      <w:r>
        <w:rPr>
          <w:rFonts w:ascii="Times New Roman" w:hAnsi="Times New Roman" w:cs="Times New Roman"/>
          <w:highlight w:val="yellow"/>
          <w:lang w:val="en-US"/>
        </w:rPr>
        <w:t xml:space="preserve"> </w:t>
      </w:r>
      <w:r>
        <w:rPr>
          <w:rFonts w:ascii="Times New Roman" w:hAnsi="Times New Roman" w:cs="Times New Roman"/>
          <w:highlight w:val="yellow"/>
        </w:rPr>
        <w:t>по</w:t>
      </w:r>
      <w:r>
        <w:rPr>
          <w:rFonts w:ascii="Times New Roman" w:hAnsi="Times New Roman" w:cs="Times New Roman"/>
          <w:highlight w:val="yellow"/>
          <w:lang w:val="en-US"/>
        </w:rPr>
        <w:t>: Doing Business 2020, Economy Profile: Côte d'Ivoire [Electronic resource]. Washington, D.C.: World Bank Group, 2020. URL: https://www.doingbusiness.org/content/dam/doingBusiness/country/c/cote-divoire/CIV.pdf (</w:t>
      </w:r>
      <w:r>
        <w:rPr>
          <w:rFonts w:ascii="Times New Roman" w:hAnsi="Times New Roman" w:cs="Times New Roman"/>
          <w:highlight w:val="yellow"/>
        </w:rPr>
        <w:t>дата</w:t>
      </w:r>
      <w:r>
        <w:rPr>
          <w:rFonts w:ascii="Times New Roman" w:hAnsi="Times New Roman" w:cs="Times New Roman"/>
          <w:highlight w:val="yellow"/>
          <w:lang w:val="en-US"/>
        </w:rPr>
        <w:t xml:space="preserve"> </w:t>
      </w:r>
      <w:r>
        <w:rPr>
          <w:rFonts w:ascii="Times New Roman" w:hAnsi="Times New Roman" w:cs="Times New Roman"/>
          <w:highlight w:val="yellow"/>
        </w:rPr>
        <w:t>обращения</w:t>
      </w:r>
      <w:r>
        <w:rPr>
          <w:rFonts w:ascii="Times New Roman" w:hAnsi="Times New Roman" w:cs="Times New Roman"/>
          <w:highlight w:val="yellow"/>
          <w:lang w:val="en-US"/>
        </w:rPr>
        <w:t xml:space="preserve">: 12.12.2025); World Bank B-READY 2025 [Electronic resource]. </w:t>
      </w:r>
      <w:r>
        <w:rPr>
          <w:rFonts w:ascii="Times New Roman" w:hAnsi="Times New Roman" w:cs="Times New Roman"/>
          <w:highlight w:val="yellow"/>
        </w:rPr>
        <w:t>URL: https://www.worldbank.org/en/programs/business-enabling-environment (дата обращения: 12.12.2025).</w:t>
      </w:r>
    </w:p>
  </w:footnote>
</w:footnotes>
</file>

<file path=word/header1.xml><?xml version="1.0" encoding="utf-8"?>
<w:hdr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sdt>
    <w:sdtPr>
      <w:rPr/>
      <w:id w:val="779219438"/>
      <w:docPartObj>
        <w:docPartGallery w:val="Page Numbers (Top of Page)"/>
        <w:docPartCategory w:val=""/>
        <w:docPartUnique/>
      </w:docPartObj>
    </w:sdtPr>
    <w:sdtEndPr>
      <w:rPr/>
    </w:sdtEndPr>
    <w:sdtContent>
      <w:p>
        <w:pPr>
          <w:pStyle w:val="P9"/>
          <w:jc w:val="cente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PAGE   \* MERGEFORMAT</w:instrText>
        </w:r>
        <w:r>
          <w:rPr>
            <w:rFonts w:ascii="Times New Roman" w:hAnsi="Times New Roman" w:cs="Times New Roman"/>
            <w:sz w:val="24"/>
            <w:szCs w:val="24"/>
          </w:rPr>
          <w:fldChar w:fldCharType="separate"/>
        </w:r>
        <w:r>
          <w:rPr>
            <w:rFonts w:ascii="Times New Roman" w:hAnsi="Times New Roman" w:cs="Times New Roman"/>
            <w:noProof w:val="1"/>
            <w:sz w:val="24"/>
            <w:szCs w:val="24"/>
          </w:rPr>
          <w:t>#</w:t>
        </w:r>
        <w:r>
          <w:rPr>
            <w:rFonts w:ascii="Times New Roman" w:hAnsi="Times New Roman" w:cs="Times New Roman"/>
            <w:sz w:val="24"/>
            <w:szCs w:val="24"/>
          </w:rPr>
          <w:fldChar w:fldCharType="end"/>
        </w:r>
      </w:p>
    </w:sdtContent>
  </w:sdt>
  <w:p>
    <w:pPr>
      <w:pStyle w:val="P9"/>
    </w:pPr>
  </w:p>
</w:hdr>
</file>

<file path=word/header2.xml><?xml version="1.0" encoding="utf-8"?>
<w:hdr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p>
    <w:pPr>
      <w:rPr>
        <w:sz w:val="2"/>
        <w:szCs w:val="2"/>
      </w:rPr>
    </w:pPr>
    <w:r>
      <w:rPr>
        <w:noProof w:val="1"/>
        <w:lang w:eastAsia="ru-RU"/>
      </w:rPr>
      <mc:AlternateContent>
        <mc:Choice Requires="wps">
          <w:drawing>
            <wp:anchor xmlns:wp="http://schemas.openxmlformats.org/drawingml/2006/wordprocessingDrawing" distT="0" distB="0" distL="63500" distR="63500" simplePos="0" relativeHeight="10" behindDoc="1" locked="0" layoutInCell="1" allowOverlap="1">
              <wp:simplePos x="0" y="0"/>
              <wp:positionH relativeFrom="page">
                <wp:posOffset>2240280</wp:posOffset>
              </wp:positionH>
              <wp:positionV relativeFrom="page">
                <wp:posOffset>2451100</wp:posOffset>
              </wp:positionV>
              <wp:extent cx="2853690" cy="131445"/>
              <wp:effectExtent l="1905" t="3175" r="1905" b="0"/>
              <wp:wrapNone/>
              <wp:docPr id="41" name="Text Box 41"/>
              <wp:cNvGraphicFramePr/>
              <a:graphic xmlns:a="http://schemas.openxmlformats.org/drawingml/2006/main">
                <a:graphicData uri="http://schemas.microsoft.com/office/word/2010/wordprocessingShape">
                  <wps:wsp>
                    <wps:cNvSpPr txBox="1">
                      <a:spLocks noChangeArrowheads="1"/>
                    </wps:cNvSpPr>
                    <wps:spPr bwMode="auto">
                      <a:xfrm>
                        <a:off x="0" y="0"/>
                        <a:ext cx="2853690" cy="131445"/>
                      </a:xfrm>
                      <a:prstGeom prst="rect"/>
                      <a:noFill/>
                      <a:ln>
                        <a:noFill/>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spacing w:lineRule="auto" w:line="240" w:beforeAutospacing="0" w:afterAutospacing="0"/>
                          </w:pPr>
                          <w:r>
                            <w:rPr>
                              <w:rStyle w:val="C14"/>
                              <w:rFonts w:eastAsiaTheme="minorHAnsi"/>
                              <w:lang w:val="ru-RU"/>
                            </w:rPr>
                            <w:t>Отчет об африканской региональной интеграции за 2019 г., голоса РЭЦов</w:t>
                          </w:r>
                        </w:p>
                      </w:txbxContent>
                    </wps:txbx>
                    <wps:bodyPr rot="0" vert="horz" wrap="none" lIns="0" tIns="0" rIns="0" bIns="0" anchor="t" anchorCtr="0" upright="1">
                      <a:spAutoFit/>
                    </wps:bodyPr>
                  </wps:wsp>
                </a:graphicData>
              </a:graphic>
            </wp:anchor>
          </w:drawing>
        </mc:Choice>
        <mc:Fallback>
          <w:pict>
            <v:shape xmlns:o="urn:schemas-microsoft-com:office:office" type="#_x0000_t202" id="Text Box 41" o:spid="_x0000_s1338" style="position:absolute;width:224.7pt;height:10.35pt;z-index:-32768;mso-wrap-distance-left:5pt;mso-wrap-distance-top:0pt;mso-wrap-distance-right:5pt;mso-wrap-distance-bottom:0pt;margin-left:176.4pt;margin-top:193pt;mso-position-horizontal:absolute;mso-position-horizontal-relative:page;mso-position-vertical:absolute;mso-position-vertical-relative:page;mso-wrap-style:none" o:allowincell="t" filled="f" stroked="f">
              <v:textbox style="mso-fit-shape-to-text:t" inset="0mm,0mm,0mm,0mm">
                <w:txbxContent>
                  <w:p>
                    <w:pPr>
                      <w:spacing w:lineRule="auto" w:line="240" w:beforeAutospacing="0" w:afterAutospacing="0"/>
                    </w:pPr>
                    <w:r>
                      <w:rPr>
                        <w:rStyle w:val="C14"/>
                        <w:rFonts w:eastAsiaTheme="minorHAnsi"/>
                        <w:lang w:val="ru-RU"/>
                      </w:rPr>
                      <w:t>Отчет об африканской региональной интеграции за 2019 г., голоса РЭЦов</w:t>
                    </w:r>
                  </w:p>
                </w:txbxContent>
              </v:textbox>
            </v:shape>
          </w:pict>
        </mc:Fallback>
      </mc:AlternateContent>
    </w:r>
  </w:p>
</w:hdr>
</file>

<file path=word/numbering.xml><?xml version="1.0" encoding="utf-8"?>
<w:numbering xmlns:w="http://schemas.openxmlformats.org/wordprocessingml/2006/main">
  <w:abstractNum w:abstractNumId="0">
    <w:nsid w:val="002C3E66"/>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
      <w:lvlJc w:val="left"/>
      <w:pPr>
        <w:ind w:hanging="360" w:left="1440"/>
      </w:pPr>
      <w:rPr>
        <w:rFonts w:ascii="Symbol" w:hAnsi="Symbol" w:hint="default"/>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1">
    <w:nsid w:val="02233167"/>
    <w:multiLevelType w:val="hybridMultilevel"/>
    <w:lvl w:ilvl="0" w:tplc="3BE4E49A">
      <w:start w:val="1"/>
      <w:numFmt w:val="bullet"/>
      <w:suff w:val="tab"/>
      <w:lvlText w:val=""/>
      <w:lvlJc w:val="left"/>
      <w:pPr>
        <w:ind w:hanging="360" w:left="1427"/>
      </w:pPr>
      <w:rPr>
        <w:rFonts w:ascii="Symbol" w:hAnsi="Symbol" w:hint="default"/>
      </w:rPr>
    </w:lvl>
    <w:lvl w:ilvl="1" w:tplc="04190003">
      <w:start w:val="1"/>
      <w:numFmt w:val="bullet"/>
      <w:suff w:val="tab"/>
      <w:lvlText w:val="o"/>
      <w:lvlJc w:val="left"/>
      <w:pPr>
        <w:ind w:hanging="360" w:left="2147"/>
      </w:pPr>
      <w:rPr>
        <w:rFonts w:ascii="Courier New" w:hAnsi="Courier New" w:cs="Courier New" w:hint="default"/>
      </w:rPr>
    </w:lvl>
    <w:lvl w:ilvl="2" w:tplc="04190005">
      <w:start w:val="1"/>
      <w:numFmt w:val="bullet"/>
      <w:suff w:val="tab"/>
      <w:lvlText w:val=""/>
      <w:lvlJc w:val="left"/>
      <w:pPr>
        <w:ind w:hanging="360" w:left="2867"/>
      </w:pPr>
      <w:rPr>
        <w:rFonts w:ascii="Wingdings" w:hAnsi="Wingdings" w:hint="default"/>
      </w:rPr>
    </w:lvl>
    <w:lvl w:ilvl="3" w:tplc="04190001">
      <w:start w:val="1"/>
      <w:numFmt w:val="bullet"/>
      <w:suff w:val="tab"/>
      <w:lvlText w:val=""/>
      <w:lvlJc w:val="left"/>
      <w:pPr>
        <w:ind w:hanging="360" w:left="3587"/>
      </w:pPr>
      <w:rPr>
        <w:rFonts w:ascii="Symbol" w:hAnsi="Symbol" w:hint="default"/>
      </w:rPr>
    </w:lvl>
    <w:lvl w:ilvl="4" w:tplc="04190003">
      <w:start w:val="1"/>
      <w:numFmt w:val="bullet"/>
      <w:suff w:val="tab"/>
      <w:lvlText w:val="o"/>
      <w:lvlJc w:val="left"/>
      <w:pPr>
        <w:ind w:hanging="360" w:left="4307"/>
      </w:pPr>
      <w:rPr>
        <w:rFonts w:ascii="Courier New" w:hAnsi="Courier New" w:cs="Courier New" w:hint="default"/>
      </w:rPr>
    </w:lvl>
    <w:lvl w:ilvl="5" w:tplc="04190005">
      <w:start w:val="1"/>
      <w:numFmt w:val="bullet"/>
      <w:suff w:val="tab"/>
      <w:lvlText w:val=""/>
      <w:lvlJc w:val="left"/>
      <w:pPr>
        <w:ind w:hanging="360" w:left="5027"/>
      </w:pPr>
      <w:rPr>
        <w:rFonts w:ascii="Wingdings" w:hAnsi="Wingdings" w:hint="default"/>
      </w:rPr>
    </w:lvl>
    <w:lvl w:ilvl="6" w:tplc="04190001">
      <w:start w:val="1"/>
      <w:numFmt w:val="bullet"/>
      <w:suff w:val="tab"/>
      <w:lvlText w:val=""/>
      <w:lvlJc w:val="left"/>
      <w:pPr>
        <w:ind w:hanging="360" w:left="5747"/>
      </w:pPr>
      <w:rPr>
        <w:rFonts w:ascii="Symbol" w:hAnsi="Symbol" w:hint="default"/>
      </w:rPr>
    </w:lvl>
    <w:lvl w:ilvl="7" w:tplc="04190003">
      <w:start w:val="1"/>
      <w:numFmt w:val="bullet"/>
      <w:suff w:val="tab"/>
      <w:lvlText w:val="o"/>
      <w:lvlJc w:val="left"/>
      <w:pPr>
        <w:ind w:hanging="360" w:left="6467"/>
      </w:pPr>
      <w:rPr>
        <w:rFonts w:ascii="Courier New" w:hAnsi="Courier New" w:cs="Courier New" w:hint="default"/>
      </w:rPr>
    </w:lvl>
    <w:lvl w:ilvl="8" w:tplc="04190005">
      <w:start w:val="1"/>
      <w:numFmt w:val="bullet"/>
      <w:suff w:val="tab"/>
      <w:lvlText w:val=""/>
      <w:lvlJc w:val="left"/>
      <w:pPr>
        <w:ind w:hanging="360" w:left="7187"/>
      </w:pPr>
      <w:rPr>
        <w:rFonts w:ascii="Wingdings" w:hAnsi="Wingdings" w:hint="default"/>
      </w:rPr>
    </w:lvl>
  </w:abstractNum>
  <w:abstractNum w:abstractNumId="2">
    <w:nsid w:val="02790E99"/>
    <w:multiLevelType w:val="hybridMultilevel"/>
    <w:lvl w:ilvl="0" w:tplc="3BE4E49A">
      <w:start w:val="1"/>
      <w:numFmt w:val="bullet"/>
      <w:suff w:val="tab"/>
      <w:lvlText w:val=""/>
      <w:lvlJc w:val="left"/>
      <w:pPr>
        <w:ind w:hanging="360" w:left="1854"/>
      </w:pPr>
      <w:rPr>
        <w:rFonts w:ascii="Symbol" w:hAnsi="Symbol" w:hint="default"/>
      </w:rPr>
    </w:lvl>
    <w:lvl w:ilvl="1" w:tplc="04190003">
      <w:start w:val="1"/>
      <w:numFmt w:val="bullet"/>
      <w:suff w:val="tab"/>
      <w:lvlText w:val="o"/>
      <w:lvlJc w:val="left"/>
      <w:pPr>
        <w:ind w:hanging="360" w:left="2574"/>
      </w:pPr>
      <w:rPr>
        <w:rFonts w:ascii="Courier New" w:hAnsi="Courier New" w:cs="Courier New" w:hint="default"/>
      </w:rPr>
    </w:lvl>
    <w:lvl w:ilvl="2" w:tplc="04190005">
      <w:start w:val="1"/>
      <w:numFmt w:val="bullet"/>
      <w:suff w:val="tab"/>
      <w:lvlText w:val=""/>
      <w:lvlJc w:val="left"/>
      <w:pPr>
        <w:ind w:hanging="360" w:left="3294"/>
      </w:pPr>
      <w:rPr>
        <w:rFonts w:ascii="Wingdings" w:hAnsi="Wingdings" w:hint="default"/>
      </w:rPr>
    </w:lvl>
    <w:lvl w:ilvl="3" w:tplc="04190001">
      <w:start w:val="1"/>
      <w:numFmt w:val="bullet"/>
      <w:suff w:val="tab"/>
      <w:lvlText w:val=""/>
      <w:lvlJc w:val="left"/>
      <w:pPr>
        <w:ind w:hanging="360" w:left="4014"/>
      </w:pPr>
      <w:rPr>
        <w:rFonts w:ascii="Symbol" w:hAnsi="Symbol" w:hint="default"/>
      </w:rPr>
    </w:lvl>
    <w:lvl w:ilvl="4" w:tplc="04190003">
      <w:start w:val="1"/>
      <w:numFmt w:val="bullet"/>
      <w:suff w:val="tab"/>
      <w:lvlText w:val="o"/>
      <w:lvlJc w:val="left"/>
      <w:pPr>
        <w:ind w:hanging="360" w:left="4734"/>
      </w:pPr>
      <w:rPr>
        <w:rFonts w:ascii="Courier New" w:hAnsi="Courier New" w:cs="Courier New" w:hint="default"/>
      </w:rPr>
    </w:lvl>
    <w:lvl w:ilvl="5" w:tplc="04190005">
      <w:start w:val="1"/>
      <w:numFmt w:val="bullet"/>
      <w:suff w:val="tab"/>
      <w:lvlText w:val=""/>
      <w:lvlJc w:val="left"/>
      <w:pPr>
        <w:ind w:hanging="360" w:left="5454"/>
      </w:pPr>
      <w:rPr>
        <w:rFonts w:ascii="Wingdings" w:hAnsi="Wingdings" w:hint="default"/>
      </w:rPr>
    </w:lvl>
    <w:lvl w:ilvl="6" w:tplc="04190001">
      <w:start w:val="1"/>
      <w:numFmt w:val="bullet"/>
      <w:suff w:val="tab"/>
      <w:lvlText w:val=""/>
      <w:lvlJc w:val="left"/>
      <w:pPr>
        <w:ind w:hanging="360" w:left="6174"/>
      </w:pPr>
      <w:rPr>
        <w:rFonts w:ascii="Symbol" w:hAnsi="Symbol" w:hint="default"/>
      </w:rPr>
    </w:lvl>
    <w:lvl w:ilvl="7" w:tplc="04190003">
      <w:start w:val="1"/>
      <w:numFmt w:val="bullet"/>
      <w:suff w:val="tab"/>
      <w:lvlText w:val="o"/>
      <w:lvlJc w:val="left"/>
      <w:pPr>
        <w:ind w:hanging="360" w:left="6894"/>
      </w:pPr>
      <w:rPr>
        <w:rFonts w:ascii="Courier New" w:hAnsi="Courier New" w:cs="Courier New" w:hint="default"/>
      </w:rPr>
    </w:lvl>
    <w:lvl w:ilvl="8" w:tplc="04190005">
      <w:start w:val="1"/>
      <w:numFmt w:val="bullet"/>
      <w:suff w:val="tab"/>
      <w:lvlText w:val=""/>
      <w:lvlJc w:val="left"/>
      <w:pPr>
        <w:ind w:hanging="360" w:left="7614"/>
      </w:pPr>
      <w:rPr>
        <w:rFonts w:ascii="Wingdings" w:hAnsi="Wingdings" w:hint="default"/>
      </w:rPr>
    </w:lvl>
  </w:abstractNum>
  <w:abstractNum w:abstractNumId="3">
    <w:nsid w:val="07F03DCC"/>
    <w:multiLevelType w:val="hybridMultilevel"/>
    <w:lvl w:ilvl="0" w:tplc="3BE4E49A">
      <w:start w:val="1"/>
      <w:numFmt w:val="bullet"/>
      <w:suff w:val="tab"/>
      <w:lvlText w:val=""/>
      <w:lvlJc w:val="left"/>
      <w:pPr>
        <w:ind w:hanging="360" w:left="1429"/>
      </w:pPr>
      <w:rPr>
        <w:rFonts w:ascii="Symbol" w:hAnsi="Symbol" w:hint="default"/>
      </w:rPr>
    </w:lvl>
    <w:lvl w:ilvl="1" w:tplc="04190003">
      <w:start w:val="1"/>
      <w:numFmt w:val="bullet"/>
      <w:suff w:val="tab"/>
      <w:lvlText w:val="o"/>
      <w:lvlJc w:val="left"/>
      <w:pPr>
        <w:ind w:hanging="360" w:left="2149"/>
      </w:pPr>
      <w:rPr>
        <w:rFonts w:ascii="Courier New" w:hAnsi="Courier New" w:cs="Courier New" w:hint="default"/>
      </w:rPr>
    </w:lvl>
    <w:lvl w:ilvl="2" w:tplc="04190005">
      <w:start w:val="1"/>
      <w:numFmt w:val="bullet"/>
      <w:suff w:val="tab"/>
      <w:lvlText w:val=""/>
      <w:lvlJc w:val="left"/>
      <w:pPr>
        <w:ind w:hanging="360" w:left="2869"/>
      </w:pPr>
      <w:rPr>
        <w:rFonts w:ascii="Wingdings" w:hAnsi="Wingdings" w:hint="default"/>
      </w:rPr>
    </w:lvl>
    <w:lvl w:ilvl="3" w:tplc="04190001">
      <w:start w:val="1"/>
      <w:numFmt w:val="bullet"/>
      <w:suff w:val="tab"/>
      <w:lvlText w:val=""/>
      <w:lvlJc w:val="left"/>
      <w:pPr>
        <w:ind w:hanging="360" w:left="3589"/>
      </w:pPr>
      <w:rPr>
        <w:rFonts w:ascii="Symbol" w:hAnsi="Symbol" w:hint="default"/>
      </w:rPr>
    </w:lvl>
    <w:lvl w:ilvl="4" w:tplc="04190003">
      <w:start w:val="1"/>
      <w:numFmt w:val="bullet"/>
      <w:suff w:val="tab"/>
      <w:lvlText w:val="o"/>
      <w:lvlJc w:val="left"/>
      <w:pPr>
        <w:ind w:hanging="360" w:left="4309"/>
      </w:pPr>
      <w:rPr>
        <w:rFonts w:ascii="Courier New" w:hAnsi="Courier New" w:cs="Courier New" w:hint="default"/>
      </w:rPr>
    </w:lvl>
    <w:lvl w:ilvl="5" w:tplc="04190005">
      <w:start w:val="1"/>
      <w:numFmt w:val="bullet"/>
      <w:suff w:val="tab"/>
      <w:lvlText w:val=""/>
      <w:lvlJc w:val="left"/>
      <w:pPr>
        <w:ind w:hanging="360" w:left="5029"/>
      </w:pPr>
      <w:rPr>
        <w:rFonts w:ascii="Wingdings" w:hAnsi="Wingdings" w:hint="default"/>
      </w:rPr>
    </w:lvl>
    <w:lvl w:ilvl="6" w:tplc="04190001">
      <w:start w:val="1"/>
      <w:numFmt w:val="bullet"/>
      <w:suff w:val="tab"/>
      <w:lvlText w:val=""/>
      <w:lvlJc w:val="left"/>
      <w:pPr>
        <w:ind w:hanging="360" w:left="5749"/>
      </w:pPr>
      <w:rPr>
        <w:rFonts w:ascii="Symbol" w:hAnsi="Symbol" w:hint="default"/>
      </w:rPr>
    </w:lvl>
    <w:lvl w:ilvl="7" w:tplc="04190003">
      <w:start w:val="1"/>
      <w:numFmt w:val="bullet"/>
      <w:suff w:val="tab"/>
      <w:lvlText w:val="o"/>
      <w:lvlJc w:val="left"/>
      <w:pPr>
        <w:ind w:hanging="360" w:left="6469"/>
      </w:pPr>
      <w:rPr>
        <w:rFonts w:ascii="Courier New" w:hAnsi="Courier New" w:cs="Courier New" w:hint="default"/>
      </w:rPr>
    </w:lvl>
    <w:lvl w:ilvl="8" w:tplc="04190005">
      <w:start w:val="1"/>
      <w:numFmt w:val="bullet"/>
      <w:suff w:val="tab"/>
      <w:lvlText w:val=""/>
      <w:lvlJc w:val="left"/>
      <w:pPr>
        <w:ind w:hanging="360" w:left="7189"/>
      </w:pPr>
      <w:rPr>
        <w:rFonts w:ascii="Wingdings" w:hAnsi="Wingdings" w:hint="default"/>
      </w:rPr>
    </w:lvl>
  </w:abstractNum>
  <w:abstractNum w:abstractNumId="4">
    <w:nsid w:val="0B393FAB"/>
    <w:multiLevelType w:val="multilevel"/>
    <w:lvl w:ilvl="0">
      <w:start w:val="1"/>
      <w:numFmt w:val="bullet"/>
      <w:suff w:val="tab"/>
      <w:lvlText w:val=""/>
      <w:lvlJc w:val="left"/>
      <w:pPr>
        <w:ind w:firstLine="0" w:left="0"/>
      </w:pPr>
      <w:rPr>
        <w:rFonts w:ascii="Symbol" w:hAnsi="Symbol" w:hint="default"/>
        <w:b w:val="0"/>
        <w:i w:val="0"/>
        <w:bCs w:val="0"/>
        <w:iCs w:val="0"/>
        <w:smallCaps w:val="0"/>
        <w:color w:val="000000"/>
        <w:sz w:val="28"/>
        <w:szCs w:val="28"/>
        <w:u w:val="none"/>
        <w:spacing w:val="0"/>
        <w:w w:val="100"/>
        <w:position w:val="0"/>
        <w:lang w:val="en-US"/>
      </w:rPr>
    </w:lvl>
    <w:lvl w:ilvl="1">
      <w:start w:val="0"/>
      <w:numFmt w:val="decimal"/>
      <w:suff w:val="tab"/>
      <w:lvlText w:val=""/>
      <w:lvlJc w:val="left"/>
      <w:pPr>
        <w:ind w:firstLine="0" w:left="0"/>
      </w:pPr>
      <w:rPr/>
    </w:lvl>
    <w:lvl w:ilvl="2">
      <w:start w:val="0"/>
      <w:numFmt w:val="decimal"/>
      <w:suff w:val="tab"/>
      <w:lvlText w:val=""/>
      <w:lvlJc w:val="left"/>
      <w:pPr>
        <w:ind w:firstLine="0" w:left="0"/>
      </w:pPr>
      <w:rPr/>
    </w:lvl>
    <w:lvl w:ilvl="3">
      <w:start w:val="0"/>
      <w:numFmt w:val="decimal"/>
      <w:suff w:val="tab"/>
      <w:lvlText w:val=""/>
      <w:lvlJc w:val="left"/>
      <w:pPr>
        <w:ind w:firstLine="0" w:left="0"/>
      </w:pPr>
      <w:rPr/>
    </w:lvl>
    <w:lvl w:ilvl="4">
      <w:start w:val="0"/>
      <w:numFmt w:val="decimal"/>
      <w:suff w:val="tab"/>
      <w:lvlText w:val=""/>
      <w:lvlJc w:val="left"/>
      <w:pPr>
        <w:ind w:firstLine="0" w:left="0"/>
      </w:pPr>
      <w:rPr/>
    </w:lvl>
    <w:lvl w:ilvl="5">
      <w:start w:val="0"/>
      <w:numFmt w:val="decimal"/>
      <w:suff w:val="tab"/>
      <w:lvlText w:val=""/>
      <w:lvlJc w:val="left"/>
      <w:pPr>
        <w:ind w:firstLine="0" w:left="0"/>
      </w:pPr>
      <w:rPr/>
    </w:lvl>
    <w:lvl w:ilvl="6">
      <w:start w:val="0"/>
      <w:numFmt w:val="decimal"/>
      <w:suff w:val="tab"/>
      <w:lvlText w:val=""/>
      <w:lvlJc w:val="left"/>
      <w:pPr>
        <w:ind w:firstLine="0" w:left="0"/>
      </w:pPr>
      <w:rPr/>
    </w:lvl>
    <w:lvl w:ilvl="7">
      <w:start w:val="0"/>
      <w:numFmt w:val="decimal"/>
      <w:suff w:val="tab"/>
      <w:lvlText w:val=""/>
      <w:lvlJc w:val="left"/>
      <w:pPr>
        <w:ind w:firstLine="0" w:left="0"/>
      </w:pPr>
      <w:rPr/>
    </w:lvl>
    <w:lvl w:ilvl="8">
      <w:start w:val="0"/>
      <w:numFmt w:val="decimal"/>
      <w:suff w:val="tab"/>
      <w:lvlText w:val=""/>
      <w:lvlJc w:val="left"/>
      <w:pPr>
        <w:ind w:firstLine="0" w:left="0"/>
      </w:pPr>
      <w:rPr/>
    </w:lvl>
  </w:abstractNum>
  <w:abstractNum w:abstractNumId="5">
    <w:nsid w:val="0D923D3F"/>
    <w:multiLevelType w:val="hybridMultilevel"/>
    <w:lvl w:ilvl="0" w:tplc="3BE4E49A">
      <w:start w:val="1"/>
      <w:numFmt w:val="bullet"/>
      <w:suff w:val="tab"/>
      <w:lvlText w:val=""/>
      <w:lvlJc w:val="left"/>
      <w:pPr>
        <w:ind w:hanging="360" w:left="1429"/>
      </w:pPr>
      <w:rPr>
        <w:rFonts w:ascii="Symbol" w:hAnsi="Symbol" w:hint="default"/>
      </w:rPr>
    </w:lvl>
    <w:lvl w:ilvl="1" w:tplc="04190003">
      <w:start w:val="1"/>
      <w:numFmt w:val="bullet"/>
      <w:suff w:val="tab"/>
      <w:lvlText w:val="o"/>
      <w:lvlJc w:val="left"/>
      <w:pPr>
        <w:ind w:hanging="360" w:left="2149"/>
      </w:pPr>
      <w:rPr>
        <w:rFonts w:ascii="Courier New" w:hAnsi="Courier New" w:cs="Courier New" w:hint="default"/>
      </w:rPr>
    </w:lvl>
    <w:lvl w:ilvl="2" w:tplc="04190005">
      <w:start w:val="1"/>
      <w:numFmt w:val="bullet"/>
      <w:suff w:val="tab"/>
      <w:lvlText w:val=""/>
      <w:lvlJc w:val="left"/>
      <w:pPr>
        <w:ind w:hanging="360" w:left="2869"/>
      </w:pPr>
      <w:rPr>
        <w:rFonts w:ascii="Wingdings" w:hAnsi="Wingdings" w:hint="default"/>
      </w:rPr>
    </w:lvl>
    <w:lvl w:ilvl="3" w:tplc="04190001">
      <w:start w:val="1"/>
      <w:numFmt w:val="bullet"/>
      <w:suff w:val="tab"/>
      <w:lvlText w:val=""/>
      <w:lvlJc w:val="left"/>
      <w:pPr>
        <w:ind w:hanging="360" w:left="3589"/>
      </w:pPr>
      <w:rPr>
        <w:rFonts w:ascii="Symbol" w:hAnsi="Symbol" w:hint="default"/>
      </w:rPr>
    </w:lvl>
    <w:lvl w:ilvl="4" w:tplc="04190003">
      <w:start w:val="1"/>
      <w:numFmt w:val="bullet"/>
      <w:suff w:val="tab"/>
      <w:lvlText w:val="o"/>
      <w:lvlJc w:val="left"/>
      <w:pPr>
        <w:ind w:hanging="360" w:left="4309"/>
      </w:pPr>
      <w:rPr>
        <w:rFonts w:ascii="Courier New" w:hAnsi="Courier New" w:cs="Courier New" w:hint="default"/>
      </w:rPr>
    </w:lvl>
    <w:lvl w:ilvl="5" w:tplc="04190005">
      <w:start w:val="1"/>
      <w:numFmt w:val="bullet"/>
      <w:suff w:val="tab"/>
      <w:lvlText w:val=""/>
      <w:lvlJc w:val="left"/>
      <w:pPr>
        <w:ind w:hanging="360" w:left="5029"/>
      </w:pPr>
      <w:rPr>
        <w:rFonts w:ascii="Wingdings" w:hAnsi="Wingdings" w:hint="default"/>
      </w:rPr>
    </w:lvl>
    <w:lvl w:ilvl="6" w:tplc="04190001">
      <w:start w:val="1"/>
      <w:numFmt w:val="bullet"/>
      <w:suff w:val="tab"/>
      <w:lvlText w:val=""/>
      <w:lvlJc w:val="left"/>
      <w:pPr>
        <w:ind w:hanging="360" w:left="5749"/>
      </w:pPr>
      <w:rPr>
        <w:rFonts w:ascii="Symbol" w:hAnsi="Symbol" w:hint="default"/>
      </w:rPr>
    </w:lvl>
    <w:lvl w:ilvl="7" w:tplc="04190003">
      <w:start w:val="1"/>
      <w:numFmt w:val="bullet"/>
      <w:suff w:val="tab"/>
      <w:lvlText w:val="o"/>
      <w:lvlJc w:val="left"/>
      <w:pPr>
        <w:ind w:hanging="360" w:left="6469"/>
      </w:pPr>
      <w:rPr>
        <w:rFonts w:ascii="Courier New" w:hAnsi="Courier New" w:cs="Courier New" w:hint="default"/>
      </w:rPr>
    </w:lvl>
    <w:lvl w:ilvl="8" w:tplc="04190005">
      <w:start w:val="1"/>
      <w:numFmt w:val="bullet"/>
      <w:suff w:val="tab"/>
      <w:lvlText w:val=""/>
      <w:lvlJc w:val="left"/>
      <w:pPr>
        <w:ind w:hanging="360" w:left="7189"/>
      </w:pPr>
      <w:rPr>
        <w:rFonts w:ascii="Wingdings" w:hAnsi="Wingdings" w:hint="default"/>
      </w:rPr>
    </w:lvl>
  </w:abstractNum>
  <w:abstractNum w:abstractNumId="6">
    <w:nsid w:val="14E36EF8"/>
    <w:multiLevelType w:val="hybridMultilevel"/>
    <w:lvl w:ilvl="0" w:tplc="3BE4E49A">
      <w:start w:val="1"/>
      <w:numFmt w:val="bullet"/>
      <w:suff w:val="tab"/>
      <w:lvlText w:val=""/>
      <w:lvlJc w:val="left"/>
      <w:pPr>
        <w:ind w:hanging="360" w:left="1429"/>
      </w:pPr>
      <w:rPr>
        <w:rFonts w:ascii="Symbol" w:hAnsi="Symbol" w:hint="default"/>
      </w:rPr>
    </w:lvl>
    <w:lvl w:ilvl="1" w:tplc="04190003">
      <w:start w:val="1"/>
      <w:numFmt w:val="bullet"/>
      <w:suff w:val="tab"/>
      <w:lvlText w:val="o"/>
      <w:lvlJc w:val="left"/>
      <w:pPr>
        <w:ind w:hanging="360" w:left="2149"/>
      </w:pPr>
      <w:rPr>
        <w:rFonts w:ascii="Courier New" w:hAnsi="Courier New" w:cs="Courier New" w:hint="default"/>
      </w:rPr>
    </w:lvl>
    <w:lvl w:ilvl="2" w:tplc="04190005">
      <w:start w:val="1"/>
      <w:numFmt w:val="bullet"/>
      <w:suff w:val="tab"/>
      <w:lvlText w:val=""/>
      <w:lvlJc w:val="left"/>
      <w:pPr>
        <w:ind w:hanging="360" w:left="2869"/>
      </w:pPr>
      <w:rPr>
        <w:rFonts w:ascii="Wingdings" w:hAnsi="Wingdings" w:hint="default"/>
      </w:rPr>
    </w:lvl>
    <w:lvl w:ilvl="3" w:tplc="04190001">
      <w:start w:val="1"/>
      <w:numFmt w:val="bullet"/>
      <w:suff w:val="tab"/>
      <w:lvlText w:val=""/>
      <w:lvlJc w:val="left"/>
      <w:pPr>
        <w:ind w:hanging="360" w:left="3589"/>
      </w:pPr>
      <w:rPr>
        <w:rFonts w:ascii="Symbol" w:hAnsi="Symbol" w:hint="default"/>
      </w:rPr>
    </w:lvl>
    <w:lvl w:ilvl="4" w:tplc="04190003">
      <w:start w:val="1"/>
      <w:numFmt w:val="bullet"/>
      <w:suff w:val="tab"/>
      <w:lvlText w:val="o"/>
      <w:lvlJc w:val="left"/>
      <w:pPr>
        <w:ind w:hanging="360" w:left="4309"/>
      </w:pPr>
      <w:rPr>
        <w:rFonts w:ascii="Courier New" w:hAnsi="Courier New" w:cs="Courier New" w:hint="default"/>
      </w:rPr>
    </w:lvl>
    <w:lvl w:ilvl="5" w:tplc="04190005">
      <w:start w:val="1"/>
      <w:numFmt w:val="bullet"/>
      <w:suff w:val="tab"/>
      <w:lvlText w:val=""/>
      <w:lvlJc w:val="left"/>
      <w:pPr>
        <w:ind w:hanging="360" w:left="5029"/>
      </w:pPr>
      <w:rPr>
        <w:rFonts w:ascii="Wingdings" w:hAnsi="Wingdings" w:hint="default"/>
      </w:rPr>
    </w:lvl>
    <w:lvl w:ilvl="6" w:tplc="04190001">
      <w:start w:val="1"/>
      <w:numFmt w:val="bullet"/>
      <w:suff w:val="tab"/>
      <w:lvlText w:val=""/>
      <w:lvlJc w:val="left"/>
      <w:pPr>
        <w:ind w:hanging="360" w:left="5749"/>
      </w:pPr>
      <w:rPr>
        <w:rFonts w:ascii="Symbol" w:hAnsi="Symbol" w:hint="default"/>
      </w:rPr>
    </w:lvl>
    <w:lvl w:ilvl="7" w:tplc="04190003">
      <w:start w:val="1"/>
      <w:numFmt w:val="bullet"/>
      <w:suff w:val="tab"/>
      <w:lvlText w:val="o"/>
      <w:lvlJc w:val="left"/>
      <w:pPr>
        <w:ind w:hanging="360" w:left="6469"/>
      </w:pPr>
      <w:rPr>
        <w:rFonts w:ascii="Courier New" w:hAnsi="Courier New" w:cs="Courier New" w:hint="default"/>
      </w:rPr>
    </w:lvl>
    <w:lvl w:ilvl="8" w:tplc="04190005">
      <w:start w:val="1"/>
      <w:numFmt w:val="bullet"/>
      <w:suff w:val="tab"/>
      <w:lvlText w:val=""/>
      <w:lvlJc w:val="left"/>
      <w:pPr>
        <w:ind w:hanging="360" w:left="7189"/>
      </w:pPr>
      <w:rPr>
        <w:rFonts w:ascii="Wingdings" w:hAnsi="Wingdings" w:hint="default"/>
      </w:rPr>
    </w:lvl>
  </w:abstractNum>
  <w:abstractNum w:abstractNumId="7">
    <w:nsid w:val="15051ABE"/>
    <w:multiLevelType w:val="hybridMultilevel"/>
    <w:lvl w:ilvl="0" w:tplc="3BE4E49A">
      <w:start w:val="1"/>
      <w:numFmt w:val="bullet"/>
      <w:suff w:val="tab"/>
      <w:lvlText w:val=""/>
      <w:lvlJc w:val="left"/>
      <w:pPr>
        <w:ind w:hanging="360" w:left="1429"/>
      </w:pPr>
      <w:rPr>
        <w:rFonts w:ascii="Symbol" w:hAnsi="Symbol" w:hint="default"/>
      </w:rPr>
    </w:lvl>
    <w:lvl w:ilvl="1" w:tplc="04190003">
      <w:start w:val="1"/>
      <w:numFmt w:val="bullet"/>
      <w:suff w:val="tab"/>
      <w:lvlText w:val="o"/>
      <w:lvlJc w:val="left"/>
      <w:pPr>
        <w:ind w:hanging="360" w:left="2149"/>
      </w:pPr>
      <w:rPr>
        <w:rFonts w:ascii="Courier New" w:hAnsi="Courier New" w:cs="Courier New" w:hint="default"/>
      </w:rPr>
    </w:lvl>
    <w:lvl w:ilvl="2" w:tplc="04190005">
      <w:start w:val="1"/>
      <w:numFmt w:val="bullet"/>
      <w:suff w:val="tab"/>
      <w:lvlText w:val=""/>
      <w:lvlJc w:val="left"/>
      <w:pPr>
        <w:ind w:hanging="360" w:left="2869"/>
      </w:pPr>
      <w:rPr>
        <w:rFonts w:ascii="Wingdings" w:hAnsi="Wingdings" w:hint="default"/>
      </w:rPr>
    </w:lvl>
    <w:lvl w:ilvl="3" w:tplc="04190001">
      <w:start w:val="1"/>
      <w:numFmt w:val="bullet"/>
      <w:suff w:val="tab"/>
      <w:lvlText w:val=""/>
      <w:lvlJc w:val="left"/>
      <w:pPr>
        <w:ind w:hanging="360" w:left="3589"/>
      </w:pPr>
      <w:rPr>
        <w:rFonts w:ascii="Symbol" w:hAnsi="Symbol" w:hint="default"/>
      </w:rPr>
    </w:lvl>
    <w:lvl w:ilvl="4" w:tplc="04190003">
      <w:start w:val="1"/>
      <w:numFmt w:val="bullet"/>
      <w:suff w:val="tab"/>
      <w:lvlText w:val="o"/>
      <w:lvlJc w:val="left"/>
      <w:pPr>
        <w:ind w:hanging="360" w:left="4309"/>
      </w:pPr>
      <w:rPr>
        <w:rFonts w:ascii="Courier New" w:hAnsi="Courier New" w:cs="Courier New" w:hint="default"/>
      </w:rPr>
    </w:lvl>
    <w:lvl w:ilvl="5" w:tplc="04190005">
      <w:start w:val="1"/>
      <w:numFmt w:val="bullet"/>
      <w:suff w:val="tab"/>
      <w:lvlText w:val=""/>
      <w:lvlJc w:val="left"/>
      <w:pPr>
        <w:ind w:hanging="360" w:left="5029"/>
      </w:pPr>
      <w:rPr>
        <w:rFonts w:ascii="Wingdings" w:hAnsi="Wingdings" w:hint="default"/>
      </w:rPr>
    </w:lvl>
    <w:lvl w:ilvl="6" w:tplc="04190001">
      <w:start w:val="1"/>
      <w:numFmt w:val="bullet"/>
      <w:suff w:val="tab"/>
      <w:lvlText w:val=""/>
      <w:lvlJc w:val="left"/>
      <w:pPr>
        <w:ind w:hanging="360" w:left="5749"/>
      </w:pPr>
      <w:rPr>
        <w:rFonts w:ascii="Symbol" w:hAnsi="Symbol" w:hint="default"/>
      </w:rPr>
    </w:lvl>
    <w:lvl w:ilvl="7" w:tplc="04190003">
      <w:start w:val="1"/>
      <w:numFmt w:val="bullet"/>
      <w:suff w:val="tab"/>
      <w:lvlText w:val="o"/>
      <w:lvlJc w:val="left"/>
      <w:pPr>
        <w:ind w:hanging="360" w:left="6469"/>
      </w:pPr>
      <w:rPr>
        <w:rFonts w:ascii="Courier New" w:hAnsi="Courier New" w:cs="Courier New" w:hint="default"/>
      </w:rPr>
    </w:lvl>
    <w:lvl w:ilvl="8" w:tplc="04190005">
      <w:start w:val="1"/>
      <w:numFmt w:val="bullet"/>
      <w:suff w:val="tab"/>
      <w:lvlText w:val=""/>
      <w:lvlJc w:val="left"/>
      <w:pPr>
        <w:ind w:hanging="360" w:left="7189"/>
      </w:pPr>
      <w:rPr>
        <w:rFonts w:ascii="Wingdings" w:hAnsi="Wingdings" w:hint="default"/>
      </w:rPr>
    </w:lvl>
  </w:abstractNum>
  <w:abstractNum w:abstractNumId="8">
    <w:nsid w:val="15EB1891"/>
    <w:multiLevelType w:val="hybridMultilevel"/>
    <w:lvl w:ilvl="0" w:tplc="F8289B36">
      <w:start w:val="1"/>
      <w:numFmt w:val="bullet"/>
      <w:suff w:val="tab"/>
      <w:lvlText w:val=""/>
      <w:lvlJc w:val="left"/>
      <w:pPr>
        <w:ind w:hanging="360" w:left="1429"/>
      </w:pPr>
      <w:rPr>
        <w:rFonts w:ascii="Symbol" w:hAnsi="Symbol" w:hint="default"/>
      </w:rPr>
    </w:lvl>
    <w:lvl w:ilvl="1" w:tplc="04190003">
      <w:start w:val="1"/>
      <w:numFmt w:val="bullet"/>
      <w:suff w:val="tab"/>
      <w:lvlText w:val="o"/>
      <w:lvlJc w:val="left"/>
      <w:pPr>
        <w:ind w:hanging="360" w:left="2149"/>
      </w:pPr>
      <w:rPr>
        <w:rFonts w:ascii="Courier New" w:hAnsi="Courier New" w:cs="Courier New" w:hint="default"/>
      </w:rPr>
    </w:lvl>
    <w:lvl w:ilvl="2" w:tplc="04190005">
      <w:start w:val="1"/>
      <w:numFmt w:val="bullet"/>
      <w:suff w:val="tab"/>
      <w:lvlText w:val=""/>
      <w:lvlJc w:val="left"/>
      <w:pPr>
        <w:ind w:hanging="360" w:left="2869"/>
      </w:pPr>
      <w:rPr>
        <w:rFonts w:ascii="Wingdings" w:hAnsi="Wingdings" w:hint="default"/>
      </w:rPr>
    </w:lvl>
    <w:lvl w:ilvl="3" w:tplc="04190001">
      <w:start w:val="1"/>
      <w:numFmt w:val="bullet"/>
      <w:suff w:val="tab"/>
      <w:lvlText w:val=""/>
      <w:lvlJc w:val="left"/>
      <w:pPr>
        <w:ind w:hanging="360" w:left="3589"/>
      </w:pPr>
      <w:rPr>
        <w:rFonts w:ascii="Symbol" w:hAnsi="Symbol" w:hint="default"/>
      </w:rPr>
    </w:lvl>
    <w:lvl w:ilvl="4" w:tplc="04190003">
      <w:start w:val="1"/>
      <w:numFmt w:val="bullet"/>
      <w:suff w:val="tab"/>
      <w:lvlText w:val="o"/>
      <w:lvlJc w:val="left"/>
      <w:pPr>
        <w:ind w:hanging="360" w:left="4309"/>
      </w:pPr>
      <w:rPr>
        <w:rFonts w:ascii="Courier New" w:hAnsi="Courier New" w:cs="Courier New" w:hint="default"/>
      </w:rPr>
    </w:lvl>
    <w:lvl w:ilvl="5" w:tplc="04190005">
      <w:start w:val="1"/>
      <w:numFmt w:val="bullet"/>
      <w:suff w:val="tab"/>
      <w:lvlText w:val=""/>
      <w:lvlJc w:val="left"/>
      <w:pPr>
        <w:ind w:hanging="360" w:left="5029"/>
      </w:pPr>
      <w:rPr>
        <w:rFonts w:ascii="Wingdings" w:hAnsi="Wingdings" w:hint="default"/>
      </w:rPr>
    </w:lvl>
    <w:lvl w:ilvl="6" w:tplc="04190001">
      <w:start w:val="1"/>
      <w:numFmt w:val="bullet"/>
      <w:suff w:val="tab"/>
      <w:lvlText w:val=""/>
      <w:lvlJc w:val="left"/>
      <w:pPr>
        <w:ind w:hanging="360" w:left="5749"/>
      </w:pPr>
      <w:rPr>
        <w:rFonts w:ascii="Symbol" w:hAnsi="Symbol" w:hint="default"/>
      </w:rPr>
    </w:lvl>
    <w:lvl w:ilvl="7" w:tplc="04190003">
      <w:start w:val="1"/>
      <w:numFmt w:val="bullet"/>
      <w:suff w:val="tab"/>
      <w:lvlText w:val="o"/>
      <w:lvlJc w:val="left"/>
      <w:pPr>
        <w:ind w:hanging="360" w:left="6469"/>
      </w:pPr>
      <w:rPr>
        <w:rFonts w:ascii="Courier New" w:hAnsi="Courier New" w:cs="Courier New" w:hint="default"/>
      </w:rPr>
    </w:lvl>
    <w:lvl w:ilvl="8" w:tplc="04190005">
      <w:start w:val="1"/>
      <w:numFmt w:val="bullet"/>
      <w:suff w:val="tab"/>
      <w:lvlText w:val=""/>
      <w:lvlJc w:val="left"/>
      <w:pPr>
        <w:ind w:hanging="360" w:left="7189"/>
      </w:pPr>
      <w:rPr>
        <w:rFonts w:ascii="Wingdings" w:hAnsi="Wingdings" w:hint="default"/>
      </w:rPr>
    </w:lvl>
  </w:abstractNum>
  <w:abstractNum w:abstractNumId="9">
    <w:nsid w:val="17584384"/>
    <w:multiLevelType w:val="hybridMultilevel"/>
    <w:lvl w:ilvl="0" w:tplc="3BE4E49A">
      <w:start w:val="1"/>
      <w:numFmt w:val="bullet"/>
      <w:suff w:val="tab"/>
      <w:lvlText w:val=""/>
      <w:lvlJc w:val="left"/>
      <w:pPr>
        <w:ind w:hanging="360" w:left="1427"/>
      </w:pPr>
      <w:rPr>
        <w:rFonts w:ascii="Symbol" w:hAnsi="Symbol" w:hint="default"/>
      </w:rPr>
    </w:lvl>
    <w:lvl w:ilvl="1" w:tplc="04190003">
      <w:start w:val="1"/>
      <w:numFmt w:val="bullet"/>
      <w:suff w:val="tab"/>
      <w:lvlText w:val="o"/>
      <w:lvlJc w:val="left"/>
      <w:pPr>
        <w:ind w:hanging="360" w:left="2147"/>
      </w:pPr>
      <w:rPr>
        <w:rFonts w:ascii="Courier New" w:hAnsi="Courier New" w:cs="Courier New" w:hint="default"/>
      </w:rPr>
    </w:lvl>
    <w:lvl w:ilvl="2" w:tplc="04190005">
      <w:start w:val="1"/>
      <w:numFmt w:val="bullet"/>
      <w:suff w:val="tab"/>
      <w:lvlText w:val=""/>
      <w:lvlJc w:val="left"/>
      <w:pPr>
        <w:ind w:hanging="360" w:left="2867"/>
      </w:pPr>
      <w:rPr>
        <w:rFonts w:ascii="Wingdings" w:hAnsi="Wingdings" w:hint="default"/>
      </w:rPr>
    </w:lvl>
    <w:lvl w:ilvl="3" w:tplc="04190001">
      <w:start w:val="1"/>
      <w:numFmt w:val="bullet"/>
      <w:suff w:val="tab"/>
      <w:lvlText w:val=""/>
      <w:lvlJc w:val="left"/>
      <w:pPr>
        <w:ind w:hanging="360" w:left="3587"/>
      </w:pPr>
      <w:rPr>
        <w:rFonts w:ascii="Symbol" w:hAnsi="Symbol" w:hint="default"/>
      </w:rPr>
    </w:lvl>
    <w:lvl w:ilvl="4" w:tplc="04190003">
      <w:start w:val="1"/>
      <w:numFmt w:val="bullet"/>
      <w:suff w:val="tab"/>
      <w:lvlText w:val="o"/>
      <w:lvlJc w:val="left"/>
      <w:pPr>
        <w:ind w:hanging="360" w:left="4307"/>
      </w:pPr>
      <w:rPr>
        <w:rFonts w:ascii="Courier New" w:hAnsi="Courier New" w:cs="Courier New" w:hint="default"/>
      </w:rPr>
    </w:lvl>
    <w:lvl w:ilvl="5" w:tplc="04190005">
      <w:start w:val="1"/>
      <w:numFmt w:val="bullet"/>
      <w:suff w:val="tab"/>
      <w:lvlText w:val=""/>
      <w:lvlJc w:val="left"/>
      <w:pPr>
        <w:ind w:hanging="360" w:left="5027"/>
      </w:pPr>
      <w:rPr>
        <w:rFonts w:ascii="Wingdings" w:hAnsi="Wingdings" w:hint="default"/>
      </w:rPr>
    </w:lvl>
    <w:lvl w:ilvl="6" w:tplc="04190001">
      <w:start w:val="1"/>
      <w:numFmt w:val="bullet"/>
      <w:suff w:val="tab"/>
      <w:lvlText w:val=""/>
      <w:lvlJc w:val="left"/>
      <w:pPr>
        <w:ind w:hanging="360" w:left="5747"/>
      </w:pPr>
      <w:rPr>
        <w:rFonts w:ascii="Symbol" w:hAnsi="Symbol" w:hint="default"/>
      </w:rPr>
    </w:lvl>
    <w:lvl w:ilvl="7" w:tplc="04190003">
      <w:start w:val="1"/>
      <w:numFmt w:val="bullet"/>
      <w:suff w:val="tab"/>
      <w:lvlText w:val="o"/>
      <w:lvlJc w:val="left"/>
      <w:pPr>
        <w:ind w:hanging="360" w:left="6467"/>
      </w:pPr>
      <w:rPr>
        <w:rFonts w:ascii="Courier New" w:hAnsi="Courier New" w:cs="Courier New" w:hint="default"/>
      </w:rPr>
    </w:lvl>
    <w:lvl w:ilvl="8" w:tplc="04190005">
      <w:start w:val="1"/>
      <w:numFmt w:val="bullet"/>
      <w:suff w:val="tab"/>
      <w:lvlText w:val=""/>
      <w:lvlJc w:val="left"/>
      <w:pPr>
        <w:ind w:hanging="360" w:left="7187"/>
      </w:pPr>
      <w:rPr>
        <w:rFonts w:ascii="Wingdings" w:hAnsi="Wingdings" w:hint="default"/>
      </w:rPr>
    </w:lvl>
  </w:abstractNum>
  <w:abstractNum w:abstractNumId="10">
    <w:nsid w:val="1795565D"/>
    <w:multiLevelType w:val="hybridMultilevel"/>
    <w:lvl w:ilvl="0" w:tplc="0D98F34E">
      <w:start w:val="1"/>
      <w:numFmt w:val="bullet"/>
      <w:suff w:val="tab"/>
      <w:lvlText w:val=""/>
      <w:lvlJc w:val="left"/>
      <w:pPr>
        <w:ind w:hanging="360" w:left="1429"/>
      </w:pPr>
      <w:rPr>
        <w:rFonts w:ascii="Symbol" w:hAnsi="Symbol" w:hint="default"/>
      </w:rPr>
    </w:lvl>
    <w:lvl w:ilvl="1" w:tplc="04190003">
      <w:start w:val="1"/>
      <w:numFmt w:val="bullet"/>
      <w:suff w:val="tab"/>
      <w:lvlText w:val="o"/>
      <w:lvlJc w:val="left"/>
      <w:pPr>
        <w:ind w:hanging="360" w:left="2149"/>
      </w:pPr>
      <w:rPr>
        <w:rFonts w:ascii="Courier New" w:hAnsi="Courier New" w:cs="Courier New" w:hint="default"/>
      </w:rPr>
    </w:lvl>
    <w:lvl w:ilvl="2" w:tplc="04190005">
      <w:start w:val="1"/>
      <w:numFmt w:val="bullet"/>
      <w:suff w:val="tab"/>
      <w:lvlText w:val=""/>
      <w:lvlJc w:val="left"/>
      <w:pPr>
        <w:ind w:hanging="360" w:left="2869"/>
      </w:pPr>
      <w:rPr>
        <w:rFonts w:ascii="Wingdings" w:hAnsi="Wingdings" w:hint="default"/>
      </w:rPr>
    </w:lvl>
    <w:lvl w:ilvl="3" w:tplc="04190001">
      <w:start w:val="1"/>
      <w:numFmt w:val="bullet"/>
      <w:suff w:val="tab"/>
      <w:lvlText w:val=""/>
      <w:lvlJc w:val="left"/>
      <w:pPr>
        <w:ind w:hanging="360" w:left="3589"/>
      </w:pPr>
      <w:rPr>
        <w:rFonts w:ascii="Symbol" w:hAnsi="Symbol" w:hint="default"/>
      </w:rPr>
    </w:lvl>
    <w:lvl w:ilvl="4" w:tplc="04190003">
      <w:start w:val="1"/>
      <w:numFmt w:val="bullet"/>
      <w:suff w:val="tab"/>
      <w:lvlText w:val="o"/>
      <w:lvlJc w:val="left"/>
      <w:pPr>
        <w:ind w:hanging="360" w:left="4309"/>
      </w:pPr>
      <w:rPr>
        <w:rFonts w:ascii="Courier New" w:hAnsi="Courier New" w:cs="Courier New" w:hint="default"/>
      </w:rPr>
    </w:lvl>
    <w:lvl w:ilvl="5" w:tplc="04190005">
      <w:start w:val="1"/>
      <w:numFmt w:val="bullet"/>
      <w:suff w:val="tab"/>
      <w:lvlText w:val=""/>
      <w:lvlJc w:val="left"/>
      <w:pPr>
        <w:ind w:hanging="360" w:left="5029"/>
      </w:pPr>
      <w:rPr>
        <w:rFonts w:ascii="Wingdings" w:hAnsi="Wingdings" w:hint="default"/>
      </w:rPr>
    </w:lvl>
    <w:lvl w:ilvl="6" w:tplc="04190001">
      <w:start w:val="1"/>
      <w:numFmt w:val="bullet"/>
      <w:suff w:val="tab"/>
      <w:lvlText w:val=""/>
      <w:lvlJc w:val="left"/>
      <w:pPr>
        <w:ind w:hanging="360" w:left="5749"/>
      </w:pPr>
      <w:rPr>
        <w:rFonts w:ascii="Symbol" w:hAnsi="Symbol" w:hint="default"/>
      </w:rPr>
    </w:lvl>
    <w:lvl w:ilvl="7" w:tplc="04190003">
      <w:start w:val="1"/>
      <w:numFmt w:val="bullet"/>
      <w:suff w:val="tab"/>
      <w:lvlText w:val="o"/>
      <w:lvlJc w:val="left"/>
      <w:pPr>
        <w:ind w:hanging="360" w:left="6469"/>
      </w:pPr>
      <w:rPr>
        <w:rFonts w:ascii="Courier New" w:hAnsi="Courier New" w:cs="Courier New" w:hint="default"/>
      </w:rPr>
    </w:lvl>
    <w:lvl w:ilvl="8" w:tplc="04190005">
      <w:start w:val="1"/>
      <w:numFmt w:val="bullet"/>
      <w:suff w:val="tab"/>
      <w:lvlText w:val=""/>
      <w:lvlJc w:val="left"/>
      <w:pPr>
        <w:ind w:hanging="360" w:left="7189"/>
      </w:pPr>
      <w:rPr>
        <w:rFonts w:ascii="Wingdings" w:hAnsi="Wingdings" w:hint="default"/>
      </w:rPr>
    </w:lvl>
  </w:abstractNum>
  <w:abstractNum w:abstractNumId="11">
    <w:nsid w:val="1B8152F0"/>
    <w:multiLevelType w:val="hybridMultilevel"/>
    <w:lvl w:ilvl="0" w:tplc="04190009">
      <w:start w:val="1"/>
      <w:numFmt w:val="bullet"/>
      <w:suff w:val="tab"/>
      <w:lvlText w:val=""/>
      <w:lvlJc w:val="left"/>
      <w:pPr>
        <w:ind w:hanging="360" w:left="720"/>
      </w:pPr>
      <w:rPr>
        <w:rFonts w:ascii="Wingdings" w:hAnsi="Wingdings" w:hint="default"/>
      </w:rPr>
    </w:lvl>
    <w:lvl w:ilvl="1" w:tplc="04190003">
      <w:start w:val="1"/>
      <w:numFmt w:val="bullet"/>
      <w:suff w:val="tab"/>
      <w:lvlText w:val="o"/>
      <w:lvlJc w:val="left"/>
      <w:pPr>
        <w:ind w:hanging="360" w:left="1440"/>
      </w:pPr>
      <w:rPr>
        <w:rFonts w:ascii="Courier New" w:hAnsi="Courier New" w:cs="Courier New" w:hint="default"/>
      </w:rPr>
    </w:lvl>
    <w:lvl w:ilvl="2" w:tplc="04190005">
      <w:start w:val="1"/>
      <w:numFmt w:val="bullet"/>
      <w:suff w:val="tab"/>
      <w:lvlText w:val=""/>
      <w:lvlJc w:val="left"/>
      <w:pPr>
        <w:ind w:hanging="360" w:left="2160"/>
      </w:pPr>
      <w:rPr>
        <w:rFonts w:ascii="Wingdings" w:hAnsi="Wingdings" w:hint="default"/>
      </w:rPr>
    </w:lvl>
    <w:lvl w:ilvl="3" w:tplc="04190001">
      <w:start w:val="1"/>
      <w:numFmt w:val="bullet"/>
      <w:suff w:val="tab"/>
      <w:lvlText w:val=""/>
      <w:lvlJc w:val="left"/>
      <w:pPr>
        <w:ind w:hanging="360" w:left="2880"/>
      </w:pPr>
      <w:rPr>
        <w:rFonts w:ascii="Symbol" w:hAnsi="Symbol" w:hint="default"/>
      </w:rPr>
    </w:lvl>
    <w:lvl w:ilvl="4" w:tplc="04190003">
      <w:start w:val="1"/>
      <w:numFmt w:val="bullet"/>
      <w:suff w:val="tab"/>
      <w:lvlText w:val="o"/>
      <w:lvlJc w:val="left"/>
      <w:pPr>
        <w:ind w:hanging="360" w:left="3600"/>
      </w:pPr>
      <w:rPr>
        <w:rFonts w:ascii="Courier New" w:hAnsi="Courier New" w:cs="Courier New" w:hint="default"/>
      </w:rPr>
    </w:lvl>
    <w:lvl w:ilvl="5" w:tplc="04190005">
      <w:start w:val="1"/>
      <w:numFmt w:val="bullet"/>
      <w:suff w:val="tab"/>
      <w:lvlText w:val=""/>
      <w:lvlJc w:val="left"/>
      <w:pPr>
        <w:ind w:hanging="360" w:left="4320"/>
      </w:pPr>
      <w:rPr>
        <w:rFonts w:ascii="Wingdings" w:hAnsi="Wingdings" w:hint="default"/>
      </w:rPr>
    </w:lvl>
    <w:lvl w:ilvl="6" w:tplc="04190001">
      <w:start w:val="1"/>
      <w:numFmt w:val="bullet"/>
      <w:suff w:val="tab"/>
      <w:lvlText w:val=""/>
      <w:lvlJc w:val="left"/>
      <w:pPr>
        <w:ind w:hanging="360" w:left="5040"/>
      </w:pPr>
      <w:rPr>
        <w:rFonts w:ascii="Symbol" w:hAnsi="Symbol" w:hint="default"/>
      </w:rPr>
    </w:lvl>
    <w:lvl w:ilvl="7" w:tplc="04190003">
      <w:start w:val="1"/>
      <w:numFmt w:val="bullet"/>
      <w:suff w:val="tab"/>
      <w:lvlText w:val="o"/>
      <w:lvlJc w:val="left"/>
      <w:pPr>
        <w:ind w:hanging="360" w:left="5760"/>
      </w:pPr>
      <w:rPr>
        <w:rFonts w:ascii="Courier New" w:hAnsi="Courier New" w:cs="Courier New" w:hint="default"/>
      </w:rPr>
    </w:lvl>
    <w:lvl w:ilvl="8" w:tplc="04190005">
      <w:start w:val="1"/>
      <w:numFmt w:val="bullet"/>
      <w:suff w:val="tab"/>
      <w:lvlText w:val=""/>
      <w:lvlJc w:val="left"/>
      <w:pPr>
        <w:ind w:hanging="360" w:left="6480"/>
      </w:pPr>
      <w:rPr>
        <w:rFonts w:ascii="Wingdings" w:hAnsi="Wingdings" w:hint="default"/>
      </w:rPr>
    </w:lvl>
  </w:abstractNum>
  <w:abstractNum w:abstractNumId="12">
    <w:nsid w:val="1D126954"/>
    <w:multiLevelType w:val="hybridMultilevel"/>
    <w:lvl w:ilvl="0" w:tplc="3BE4E49A">
      <w:start w:val="1"/>
      <w:numFmt w:val="bullet"/>
      <w:suff w:val="tab"/>
      <w:lvlText w:val=""/>
      <w:lvlJc w:val="left"/>
      <w:pPr>
        <w:ind w:hanging="360" w:left="1427"/>
      </w:pPr>
      <w:rPr>
        <w:rFonts w:ascii="Symbol" w:hAnsi="Symbol" w:hint="default"/>
      </w:rPr>
    </w:lvl>
    <w:lvl w:ilvl="1" w:tplc="04190003">
      <w:start w:val="1"/>
      <w:numFmt w:val="bullet"/>
      <w:suff w:val="tab"/>
      <w:lvlText w:val="o"/>
      <w:lvlJc w:val="left"/>
      <w:pPr>
        <w:ind w:hanging="360" w:left="2147"/>
      </w:pPr>
      <w:rPr>
        <w:rFonts w:ascii="Courier New" w:hAnsi="Courier New" w:cs="Courier New" w:hint="default"/>
      </w:rPr>
    </w:lvl>
    <w:lvl w:ilvl="2" w:tplc="04190005">
      <w:start w:val="1"/>
      <w:numFmt w:val="bullet"/>
      <w:suff w:val="tab"/>
      <w:lvlText w:val=""/>
      <w:lvlJc w:val="left"/>
      <w:pPr>
        <w:ind w:hanging="360" w:left="2867"/>
      </w:pPr>
      <w:rPr>
        <w:rFonts w:ascii="Wingdings" w:hAnsi="Wingdings" w:hint="default"/>
      </w:rPr>
    </w:lvl>
    <w:lvl w:ilvl="3" w:tplc="04190001">
      <w:start w:val="1"/>
      <w:numFmt w:val="bullet"/>
      <w:suff w:val="tab"/>
      <w:lvlText w:val=""/>
      <w:lvlJc w:val="left"/>
      <w:pPr>
        <w:ind w:hanging="360" w:left="3587"/>
      </w:pPr>
      <w:rPr>
        <w:rFonts w:ascii="Symbol" w:hAnsi="Symbol" w:hint="default"/>
      </w:rPr>
    </w:lvl>
    <w:lvl w:ilvl="4" w:tplc="04190003">
      <w:start w:val="1"/>
      <w:numFmt w:val="bullet"/>
      <w:suff w:val="tab"/>
      <w:lvlText w:val="o"/>
      <w:lvlJc w:val="left"/>
      <w:pPr>
        <w:ind w:hanging="360" w:left="4307"/>
      </w:pPr>
      <w:rPr>
        <w:rFonts w:ascii="Courier New" w:hAnsi="Courier New" w:cs="Courier New" w:hint="default"/>
      </w:rPr>
    </w:lvl>
    <w:lvl w:ilvl="5" w:tplc="04190005">
      <w:start w:val="1"/>
      <w:numFmt w:val="bullet"/>
      <w:suff w:val="tab"/>
      <w:lvlText w:val=""/>
      <w:lvlJc w:val="left"/>
      <w:pPr>
        <w:ind w:hanging="360" w:left="5027"/>
      </w:pPr>
      <w:rPr>
        <w:rFonts w:ascii="Wingdings" w:hAnsi="Wingdings" w:hint="default"/>
      </w:rPr>
    </w:lvl>
    <w:lvl w:ilvl="6" w:tplc="04190001">
      <w:start w:val="1"/>
      <w:numFmt w:val="bullet"/>
      <w:suff w:val="tab"/>
      <w:lvlText w:val=""/>
      <w:lvlJc w:val="left"/>
      <w:pPr>
        <w:ind w:hanging="360" w:left="5747"/>
      </w:pPr>
      <w:rPr>
        <w:rFonts w:ascii="Symbol" w:hAnsi="Symbol" w:hint="default"/>
      </w:rPr>
    </w:lvl>
    <w:lvl w:ilvl="7" w:tplc="04190003">
      <w:start w:val="1"/>
      <w:numFmt w:val="bullet"/>
      <w:suff w:val="tab"/>
      <w:lvlText w:val="o"/>
      <w:lvlJc w:val="left"/>
      <w:pPr>
        <w:ind w:hanging="360" w:left="6467"/>
      </w:pPr>
      <w:rPr>
        <w:rFonts w:ascii="Courier New" w:hAnsi="Courier New" w:cs="Courier New" w:hint="default"/>
      </w:rPr>
    </w:lvl>
    <w:lvl w:ilvl="8" w:tplc="04190005">
      <w:start w:val="1"/>
      <w:numFmt w:val="bullet"/>
      <w:suff w:val="tab"/>
      <w:lvlText w:val=""/>
      <w:lvlJc w:val="left"/>
      <w:pPr>
        <w:ind w:hanging="360" w:left="7187"/>
      </w:pPr>
      <w:rPr>
        <w:rFonts w:ascii="Wingdings" w:hAnsi="Wingdings" w:hint="default"/>
      </w:rPr>
    </w:lvl>
  </w:abstractNum>
  <w:abstractNum w:abstractNumId="13">
    <w:nsid w:val="1F634D3D"/>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14">
    <w:nsid w:val="28D1023E"/>
    <w:multiLevelType w:val="hybridMultilevel"/>
    <w:lvl w:ilvl="0" w:tplc="3BE4E49A">
      <w:start w:val="1"/>
      <w:numFmt w:val="bullet"/>
      <w:suff w:val="tab"/>
      <w:lvlText w:val=""/>
      <w:lvlJc w:val="left"/>
      <w:pPr>
        <w:ind w:hanging="360" w:left="1429"/>
      </w:pPr>
      <w:rPr>
        <w:rFonts w:ascii="Symbol" w:hAnsi="Symbol" w:hint="default"/>
      </w:rPr>
    </w:lvl>
    <w:lvl w:ilvl="1" w:tplc="04190003">
      <w:start w:val="1"/>
      <w:numFmt w:val="bullet"/>
      <w:suff w:val="tab"/>
      <w:lvlText w:val="o"/>
      <w:lvlJc w:val="left"/>
      <w:pPr>
        <w:ind w:hanging="360" w:left="2149"/>
      </w:pPr>
      <w:rPr>
        <w:rFonts w:ascii="Courier New" w:hAnsi="Courier New" w:cs="Courier New" w:hint="default"/>
      </w:rPr>
    </w:lvl>
    <w:lvl w:ilvl="2" w:tplc="04190005">
      <w:start w:val="1"/>
      <w:numFmt w:val="bullet"/>
      <w:suff w:val="tab"/>
      <w:lvlText w:val=""/>
      <w:lvlJc w:val="left"/>
      <w:pPr>
        <w:ind w:hanging="360" w:left="2869"/>
      </w:pPr>
      <w:rPr>
        <w:rFonts w:ascii="Wingdings" w:hAnsi="Wingdings" w:hint="default"/>
      </w:rPr>
    </w:lvl>
    <w:lvl w:ilvl="3" w:tplc="04190001">
      <w:start w:val="1"/>
      <w:numFmt w:val="bullet"/>
      <w:suff w:val="tab"/>
      <w:lvlText w:val=""/>
      <w:lvlJc w:val="left"/>
      <w:pPr>
        <w:ind w:hanging="360" w:left="3589"/>
      </w:pPr>
      <w:rPr>
        <w:rFonts w:ascii="Symbol" w:hAnsi="Symbol" w:hint="default"/>
      </w:rPr>
    </w:lvl>
    <w:lvl w:ilvl="4" w:tplc="04190003">
      <w:start w:val="1"/>
      <w:numFmt w:val="bullet"/>
      <w:suff w:val="tab"/>
      <w:lvlText w:val="o"/>
      <w:lvlJc w:val="left"/>
      <w:pPr>
        <w:ind w:hanging="360" w:left="4309"/>
      </w:pPr>
      <w:rPr>
        <w:rFonts w:ascii="Courier New" w:hAnsi="Courier New" w:cs="Courier New" w:hint="default"/>
      </w:rPr>
    </w:lvl>
    <w:lvl w:ilvl="5" w:tplc="04190005">
      <w:start w:val="1"/>
      <w:numFmt w:val="bullet"/>
      <w:suff w:val="tab"/>
      <w:lvlText w:val=""/>
      <w:lvlJc w:val="left"/>
      <w:pPr>
        <w:ind w:hanging="360" w:left="5029"/>
      </w:pPr>
      <w:rPr>
        <w:rFonts w:ascii="Wingdings" w:hAnsi="Wingdings" w:hint="default"/>
      </w:rPr>
    </w:lvl>
    <w:lvl w:ilvl="6" w:tplc="04190001">
      <w:start w:val="1"/>
      <w:numFmt w:val="bullet"/>
      <w:suff w:val="tab"/>
      <w:lvlText w:val=""/>
      <w:lvlJc w:val="left"/>
      <w:pPr>
        <w:ind w:hanging="360" w:left="5749"/>
      </w:pPr>
      <w:rPr>
        <w:rFonts w:ascii="Symbol" w:hAnsi="Symbol" w:hint="default"/>
      </w:rPr>
    </w:lvl>
    <w:lvl w:ilvl="7" w:tplc="04190003">
      <w:start w:val="1"/>
      <w:numFmt w:val="bullet"/>
      <w:suff w:val="tab"/>
      <w:lvlText w:val="o"/>
      <w:lvlJc w:val="left"/>
      <w:pPr>
        <w:ind w:hanging="360" w:left="6469"/>
      </w:pPr>
      <w:rPr>
        <w:rFonts w:ascii="Courier New" w:hAnsi="Courier New" w:cs="Courier New" w:hint="default"/>
      </w:rPr>
    </w:lvl>
    <w:lvl w:ilvl="8" w:tplc="04190005">
      <w:start w:val="1"/>
      <w:numFmt w:val="bullet"/>
      <w:suff w:val="tab"/>
      <w:lvlText w:val=""/>
      <w:lvlJc w:val="left"/>
      <w:pPr>
        <w:ind w:hanging="360" w:left="7189"/>
      </w:pPr>
      <w:rPr>
        <w:rFonts w:ascii="Wingdings" w:hAnsi="Wingdings" w:hint="default"/>
      </w:rPr>
    </w:lvl>
  </w:abstractNum>
  <w:abstractNum w:abstractNumId="15">
    <w:nsid w:val="29764D89"/>
    <w:multiLevelType w:val="hybridMultilevel"/>
    <w:lvl w:ilvl="0" w:tplc="3BE4E49A">
      <w:start w:val="1"/>
      <w:numFmt w:val="bullet"/>
      <w:suff w:val="tab"/>
      <w:lvlText w:val=""/>
      <w:lvlJc w:val="left"/>
      <w:pPr>
        <w:ind w:hanging="360" w:left="1429"/>
      </w:pPr>
      <w:rPr>
        <w:rFonts w:ascii="Symbol" w:hAnsi="Symbol" w:hint="default"/>
      </w:rPr>
    </w:lvl>
    <w:lvl w:ilvl="1" w:tplc="04190003">
      <w:start w:val="1"/>
      <w:numFmt w:val="bullet"/>
      <w:suff w:val="tab"/>
      <w:lvlText w:val="o"/>
      <w:lvlJc w:val="left"/>
      <w:pPr>
        <w:ind w:hanging="360" w:left="2149"/>
      </w:pPr>
      <w:rPr>
        <w:rFonts w:ascii="Courier New" w:hAnsi="Courier New" w:cs="Courier New" w:hint="default"/>
      </w:rPr>
    </w:lvl>
    <w:lvl w:ilvl="2" w:tplc="04190005">
      <w:start w:val="1"/>
      <w:numFmt w:val="bullet"/>
      <w:suff w:val="tab"/>
      <w:lvlText w:val=""/>
      <w:lvlJc w:val="left"/>
      <w:pPr>
        <w:ind w:hanging="360" w:left="2869"/>
      </w:pPr>
      <w:rPr>
        <w:rFonts w:ascii="Wingdings" w:hAnsi="Wingdings" w:hint="default"/>
      </w:rPr>
    </w:lvl>
    <w:lvl w:ilvl="3" w:tplc="04190001">
      <w:start w:val="1"/>
      <w:numFmt w:val="bullet"/>
      <w:suff w:val="tab"/>
      <w:lvlText w:val=""/>
      <w:lvlJc w:val="left"/>
      <w:pPr>
        <w:ind w:hanging="360" w:left="3589"/>
      </w:pPr>
      <w:rPr>
        <w:rFonts w:ascii="Symbol" w:hAnsi="Symbol" w:hint="default"/>
      </w:rPr>
    </w:lvl>
    <w:lvl w:ilvl="4" w:tplc="04190003">
      <w:start w:val="1"/>
      <w:numFmt w:val="bullet"/>
      <w:suff w:val="tab"/>
      <w:lvlText w:val="o"/>
      <w:lvlJc w:val="left"/>
      <w:pPr>
        <w:ind w:hanging="360" w:left="4309"/>
      </w:pPr>
      <w:rPr>
        <w:rFonts w:ascii="Courier New" w:hAnsi="Courier New" w:cs="Courier New" w:hint="default"/>
      </w:rPr>
    </w:lvl>
    <w:lvl w:ilvl="5" w:tplc="04190005">
      <w:start w:val="1"/>
      <w:numFmt w:val="bullet"/>
      <w:suff w:val="tab"/>
      <w:lvlText w:val=""/>
      <w:lvlJc w:val="left"/>
      <w:pPr>
        <w:ind w:hanging="360" w:left="5029"/>
      </w:pPr>
      <w:rPr>
        <w:rFonts w:ascii="Wingdings" w:hAnsi="Wingdings" w:hint="default"/>
      </w:rPr>
    </w:lvl>
    <w:lvl w:ilvl="6" w:tplc="04190001">
      <w:start w:val="1"/>
      <w:numFmt w:val="bullet"/>
      <w:suff w:val="tab"/>
      <w:lvlText w:val=""/>
      <w:lvlJc w:val="left"/>
      <w:pPr>
        <w:ind w:hanging="360" w:left="5749"/>
      </w:pPr>
      <w:rPr>
        <w:rFonts w:ascii="Symbol" w:hAnsi="Symbol" w:hint="default"/>
      </w:rPr>
    </w:lvl>
    <w:lvl w:ilvl="7" w:tplc="04190003">
      <w:start w:val="1"/>
      <w:numFmt w:val="bullet"/>
      <w:suff w:val="tab"/>
      <w:lvlText w:val="o"/>
      <w:lvlJc w:val="left"/>
      <w:pPr>
        <w:ind w:hanging="360" w:left="6469"/>
      </w:pPr>
      <w:rPr>
        <w:rFonts w:ascii="Courier New" w:hAnsi="Courier New" w:cs="Courier New" w:hint="default"/>
      </w:rPr>
    </w:lvl>
    <w:lvl w:ilvl="8" w:tplc="04190005">
      <w:start w:val="1"/>
      <w:numFmt w:val="bullet"/>
      <w:suff w:val="tab"/>
      <w:lvlText w:val=""/>
      <w:lvlJc w:val="left"/>
      <w:pPr>
        <w:ind w:hanging="360" w:left="7189"/>
      </w:pPr>
      <w:rPr>
        <w:rFonts w:ascii="Wingdings" w:hAnsi="Wingdings" w:hint="default"/>
      </w:rPr>
    </w:lvl>
  </w:abstractNum>
  <w:abstractNum w:abstractNumId="16">
    <w:nsid w:val="2A315CAC"/>
    <w:multiLevelType w:val="hybridMultilevel"/>
    <w:lvl w:ilvl="0" w:tplc="3BE4E49A">
      <w:start w:val="1"/>
      <w:numFmt w:val="bullet"/>
      <w:suff w:val="tab"/>
      <w:lvlText w:val=""/>
      <w:lvlJc w:val="left"/>
      <w:pPr>
        <w:ind w:hanging="360" w:left="1427"/>
      </w:pPr>
      <w:rPr>
        <w:rFonts w:ascii="Symbol" w:hAnsi="Symbol" w:hint="default"/>
      </w:rPr>
    </w:lvl>
    <w:lvl w:ilvl="1" w:tplc="04190003">
      <w:start w:val="1"/>
      <w:numFmt w:val="bullet"/>
      <w:suff w:val="tab"/>
      <w:lvlText w:val="o"/>
      <w:lvlJc w:val="left"/>
      <w:pPr>
        <w:ind w:hanging="360" w:left="2147"/>
      </w:pPr>
      <w:rPr>
        <w:rFonts w:ascii="Courier New" w:hAnsi="Courier New" w:cs="Courier New" w:hint="default"/>
      </w:rPr>
    </w:lvl>
    <w:lvl w:ilvl="2" w:tplc="04190005">
      <w:start w:val="1"/>
      <w:numFmt w:val="bullet"/>
      <w:suff w:val="tab"/>
      <w:lvlText w:val=""/>
      <w:lvlJc w:val="left"/>
      <w:pPr>
        <w:ind w:hanging="360" w:left="2867"/>
      </w:pPr>
      <w:rPr>
        <w:rFonts w:ascii="Wingdings" w:hAnsi="Wingdings" w:hint="default"/>
      </w:rPr>
    </w:lvl>
    <w:lvl w:ilvl="3" w:tplc="04190001">
      <w:start w:val="1"/>
      <w:numFmt w:val="bullet"/>
      <w:suff w:val="tab"/>
      <w:lvlText w:val=""/>
      <w:lvlJc w:val="left"/>
      <w:pPr>
        <w:ind w:hanging="360" w:left="3587"/>
      </w:pPr>
      <w:rPr>
        <w:rFonts w:ascii="Symbol" w:hAnsi="Symbol" w:hint="default"/>
      </w:rPr>
    </w:lvl>
    <w:lvl w:ilvl="4" w:tplc="04190003">
      <w:start w:val="1"/>
      <w:numFmt w:val="bullet"/>
      <w:suff w:val="tab"/>
      <w:lvlText w:val="o"/>
      <w:lvlJc w:val="left"/>
      <w:pPr>
        <w:ind w:hanging="360" w:left="4307"/>
      </w:pPr>
      <w:rPr>
        <w:rFonts w:ascii="Courier New" w:hAnsi="Courier New" w:cs="Courier New" w:hint="default"/>
      </w:rPr>
    </w:lvl>
    <w:lvl w:ilvl="5" w:tplc="04190005">
      <w:start w:val="1"/>
      <w:numFmt w:val="bullet"/>
      <w:suff w:val="tab"/>
      <w:lvlText w:val=""/>
      <w:lvlJc w:val="left"/>
      <w:pPr>
        <w:ind w:hanging="360" w:left="5027"/>
      </w:pPr>
      <w:rPr>
        <w:rFonts w:ascii="Wingdings" w:hAnsi="Wingdings" w:hint="default"/>
      </w:rPr>
    </w:lvl>
    <w:lvl w:ilvl="6" w:tplc="04190001">
      <w:start w:val="1"/>
      <w:numFmt w:val="bullet"/>
      <w:suff w:val="tab"/>
      <w:lvlText w:val=""/>
      <w:lvlJc w:val="left"/>
      <w:pPr>
        <w:ind w:hanging="360" w:left="5747"/>
      </w:pPr>
      <w:rPr>
        <w:rFonts w:ascii="Symbol" w:hAnsi="Symbol" w:hint="default"/>
      </w:rPr>
    </w:lvl>
    <w:lvl w:ilvl="7" w:tplc="04190003">
      <w:start w:val="1"/>
      <w:numFmt w:val="bullet"/>
      <w:suff w:val="tab"/>
      <w:lvlText w:val="o"/>
      <w:lvlJc w:val="left"/>
      <w:pPr>
        <w:ind w:hanging="360" w:left="6467"/>
      </w:pPr>
      <w:rPr>
        <w:rFonts w:ascii="Courier New" w:hAnsi="Courier New" w:cs="Courier New" w:hint="default"/>
      </w:rPr>
    </w:lvl>
    <w:lvl w:ilvl="8" w:tplc="04190005">
      <w:start w:val="1"/>
      <w:numFmt w:val="bullet"/>
      <w:suff w:val="tab"/>
      <w:lvlText w:val=""/>
      <w:lvlJc w:val="left"/>
      <w:pPr>
        <w:ind w:hanging="360" w:left="7187"/>
      </w:pPr>
      <w:rPr>
        <w:rFonts w:ascii="Wingdings" w:hAnsi="Wingdings" w:hint="default"/>
      </w:rPr>
    </w:lvl>
  </w:abstractNum>
  <w:abstractNum w:abstractNumId="17">
    <w:nsid w:val="31221E1F"/>
    <w:multiLevelType w:val="hybridMultilevel"/>
    <w:lvl w:ilvl="0" w:tplc="3BE4E49A">
      <w:start w:val="1"/>
      <w:numFmt w:val="bullet"/>
      <w:suff w:val="tab"/>
      <w:lvlText w:val=""/>
      <w:lvlJc w:val="left"/>
      <w:pPr>
        <w:ind w:hanging="360" w:left="1427"/>
      </w:pPr>
      <w:rPr>
        <w:rFonts w:ascii="Symbol" w:hAnsi="Symbol" w:hint="default"/>
      </w:rPr>
    </w:lvl>
    <w:lvl w:ilvl="1" w:tplc="04190003">
      <w:start w:val="1"/>
      <w:numFmt w:val="bullet"/>
      <w:suff w:val="tab"/>
      <w:lvlText w:val="o"/>
      <w:lvlJc w:val="left"/>
      <w:pPr>
        <w:ind w:hanging="360" w:left="2147"/>
      </w:pPr>
      <w:rPr>
        <w:rFonts w:ascii="Courier New" w:hAnsi="Courier New" w:cs="Courier New" w:hint="default"/>
      </w:rPr>
    </w:lvl>
    <w:lvl w:ilvl="2" w:tplc="04190005">
      <w:start w:val="1"/>
      <w:numFmt w:val="bullet"/>
      <w:suff w:val="tab"/>
      <w:lvlText w:val=""/>
      <w:lvlJc w:val="left"/>
      <w:pPr>
        <w:ind w:hanging="360" w:left="2867"/>
      </w:pPr>
      <w:rPr>
        <w:rFonts w:ascii="Wingdings" w:hAnsi="Wingdings" w:hint="default"/>
      </w:rPr>
    </w:lvl>
    <w:lvl w:ilvl="3" w:tplc="04190001">
      <w:start w:val="1"/>
      <w:numFmt w:val="bullet"/>
      <w:suff w:val="tab"/>
      <w:lvlText w:val=""/>
      <w:lvlJc w:val="left"/>
      <w:pPr>
        <w:ind w:hanging="360" w:left="3587"/>
      </w:pPr>
      <w:rPr>
        <w:rFonts w:ascii="Symbol" w:hAnsi="Symbol" w:hint="default"/>
      </w:rPr>
    </w:lvl>
    <w:lvl w:ilvl="4" w:tplc="04190003">
      <w:start w:val="1"/>
      <w:numFmt w:val="bullet"/>
      <w:suff w:val="tab"/>
      <w:lvlText w:val="o"/>
      <w:lvlJc w:val="left"/>
      <w:pPr>
        <w:ind w:hanging="360" w:left="4307"/>
      </w:pPr>
      <w:rPr>
        <w:rFonts w:ascii="Courier New" w:hAnsi="Courier New" w:cs="Courier New" w:hint="default"/>
      </w:rPr>
    </w:lvl>
    <w:lvl w:ilvl="5" w:tplc="04190005">
      <w:start w:val="1"/>
      <w:numFmt w:val="bullet"/>
      <w:suff w:val="tab"/>
      <w:lvlText w:val=""/>
      <w:lvlJc w:val="left"/>
      <w:pPr>
        <w:ind w:hanging="360" w:left="5027"/>
      </w:pPr>
      <w:rPr>
        <w:rFonts w:ascii="Wingdings" w:hAnsi="Wingdings" w:hint="default"/>
      </w:rPr>
    </w:lvl>
    <w:lvl w:ilvl="6" w:tplc="04190001">
      <w:start w:val="1"/>
      <w:numFmt w:val="bullet"/>
      <w:suff w:val="tab"/>
      <w:lvlText w:val=""/>
      <w:lvlJc w:val="left"/>
      <w:pPr>
        <w:ind w:hanging="360" w:left="5747"/>
      </w:pPr>
      <w:rPr>
        <w:rFonts w:ascii="Symbol" w:hAnsi="Symbol" w:hint="default"/>
      </w:rPr>
    </w:lvl>
    <w:lvl w:ilvl="7" w:tplc="04190003">
      <w:start w:val="1"/>
      <w:numFmt w:val="bullet"/>
      <w:suff w:val="tab"/>
      <w:lvlText w:val="o"/>
      <w:lvlJc w:val="left"/>
      <w:pPr>
        <w:ind w:hanging="360" w:left="6467"/>
      </w:pPr>
      <w:rPr>
        <w:rFonts w:ascii="Courier New" w:hAnsi="Courier New" w:cs="Courier New" w:hint="default"/>
      </w:rPr>
    </w:lvl>
    <w:lvl w:ilvl="8" w:tplc="04190005">
      <w:start w:val="1"/>
      <w:numFmt w:val="bullet"/>
      <w:suff w:val="tab"/>
      <w:lvlText w:val=""/>
      <w:lvlJc w:val="left"/>
      <w:pPr>
        <w:ind w:hanging="360" w:left="7187"/>
      </w:pPr>
      <w:rPr>
        <w:rFonts w:ascii="Wingdings" w:hAnsi="Wingdings" w:hint="default"/>
      </w:rPr>
    </w:lvl>
  </w:abstractNum>
  <w:abstractNum w:abstractNumId="18">
    <w:nsid w:val="36C725F6"/>
    <w:multiLevelType w:val="hybridMultilevel"/>
    <w:lvl w:ilvl="0" w:tplc="3BE4E49A">
      <w:start w:val="1"/>
      <w:numFmt w:val="bullet"/>
      <w:suff w:val="tab"/>
      <w:lvlText w:val=""/>
      <w:lvlJc w:val="left"/>
      <w:pPr>
        <w:ind w:hanging="360" w:left="1427"/>
      </w:pPr>
      <w:rPr>
        <w:rFonts w:ascii="Symbol" w:hAnsi="Symbol" w:hint="default"/>
      </w:rPr>
    </w:lvl>
    <w:lvl w:ilvl="1" w:tplc="04190003">
      <w:start w:val="1"/>
      <w:numFmt w:val="bullet"/>
      <w:suff w:val="tab"/>
      <w:lvlText w:val="o"/>
      <w:lvlJc w:val="left"/>
      <w:pPr>
        <w:ind w:hanging="360" w:left="2147"/>
      </w:pPr>
      <w:rPr>
        <w:rFonts w:ascii="Courier New" w:hAnsi="Courier New" w:cs="Courier New" w:hint="default"/>
      </w:rPr>
    </w:lvl>
    <w:lvl w:ilvl="2" w:tplc="04190005">
      <w:start w:val="1"/>
      <w:numFmt w:val="bullet"/>
      <w:suff w:val="tab"/>
      <w:lvlText w:val=""/>
      <w:lvlJc w:val="left"/>
      <w:pPr>
        <w:ind w:hanging="360" w:left="2867"/>
      </w:pPr>
      <w:rPr>
        <w:rFonts w:ascii="Wingdings" w:hAnsi="Wingdings" w:hint="default"/>
      </w:rPr>
    </w:lvl>
    <w:lvl w:ilvl="3" w:tplc="04190001">
      <w:start w:val="1"/>
      <w:numFmt w:val="bullet"/>
      <w:suff w:val="tab"/>
      <w:lvlText w:val=""/>
      <w:lvlJc w:val="left"/>
      <w:pPr>
        <w:ind w:hanging="360" w:left="3587"/>
      </w:pPr>
      <w:rPr>
        <w:rFonts w:ascii="Symbol" w:hAnsi="Symbol" w:hint="default"/>
      </w:rPr>
    </w:lvl>
    <w:lvl w:ilvl="4" w:tplc="04190003">
      <w:start w:val="1"/>
      <w:numFmt w:val="bullet"/>
      <w:suff w:val="tab"/>
      <w:lvlText w:val="o"/>
      <w:lvlJc w:val="left"/>
      <w:pPr>
        <w:ind w:hanging="360" w:left="4307"/>
      </w:pPr>
      <w:rPr>
        <w:rFonts w:ascii="Courier New" w:hAnsi="Courier New" w:cs="Courier New" w:hint="default"/>
      </w:rPr>
    </w:lvl>
    <w:lvl w:ilvl="5" w:tplc="04190005">
      <w:start w:val="1"/>
      <w:numFmt w:val="bullet"/>
      <w:suff w:val="tab"/>
      <w:lvlText w:val=""/>
      <w:lvlJc w:val="left"/>
      <w:pPr>
        <w:ind w:hanging="360" w:left="5027"/>
      </w:pPr>
      <w:rPr>
        <w:rFonts w:ascii="Wingdings" w:hAnsi="Wingdings" w:hint="default"/>
      </w:rPr>
    </w:lvl>
    <w:lvl w:ilvl="6" w:tplc="04190001">
      <w:start w:val="1"/>
      <w:numFmt w:val="bullet"/>
      <w:suff w:val="tab"/>
      <w:lvlText w:val=""/>
      <w:lvlJc w:val="left"/>
      <w:pPr>
        <w:ind w:hanging="360" w:left="5747"/>
      </w:pPr>
      <w:rPr>
        <w:rFonts w:ascii="Symbol" w:hAnsi="Symbol" w:hint="default"/>
      </w:rPr>
    </w:lvl>
    <w:lvl w:ilvl="7" w:tplc="04190003">
      <w:start w:val="1"/>
      <w:numFmt w:val="bullet"/>
      <w:suff w:val="tab"/>
      <w:lvlText w:val="o"/>
      <w:lvlJc w:val="left"/>
      <w:pPr>
        <w:ind w:hanging="360" w:left="6467"/>
      </w:pPr>
      <w:rPr>
        <w:rFonts w:ascii="Courier New" w:hAnsi="Courier New" w:cs="Courier New" w:hint="default"/>
      </w:rPr>
    </w:lvl>
    <w:lvl w:ilvl="8" w:tplc="04190005">
      <w:start w:val="1"/>
      <w:numFmt w:val="bullet"/>
      <w:suff w:val="tab"/>
      <w:lvlText w:val=""/>
      <w:lvlJc w:val="left"/>
      <w:pPr>
        <w:ind w:hanging="360" w:left="7187"/>
      </w:pPr>
      <w:rPr>
        <w:rFonts w:ascii="Wingdings" w:hAnsi="Wingdings" w:hint="default"/>
      </w:rPr>
    </w:lvl>
  </w:abstractNum>
  <w:abstractNum w:abstractNumId="19">
    <w:nsid w:val="3FFB32C2"/>
    <w:multiLevelType w:val="hybridMultilevel"/>
    <w:lvl w:ilvl="0" w:tplc="3BE4E49A">
      <w:start w:val="1"/>
      <w:numFmt w:val="bullet"/>
      <w:suff w:val="tab"/>
      <w:lvlText w:val=""/>
      <w:lvlJc w:val="left"/>
      <w:pPr>
        <w:ind w:hanging="360" w:left="1429"/>
      </w:pPr>
      <w:rPr>
        <w:rFonts w:ascii="Symbol" w:hAnsi="Symbol" w:hint="default"/>
      </w:rPr>
    </w:lvl>
    <w:lvl w:ilvl="1" w:tplc="04190003">
      <w:start w:val="1"/>
      <w:numFmt w:val="bullet"/>
      <w:suff w:val="tab"/>
      <w:lvlText w:val="o"/>
      <w:lvlJc w:val="left"/>
      <w:pPr>
        <w:ind w:hanging="360" w:left="2149"/>
      </w:pPr>
      <w:rPr>
        <w:rFonts w:ascii="Courier New" w:hAnsi="Courier New" w:cs="Courier New" w:hint="default"/>
      </w:rPr>
    </w:lvl>
    <w:lvl w:ilvl="2" w:tplc="04190005">
      <w:start w:val="1"/>
      <w:numFmt w:val="bullet"/>
      <w:suff w:val="tab"/>
      <w:lvlText w:val=""/>
      <w:lvlJc w:val="left"/>
      <w:pPr>
        <w:ind w:hanging="360" w:left="2869"/>
      </w:pPr>
      <w:rPr>
        <w:rFonts w:ascii="Wingdings" w:hAnsi="Wingdings" w:hint="default"/>
      </w:rPr>
    </w:lvl>
    <w:lvl w:ilvl="3" w:tplc="04190001">
      <w:start w:val="1"/>
      <w:numFmt w:val="bullet"/>
      <w:suff w:val="tab"/>
      <w:lvlText w:val=""/>
      <w:lvlJc w:val="left"/>
      <w:pPr>
        <w:ind w:hanging="360" w:left="3589"/>
      </w:pPr>
      <w:rPr>
        <w:rFonts w:ascii="Symbol" w:hAnsi="Symbol" w:hint="default"/>
      </w:rPr>
    </w:lvl>
    <w:lvl w:ilvl="4" w:tplc="04190003">
      <w:start w:val="1"/>
      <w:numFmt w:val="bullet"/>
      <w:suff w:val="tab"/>
      <w:lvlText w:val="o"/>
      <w:lvlJc w:val="left"/>
      <w:pPr>
        <w:ind w:hanging="360" w:left="4309"/>
      </w:pPr>
      <w:rPr>
        <w:rFonts w:ascii="Courier New" w:hAnsi="Courier New" w:cs="Courier New" w:hint="default"/>
      </w:rPr>
    </w:lvl>
    <w:lvl w:ilvl="5" w:tplc="04190005">
      <w:start w:val="1"/>
      <w:numFmt w:val="bullet"/>
      <w:suff w:val="tab"/>
      <w:lvlText w:val=""/>
      <w:lvlJc w:val="left"/>
      <w:pPr>
        <w:ind w:hanging="360" w:left="5029"/>
      </w:pPr>
      <w:rPr>
        <w:rFonts w:ascii="Wingdings" w:hAnsi="Wingdings" w:hint="default"/>
      </w:rPr>
    </w:lvl>
    <w:lvl w:ilvl="6" w:tplc="04190001">
      <w:start w:val="1"/>
      <w:numFmt w:val="bullet"/>
      <w:suff w:val="tab"/>
      <w:lvlText w:val=""/>
      <w:lvlJc w:val="left"/>
      <w:pPr>
        <w:ind w:hanging="360" w:left="5749"/>
      </w:pPr>
      <w:rPr>
        <w:rFonts w:ascii="Symbol" w:hAnsi="Symbol" w:hint="default"/>
      </w:rPr>
    </w:lvl>
    <w:lvl w:ilvl="7" w:tplc="04190003">
      <w:start w:val="1"/>
      <w:numFmt w:val="bullet"/>
      <w:suff w:val="tab"/>
      <w:lvlText w:val="o"/>
      <w:lvlJc w:val="left"/>
      <w:pPr>
        <w:ind w:hanging="360" w:left="6469"/>
      </w:pPr>
      <w:rPr>
        <w:rFonts w:ascii="Courier New" w:hAnsi="Courier New" w:cs="Courier New" w:hint="default"/>
      </w:rPr>
    </w:lvl>
    <w:lvl w:ilvl="8" w:tplc="04190005">
      <w:start w:val="1"/>
      <w:numFmt w:val="bullet"/>
      <w:suff w:val="tab"/>
      <w:lvlText w:val=""/>
      <w:lvlJc w:val="left"/>
      <w:pPr>
        <w:ind w:hanging="360" w:left="7189"/>
      </w:pPr>
      <w:rPr>
        <w:rFonts w:ascii="Wingdings" w:hAnsi="Wingdings" w:hint="default"/>
      </w:rPr>
    </w:lvl>
  </w:abstractNum>
  <w:abstractNum w:abstractNumId="20">
    <w:nsid w:val="4071768A"/>
    <w:multiLevelType w:val="hybridMultilevel"/>
    <w:lvl w:ilvl="0" w:tplc="3BE4E49A">
      <w:start w:val="1"/>
      <w:numFmt w:val="bullet"/>
      <w:suff w:val="tab"/>
      <w:lvlText w:val=""/>
      <w:lvlJc w:val="left"/>
      <w:pPr>
        <w:ind w:hanging="360" w:left="1427"/>
      </w:pPr>
      <w:rPr>
        <w:rFonts w:ascii="Symbol" w:hAnsi="Symbol" w:hint="default"/>
      </w:rPr>
    </w:lvl>
    <w:lvl w:ilvl="1" w:tplc="04190003">
      <w:start w:val="1"/>
      <w:numFmt w:val="bullet"/>
      <w:suff w:val="tab"/>
      <w:lvlText w:val="o"/>
      <w:lvlJc w:val="left"/>
      <w:pPr>
        <w:ind w:hanging="360" w:left="2147"/>
      </w:pPr>
      <w:rPr>
        <w:rFonts w:ascii="Courier New" w:hAnsi="Courier New" w:cs="Courier New" w:hint="default"/>
      </w:rPr>
    </w:lvl>
    <w:lvl w:ilvl="2" w:tplc="04190005">
      <w:start w:val="1"/>
      <w:numFmt w:val="bullet"/>
      <w:suff w:val="tab"/>
      <w:lvlText w:val=""/>
      <w:lvlJc w:val="left"/>
      <w:pPr>
        <w:ind w:hanging="360" w:left="2867"/>
      </w:pPr>
      <w:rPr>
        <w:rFonts w:ascii="Wingdings" w:hAnsi="Wingdings" w:hint="default"/>
      </w:rPr>
    </w:lvl>
    <w:lvl w:ilvl="3" w:tplc="04190001">
      <w:start w:val="1"/>
      <w:numFmt w:val="bullet"/>
      <w:suff w:val="tab"/>
      <w:lvlText w:val=""/>
      <w:lvlJc w:val="left"/>
      <w:pPr>
        <w:ind w:hanging="360" w:left="3587"/>
      </w:pPr>
      <w:rPr>
        <w:rFonts w:ascii="Symbol" w:hAnsi="Symbol" w:hint="default"/>
      </w:rPr>
    </w:lvl>
    <w:lvl w:ilvl="4" w:tplc="04190003">
      <w:start w:val="1"/>
      <w:numFmt w:val="bullet"/>
      <w:suff w:val="tab"/>
      <w:lvlText w:val="o"/>
      <w:lvlJc w:val="left"/>
      <w:pPr>
        <w:ind w:hanging="360" w:left="4307"/>
      </w:pPr>
      <w:rPr>
        <w:rFonts w:ascii="Courier New" w:hAnsi="Courier New" w:cs="Courier New" w:hint="default"/>
      </w:rPr>
    </w:lvl>
    <w:lvl w:ilvl="5" w:tplc="04190005">
      <w:start w:val="1"/>
      <w:numFmt w:val="bullet"/>
      <w:suff w:val="tab"/>
      <w:lvlText w:val=""/>
      <w:lvlJc w:val="left"/>
      <w:pPr>
        <w:ind w:hanging="360" w:left="5027"/>
      </w:pPr>
      <w:rPr>
        <w:rFonts w:ascii="Wingdings" w:hAnsi="Wingdings" w:hint="default"/>
      </w:rPr>
    </w:lvl>
    <w:lvl w:ilvl="6" w:tplc="04190001">
      <w:start w:val="1"/>
      <w:numFmt w:val="bullet"/>
      <w:suff w:val="tab"/>
      <w:lvlText w:val=""/>
      <w:lvlJc w:val="left"/>
      <w:pPr>
        <w:ind w:hanging="360" w:left="5747"/>
      </w:pPr>
      <w:rPr>
        <w:rFonts w:ascii="Symbol" w:hAnsi="Symbol" w:hint="default"/>
      </w:rPr>
    </w:lvl>
    <w:lvl w:ilvl="7" w:tplc="04190003">
      <w:start w:val="1"/>
      <w:numFmt w:val="bullet"/>
      <w:suff w:val="tab"/>
      <w:lvlText w:val="o"/>
      <w:lvlJc w:val="left"/>
      <w:pPr>
        <w:ind w:hanging="360" w:left="6467"/>
      </w:pPr>
      <w:rPr>
        <w:rFonts w:ascii="Courier New" w:hAnsi="Courier New" w:cs="Courier New" w:hint="default"/>
      </w:rPr>
    </w:lvl>
    <w:lvl w:ilvl="8" w:tplc="04190005">
      <w:start w:val="1"/>
      <w:numFmt w:val="bullet"/>
      <w:suff w:val="tab"/>
      <w:lvlText w:val=""/>
      <w:lvlJc w:val="left"/>
      <w:pPr>
        <w:ind w:hanging="360" w:left="7187"/>
      </w:pPr>
      <w:rPr>
        <w:rFonts w:ascii="Wingdings" w:hAnsi="Wingdings" w:hint="default"/>
      </w:rPr>
    </w:lvl>
  </w:abstractNum>
  <w:abstractNum w:abstractNumId="21">
    <w:nsid w:val="4AB40D6F"/>
    <w:multiLevelType w:val="hybridMultilevel"/>
    <w:lvl w:ilvl="0" w:tplc="3BE4E49A">
      <w:start w:val="1"/>
      <w:numFmt w:val="bullet"/>
      <w:suff w:val="tab"/>
      <w:lvlText w:val=""/>
      <w:lvlJc w:val="left"/>
      <w:pPr>
        <w:ind w:hanging="360" w:left="1070"/>
      </w:pPr>
      <w:rPr>
        <w:rFonts w:ascii="Symbol" w:hAnsi="Symbol" w:hint="default"/>
      </w:rPr>
    </w:lvl>
    <w:lvl w:ilvl="1" w:tplc="04190003">
      <w:start w:val="1"/>
      <w:numFmt w:val="bullet"/>
      <w:suff w:val="tab"/>
      <w:lvlText w:val="o"/>
      <w:lvlJc w:val="left"/>
      <w:pPr>
        <w:ind w:hanging="360" w:left="2149"/>
      </w:pPr>
      <w:rPr>
        <w:rFonts w:ascii="Courier New" w:hAnsi="Courier New" w:cs="Courier New" w:hint="default"/>
      </w:rPr>
    </w:lvl>
    <w:lvl w:ilvl="2" w:tplc="04190005">
      <w:start w:val="1"/>
      <w:numFmt w:val="bullet"/>
      <w:suff w:val="tab"/>
      <w:lvlText w:val=""/>
      <w:lvlJc w:val="left"/>
      <w:pPr>
        <w:ind w:hanging="360" w:left="2869"/>
      </w:pPr>
      <w:rPr>
        <w:rFonts w:ascii="Wingdings" w:hAnsi="Wingdings" w:hint="default"/>
      </w:rPr>
    </w:lvl>
    <w:lvl w:ilvl="3" w:tplc="04190001">
      <w:start w:val="1"/>
      <w:numFmt w:val="bullet"/>
      <w:suff w:val="tab"/>
      <w:lvlText w:val=""/>
      <w:lvlJc w:val="left"/>
      <w:pPr>
        <w:ind w:hanging="360" w:left="3589"/>
      </w:pPr>
      <w:rPr>
        <w:rFonts w:ascii="Symbol" w:hAnsi="Symbol" w:hint="default"/>
      </w:rPr>
    </w:lvl>
    <w:lvl w:ilvl="4" w:tplc="04190003">
      <w:start w:val="1"/>
      <w:numFmt w:val="bullet"/>
      <w:suff w:val="tab"/>
      <w:lvlText w:val="o"/>
      <w:lvlJc w:val="left"/>
      <w:pPr>
        <w:ind w:hanging="360" w:left="4309"/>
      </w:pPr>
      <w:rPr>
        <w:rFonts w:ascii="Courier New" w:hAnsi="Courier New" w:cs="Courier New" w:hint="default"/>
      </w:rPr>
    </w:lvl>
    <w:lvl w:ilvl="5" w:tplc="04190005">
      <w:start w:val="1"/>
      <w:numFmt w:val="bullet"/>
      <w:suff w:val="tab"/>
      <w:lvlText w:val=""/>
      <w:lvlJc w:val="left"/>
      <w:pPr>
        <w:ind w:hanging="360" w:left="5029"/>
      </w:pPr>
      <w:rPr>
        <w:rFonts w:ascii="Wingdings" w:hAnsi="Wingdings" w:hint="default"/>
      </w:rPr>
    </w:lvl>
    <w:lvl w:ilvl="6" w:tplc="04190001">
      <w:start w:val="1"/>
      <w:numFmt w:val="bullet"/>
      <w:suff w:val="tab"/>
      <w:lvlText w:val=""/>
      <w:lvlJc w:val="left"/>
      <w:pPr>
        <w:ind w:hanging="360" w:left="5749"/>
      </w:pPr>
      <w:rPr>
        <w:rFonts w:ascii="Symbol" w:hAnsi="Symbol" w:hint="default"/>
      </w:rPr>
    </w:lvl>
    <w:lvl w:ilvl="7" w:tplc="04190003">
      <w:start w:val="1"/>
      <w:numFmt w:val="bullet"/>
      <w:suff w:val="tab"/>
      <w:lvlText w:val="o"/>
      <w:lvlJc w:val="left"/>
      <w:pPr>
        <w:ind w:hanging="360" w:left="6469"/>
      </w:pPr>
      <w:rPr>
        <w:rFonts w:ascii="Courier New" w:hAnsi="Courier New" w:cs="Courier New" w:hint="default"/>
      </w:rPr>
    </w:lvl>
    <w:lvl w:ilvl="8" w:tplc="04190005">
      <w:start w:val="1"/>
      <w:numFmt w:val="bullet"/>
      <w:suff w:val="tab"/>
      <w:lvlText w:val=""/>
      <w:lvlJc w:val="left"/>
      <w:pPr>
        <w:ind w:hanging="360" w:left="7189"/>
      </w:pPr>
      <w:rPr>
        <w:rFonts w:ascii="Wingdings" w:hAnsi="Wingdings" w:hint="default"/>
      </w:rPr>
    </w:lvl>
  </w:abstractNum>
  <w:abstractNum w:abstractNumId="22">
    <w:nsid w:val="4C547B04"/>
    <w:multiLevelType w:val="hybridMultilevel"/>
    <w:lvl w:ilvl="0" w:tplc="3BE4E49A">
      <w:start w:val="1"/>
      <w:numFmt w:val="bullet"/>
      <w:suff w:val="tab"/>
      <w:lvlText w:val=""/>
      <w:lvlJc w:val="left"/>
      <w:pPr>
        <w:ind w:hanging="360" w:left="1427"/>
      </w:pPr>
      <w:rPr>
        <w:rFonts w:ascii="Symbol" w:hAnsi="Symbol" w:hint="default"/>
      </w:rPr>
    </w:lvl>
    <w:lvl w:ilvl="1" w:tplc="04190003">
      <w:start w:val="1"/>
      <w:numFmt w:val="bullet"/>
      <w:suff w:val="tab"/>
      <w:lvlText w:val="o"/>
      <w:lvlJc w:val="left"/>
      <w:pPr>
        <w:ind w:hanging="360" w:left="2147"/>
      </w:pPr>
      <w:rPr>
        <w:rFonts w:ascii="Courier New" w:hAnsi="Courier New" w:cs="Courier New" w:hint="default"/>
      </w:rPr>
    </w:lvl>
    <w:lvl w:ilvl="2" w:tplc="04190005">
      <w:start w:val="1"/>
      <w:numFmt w:val="bullet"/>
      <w:suff w:val="tab"/>
      <w:lvlText w:val=""/>
      <w:lvlJc w:val="left"/>
      <w:pPr>
        <w:ind w:hanging="360" w:left="2867"/>
      </w:pPr>
      <w:rPr>
        <w:rFonts w:ascii="Wingdings" w:hAnsi="Wingdings" w:hint="default"/>
      </w:rPr>
    </w:lvl>
    <w:lvl w:ilvl="3" w:tplc="04190001">
      <w:start w:val="1"/>
      <w:numFmt w:val="bullet"/>
      <w:suff w:val="tab"/>
      <w:lvlText w:val=""/>
      <w:lvlJc w:val="left"/>
      <w:pPr>
        <w:ind w:hanging="360" w:left="3587"/>
      </w:pPr>
      <w:rPr>
        <w:rFonts w:ascii="Symbol" w:hAnsi="Symbol" w:hint="default"/>
      </w:rPr>
    </w:lvl>
    <w:lvl w:ilvl="4" w:tplc="04190003">
      <w:start w:val="1"/>
      <w:numFmt w:val="bullet"/>
      <w:suff w:val="tab"/>
      <w:lvlText w:val="o"/>
      <w:lvlJc w:val="left"/>
      <w:pPr>
        <w:ind w:hanging="360" w:left="4307"/>
      </w:pPr>
      <w:rPr>
        <w:rFonts w:ascii="Courier New" w:hAnsi="Courier New" w:cs="Courier New" w:hint="default"/>
      </w:rPr>
    </w:lvl>
    <w:lvl w:ilvl="5" w:tplc="04190005">
      <w:start w:val="1"/>
      <w:numFmt w:val="bullet"/>
      <w:suff w:val="tab"/>
      <w:lvlText w:val=""/>
      <w:lvlJc w:val="left"/>
      <w:pPr>
        <w:ind w:hanging="360" w:left="5027"/>
      </w:pPr>
      <w:rPr>
        <w:rFonts w:ascii="Wingdings" w:hAnsi="Wingdings" w:hint="default"/>
      </w:rPr>
    </w:lvl>
    <w:lvl w:ilvl="6" w:tplc="04190001">
      <w:start w:val="1"/>
      <w:numFmt w:val="bullet"/>
      <w:suff w:val="tab"/>
      <w:lvlText w:val=""/>
      <w:lvlJc w:val="left"/>
      <w:pPr>
        <w:ind w:hanging="360" w:left="5747"/>
      </w:pPr>
      <w:rPr>
        <w:rFonts w:ascii="Symbol" w:hAnsi="Symbol" w:hint="default"/>
      </w:rPr>
    </w:lvl>
    <w:lvl w:ilvl="7" w:tplc="04190003">
      <w:start w:val="1"/>
      <w:numFmt w:val="bullet"/>
      <w:suff w:val="tab"/>
      <w:lvlText w:val="o"/>
      <w:lvlJc w:val="left"/>
      <w:pPr>
        <w:ind w:hanging="360" w:left="6467"/>
      </w:pPr>
      <w:rPr>
        <w:rFonts w:ascii="Courier New" w:hAnsi="Courier New" w:cs="Courier New" w:hint="default"/>
      </w:rPr>
    </w:lvl>
    <w:lvl w:ilvl="8" w:tplc="04190005">
      <w:start w:val="1"/>
      <w:numFmt w:val="bullet"/>
      <w:suff w:val="tab"/>
      <w:lvlText w:val=""/>
      <w:lvlJc w:val="left"/>
      <w:pPr>
        <w:ind w:hanging="360" w:left="7187"/>
      </w:pPr>
      <w:rPr>
        <w:rFonts w:ascii="Wingdings" w:hAnsi="Wingdings" w:hint="default"/>
      </w:rPr>
    </w:lvl>
  </w:abstractNum>
  <w:abstractNum w:abstractNumId="23">
    <w:nsid w:val="53343A18"/>
    <w:multiLevelType w:val="hybridMultilevel"/>
    <w:lvl w:ilvl="0" w:tplc="3BE4E49A">
      <w:start w:val="1"/>
      <w:numFmt w:val="bullet"/>
      <w:suff w:val="tab"/>
      <w:lvlText w:val=""/>
      <w:lvlJc w:val="left"/>
      <w:pPr>
        <w:ind w:hanging="360" w:left="1427"/>
      </w:pPr>
      <w:rPr>
        <w:rFonts w:ascii="Symbol" w:hAnsi="Symbol" w:hint="default"/>
      </w:rPr>
    </w:lvl>
    <w:lvl w:ilvl="1" w:tplc="04190003">
      <w:start w:val="1"/>
      <w:numFmt w:val="bullet"/>
      <w:suff w:val="tab"/>
      <w:lvlText w:val="o"/>
      <w:lvlJc w:val="left"/>
      <w:pPr>
        <w:ind w:hanging="360" w:left="2147"/>
      </w:pPr>
      <w:rPr>
        <w:rFonts w:ascii="Courier New" w:hAnsi="Courier New" w:cs="Courier New" w:hint="default"/>
      </w:rPr>
    </w:lvl>
    <w:lvl w:ilvl="2" w:tplc="04190005">
      <w:start w:val="1"/>
      <w:numFmt w:val="bullet"/>
      <w:suff w:val="tab"/>
      <w:lvlText w:val=""/>
      <w:lvlJc w:val="left"/>
      <w:pPr>
        <w:ind w:hanging="360" w:left="2867"/>
      </w:pPr>
      <w:rPr>
        <w:rFonts w:ascii="Wingdings" w:hAnsi="Wingdings" w:hint="default"/>
      </w:rPr>
    </w:lvl>
    <w:lvl w:ilvl="3" w:tplc="04190001">
      <w:start w:val="1"/>
      <w:numFmt w:val="bullet"/>
      <w:suff w:val="tab"/>
      <w:lvlText w:val=""/>
      <w:lvlJc w:val="left"/>
      <w:pPr>
        <w:ind w:hanging="360" w:left="3587"/>
      </w:pPr>
      <w:rPr>
        <w:rFonts w:ascii="Symbol" w:hAnsi="Symbol" w:hint="default"/>
      </w:rPr>
    </w:lvl>
    <w:lvl w:ilvl="4" w:tplc="04190003">
      <w:start w:val="1"/>
      <w:numFmt w:val="bullet"/>
      <w:suff w:val="tab"/>
      <w:lvlText w:val="o"/>
      <w:lvlJc w:val="left"/>
      <w:pPr>
        <w:ind w:hanging="360" w:left="4307"/>
      </w:pPr>
      <w:rPr>
        <w:rFonts w:ascii="Courier New" w:hAnsi="Courier New" w:cs="Courier New" w:hint="default"/>
      </w:rPr>
    </w:lvl>
    <w:lvl w:ilvl="5" w:tplc="04190005">
      <w:start w:val="1"/>
      <w:numFmt w:val="bullet"/>
      <w:suff w:val="tab"/>
      <w:lvlText w:val=""/>
      <w:lvlJc w:val="left"/>
      <w:pPr>
        <w:ind w:hanging="360" w:left="5027"/>
      </w:pPr>
      <w:rPr>
        <w:rFonts w:ascii="Wingdings" w:hAnsi="Wingdings" w:hint="default"/>
      </w:rPr>
    </w:lvl>
    <w:lvl w:ilvl="6" w:tplc="04190001">
      <w:start w:val="1"/>
      <w:numFmt w:val="bullet"/>
      <w:suff w:val="tab"/>
      <w:lvlText w:val=""/>
      <w:lvlJc w:val="left"/>
      <w:pPr>
        <w:ind w:hanging="360" w:left="5747"/>
      </w:pPr>
      <w:rPr>
        <w:rFonts w:ascii="Symbol" w:hAnsi="Symbol" w:hint="default"/>
      </w:rPr>
    </w:lvl>
    <w:lvl w:ilvl="7" w:tplc="04190003">
      <w:start w:val="1"/>
      <w:numFmt w:val="bullet"/>
      <w:suff w:val="tab"/>
      <w:lvlText w:val="o"/>
      <w:lvlJc w:val="left"/>
      <w:pPr>
        <w:ind w:hanging="360" w:left="6467"/>
      </w:pPr>
      <w:rPr>
        <w:rFonts w:ascii="Courier New" w:hAnsi="Courier New" w:cs="Courier New" w:hint="default"/>
      </w:rPr>
    </w:lvl>
    <w:lvl w:ilvl="8" w:tplc="04190005">
      <w:start w:val="1"/>
      <w:numFmt w:val="bullet"/>
      <w:suff w:val="tab"/>
      <w:lvlText w:val=""/>
      <w:lvlJc w:val="left"/>
      <w:pPr>
        <w:ind w:hanging="360" w:left="7187"/>
      </w:pPr>
      <w:rPr>
        <w:rFonts w:ascii="Wingdings" w:hAnsi="Wingdings" w:hint="default"/>
      </w:rPr>
    </w:lvl>
  </w:abstractNum>
  <w:abstractNum w:abstractNumId="24">
    <w:nsid w:val="53BE5D63"/>
    <w:multiLevelType w:val="hybridMultilevel"/>
    <w:lvl w:ilvl="0" w:tplc="3BE4E49A">
      <w:start w:val="1"/>
      <w:numFmt w:val="bullet"/>
      <w:suff w:val="tab"/>
      <w:lvlText w:val=""/>
      <w:lvlJc w:val="left"/>
      <w:pPr>
        <w:ind w:hanging="360" w:left="1429"/>
      </w:pPr>
      <w:rPr>
        <w:rFonts w:ascii="Symbol" w:hAnsi="Symbol" w:hint="default"/>
      </w:rPr>
    </w:lvl>
    <w:lvl w:ilvl="1" w:tplc="04190003">
      <w:start w:val="1"/>
      <w:numFmt w:val="bullet"/>
      <w:suff w:val="tab"/>
      <w:lvlText w:val="o"/>
      <w:lvlJc w:val="left"/>
      <w:pPr>
        <w:ind w:hanging="360" w:left="2149"/>
      </w:pPr>
      <w:rPr>
        <w:rFonts w:ascii="Courier New" w:hAnsi="Courier New" w:cs="Courier New" w:hint="default"/>
      </w:rPr>
    </w:lvl>
    <w:lvl w:ilvl="2" w:tplc="04190005">
      <w:start w:val="1"/>
      <w:numFmt w:val="bullet"/>
      <w:suff w:val="tab"/>
      <w:lvlText w:val=""/>
      <w:lvlJc w:val="left"/>
      <w:pPr>
        <w:ind w:hanging="360" w:left="2869"/>
      </w:pPr>
      <w:rPr>
        <w:rFonts w:ascii="Wingdings" w:hAnsi="Wingdings" w:hint="default"/>
      </w:rPr>
    </w:lvl>
    <w:lvl w:ilvl="3" w:tplc="04190001">
      <w:start w:val="1"/>
      <w:numFmt w:val="bullet"/>
      <w:suff w:val="tab"/>
      <w:lvlText w:val=""/>
      <w:lvlJc w:val="left"/>
      <w:pPr>
        <w:ind w:hanging="360" w:left="3589"/>
      </w:pPr>
      <w:rPr>
        <w:rFonts w:ascii="Symbol" w:hAnsi="Symbol" w:hint="default"/>
      </w:rPr>
    </w:lvl>
    <w:lvl w:ilvl="4" w:tplc="04190003">
      <w:start w:val="1"/>
      <w:numFmt w:val="bullet"/>
      <w:suff w:val="tab"/>
      <w:lvlText w:val="o"/>
      <w:lvlJc w:val="left"/>
      <w:pPr>
        <w:ind w:hanging="360" w:left="4309"/>
      </w:pPr>
      <w:rPr>
        <w:rFonts w:ascii="Courier New" w:hAnsi="Courier New" w:cs="Courier New" w:hint="default"/>
      </w:rPr>
    </w:lvl>
    <w:lvl w:ilvl="5" w:tplc="04190005">
      <w:start w:val="1"/>
      <w:numFmt w:val="bullet"/>
      <w:suff w:val="tab"/>
      <w:lvlText w:val=""/>
      <w:lvlJc w:val="left"/>
      <w:pPr>
        <w:ind w:hanging="360" w:left="5029"/>
      </w:pPr>
      <w:rPr>
        <w:rFonts w:ascii="Wingdings" w:hAnsi="Wingdings" w:hint="default"/>
      </w:rPr>
    </w:lvl>
    <w:lvl w:ilvl="6" w:tplc="04190001">
      <w:start w:val="1"/>
      <w:numFmt w:val="bullet"/>
      <w:suff w:val="tab"/>
      <w:lvlText w:val=""/>
      <w:lvlJc w:val="left"/>
      <w:pPr>
        <w:ind w:hanging="360" w:left="5749"/>
      </w:pPr>
      <w:rPr>
        <w:rFonts w:ascii="Symbol" w:hAnsi="Symbol" w:hint="default"/>
      </w:rPr>
    </w:lvl>
    <w:lvl w:ilvl="7" w:tplc="04190003">
      <w:start w:val="1"/>
      <w:numFmt w:val="bullet"/>
      <w:suff w:val="tab"/>
      <w:lvlText w:val="o"/>
      <w:lvlJc w:val="left"/>
      <w:pPr>
        <w:ind w:hanging="360" w:left="6469"/>
      </w:pPr>
      <w:rPr>
        <w:rFonts w:ascii="Courier New" w:hAnsi="Courier New" w:cs="Courier New" w:hint="default"/>
      </w:rPr>
    </w:lvl>
    <w:lvl w:ilvl="8" w:tplc="04190005">
      <w:start w:val="1"/>
      <w:numFmt w:val="bullet"/>
      <w:suff w:val="tab"/>
      <w:lvlText w:val=""/>
      <w:lvlJc w:val="left"/>
      <w:pPr>
        <w:ind w:hanging="360" w:left="7189"/>
      </w:pPr>
      <w:rPr>
        <w:rFonts w:ascii="Wingdings" w:hAnsi="Wingdings" w:hint="default"/>
      </w:rPr>
    </w:lvl>
  </w:abstractNum>
  <w:abstractNum w:abstractNumId="25">
    <w:nsid w:val="550B44C8"/>
    <w:multiLevelType w:val="hybridMultilevel"/>
    <w:lvl w:ilvl="0" w:tplc="3BE4E49A">
      <w:start w:val="1"/>
      <w:numFmt w:val="bullet"/>
      <w:suff w:val="tab"/>
      <w:lvlText w:val=""/>
      <w:lvlJc w:val="left"/>
      <w:pPr>
        <w:ind w:hanging="360" w:left="1429"/>
      </w:pPr>
      <w:rPr>
        <w:rFonts w:ascii="Symbol" w:hAnsi="Symbol" w:hint="default"/>
      </w:rPr>
    </w:lvl>
    <w:lvl w:ilvl="1" w:tplc="04190003">
      <w:start w:val="1"/>
      <w:numFmt w:val="bullet"/>
      <w:suff w:val="tab"/>
      <w:lvlText w:val="o"/>
      <w:lvlJc w:val="left"/>
      <w:pPr>
        <w:ind w:hanging="360" w:left="2149"/>
      </w:pPr>
      <w:rPr>
        <w:rFonts w:ascii="Courier New" w:hAnsi="Courier New" w:cs="Courier New" w:hint="default"/>
      </w:rPr>
    </w:lvl>
    <w:lvl w:ilvl="2" w:tplc="04190005">
      <w:start w:val="1"/>
      <w:numFmt w:val="bullet"/>
      <w:suff w:val="tab"/>
      <w:lvlText w:val=""/>
      <w:lvlJc w:val="left"/>
      <w:pPr>
        <w:ind w:hanging="360" w:left="2869"/>
      </w:pPr>
      <w:rPr>
        <w:rFonts w:ascii="Wingdings" w:hAnsi="Wingdings" w:hint="default"/>
      </w:rPr>
    </w:lvl>
    <w:lvl w:ilvl="3" w:tplc="04190001">
      <w:start w:val="1"/>
      <w:numFmt w:val="bullet"/>
      <w:suff w:val="tab"/>
      <w:lvlText w:val=""/>
      <w:lvlJc w:val="left"/>
      <w:pPr>
        <w:ind w:hanging="360" w:left="3589"/>
      </w:pPr>
      <w:rPr>
        <w:rFonts w:ascii="Symbol" w:hAnsi="Symbol" w:hint="default"/>
      </w:rPr>
    </w:lvl>
    <w:lvl w:ilvl="4" w:tplc="04190003">
      <w:start w:val="1"/>
      <w:numFmt w:val="bullet"/>
      <w:suff w:val="tab"/>
      <w:lvlText w:val="o"/>
      <w:lvlJc w:val="left"/>
      <w:pPr>
        <w:ind w:hanging="360" w:left="4309"/>
      </w:pPr>
      <w:rPr>
        <w:rFonts w:ascii="Courier New" w:hAnsi="Courier New" w:cs="Courier New" w:hint="default"/>
      </w:rPr>
    </w:lvl>
    <w:lvl w:ilvl="5" w:tplc="04190005">
      <w:start w:val="1"/>
      <w:numFmt w:val="bullet"/>
      <w:suff w:val="tab"/>
      <w:lvlText w:val=""/>
      <w:lvlJc w:val="left"/>
      <w:pPr>
        <w:ind w:hanging="360" w:left="5029"/>
      </w:pPr>
      <w:rPr>
        <w:rFonts w:ascii="Wingdings" w:hAnsi="Wingdings" w:hint="default"/>
      </w:rPr>
    </w:lvl>
    <w:lvl w:ilvl="6" w:tplc="04190001">
      <w:start w:val="1"/>
      <w:numFmt w:val="bullet"/>
      <w:suff w:val="tab"/>
      <w:lvlText w:val=""/>
      <w:lvlJc w:val="left"/>
      <w:pPr>
        <w:ind w:hanging="360" w:left="5749"/>
      </w:pPr>
      <w:rPr>
        <w:rFonts w:ascii="Symbol" w:hAnsi="Symbol" w:hint="default"/>
      </w:rPr>
    </w:lvl>
    <w:lvl w:ilvl="7" w:tplc="04190003">
      <w:start w:val="1"/>
      <w:numFmt w:val="bullet"/>
      <w:suff w:val="tab"/>
      <w:lvlText w:val="o"/>
      <w:lvlJc w:val="left"/>
      <w:pPr>
        <w:ind w:hanging="360" w:left="6469"/>
      </w:pPr>
      <w:rPr>
        <w:rFonts w:ascii="Courier New" w:hAnsi="Courier New" w:cs="Courier New" w:hint="default"/>
      </w:rPr>
    </w:lvl>
    <w:lvl w:ilvl="8" w:tplc="04190005">
      <w:start w:val="1"/>
      <w:numFmt w:val="bullet"/>
      <w:suff w:val="tab"/>
      <w:lvlText w:val=""/>
      <w:lvlJc w:val="left"/>
      <w:pPr>
        <w:ind w:hanging="360" w:left="7189"/>
      </w:pPr>
      <w:rPr>
        <w:rFonts w:ascii="Wingdings" w:hAnsi="Wingdings" w:hint="default"/>
      </w:rPr>
    </w:lvl>
  </w:abstractNum>
  <w:abstractNum w:abstractNumId="26">
    <w:nsid w:val="577609CD"/>
    <w:multiLevelType w:val="hybridMultilevel"/>
    <w:lvl w:ilvl="0" w:tplc="3BE4E49A">
      <w:start w:val="1"/>
      <w:numFmt w:val="bullet"/>
      <w:suff w:val="tab"/>
      <w:lvlText w:val=""/>
      <w:lvlJc w:val="left"/>
      <w:pPr>
        <w:ind w:hanging="360" w:left="1427"/>
      </w:pPr>
      <w:rPr>
        <w:rFonts w:ascii="Symbol" w:hAnsi="Symbol" w:hint="default"/>
      </w:rPr>
    </w:lvl>
    <w:lvl w:ilvl="1" w:tplc="04190003">
      <w:start w:val="1"/>
      <w:numFmt w:val="bullet"/>
      <w:suff w:val="tab"/>
      <w:lvlText w:val="o"/>
      <w:lvlJc w:val="left"/>
      <w:pPr>
        <w:ind w:hanging="360" w:left="2147"/>
      </w:pPr>
      <w:rPr>
        <w:rFonts w:ascii="Courier New" w:hAnsi="Courier New" w:cs="Courier New" w:hint="default"/>
      </w:rPr>
    </w:lvl>
    <w:lvl w:ilvl="2" w:tplc="04190005">
      <w:start w:val="1"/>
      <w:numFmt w:val="bullet"/>
      <w:suff w:val="tab"/>
      <w:lvlText w:val=""/>
      <w:lvlJc w:val="left"/>
      <w:pPr>
        <w:ind w:hanging="360" w:left="2867"/>
      </w:pPr>
      <w:rPr>
        <w:rFonts w:ascii="Wingdings" w:hAnsi="Wingdings" w:hint="default"/>
      </w:rPr>
    </w:lvl>
    <w:lvl w:ilvl="3" w:tplc="04190001">
      <w:start w:val="1"/>
      <w:numFmt w:val="bullet"/>
      <w:suff w:val="tab"/>
      <w:lvlText w:val=""/>
      <w:lvlJc w:val="left"/>
      <w:pPr>
        <w:ind w:hanging="360" w:left="3587"/>
      </w:pPr>
      <w:rPr>
        <w:rFonts w:ascii="Symbol" w:hAnsi="Symbol" w:hint="default"/>
      </w:rPr>
    </w:lvl>
    <w:lvl w:ilvl="4" w:tplc="04190003">
      <w:start w:val="1"/>
      <w:numFmt w:val="bullet"/>
      <w:suff w:val="tab"/>
      <w:lvlText w:val="o"/>
      <w:lvlJc w:val="left"/>
      <w:pPr>
        <w:ind w:hanging="360" w:left="4307"/>
      </w:pPr>
      <w:rPr>
        <w:rFonts w:ascii="Courier New" w:hAnsi="Courier New" w:cs="Courier New" w:hint="default"/>
      </w:rPr>
    </w:lvl>
    <w:lvl w:ilvl="5" w:tplc="04190005">
      <w:start w:val="1"/>
      <w:numFmt w:val="bullet"/>
      <w:suff w:val="tab"/>
      <w:lvlText w:val=""/>
      <w:lvlJc w:val="left"/>
      <w:pPr>
        <w:ind w:hanging="360" w:left="5027"/>
      </w:pPr>
      <w:rPr>
        <w:rFonts w:ascii="Wingdings" w:hAnsi="Wingdings" w:hint="default"/>
      </w:rPr>
    </w:lvl>
    <w:lvl w:ilvl="6" w:tplc="04190001">
      <w:start w:val="1"/>
      <w:numFmt w:val="bullet"/>
      <w:suff w:val="tab"/>
      <w:lvlText w:val=""/>
      <w:lvlJc w:val="left"/>
      <w:pPr>
        <w:ind w:hanging="360" w:left="5747"/>
      </w:pPr>
      <w:rPr>
        <w:rFonts w:ascii="Symbol" w:hAnsi="Symbol" w:hint="default"/>
      </w:rPr>
    </w:lvl>
    <w:lvl w:ilvl="7" w:tplc="04190003">
      <w:start w:val="1"/>
      <w:numFmt w:val="bullet"/>
      <w:suff w:val="tab"/>
      <w:lvlText w:val="o"/>
      <w:lvlJc w:val="left"/>
      <w:pPr>
        <w:ind w:hanging="360" w:left="6467"/>
      </w:pPr>
      <w:rPr>
        <w:rFonts w:ascii="Courier New" w:hAnsi="Courier New" w:cs="Courier New" w:hint="default"/>
      </w:rPr>
    </w:lvl>
    <w:lvl w:ilvl="8" w:tplc="04190005">
      <w:start w:val="1"/>
      <w:numFmt w:val="bullet"/>
      <w:suff w:val="tab"/>
      <w:lvlText w:val=""/>
      <w:lvlJc w:val="left"/>
      <w:pPr>
        <w:ind w:hanging="360" w:left="7187"/>
      </w:pPr>
      <w:rPr>
        <w:rFonts w:ascii="Wingdings" w:hAnsi="Wingdings" w:hint="default"/>
      </w:rPr>
    </w:lvl>
  </w:abstractNum>
  <w:abstractNum w:abstractNumId="27">
    <w:nsid w:val="59BB151B"/>
    <w:multiLevelType w:val="hybridMultilevel"/>
    <w:lvl w:ilvl="0" w:tplc="E9841A44">
      <w:start w:val="1"/>
      <w:numFmt w:val="decimal"/>
      <w:suff w:val="tab"/>
      <w:lvlText w:val="%1."/>
      <w:lvlJc w:val="left"/>
      <w:pPr>
        <w:ind w:hanging="240" w:left="526"/>
      </w:pPr>
      <w:rPr>
        <w:rFonts w:ascii="Times New Roman" w:hAnsi="Times New Roman" w:cs="Times New Roman" w:eastAsia="Cambria" w:hint="default"/>
        <w:color w:val="131413"/>
        <w:sz w:val="28"/>
        <w:szCs w:val="28"/>
        <w:w w:val="113"/>
        <w:lang w:val="ru-RU" w:bidi="ar-SA" w:eastAsia="en-US"/>
      </w:rPr>
    </w:lvl>
    <w:lvl w:ilvl="1" w:tplc="8F623CCE">
      <w:start w:val="0"/>
      <w:numFmt w:val="bullet"/>
      <w:suff w:val="tab"/>
      <w:lvlText w:val="•"/>
      <w:lvlJc w:val="left"/>
      <w:pPr>
        <w:ind w:hanging="240" w:left="1113"/>
      </w:pPr>
      <w:rPr>
        <w:rFonts w:hint="default"/>
        <w:lang w:val="en-US" w:bidi="ar-SA" w:eastAsia="en-US"/>
      </w:rPr>
    </w:lvl>
    <w:lvl w:ilvl="2" w:tplc="0C94D908">
      <w:start w:val="0"/>
      <w:numFmt w:val="bullet"/>
      <w:suff w:val="tab"/>
      <w:lvlText w:val="•"/>
      <w:lvlJc w:val="left"/>
      <w:pPr>
        <w:ind w:hanging="240" w:left="1707"/>
      </w:pPr>
      <w:rPr>
        <w:rFonts w:hint="default"/>
        <w:lang w:val="en-US" w:bidi="ar-SA" w:eastAsia="en-US"/>
      </w:rPr>
    </w:lvl>
    <w:lvl w:ilvl="3" w:tplc="BB949E36">
      <w:start w:val="0"/>
      <w:numFmt w:val="bullet"/>
      <w:suff w:val="tab"/>
      <w:lvlText w:val="•"/>
      <w:lvlJc w:val="left"/>
      <w:pPr>
        <w:ind w:hanging="240" w:left="2301"/>
      </w:pPr>
      <w:rPr>
        <w:rFonts w:hint="default"/>
        <w:lang w:val="en-US" w:bidi="ar-SA" w:eastAsia="en-US"/>
      </w:rPr>
    </w:lvl>
    <w:lvl w:ilvl="4" w:tplc="ECE8090C">
      <w:start w:val="0"/>
      <w:numFmt w:val="bullet"/>
      <w:suff w:val="tab"/>
      <w:lvlText w:val="•"/>
      <w:lvlJc w:val="left"/>
      <w:pPr>
        <w:ind w:hanging="240" w:left="2894"/>
      </w:pPr>
      <w:rPr>
        <w:rFonts w:hint="default"/>
        <w:lang w:val="en-US" w:bidi="ar-SA" w:eastAsia="en-US"/>
      </w:rPr>
    </w:lvl>
    <w:lvl w:ilvl="5" w:tplc="61BC007E">
      <w:start w:val="0"/>
      <w:numFmt w:val="bullet"/>
      <w:suff w:val="tab"/>
      <w:lvlText w:val="•"/>
      <w:lvlJc w:val="left"/>
      <w:pPr>
        <w:ind w:hanging="240" w:left="3488"/>
      </w:pPr>
      <w:rPr>
        <w:rFonts w:hint="default"/>
        <w:lang w:val="en-US" w:bidi="ar-SA" w:eastAsia="en-US"/>
      </w:rPr>
    </w:lvl>
    <w:lvl w:ilvl="6" w:tplc="370E6650">
      <w:start w:val="0"/>
      <w:numFmt w:val="bullet"/>
      <w:suff w:val="tab"/>
      <w:lvlText w:val="•"/>
      <w:lvlJc w:val="left"/>
      <w:pPr>
        <w:ind w:hanging="240" w:left="4082"/>
      </w:pPr>
      <w:rPr>
        <w:rFonts w:hint="default"/>
        <w:lang w:val="en-US" w:bidi="ar-SA" w:eastAsia="en-US"/>
      </w:rPr>
    </w:lvl>
    <w:lvl w:ilvl="7" w:tplc="7D38323C">
      <w:start w:val="0"/>
      <w:numFmt w:val="bullet"/>
      <w:suff w:val="tab"/>
      <w:lvlText w:val="•"/>
      <w:lvlJc w:val="left"/>
      <w:pPr>
        <w:ind w:hanging="240" w:left="4675"/>
      </w:pPr>
      <w:rPr>
        <w:rFonts w:hint="default"/>
        <w:lang w:val="en-US" w:bidi="ar-SA" w:eastAsia="en-US"/>
      </w:rPr>
    </w:lvl>
    <w:lvl w:ilvl="8" w:tplc="9DE6F4F4">
      <w:start w:val="0"/>
      <w:numFmt w:val="bullet"/>
      <w:suff w:val="tab"/>
      <w:lvlText w:val="•"/>
      <w:lvlJc w:val="left"/>
      <w:pPr>
        <w:ind w:hanging="240" w:left="5269"/>
      </w:pPr>
      <w:rPr>
        <w:rFonts w:hint="default"/>
        <w:lang w:val="en-US" w:bidi="ar-SA" w:eastAsia="en-US"/>
      </w:rPr>
    </w:lvl>
  </w:abstractNum>
  <w:abstractNum w:abstractNumId="28">
    <w:nsid w:val="5AB048C4"/>
    <w:multiLevelType w:val="hybridMultilevel"/>
    <w:lvl w:ilvl="0" w:tplc="A0CAF82E">
      <w:start w:val="1"/>
      <w:numFmt w:val="decimal"/>
      <w:suff w:val="tab"/>
      <w:lvlText w:val="%1."/>
      <w:lvlJc w:val="left"/>
      <w:pPr>
        <w:ind w:hanging="360" w:left="1069"/>
      </w:pPr>
      <w:rPr>
        <w:rFonts w:hint="default"/>
      </w:rPr>
    </w:lvl>
    <w:lvl w:ilvl="1" w:tplc="04190019">
      <w:start w:val="1"/>
      <w:numFmt w:val="lowerLetter"/>
      <w:suff w:val="tab"/>
      <w:lvlText w:val="%2."/>
      <w:lvlJc w:val="left"/>
      <w:pPr>
        <w:ind w:hanging="360" w:left="1789"/>
      </w:pPr>
      <w:rPr/>
    </w:lvl>
    <w:lvl w:ilvl="2" w:tplc="0419001B">
      <w:start w:val="1"/>
      <w:numFmt w:val="lowerRoman"/>
      <w:suff w:val="tab"/>
      <w:lvlText w:val="%3."/>
      <w:lvlJc w:val="right"/>
      <w:pPr>
        <w:ind w:hanging="180" w:left="2509"/>
      </w:pPr>
      <w:rPr/>
    </w:lvl>
    <w:lvl w:ilvl="3" w:tplc="0419000F">
      <w:start w:val="1"/>
      <w:numFmt w:val="decimal"/>
      <w:suff w:val="tab"/>
      <w:lvlText w:val="%4."/>
      <w:lvlJc w:val="left"/>
      <w:pPr>
        <w:ind w:hanging="360" w:left="3229"/>
      </w:pPr>
      <w:rPr/>
    </w:lvl>
    <w:lvl w:ilvl="4" w:tplc="04190019">
      <w:start w:val="1"/>
      <w:numFmt w:val="lowerLetter"/>
      <w:suff w:val="tab"/>
      <w:lvlText w:val="%5."/>
      <w:lvlJc w:val="left"/>
      <w:pPr>
        <w:ind w:hanging="360" w:left="3949"/>
      </w:pPr>
      <w:rPr/>
    </w:lvl>
    <w:lvl w:ilvl="5" w:tplc="0419001B">
      <w:start w:val="1"/>
      <w:numFmt w:val="lowerRoman"/>
      <w:suff w:val="tab"/>
      <w:lvlText w:val="%6."/>
      <w:lvlJc w:val="right"/>
      <w:pPr>
        <w:ind w:hanging="180" w:left="4669"/>
      </w:pPr>
      <w:rPr/>
    </w:lvl>
    <w:lvl w:ilvl="6" w:tplc="0419000F">
      <w:start w:val="1"/>
      <w:numFmt w:val="decimal"/>
      <w:suff w:val="tab"/>
      <w:lvlText w:val="%7."/>
      <w:lvlJc w:val="left"/>
      <w:pPr>
        <w:ind w:hanging="360" w:left="5389"/>
      </w:pPr>
      <w:rPr/>
    </w:lvl>
    <w:lvl w:ilvl="7" w:tplc="04190019">
      <w:start w:val="1"/>
      <w:numFmt w:val="lowerLetter"/>
      <w:suff w:val="tab"/>
      <w:lvlText w:val="%8."/>
      <w:lvlJc w:val="left"/>
      <w:pPr>
        <w:ind w:hanging="360" w:left="6109"/>
      </w:pPr>
      <w:rPr/>
    </w:lvl>
    <w:lvl w:ilvl="8" w:tplc="0419001B">
      <w:start w:val="1"/>
      <w:numFmt w:val="lowerRoman"/>
      <w:suff w:val="tab"/>
      <w:lvlText w:val="%9."/>
      <w:lvlJc w:val="right"/>
      <w:pPr>
        <w:ind w:hanging="180" w:left="6829"/>
      </w:pPr>
      <w:rPr/>
    </w:lvl>
  </w:abstractNum>
  <w:abstractNum w:abstractNumId="29">
    <w:nsid w:val="5B5F0D07"/>
    <w:multiLevelType w:val="hybridMultilevel"/>
    <w:lvl w:ilvl="0" w:tplc="F8289B36">
      <w:start w:val="1"/>
      <w:numFmt w:val="bullet"/>
      <w:suff w:val="tab"/>
      <w:lvlText w:val=""/>
      <w:lvlJc w:val="left"/>
      <w:pPr>
        <w:ind w:hanging="360" w:left="1429"/>
      </w:pPr>
      <w:rPr>
        <w:rFonts w:ascii="Symbol" w:hAnsi="Symbol" w:hint="default"/>
      </w:rPr>
    </w:lvl>
    <w:lvl w:ilvl="1" w:tplc="04190003">
      <w:start w:val="1"/>
      <w:numFmt w:val="bullet"/>
      <w:suff w:val="tab"/>
      <w:lvlText w:val="o"/>
      <w:lvlJc w:val="left"/>
      <w:pPr>
        <w:ind w:hanging="360" w:left="2149"/>
      </w:pPr>
      <w:rPr>
        <w:rFonts w:ascii="Courier New" w:hAnsi="Courier New" w:cs="Courier New" w:hint="default"/>
      </w:rPr>
    </w:lvl>
    <w:lvl w:ilvl="2" w:tplc="04190005">
      <w:start w:val="1"/>
      <w:numFmt w:val="bullet"/>
      <w:suff w:val="tab"/>
      <w:lvlText w:val=""/>
      <w:lvlJc w:val="left"/>
      <w:pPr>
        <w:ind w:hanging="360" w:left="2869"/>
      </w:pPr>
      <w:rPr>
        <w:rFonts w:ascii="Wingdings" w:hAnsi="Wingdings" w:hint="default"/>
      </w:rPr>
    </w:lvl>
    <w:lvl w:ilvl="3" w:tplc="04190001">
      <w:start w:val="1"/>
      <w:numFmt w:val="bullet"/>
      <w:suff w:val="tab"/>
      <w:lvlText w:val=""/>
      <w:lvlJc w:val="left"/>
      <w:pPr>
        <w:ind w:hanging="360" w:left="3589"/>
      </w:pPr>
      <w:rPr>
        <w:rFonts w:ascii="Symbol" w:hAnsi="Symbol" w:hint="default"/>
      </w:rPr>
    </w:lvl>
    <w:lvl w:ilvl="4" w:tplc="04190003">
      <w:start w:val="1"/>
      <w:numFmt w:val="bullet"/>
      <w:suff w:val="tab"/>
      <w:lvlText w:val="o"/>
      <w:lvlJc w:val="left"/>
      <w:pPr>
        <w:ind w:hanging="360" w:left="4309"/>
      </w:pPr>
      <w:rPr>
        <w:rFonts w:ascii="Courier New" w:hAnsi="Courier New" w:cs="Courier New" w:hint="default"/>
      </w:rPr>
    </w:lvl>
    <w:lvl w:ilvl="5" w:tplc="04190005">
      <w:start w:val="1"/>
      <w:numFmt w:val="bullet"/>
      <w:suff w:val="tab"/>
      <w:lvlText w:val=""/>
      <w:lvlJc w:val="left"/>
      <w:pPr>
        <w:ind w:hanging="360" w:left="5029"/>
      </w:pPr>
      <w:rPr>
        <w:rFonts w:ascii="Wingdings" w:hAnsi="Wingdings" w:hint="default"/>
      </w:rPr>
    </w:lvl>
    <w:lvl w:ilvl="6" w:tplc="04190001">
      <w:start w:val="1"/>
      <w:numFmt w:val="bullet"/>
      <w:suff w:val="tab"/>
      <w:lvlText w:val=""/>
      <w:lvlJc w:val="left"/>
      <w:pPr>
        <w:ind w:hanging="360" w:left="5749"/>
      </w:pPr>
      <w:rPr>
        <w:rFonts w:ascii="Symbol" w:hAnsi="Symbol" w:hint="default"/>
      </w:rPr>
    </w:lvl>
    <w:lvl w:ilvl="7" w:tplc="04190003">
      <w:start w:val="1"/>
      <w:numFmt w:val="bullet"/>
      <w:suff w:val="tab"/>
      <w:lvlText w:val="o"/>
      <w:lvlJc w:val="left"/>
      <w:pPr>
        <w:ind w:hanging="360" w:left="6469"/>
      </w:pPr>
      <w:rPr>
        <w:rFonts w:ascii="Courier New" w:hAnsi="Courier New" w:cs="Courier New" w:hint="default"/>
      </w:rPr>
    </w:lvl>
    <w:lvl w:ilvl="8" w:tplc="04190005">
      <w:start w:val="1"/>
      <w:numFmt w:val="bullet"/>
      <w:suff w:val="tab"/>
      <w:lvlText w:val=""/>
      <w:lvlJc w:val="left"/>
      <w:pPr>
        <w:ind w:hanging="360" w:left="7189"/>
      </w:pPr>
      <w:rPr>
        <w:rFonts w:ascii="Wingdings" w:hAnsi="Wingdings" w:hint="default"/>
      </w:rPr>
    </w:lvl>
  </w:abstractNum>
  <w:abstractNum w:abstractNumId="30">
    <w:nsid w:val="5B951F60"/>
    <w:multiLevelType w:val="hybridMultilevel"/>
    <w:lvl w:ilvl="0" w:tplc="3BE4E49A">
      <w:start w:val="1"/>
      <w:numFmt w:val="bullet"/>
      <w:suff w:val="tab"/>
      <w:lvlText w:val=""/>
      <w:lvlJc w:val="left"/>
      <w:pPr>
        <w:ind w:hanging="360" w:left="1429"/>
      </w:pPr>
      <w:rPr>
        <w:rFonts w:ascii="Symbol" w:hAnsi="Symbol" w:hint="default"/>
      </w:rPr>
    </w:lvl>
    <w:lvl w:ilvl="1" w:tplc="04190003">
      <w:start w:val="1"/>
      <w:numFmt w:val="bullet"/>
      <w:suff w:val="tab"/>
      <w:lvlText w:val="o"/>
      <w:lvlJc w:val="left"/>
      <w:pPr>
        <w:ind w:hanging="360" w:left="2149"/>
      </w:pPr>
      <w:rPr>
        <w:rFonts w:ascii="Courier New" w:hAnsi="Courier New" w:cs="Courier New" w:hint="default"/>
      </w:rPr>
    </w:lvl>
    <w:lvl w:ilvl="2" w:tplc="04190005">
      <w:start w:val="1"/>
      <w:numFmt w:val="bullet"/>
      <w:suff w:val="tab"/>
      <w:lvlText w:val=""/>
      <w:lvlJc w:val="left"/>
      <w:pPr>
        <w:ind w:hanging="360" w:left="2869"/>
      </w:pPr>
      <w:rPr>
        <w:rFonts w:ascii="Wingdings" w:hAnsi="Wingdings" w:hint="default"/>
      </w:rPr>
    </w:lvl>
    <w:lvl w:ilvl="3" w:tplc="04190001">
      <w:start w:val="1"/>
      <w:numFmt w:val="bullet"/>
      <w:suff w:val="tab"/>
      <w:lvlText w:val=""/>
      <w:lvlJc w:val="left"/>
      <w:pPr>
        <w:ind w:hanging="360" w:left="3589"/>
      </w:pPr>
      <w:rPr>
        <w:rFonts w:ascii="Symbol" w:hAnsi="Symbol" w:hint="default"/>
      </w:rPr>
    </w:lvl>
    <w:lvl w:ilvl="4" w:tplc="04190003">
      <w:start w:val="1"/>
      <w:numFmt w:val="bullet"/>
      <w:suff w:val="tab"/>
      <w:lvlText w:val="o"/>
      <w:lvlJc w:val="left"/>
      <w:pPr>
        <w:ind w:hanging="360" w:left="4309"/>
      </w:pPr>
      <w:rPr>
        <w:rFonts w:ascii="Courier New" w:hAnsi="Courier New" w:cs="Courier New" w:hint="default"/>
      </w:rPr>
    </w:lvl>
    <w:lvl w:ilvl="5" w:tplc="04190005">
      <w:start w:val="1"/>
      <w:numFmt w:val="bullet"/>
      <w:suff w:val="tab"/>
      <w:lvlText w:val=""/>
      <w:lvlJc w:val="left"/>
      <w:pPr>
        <w:ind w:hanging="360" w:left="5029"/>
      </w:pPr>
      <w:rPr>
        <w:rFonts w:ascii="Wingdings" w:hAnsi="Wingdings" w:hint="default"/>
      </w:rPr>
    </w:lvl>
    <w:lvl w:ilvl="6" w:tplc="04190001">
      <w:start w:val="1"/>
      <w:numFmt w:val="bullet"/>
      <w:suff w:val="tab"/>
      <w:lvlText w:val=""/>
      <w:lvlJc w:val="left"/>
      <w:pPr>
        <w:ind w:hanging="360" w:left="5749"/>
      </w:pPr>
      <w:rPr>
        <w:rFonts w:ascii="Symbol" w:hAnsi="Symbol" w:hint="default"/>
      </w:rPr>
    </w:lvl>
    <w:lvl w:ilvl="7" w:tplc="04190003">
      <w:start w:val="1"/>
      <w:numFmt w:val="bullet"/>
      <w:suff w:val="tab"/>
      <w:lvlText w:val="o"/>
      <w:lvlJc w:val="left"/>
      <w:pPr>
        <w:ind w:hanging="360" w:left="6469"/>
      </w:pPr>
      <w:rPr>
        <w:rFonts w:ascii="Courier New" w:hAnsi="Courier New" w:cs="Courier New" w:hint="default"/>
      </w:rPr>
    </w:lvl>
    <w:lvl w:ilvl="8" w:tplc="04190005">
      <w:start w:val="1"/>
      <w:numFmt w:val="bullet"/>
      <w:suff w:val="tab"/>
      <w:lvlText w:val=""/>
      <w:lvlJc w:val="left"/>
      <w:pPr>
        <w:ind w:hanging="360" w:left="7189"/>
      </w:pPr>
      <w:rPr>
        <w:rFonts w:ascii="Wingdings" w:hAnsi="Wingdings" w:hint="default"/>
      </w:rPr>
    </w:lvl>
  </w:abstractNum>
  <w:abstractNum w:abstractNumId="31">
    <w:nsid w:val="5D427F05"/>
    <w:multiLevelType w:val="hybridMultilevel"/>
    <w:lvl w:ilvl="0" w:tplc="3BE4E49A">
      <w:start w:val="1"/>
      <w:numFmt w:val="bullet"/>
      <w:suff w:val="tab"/>
      <w:lvlText w:val=""/>
      <w:lvlJc w:val="left"/>
      <w:pPr>
        <w:ind w:hanging="360" w:left="1429"/>
      </w:pPr>
      <w:rPr>
        <w:rFonts w:ascii="Symbol" w:hAnsi="Symbol" w:hint="default"/>
      </w:rPr>
    </w:lvl>
    <w:lvl w:ilvl="1" w:tplc="04190003">
      <w:start w:val="1"/>
      <w:numFmt w:val="bullet"/>
      <w:suff w:val="tab"/>
      <w:lvlText w:val="o"/>
      <w:lvlJc w:val="left"/>
      <w:pPr>
        <w:ind w:hanging="360" w:left="2149"/>
      </w:pPr>
      <w:rPr>
        <w:rFonts w:ascii="Courier New" w:hAnsi="Courier New" w:cs="Courier New" w:hint="default"/>
      </w:rPr>
    </w:lvl>
    <w:lvl w:ilvl="2" w:tplc="04190005">
      <w:start w:val="1"/>
      <w:numFmt w:val="bullet"/>
      <w:suff w:val="tab"/>
      <w:lvlText w:val=""/>
      <w:lvlJc w:val="left"/>
      <w:pPr>
        <w:ind w:hanging="360" w:left="2869"/>
      </w:pPr>
      <w:rPr>
        <w:rFonts w:ascii="Wingdings" w:hAnsi="Wingdings" w:hint="default"/>
      </w:rPr>
    </w:lvl>
    <w:lvl w:ilvl="3" w:tplc="04190001">
      <w:start w:val="1"/>
      <w:numFmt w:val="bullet"/>
      <w:suff w:val="tab"/>
      <w:lvlText w:val=""/>
      <w:lvlJc w:val="left"/>
      <w:pPr>
        <w:ind w:hanging="360" w:left="3589"/>
      </w:pPr>
      <w:rPr>
        <w:rFonts w:ascii="Symbol" w:hAnsi="Symbol" w:hint="default"/>
      </w:rPr>
    </w:lvl>
    <w:lvl w:ilvl="4" w:tplc="04190003">
      <w:start w:val="1"/>
      <w:numFmt w:val="bullet"/>
      <w:suff w:val="tab"/>
      <w:lvlText w:val="o"/>
      <w:lvlJc w:val="left"/>
      <w:pPr>
        <w:ind w:hanging="360" w:left="4309"/>
      </w:pPr>
      <w:rPr>
        <w:rFonts w:ascii="Courier New" w:hAnsi="Courier New" w:cs="Courier New" w:hint="default"/>
      </w:rPr>
    </w:lvl>
    <w:lvl w:ilvl="5" w:tplc="04190005">
      <w:start w:val="1"/>
      <w:numFmt w:val="bullet"/>
      <w:suff w:val="tab"/>
      <w:lvlText w:val=""/>
      <w:lvlJc w:val="left"/>
      <w:pPr>
        <w:ind w:hanging="360" w:left="5029"/>
      </w:pPr>
      <w:rPr>
        <w:rFonts w:ascii="Wingdings" w:hAnsi="Wingdings" w:hint="default"/>
      </w:rPr>
    </w:lvl>
    <w:lvl w:ilvl="6" w:tplc="04190001">
      <w:start w:val="1"/>
      <w:numFmt w:val="bullet"/>
      <w:suff w:val="tab"/>
      <w:lvlText w:val=""/>
      <w:lvlJc w:val="left"/>
      <w:pPr>
        <w:ind w:hanging="360" w:left="5749"/>
      </w:pPr>
      <w:rPr>
        <w:rFonts w:ascii="Symbol" w:hAnsi="Symbol" w:hint="default"/>
      </w:rPr>
    </w:lvl>
    <w:lvl w:ilvl="7" w:tplc="04190003">
      <w:start w:val="1"/>
      <w:numFmt w:val="bullet"/>
      <w:suff w:val="tab"/>
      <w:lvlText w:val="o"/>
      <w:lvlJc w:val="left"/>
      <w:pPr>
        <w:ind w:hanging="360" w:left="6469"/>
      </w:pPr>
      <w:rPr>
        <w:rFonts w:ascii="Courier New" w:hAnsi="Courier New" w:cs="Courier New" w:hint="default"/>
      </w:rPr>
    </w:lvl>
    <w:lvl w:ilvl="8" w:tplc="04190005">
      <w:start w:val="1"/>
      <w:numFmt w:val="bullet"/>
      <w:suff w:val="tab"/>
      <w:lvlText w:val=""/>
      <w:lvlJc w:val="left"/>
      <w:pPr>
        <w:ind w:hanging="360" w:left="7189"/>
      </w:pPr>
      <w:rPr>
        <w:rFonts w:ascii="Wingdings" w:hAnsi="Wingdings" w:hint="default"/>
      </w:rPr>
    </w:lvl>
  </w:abstractNum>
  <w:abstractNum w:abstractNumId="32">
    <w:nsid w:val="683C1A94"/>
    <w:multiLevelType w:val="hybridMultilevel"/>
    <w:lvl w:ilvl="0" w:tplc="F8289B36">
      <w:start w:val="1"/>
      <w:numFmt w:val="bullet"/>
      <w:suff w:val="tab"/>
      <w:lvlText w:val=""/>
      <w:lvlJc w:val="left"/>
      <w:pPr>
        <w:ind w:hanging="360" w:left="1429"/>
      </w:pPr>
      <w:rPr>
        <w:rFonts w:ascii="Symbol" w:hAnsi="Symbol" w:hint="default"/>
      </w:rPr>
    </w:lvl>
    <w:lvl w:ilvl="1" w:tplc="04190003">
      <w:start w:val="1"/>
      <w:numFmt w:val="bullet"/>
      <w:suff w:val="tab"/>
      <w:lvlText w:val="o"/>
      <w:lvlJc w:val="left"/>
      <w:pPr>
        <w:ind w:hanging="360" w:left="2149"/>
      </w:pPr>
      <w:rPr>
        <w:rFonts w:ascii="Courier New" w:hAnsi="Courier New" w:cs="Courier New" w:hint="default"/>
      </w:rPr>
    </w:lvl>
    <w:lvl w:ilvl="2" w:tplc="04190005">
      <w:start w:val="1"/>
      <w:numFmt w:val="bullet"/>
      <w:suff w:val="tab"/>
      <w:lvlText w:val=""/>
      <w:lvlJc w:val="left"/>
      <w:pPr>
        <w:ind w:hanging="360" w:left="2869"/>
      </w:pPr>
      <w:rPr>
        <w:rFonts w:ascii="Wingdings" w:hAnsi="Wingdings" w:hint="default"/>
      </w:rPr>
    </w:lvl>
    <w:lvl w:ilvl="3" w:tplc="04190001">
      <w:start w:val="1"/>
      <w:numFmt w:val="bullet"/>
      <w:suff w:val="tab"/>
      <w:lvlText w:val=""/>
      <w:lvlJc w:val="left"/>
      <w:pPr>
        <w:ind w:hanging="360" w:left="3589"/>
      </w:pPr>
      <w:rPr>
        <w:rFonts w:ascii="Symbol" w:hAnsi="Symbol" w:hint="default"/>
      </w:rPr>
    </w:lvl>
    <w:lvl w:ilvl="4" w:tplc="04190003">
      <w:start w:val="1"/>
      <w:numFmt w:val="bullet"/>
      <w:suff w:val="tab"/>
      <w:lvlText w:val="o"/>
      <w:lvlJc w:val="left"/>
      <w:pPr>
        <w:ind w:hanging="360" w:left="4309"/>
      </w:pPr>
      <w:rPr>
        <w:rFonts w:ascii="Courier New" w:hAnsi="Courier New" w:cs="Courier New" w:hint="default"/>
      </w:rPr>
    </w:lvl>
    <w:lvl w:ilvl="5" w:tplc="04190005">
      <w:start w:val="1"/>
      <w:numFmt w:val="bullet"/>
      <w:suff w:val="tab"/>
      <w:lvlText w:val=""/>
      <w:lvlJc w:val="left"/>
      <w:pPr>
        <w:ind w:hanging="360" w:left="5029"/>
      </w:pPr>
      <w:rPr>
        <w:rFonts w:ascii="Wingdings" w:hAnsi="Wingdings" w:hint="default"/>
      </w:rPr>
    </w:lvl>
    <w:lvl w:ilvl="6" w:tplc="04190001">
      <w:start w:val="1"/>
      <w:numFmt w:val="bullet"/>
      <w:suff w:val="tab"/>
      <w:lvlText w:val=""/>
      <w:lvlJc w:val="left"/>
      <w:pPr>
        <w:ind w:hanging="360" w:left="5749"/>
      </w:pPr>
      <w:rPr>
        <w:rFonts w:ascii="Symbol" w:hAnsi="Symbol" w:hint="default"/>
      </w:rPr>
    </w:lvl>
    <w:lvl w:ilvl="7" w:tplc="04190003">
      <w:start w:val="1"/>
      <w:numFmt w:val="bullet"/>
      <w:suff w:val="tab"/>
      <w:lvlText w:val="o"/>
      <w:lvlJc w:val="left"/>
      <w:pPr>
        <w:ind w:hanging="360" w:left="6469"/>
      </w:pPr>
      <w:rPr>
        <w:rFonts w:ascii="Courier New" w:hAnsi="Courier New" w:cs="Courier New" w:hint="default"/>
      </w:rPr>
    </w:lvl>
    <w:lvl w:ilvl="8" w:tplc="04190005">
      <w:start w:val="1"/>
      <w:numFmt w:val="bullet"/>
      <w:suff w:val="tab"/>
      <w:lvlText w:val=""/>
      <w:lvlJc w:val="left"/>
      <w:pPr>
        <w:ind w:hanging="360" w:left="7189"/>
      </w:pPr>
      <w:rPr>
        <w:rFonts w:ascii="Wingdings" w:hAnsi="Wingdings" w:hint="default"/>
      </w:rPr>
    </w:lvl>
  </w:abstractNum>
  <w:abstractNum w:abstractNumId="33">
    <w:nsid w:val="6878069E"/>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
      <w:lvlJc w:val="left"/>
      <w:pPr>
        <w:ind w:hanging="360" w:left="1440"/>
      </w:pPr>
      <w:rPr>
        <w:rFonts w:ascii="Symbol" w:hAnsi="Symbol" w:hint="default"/>
      </w:rPr>
    </w:lvl>
    <w:lvl w:ilvl="2">
      <w:start w:val="1"/>
      <w:numFmt w:val="decimal"/>
      <w:suff w:val="tab"/>
      <w:lvlText w:val="%3)"/>
      <w:lvlJc w:val="left"/>
      <w:pPr>
        <w:ind w:hanging="360" w:left="2160"/>
      </w:pPr>
      <w:rPr>
        <w:rFonts w:hint="default"/>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34">
    <w:nsid w:val="6A377C63"/>
    <w:multiLevelType w:val="hybridMultilevel"/>
    <w:lvl w:ilvl="0" w:tplc="3BE4E49A">
      <w:start w:val="1"/>
      <w:numFmt w:val="bullet"/>
      <w:suff w:val="tab"/>
      <w:lvlText w:val=""/>
      <w:lvlJc w:val="left"/>
      <w:pPr>
        <w:ind w:hanging="360" w:left="1429"/>
      </w:pPr>
      <w:rPr>
        <w:rFonts w:ascii="Symbol" w:hAnsi="Symbol" w:hint="default"/>
      </w:rPr>
    </w:lvl>
    <w:lvl w:ilvl="1" w:tplc="04190003">
      <w:start w:val="1"/>
      <w:numFmt w:val="bullet"/>
      <w:suff w:val="tab"/>
      <w:lvlText w:val="o"/>
      <w:lvlJc w:val="left"/>
      <w:pPr>
        <w:ind w:hanging="360" w:left="2149"/>
      </w:pPr>
      <w:rPr>
        <w:rFonts w:ascii="Courier New" w:hAnsi="Courier New" w:cs="Courier New" w:hint="default"/>
      </w:rPr>
    </w:lvl>
    <w:lvl w:ilvl="2" w:tplc="04190005">
      <w:start w:val="1"/>
      <w:numFmt w:val="bullet"/>
      <w:suff w:val="tab"/>
      <w:lvlText w:val=""/>
      <w:lvlJc w:val="left"/>
      <w:pPr>
        <w:ind w:hanging="360" w:left="2869"/>
      </w:pPr>
      <w:rPr>
        <w:rFonts w:ascii="Wingdings" w:hAnsi="Wingdings" w:hint="default"/>
      </w:rPr>
    </w:lvl>
    <w:lvl w:ilvl="3" w:tplc="04190001">
      <w:start w:val="1"/>
      <w:numFmt w:val="bullet"/>
      <w:suff w:val="tab"/>
      <w:lvlText w:val=""/>
      <w:lvlJc w:val="left"/>
      <w:pPr>
        <w:ind w:hanging="360" w:left="3589"/>
      </w:pPr>
      <w:rPr>
        <w:rFonts w:ascii="Symbol" w:hAnsi="Symbol" w:hint="default"/>
      </w:rPr>
    </w:lvl>
    <w:lvl w:ilvl="4" w:tplc="04190003">
      <w:start w:val="1"/>
      <w:numFmt w:val="bullet"/>
      <w:suff w:val="tab"/>
      <w:lvlText w:val="o"/>
      <w:lvlJc w:val="left"/>
      <w:pPr>
        <w:ind w:hanging="360" w:left="4309"/>
      </w:pPr>
      <w:rPr>
        <w:rFonts w:ascii="Courier New" w:hAnsi="Courier New" w:cs="Courier New" w:hint="default"/>
      </w:rPr>
    </w:lvl>
    <w:lvl w:ilvl="5" w:tplc="04190005">
      <w:start w:val="1"/>
      <w:numFmt w:val="bullet"/>
      <w:suff w:val="tab"/>
      <w:lvlText w:val=""/>
      <w:lvlJc w:val="left"/>
      <w:pPr>
        <w:ind w:hanging="360" w:left="5029"/>
      </w:pPr>
      <w:rPr>
        <w:rFonts w:ascii="Wingdings" w:hAnsi="Wingdings" w:hint="default"/>
      </w:rPr>
    </w:lvl>
    <w:lvl w:ilvl="6" w:tplc="04190001">
      <w:start w:val="1"/>
      <w:numFmt w:val="bullet"/>
      <w:suff w:val="tab"/>
      <w:lvlText w:val=""/>
      <w:lvlJc w:val="left"/>
      <w:pPr>
        <w:ind w:hanging="360" w:left="5749"/>
      </w:pPr>
      <w:rPr>
        <w:rFonts w:ascii="Symbol" w:hAnsi="Symbol" w:hint="default"/>
      </w:rPr>
    </w:lvl>
    <w:lvl w:ilvl="7" w:tplc="04190003">
      <w:start w:val="1"/>
      <w:numFmt w:val="bullet"/>
      <w:suff w:val="tab"/>
      <w:lvlText w:val="o"/>
      <w:lvlJc w:val="left"/>
      <w:pPr>
        <w:ind w:hanging="360" w:left="6469"/>
      </w:pPr>
      <w:rPr>
        <w:rFonts w:ascii="Courier New" w:hAnsi="Courier New" w:cs="Courier New" w:hint="default"/>
      </w:rPr>
    </w:lvl>
    <w:lvl w:ilvl="8" w:tplc="04190005">
      <w:start w:val="1"/>
      <w:numFmt w:val="bullet"/>
      <w:suff w:val="tab"/>
      <w:lvlText w:val=""/>
      <w:lvlJc w:val="left"/>
      <w:pPr>
        <w:ind w:hanging="360" w:left="7189"/>
      </w:pPr>
      <w:rPr>
        <w:rFonts w:ascii="Wingdings" w:hAnsi="Wingdings" w:hint="default"/>
      </w:rPr>
    </w:lvl>
  </w:abstractNum>
  <w:abstractNum w:abstractNumId="35">
    <w:nsid w:val="6ADC3C27"/>
    <w:multiLevelType w:val="hybridMultilevel"/>
    <w:lvl w:ilvl="0" w:tplc="3BE4E49A">
      <w:start w:val="1"/>
      <w:numFmt w:val="bullet"/>
      <w:suff w:val="tab"/>
      <w:lvlText w:val=""/>
      <w:lvlJc w:val="left"/>
      <w:pPr>
        <w:ind w:hanging="360" w:left="1429"/>
      </w:pPr>
      <w:rPr>
        <w:rFonts w:ascii="Symbol" w:hAnsi="Symbol" w:hint="default"/>
      </w:rPr>
    </w:lvl>
    <w:lvl w:ilvl="1" w:tplc="04190003">
      <w:start w:val="1"/>
      <w:numFmt w:val="bullet"/>
      <w:suff w:val="tab"/>
      <w:lvlText w:val="o"/>
      <w:lvlJc w:val="left"/>
      <w:pPr>
        <w:ind w:hanging="360" w:left="2149"/>
      </w:pPr>
      <w:rPr>
        <w:rFonts w:ascii="Courier New" w:hAnsi="Courier New" w:cs="Courier New" w:hint="default"/>
      </w:rPr>
    </w:lvl>
    <w:lvl w:ilvl="2" w:tplc="04190005">
      <w:start w:val="1"/>
      <w:numFmt w:val="bullet"/>
      <w:suff w:val="tab"/>
      <w:lvlText w:val=""/>
      <w:lvlJc w:val="left"/>
      <w:pPr>
        <w:ind w:hanging="360" w:left="2869"/>
      </w:pPr>
      <w:rPr>
        <w:rFonts w:ascii="Wingdings" w:hAnsi="Wingdings" w:hint="default"/>
      </w:rPr>
    </w:lvl>
    <w:lvl w:ilvl="3" w:tplc="04190001">
      <w:start w:val="1"/>
      <w:numFmt w:val="bullet"/>
      <w:suff w:val="tab"/>
      <w:lvlText w:val=""/>
      <w:lvlJc w:val="left"/>
      <w:pPr>
        <w:ind w:hanging="360" w:left="3589"/>
      </w:pPr>
      <w:rPr>
        <w:rFonts w:ascii="Symbol" w:hAnsi="Symbol" w:hint="default"/>
      </w:rPr>
    </w:lvl>
    <w:lvl w:ilvl="4" w:tplc="04190003">
      <w:start w:val="1"/>
      <w:numFmt w:val="bullet"/>
      <w:suff w:val="tab"/>
      <w:lvlText w:val="o"/>
      <w:lvlJc w:val="left"/>
      <w:pPr>
        <w:ind w:hanging="360" w:left="4309"/>
      </w:pPr>
      <w:rPr>
        <w:rFonts w:ascii="Courier New" w:hAnsi="Courier New" w:cs="Courier New" w:hint="default"/>
      </w:rPr>
    </w:lvl>
    <w:lvl w:ilvl="5" w:tplc="04190005">
      <w:start w:val="1"/>
      <w:numFmt w:val="bullet"/>
      <w:suff w:val="tab"/>
      <w:lvlText w:val=""/>
      <w:lvlJc w:val="left"/>
      <w:pPr>
        <w:ind w:hanging="360" w:left="5029"/>
      </w:pPr>
      <w:rPr>
        <w:rFonts w:ascii="Wingdings" w:hAnsi="Wingdings" w:hint="default"/>
      </w:rPr>
    </w:lvl>
    <w:lvl w:ilvl="6" w:tplc="04190001">
      <w:start w:val="1"/>
      <w:numFmt w:val="bullet"/>
      <w:suff w:val="tab"/>
      <w:lvlText w:val=""/>
      <w:lvlJc w:val="left"/>
      <w:pPr>
        <w:ind w:hanging="360" w:left="5749"/>
      </w:pPr>
      <w:rPr>
        <w:rFonts w:ascii="Symbol" w:hAnsi="Symbol" w:hint="default"/>
      </w:rPr>
    </w:lvl>
    <w:lvl w:ilvl="7" w:tplc="04190003">
      <w:start w:val="1"/>
      <w:numFmt w:val="bullet"/>
      <w:suff w:val="tab"/>
      <w:lvlText w:val="o"/>
      <w:lvlJc w:val="left"/>
      <w:pPr>
        <w:ind w:hanging="360" w:left="6469"/>
      </w:pPr>
      <w:rPr>
        <w:rFonts w:ascii="Courier New" w:hAnsi="Courier New" w:cs="Courier New" w:hint="default"/>
      </w:rPr>
    </w:lvl>
    <w:lvl w:ilvl="8" w:tplc="04190005">
      <w:start w:val="1"/>
      <w:numFmt w:val="bullet"/>
      <w:suff w:val="tab"/>
      <w:lvlText w:val=""/>
      <w:lvlJc w:val="left"/>
      <w:pPr>
        <w:ind w:hanging="360" w:left="7189"/>
      </w:pPr>
      <w:rPr>
        <w:rFonts w:ascii="Wingdings" w:hAnsi="Wingdings" w:hint="default"/>
      </w:rPr>
    </w:lvl>
  </w:abstractNum>
  <w:abstractNum w:abstractNumId="36">
    <w:nsid w:val="6BD76A06"/>
    <w:multiLevelType w:val="multilevel"/>
    <w:lvl w:ilvl="0">
      <w:start w:val="1"/>
      <w:numFmt w:val="decimal"/>
      <w:suff w:val="tab"/>
      <w:lvlText w:val="%1."/>
      <w:lvlJc w:val="left"/>
      <w:pPr>
        <w:ind w:hanging="360" w:left="720"/>
        <w:tabs>
          <w:tab w:val="num" w:pos="720" w:leader="none"/>
        </w:tabs>
      </w:pPr>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decimal"/>
      <w:suff w:val="tab"/>
      <w:lvlText w:val="%3."/>
      <w:lvlJc w:val="left"/>
      <w:pPr>
        <w:ind w:hanging="36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decimal"/>
      <w:suff w:val="tab"/>
      <w:lvlText w:val="%5."/>
      <w:lvlJc w:val="left"/>
      <w:pPr>
        <w:ind w:hanging="360" w:left="3600"/>
        <w:tabs>
          <w:tab w:val="num" w:pos="3600" w:leader="none"/>
        </w:tabs>
      </w:pPr>
      <w:rPr/>
    </w:lvl>
    <w:lvl w:ilvl="5">
      <w:start w:val="1"/>
      <w:numFmt w:val="decimal"/>
      <w:suff w:val="tab"/>
      <w:lvlText w:val="%6."/>
      <w:lvlJc w:val="left"/>
      <w:pPr>
        <w:ind w:hanging="36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decimal"/>
      <w:suff w:val="tab"/>
      <w:lvlText w:val="%8."/>
      <w:lvlJc w:val="left"/>
      <w:pPr>
        <w:ind w:hanging="360" w:left="5760"/>
        <w:tabs>
          <w:tab w:val="num" w:pos="5760" w:leader="none"/>
        </w:tabs>
      </w:pPr>
      <w:rPr/>
    </w:lvl>
    <w:lvl w:ilvl="8">
      <w:start w:val="1"/>
      <w:numFmt w:val="decimal"/>
      <w:suff w:val="tab"/>
      <w:lvlText w:val="%9."/>
      <w:lvlJc w:val="left"/>
      <w:pPr>
        <w:ind w:hanging="360" w:left="6480"/>
        <w:tabs>
          <w:tab w:val="num" w:pos="6480" w:leader="none"/>
        </w:tabs>
      </w:pPr>
      <w:rPr/>
    </w:lvl>
  </w:abstractNum>
  <w:abstractNum w:abstractNumId="37">
    <w:nsid w:val="6CA26318"/>
    <w:multiLevelType w:val="hybridMultilevel"/>
    <w:lvl w:ilvl="0" w:tplc="3BE4E49A">
      <w:start w:val="1"/>
      <w:numFmt w:val="bullet"/>
      <w:suff w:val="tab"/>
      <w:lvlText w:val=""/>
      <w:lvlJc w:val="left"/>
      <w:pPr>
        <w:ind w:hanging="360" w:left="1427"/>
      </w:pPr>
      <w:rPr>
        <w:rFonts w:ascii="Symbol" w:hAnsi="Symbol" w:hint="default"/>
      </w:rPr>
    </w:lvl>
    <w:lvl w:ilvl="1" w:tplc="04190003">
      <w:start w:val="1"/>
      <w:numFmt w:val="bullet"/>
      <w:suff w:val="tab"/>
      <w:lvlText w:val="o"/>
      <w:lvlJc w:val="left"/>
      <w:pPr>
        <w:ind w:hanging="360" w:left="2147"/>
      </w:pPr>
      <w:rPr>
        <w:rFonts w:ascii="Courier New" w:hAnsi="Courier New" w:cs="Courier New" w:hint="default"/>
      </w:rPr>
    </w:lvl>
    <w:lvl w:ilvl="2" w:tplc="04190005">
      <w:start w:val="1"/>
      <w:numFmt w:val="bullet"/>
      <w:suff w:val="tab"/>
      <w:lvlText w:val=""/>
      <w:lvlJc w:val="left"/>
      <w:pPr>
        <w:ind w:hanging="360" w:left="2867"/>
      </w:pPr>
      <w:rPr>
        <w:rFonts w:ascii="Wingdings" w:hAnsi="Wingdings" w:hint="default"/>
      </w:rPr>
    </w:lvl>
    <w:lvl w:ilvl="3" w:tplc="04190001">
      <w:start w:val="1"/>
      <w:numFmt w:val="bullet"/>
      <w:suff w:val="tab"/>
      <w:lvlText w:val=""/>
      <w:lvlJc w:val="left"/>
      <w:pPr>
        <w:ind w:hanging="360" w:left="3587"/>
      </w:pPr>
      <w:rPr>
        <w:rFonts w:ascii="Symbol" w:hAnsi="Symbol" w:hint="default"/>
      </w:rPr>
    </w:lvl>
    <w:lvl w:ilvl="4" w:tplc="04190003">
      <w:start w:val="1"/>
      <w:numFmt w:val="bullet"/>
      <w:suff w:val="tab"/>
      <w:lvlText w:val="o"/>
      <w:lvlJc w:val="left"/>
      <w:pPr>
        <w:ind w:hanging="360" w:left="4307"/>
      </w:pPr>
      <w:rPr>
        <w:rFonts w:ascii="Courier New" w:hAnsi="Courier New" w:cs="Courier New" w:hint="default"/>
      </w:rPr>
    </w:lvl>
    <w:lvl w:ilvl="5" w:tplc="04190005">
      <w:start w:val="1"/>
      <w:numFmt w:val="bullet"/>
      <w:suff w:val="tab"/>
      <w:lvlText w:val=""/>
      <w:lvlJc w:val="left"/>
      <w:pPr>
        <w:ind w:hanging="360" w:left="5027"/>
      </w:pPr>
      <w:rPr>
        <w:rFonts w:ascii="Wingdings" w:hAnsi="Wingdings" w:hint="default"/>
      </w:rPr>
    </w:lvl>
    <w:lvl w:ilvl="6" w:tplc="04190001">
      <w:start w:val="1"/>
      <w:numFmt w:val="bullet"/>
      <w:suff w:val="tab"/>
      <w:lvlText w:val=""/>
      <w:lvlJc w:val="left"/>
      <w:pPr>
        <w:ind w:hanging="360" w:left="5747"/>
      </w:pPr>
      <w:rPr>
        <w:rFonts w:ascii="Symbol" w:hAnsi="Symbol" w:hint="default"/>
      </w:rPr>
    </w:lvl>
    <w:lvl w:ilvl="7" w:tplc="04190003">
      <w:start w:val="1"/>
      <w:numFmt w:val="bullet"/>
      <w:suff w:val="tab"/>
      <w:lvlText w:val="o"/>
      <w:lvlJc w:val="left"/>
      <w:pPr>
        <w:ind w:hanging="360" w:left="6467"/>
      </w:pPr>
      <w:rPr>
        <w:rFonts w:ascii="Courier New" w:hAnsi="Courier New" w:cs="Courier New" w:hint="default"/>
      </w:rPr>
    </w:lvl>
    <w:lvl w:ilvl="8" w:tplc="04190005">
      <w:start w:val="1"/>
      <w:numFmt w:val="bullet"/>
      <w:suff w:val="tab"/>
      <w:lvlText w:val=""/>
      <w:lvlJc w:val="left"/>
      <w:pPr>
        <w:ind w:hanging="360" w:left="7187"/>
      </w:pPr>
      <w:rPr>
        <w:rFonts w:ascii="Wingdings" w:hAnsi="Wingdings" w:hint="default"/>
      </w:rPr>
    </w:lvl>
  </w:abstractNum>
  <w:abstractNum w:abstractNumId="38">
    <w:nsid w:val="729C0DF5"/>
    <w:multiLevelType w:val="hybridMultilevel"/>
    <w:lvl w:ilvl="0" w:tplc="3BE4E49A">
      <w:start w:val="1"/>
      <w:numFmt w:val="bullet"/>
      <w:suff w:val="tab"/>
      <w:lvlText w:val=""/>
      <w:lvlJc w:val="left"/>
      <w:pPr>
        <w:ind w:hanging="360" w:left="1427"/>
      </w:pPr>
      <w:rPr>
        <w:rFonts w:ascii="Symbol" w:hAnsi="Symbol" w:hint="default"/>
      </w:rPr>
    </w:lvl>
    <w:lvl w:ilvl="1" w:tplc="04190003">
      <w:start w:val="1"/>
      <w:numFmt w:val="bullet"/>
      <w:suff w:val="tab"/>
      <w:lvlText w:val="o"/>
      <w:lvlJc w:val="left"/>
      <w:pPr>
        <w:ind w:hanging="360" w:left="2147"/>
      </w:pPr>
      <w:rPr>
        <w:rFonts w:ascii="Courier New" w:hAnsi="Courier New" w:cs="Courier New" w:hint="default"/>
      </w:rPr>
    </w:lvl>
    <w:lvl w:ilvl="2" w:tplc="04190005">
      <w:start w:val="1"/>
      <w:numFmt w:val="bullet"/>
      <w:suff w:val="tab"/>
      <w:lvlText w:val=""/>
      <w:lvlJc w:val="left"/>
      <w:pPr>
        <w:ind w:hanging="360" w:left="2867"/>
      </w:pPr>
      <w:rPr>
        <w:rFonts w:ascii="Wingdings" w:hAnsi="Wingdings" w:hint="default"/>
      </w:rPr>
    </w:lvl>
    <w:lvl w:ilvl="3" w:tplc="04190001">
      <w:start w:val="1"/>
      <w:numFmt w:val="bullet"/>
      <w:suff w:val="tab"/>
      <w:lvlText w:val=""/>
      <w:lvlJc w:val="left"/>
      <w:pPr>
        <w:ind w:hanging="360" w:left="3587"/>
      </w:pPr>
      <w:rPr>
        <w:rFonts w:ascii="Symbol" w:hAnsi="Symbol" w:hint="default"/>
      </w:rPr>
    </w:lvl>
    <w:lvl w:ilvl="4" w:tplc="04190003">
      <w:start w:val="1"/>
      <w:numFmt w:val="bullet"/>
      <w:suff w:val="tab"/>
      <w:lvlText w:val="o"/>
      <w:lvlJc w:val="left"/>
      <w:pPr>
        <w:ind w:hanging="360" w:left="4307"/>
      </w:pPr>
      <w:rPr>
        <w:rFonts w:ascii="Courier New" w:hAnsi="Courier New" w:cs="Courier New" w:hint="default"/>
      </w:rPr>
    </w:lvl>
    <w:lvl w:ilvl="5" w:tplc="04190005">
      <w:start w:val="1"/>
      <w:numFmt w:val="bullet"/>
      <w:suff w:val="tab"/>
      <w:lvlText w:val=""/>
      <w:lvlJc w:val="left"/>
      <w:pPr>
        <w:ind w:hanging="360" w:left="5027"/>
      </w:pPr>
      <w:rPr>
        <w:rFonts w:ascii="Wingdings" w:hAnsi="Wingdings" w:hint="default"/>
      </w:rPr>
    </w:lvl>
    <w:lvl w:ilvl="6" w:tplc="04190001">
      <w:start w:val="1"/>
      <w:numFmt w:val="bullet"/>
      <w:suff w:val="tab"/>
      <w:lvlText w:val=""/>
      <w:lvlJc w:val="left"/>
      <w:pPr>
        <w:ind w:hanging="360" w:left="5747"/>
      </w:pPr>
      <w:rPr>
        <w:rFonts w:ascii="Symbol" w:hAnsi="Symbol" w:hint="default"/>
      </w:rPr>
    </w:lvl>
    <w:lvl w:ilvl="7" w:tplc="04190003">
      <w:start w:val="1"/>
      <w:numFmt w:val="bullet"/>
      <w:suff w:val="tab"/>
      <w:lvlText w:val="o"/>
      <w:lvlJc w:val="left"/>
      <w:pPr>
        <w:ind w:hanging="360" w:left="6467"/>
      </w:pPr>
      <w:rPr>
        <w:rFonts w:ascii="Courier New" w:hAnsi="Courier New" w:cs="Courier New" w:hint="default"/>
      </w:rPr>
    </w:lvl>
    <w:lvl w:ilvl="8" w:tplc="04190005">
      <w:start w:val="1"/>
      <w:numFmt w:val="bullet"/>
      <w:suff w:val="tab"/>
      <w:lvlText w:val=""/>
      <w:lvlJc w:val="left"/>
      <w:pPr>
        <w:ind w:hanging="360" w:left="7187"/>
      </w:pPr>
      <w:rPr>
        <w:rFonts w:ascii="Wingdings" w:hAnsi="Wingdings" w:hint="default"/>
      </w:rPr>
    </w:lvl>
  </w:abstractNum>
  <w:abstractNum w:abstractNumId="39">
    <w:nsid w:val="72DB0645"/>
    <w:multiLevelType w:val="hybridMultilevel"/>
    <w:lvl w:ilvl="0" w:tplc="3BE4E49A">
      <w:start w:val="1"/>
      <w:numFmt w:val="bullet"/>
      <w:suff w:val="tab"/>
      <w:lvlText w:val=""/>
      <w:lvlJc w:val="left"/>
      <w:pPr>
        <w:ind w:hanging="360" w:left="1427"/>
      </w:pPr>
      <w:rPr>
        <w:rFonts w:ascii="Symbol" w:hAnsi="Symbol" w:hint="default"/>
      </w:rPr>
    </w:lvl>
    <w:lvl w:ilvl="1" w:tplc="04190003">
      <w:start w:val="1"/>
      <w:numFmt w:val="bullet"/>
      <w:suff w:val="tab"/>
      <w:lvlText w:val="o"/>
      <w:lvlJc w:val="left"/>
      <w:pPr>
        <w:ind w:hanging="360" w:left="2147"/>
      </w:pPr>
      <w:rPr>
        <w:rFonts w:ascii="Courier New" w:hAnsi="Courier New" w:cs="Courier New" w:hint="default"/>
      </w:rPr>
    </w:lvl>
    <w:lvl w:ilvl="2" w:tplc="04190005">
      <w:start w:val="1"/>
      <w:numFmt w:val="bullet"/>
      <w:suff w:val="tab"/>
      <w:lvlText w:val=""/>
      <w:lvlJc w:val="left"/>
      <w:pPr>
        <w:ind w:hanging="360" w:left="2867"/>
      </w:pPr>
      <w:rPr>
        <w:rFonts w:ascii="Wingdings" w:hAnsi="Wingdings" w:hint="default"/>
      </w:rPr>
    </w:lvl>
    <w:lvl w:ilvl="3" w:tplc="04190001">
      <w:start w:val="1"/>
      <w:numFmt w:val="bullet"/>
      <w:suff w:val="tab"/>
      <w:lvlText w:val=""/>
      <w:lvlJc w:val="left"/>
      <w:pPr>
        <w:ind w:hanging="360" w:left="3587"/>
      </w:pPr>
      <w:rPr>
        <w:rFonts w:ascii="Symbol" w:hAnsi="Symbol" w:hint="default"/>
      </w:rPr>
    </w:lvl>
    <w:lvl w:ilvl="4" w:tplc="04190003">
      <w:start w:val="1"/>
      <w:numFmt w:val="bullet"/>
      <w:suff w:val="tab"/>
      <w:lvlText w:val="o"/>
      <w:lvlJc w:val="left"/>
      <w:pPr>
        <w:ind w:hanging="360" w:left="4307"/>
      </w:pPr>
      <w:rPr>
        <w:rFonts w:ascii="Courier New" w:hAnsi="Courier New" w:cs="Courier New" w:hint="default"/>
      </w:rPr>
    </w:lvl>
    <w:lvl w:ilvl="5" w:tplc="04190005">
      <w:start w:val="1"/>
      <w:numFmt w:val="bullet"/>
      <w:suff w:val="tab"/>
      <w:lvlText w:val=""/>
      <w:lvlJc w:val="left"/>
      <w:pPr>
        <w:ind w:hanging="360" w:left="5027"/>
      </w:pPr>
      <w:rPr>
        <w:rFonts w:ascii="Wingdings" w:hAnsi="Wingdings" w:hint="default"/>
      </w:rPr>
    </w:lvl>
    <w:lvl w:ilvl="6" w:tplc="04190001">
      <w:start w:val="1"/>
      <w:numFmt w:val="bullet"/>
      <w:suff w:val="tab"/>
      <w:lvlText w:val=""/>
      <w:lvlJc w:val="left"/>
      <w:pPr>
        <w:ind w:hanging="360" w:left="5747"/>
      </w:pPr>
      <w:rPr>
        <w:rFonts w:ascii="Symbol" w:hAnsi="Symbol" w:hint="default"/>
      </w:rPr>
    </w:lvl>
    <w:lvl w:ilvl="7" w:tplc="04190003">
      <w:start w:val="1"/>
      <w:numFmt w:val="bullet"/>
      <w:suff w:val="tab"/>
      <w:lvlText w:val="o"/>
      <w:lvlJc w:val="left"/>
      <w:pPr>
        <w:ind w:hanging="360" w:left="6467"/>
      </w:pPr>
      <w:rPr>
        <w:rFonts w:ascii="Courier New" w:hAnsi="Courier New" w:cs="Courier New" w:hint="default"/>
      </w:rPr>
    </w:lvl>
    <w:lvl w:ilvl="8" w:tplc="04190005">
      <w:start w:val="1"/>
      <w:numFmt w:val="bullet"/>
      <w:suff w:val="tab"/>
      <w:lvlText w:val=""/>
      <w:lvlJc w:val="left"/>
      <w:pPr>
        <w:ind w:hanging="360" w:left="7187"/>
      </w:pPr>
      <w:rPr>
        <w:rFonts w:ascii="Wingdings" w:hAnsi="Wingdings" w:hint="default"/>
      </w:rPr>
    </w:lvl>
  </w:abstractNum>
  <w:abstractNum w:abstractNumId="40">
    <w:nsid w:val="78066241"/>
    <w:multiLevelType w:val="hybridMultilevel"/>
    <w:lvl w:ilvl="0" w:tplc="3BE4E49A">
      <w:start w:val="1"/>
      <w:numFmt w:val="bullet"/>
      <w:suff w:val="tab"/>
      <w:lvlText w:val=""/>
      <w:lvlJc w:val="left"/>
      <w:pPr>
        <w:ind w:hanging="360" w:left="1427"/>
      </w:pPr>
      <w:rPr>
        <w:rFonts w:ascii="Symbol" w:hAnsi="Symbol" w:hint="default"/>
      </w:rPr>
    </w:lvl>
    <w:lvl w:ilvl="1" w:tplc="04190003">
      <w:start w:val="1"/>
      <w:numFmt w:val="bullet"/>
      <w:suff w:val="tab"/>
      <w:lvlText w:val="o"/>
      <w:lvlJc w:val="left"/>
      <w:pPr>
        <w:ind w:hanging="360" w:left="2147"/>
      </w:pPr>
      <w:rPr>
        <w:rFonts w:ascii="Courier New" w:hAnsi="Courier New" w:cs="Courier New" w:hint="default"/>
      </w:rPr>
    </w:lvl>
    <w:lvl w:ilvl="2" w:tplc="04190005">
      <w:start w:val="1"/>
      <w:numFmt w:val="bullet"/>
      <w:suff w:val="tab"/>
      <w:lvlText w:val=""/>
      <w:lvlJc w:val="left"/>
      <w:pPr>
        <w:ind w:hanging="360" w:left="2867"/>
      </w:pPr>
      <w:rPr>
        <w:rFonts w:ascii="Wingdings" w:hAnsi="Wingdings" w:hint="default"/>
      </w:rPr>
    </w:lvl>
    <w:lvl w:ilvl="3" w:tplc="04190001">
      <w:start w:val="1"/>
      <w:numFmt w:val="bullet"/>
      <w:suff w:val="tab"/>
      <w:lvlText w:val=""/>
      <w:lvlJc w:val="left"/>
      <w:pPr>
        <w:ind w:hanging="360" w:left="3587"/>
      </w:pPr>
      <w:rPr>
        <w:rFonts w:ascii="Symbol" w:hAnsi="Symbol" w:hint="default"/>
      </w:rPr>
    </w:lvl>
    <w:lvl w:ilvl="4" w:tplc="04190003">
      <w:start w:val="1"/>
      <w:numFmt w:val="bullet"/>
      <w:suff w:val="tab"/>
      <w:lvlText w:val="o"/>
      <w:lvlJc w:val="left"/>
      <w:pPr>
        <w:ind w:hanging="360" w:left="4307"/>
      </w:pPr>
      <w:rPr>
        <w:rFonts w:ascii="Courier New" w:hAnsi="Courier New" w:cs="Courier New" w:hint="default"/>
      </w:rPr>
    </w:lvl>
    <w:lvl w:ilvl="5" w:tplc="04190005">
      <w:start w:val="1"/>
      <w:numFmt w:val="bullet"/>
      <w:suff w:val="tab"/>
      <w:lvlText w:val=""/>
      <w:lvlJc w:val="left"/>
      <w:pPr>
        <w:ind w:hanging="360" w:left="5027"/>
      </w:pPr>
      <w:rPr>
        <w:rFonts w:ascii="Wingdings" w:hAnsi="Wingdings" w:hint="default"/>
      </w:rPr>
    </w:lvl>
    <w:lvl w:ilvl="6" w:tplc="04190001">
      <w:start w:val="1"/>
      <w:numFmt w:val="bullet"/>
      <w:suff w:val="tab"/>
      <w:lvlText w:val=""/>
      <w:lvlJc w:val="left"/>
      <w:pPr>
        <w:ind w:hanging="360" w:left="5747"/>
      </w:pPr>
      <w:rPr>
        <w:rFonts w:ascii="Symbol" w:hAnsi="Symbol" w:hint="default"/>
      </w:rPr>
    </w:lvl>
    <w:lvl w:ilvl="7" w:tplc="04190003">
      <w:start w:val="1"/>
      <w:numFmt w:val="bullet"/>
      <w:suff w:val="tab"/>
      <w:lvlText w:val="o"/>
      <w:lvlJc w:val="left"/>
      <w:pPr>
        <w:ind w:hanging="360" w:left="6467"/>
      </w:pPr>
      <w:rPr>
        <w:rFonts w:ascii="Courier New" w:hAnsi="Courier New" w:cs="Courier New" w:hint="default"/>
      </w:rPr>
    </w:lvl>
    <w:lvl w:ilvl="8" w:tplc="04190005">
      <w:start w:val="1"/>
      <w:numFmt w:val="bullet"/>
      <w:suff w:val="tab"/>
      <w:lvlText w:val=""/>
      <w:lvlJc w:val="left"/>
      <w:pPr>
        <w:ind w:hanging="360" w:left="7187"/>
      </w:pPr>
      <w:rPr>
        <w:rFonts w:ascii="Wingdings" w:hAnsi="Wingdings" w:hint="default"/>
      </w:rPr>
    </w:lvl>
  </w:abstractNum>
  <w:abstractNum w:abstractNumId="41">
    <w:nsid w:val="78540FBE"/>
    <w:multiLevelType w:val="hybridMultilevel"/>
    <w:lvl w:ilvl="0" w:tplc="3BE4E49A">
      <w:start w:val="1"/>
      <w:numFmt w:val="bullet"/>
      <w:suff w:val="tab"/>
      <w:lvlText w:val=""/>
      <w:lvlJc w:val="left"/>
      <w:pPr>
        <w:ind w:hanging="360" w:left="1429"/>
      </w:pPr>
      <w:rPr>
        <w:rFonts w:ascii="Symbol" w:hAnsi="Symbol" w:hint="default"/>
      </w:rPr>
    </w:lvl>
    <w:lvl w:ilvl="1" w:tplc="04190003">
      <w:start w:val="1"/>
      <w:numFmt w:val="bullet"/>
      <w:suff w:val="tab"/>
      <w:lvlText w:val="o"/>
      <w:lvlJc w:val="left"/>
      <w:pPr>
        <w:ind w:hanging="360" w:left="2149"/>
      </w:pPr>
      <w:rPr>
        <w:rFonts w:ascii="Courier New" w:hAnsi="Courier New" w:cs="Courier New" w:hint="default"/>
      </w:rPr>
    </w:lvl>
    <w:lvl w:ilvl="2" w:tplc="04190005">
      <w:start w:val="1"/>
      <w:numFmt w:val="bullet"/>
      <w:suff w:val="tab"/>
      <w:lvlText w:val=""/>
      <w:lvlJc w:val="left"/>
      <w:pPr>
        <w:ind w:hanging="360" w:left="2869"/>
      </w:pPr>
      <w:rPr>
        <w:rFonts w:ascii="Wingdings" w:hAnsi="Wingdings" w:hint="default"/>
      </w:rPr>
    </w:lvl>
    <w:lvl w:ilvl="3" w:tplc="04190001">
      <w:start w:val="1"/>
      <w:numFmt w:val="bullet"/>
      <w:suff w:val="tab"/>
      <w:lvlText w:val=""/>
      <w:lvlJc w:val="left"/>
      <w:pPr>
        <w:ind w:hanging="360" w:left="3589"/>
      </w:pPr>
      <w:rPr>
        <w:rFonts w:ascii="Symbol" w:hAnsi="Symbol" w:hint="default"/>
      </w:rPr>
    </w:lvl>
    <w:lvl w:ilvl="4" w:tplc="04190003">
      <w:start w:val="1"/>
      <w:numFmt w:val="bullet"/>
      <w:suff w:val="tab"/>
      <w:lvlText w:val="o"/>
      <w:lvlJc w:val="left"/>
      <w:pPr>
        <w:ind w:hanging="360" w:left="4309"/>
      </w:pPr>
      <w:rPr>
        <w:rFonts w:ascii="Courier New" w:hAnsi="Courier New" w:cs="Courier New" w:hint="default"/>
      </w:rPr>
    </w:lvl>
    <w:lvl w:ilvl="5" w:tplc="04190005">
      <w:start w:val="1"/>
      <w:numFmt w:val="bullet"/>
      <w:suff w:val="tab"/>
      <w:lvlText w:val=""/>
      <w:lvlJc w:val="left"/>
      <w:pPr>
        <w:ind w:hanging="360" w:left="5029"/>
      </w:pPr>
      <w:rPr>
        <w:rFonts w:ascii="Wingdings" w:hAnsi="Wingdings" w:hint="default"/>
      </w:rPr>
    </w:lvl>
    <w:lvl w:ilvl="6" w:tplc="04190001">
      <w:start w:val="1"/>
      <w:numFmt w:val="bullet"/>
      <w:suff w:val="tab"/>
      <w:lvlText w:val=""/>
      <w:lvlJc w:val="left"/>
      <w:pPr>
        <w:ind w:hanging="360" w:left="5749"/>
      </w:pPr>
      <w:rPr>
        <w:rFonts w:ascii="Symbol" w:hAnsi="Symbol" w:hint="default"/>
      </w:rPr>
    </w:lvl>
    <w:lvl w:ilvl="7" w:tplc="04190003">
      <w:start w:val="1"/>
      <w:numFmt w:val="bullet"/>
      <w:suff w:val="tab"/>
      <w:lvlText w:val="o"/>
      <w:lvlJc w:val="left"/>
      <w:pPr>
        <w:ind w:hanging="360" w:left="6469"/>
      </w:pPr>
      <w:rPr>
        <w:rFonts w:ascii="Courier New" w:hAnsi="Courier New" w:cs="Courier New" w:hint="default"/>
      </w:rPr>
    </w:lvl>
    <w:lvl w:ilvl="8" w:tplc="04190005">
      <w:start w:val="1"/>
      <w:numFmt w:val="bullet"/>
      <w:suff w:val="tab"/>
      <w:lvlText w:val=""/>
      <w:lvlJc w:val="left"/>
      <w:pPr>
        <w:ind w:hanging="360" w:left="7189"/>
      </w:pPr>
      <w:rPr>
        <w:rFonts w:ascii="Wingdings" w:hAnsi="Wingdings" w:hint="default"/>
      </w:rPr>
    </w:lvl>
  </w:abstractNum>
  <w:abstractNum w:abstractNumId="42">
    <w:nsid w:val="79464FFD"/>
    <w:multiLevelType w:val="hybridMultilevel"/>
    <w:lvl w:ilvl="0" w:tplc="3BE4E49A">
      <w:start w:val="1"/>
      <w:numFmt w:val="bullet"/>
      <w:suff w:val="tab"/>
      <w:lvlText w:val=""/>
      <w:lvlJc w:val="left"/>
      <w:pPr>
        <w:ind w:hanging="360" w:left="1429"/>
      </w:pPr>
      <w:rPr>
        <w:rFonts w:ascii="Symbol" w:hAnsi="Symbol" w:hint="default"/>
      </w:rPr>
    </w:lvl>
    <w:lvl w:ilvl="1" w:tplc="04190003">
      <w:start w:val="1"/>
      <w:numFmt w:val="bullet"/>
      <w:suff w:val="tab"/>
      <w:lvlText w:val="o"/>
      <w:lvlJc w:val="left"/>
      <w:pPr>
        <w:ind w:hanging="360" w:left="2149"/>
      </w:pPr>
      <w:rPr>
        <w:rFonts w:ascii="Courier New" w:hAnsi="Courier New" w:cs="Courier New" w:hint="default"/>
      </w:rPr>
    </w:lvl>
    <w:lvl w:ilvl="2" w:tplc="04190005">
      <w:start w:val="1"/>
      <w:numFmt w:val="bullet"/>
      <w:suff w:val="tab"/>
      <w:lvlText w:val=""/>
      <w:lvlJc w:val="left"/>
      <w:pPr>
        <w:ind w:hanging="360" w:left="2869"/>
      </w:pPr>
      <w:rPr>
        <w:rFonts w:ascii="Wingdings" w:hAnsi="Wingdings" w:hint="default"/>
      </w:rPr>
    </w:lvl>
    <w:lvl w:ilvl="3" w:tplc="04190001">
      <w:start w:val="1"/>
      <w:numFmt w:val="bullet"/>
      <w:suff w:val="tab"/>
      <w:lvlText w:val=""/>
      <w:lvlJc w:val="left"/>
      <w:pPr>
        <w:ind w:hanging="360" w:left="3589"/>
      </w:pPr>
      <w:rPr>
        <w:rFonts w:ascii="Symbol" w:hAnsi="Symbol" w:hint="default"/>
      </w:rPr>
    </w:lvl>
    <w:lvl w:ilvl="4" w:tplc="04190003">
      <w:start w:val="1"/>
      <w:numFmt w:val="bullet"/>
      <w:suff w:val="tab"/>
      <w:lvlText w:val="o"/>
      <w:lvlJc w:val="left"/>
      <w:pPr>
        <w:ind w:hanging="360" w:left="4309"/>
      </w:pPr>
      <w:rPr>
        <w:rFonts w:ascii="Courier New" w:hAnsi="Courier New" w:cs="Courier New" w:hint="default"/>
      </w:rPr>
    </w:lvl>
    <w:lvl w:ilvl="5" w:tplc="04190005">
      <w:start w:val="1"/>
      <w:numFmt w:val="bullet"/>
      <w:suff w:val="tab"/>
      <w:lvlText w:val=""/>
      <w:lvlJc w:val="left"/>
      <w:pPr>
        <w:ind w:hanging="360" w:left="5029"/>
      </w:pPr>
      <w:rPr>
        <w:rFonts w:ascii="Wingdings" w:hAnsi="Wingdings" w:hint="default"/>
      </w:rPr>
    </w:lvl>
    <w:lvl w:ilvl="6" w:tplc="04190001">
      <w:start w:val="1"/>
      <w:numFmt w:val="bullet"/>
      <w:suff w:val="tab"/>
      <w:lvlText w:val=""/>
      <w:lvlJc w:val="left"/>
      <w:pPr>
        <w:ind w:hanging="360" w:left="5749"/>
      </w:pPr>
      <w:rPr>
        <w:rFonts w:ascii="Symbol" w:hAnsi="Symbol" w:hint="default"/>
      </w:rPr>
    </w:lvl>
    <w:lvl w:ilvl="7" w:tplc="04190003">
      <w:start w:val="1"/>
      <w:numFmt w:val="bullet"/>
      <w:suff w:val="tab"/>
      <w:lvlText w:val="o"/>
      <w:lvlJc w:val="left"/>
      <w:pPr>
        <w:ind w:hanging="360" w:left="6469"/>
      </w:pPr>
      <w:rPr>
        <w:rFonts w:ascii="Courier New" w:hAnsi="Courier New" w:cs="Courier New" w:hint="default"/>
      </w:rPr>
    </w:lvl>
    <w:lvl w:ilvl="8" w:tplc="04190005">
      <w:start w:val="1"/>
      <w:numFmt w:val="bullet"/>
      <w:suff w:val="tab"/>
      <w:lvlText w:val=""/>
      <w:lvlJc w:val="left"/>
      <w:pPr>
        <w:ind w:hanging="360" w:left="7189"/>
      </w:pPr>
      <w:rPr>
        <w:rFonts w:ascii="Wingdings" w:hAnsi="Wingdings" w:hint="default"/>
      </w:rPr>
    </w:lvl>
  </w:abstractNum>
  <w:abstractNum w:abstractNumId="43">
    <w:nsid w:val="7A514D52"/>
    <w:multiLevelType w:val="hybridMultilevel"/>
    <w:lvl w:ilvl="0" w:tplc="54D048CE">
      <w:start w:val="1"/>
      <w:numFmt w:val="decimal"/>
      <w:suff w:val="tab"/>
      <w:lvlText w:val="%1."/>
      <w:lvlJc w:val="left"/>
      <w:pPr>
        <w:ind w:hanging="360" w:left="720"/>
      </w:pPr>
      <w:rPr>
        <w:rFonts w:ascii="Times New Roman" w:hAnsi="Times New Roman" w:cs="Times New Roman" w:eastAsia="Times New Roman"/>
      </w:rPr>
    </w:lvl>
    <w:lvl w:ilvl="1" w:tplc="04190019">
      <w:start w:val="1"/>
      <w:numFmt w:val="lowerLetter"/>
      <w:suff w:val="tab"/>
      <w:lvlText w:val="%2."/>
      <w:lvlJc w:val="left"/>
      <w:pPr>
        <w:ind w:hanging="360" w:left="1440"/>
      </w:pPr>
      <w:rPr/>
    </w:lvl>
    <w:lvl w:ilvl="2" w:tplc="0419001B">
      <w:start w:val="1"/>
      <w:numFmt w:val="lowerRoman"/>
      <w:suff w:val="tab"/>
      <w:lvlText w:val="%3."/>
      <w:lvlJc w:val="right"/>
      <w:pPr>
        <w:ind w:hanging="180" w:left="2160"/>
      </w:pPr>
      <w:rPr/>
    </w:lvl>
    <w:lvl w:ilvl="3" w:tplc="0419000F">
      <w:start w:val="1"/>
      <w:numFmt w:val="decimal"/>
      <w:suff w:val="tab"/>
      <w:lvlText w:val="%4."/>
      <w:lvlJc w:val="left"/>
      <w:pPr>
        <w:ind w:hanging="360" w:left="2880"/>
      </w:pPr>
      <w:rPr/>
    </w:lvl>
    <w:lvl w:ilvl="4" w:tplc="04190019">
      <w:start w:val="1"/>
      <w:numFmt w:val="lowerLetter"/>
      <w:suff w:val="tab"/>
      <w:lvlText w:val="%5."/>
      <w:lvlJc w:val="left"/>
      <w:pPr>
        <w:ind w:hanging="360" w:left="3600"/>
      </w:pPr>
      <w:rPr/>
    </w:lvl>
    <w:lvl w:ilvl="5" w:tplc="0419001B">
      <w:start w:val="1"/>
      <w:numFmt w:val="lowerRoman"/>
      <w:suff w:val="tab"/>
      <w:lvlText w:val="%6."/>
      <w:lvlJc w:val="right"/>
      <w:pPr>
        <w:ind w:hanging="180" w:left="4320"/>
      </w:pPr>
      <w:rPr/>
    </w:lvl>
    <w:lvl w:ilvl="6" w:tplc="0419000F">
      <w:start w:val="1"/>
      <w:numFmt w:val="decimal"/>
      <w:suff w:val="tab"/>
      <w:lvlText w:val="%7."/>
      <w:lvlJc w:val="left"/>
      <w:pPr>
        <w:ind w:hanging="360" w:left="5040"/>
      </w:pPr>
      <w:rPr/>
    </w:lvl>
    <w:lvl w:ilvl="7" w:tplc="04190019">
      <w:start w:val="1"/>
      <w:numFmt w:val="lowerLetter"/>
      <w:suff w:val="tab"/>
      <w:lvlText w:val="%8."/>
      <w:lvlJc w:val="left"/>
      <w:pPr>
        <w:ind w:hanging="360" w:left="5760"/>
      </w:pPr>
      <w:rPr/>
    </w:lvl>
    <w:lvl w:ilvl="8" w:tplc="0419001B">
      <w:start w:val="1"/>
      <w:numFmt w:val="lowerRoman"/>
      <w:suff w:val="tab"/>
      <w:lvlText w:val="%9."/>
      <w:lvlJc w:val="right"/>
      <w:pPr>
        <w:ind w:hanging="180" w:left="6480"/>
      </w:pPr>
      <w:rPr/>
    </w:lvl>
  </w:abstractNum>
  <w:abstractNum w:abstractNumId="44">
    <w:nsid w:val="7A7B10B6"/>
    <w:multiLevelType w:val="hybridMultilevel"/>
    <w:lvl w:ilvl="0" w:tplc="3BE4E49A">
      <w:start w:val="1"/>
      <w:numFmt w:val="bullet"/>
      <w:suff w:val="tab"/>
      <w:lvlText w:val=""/>
      <w:lvlJc w:val="left"/>
      <w:pPr>
        <w:ind w:hanging="360" w:left="1429"/>
      </w:pPr>
      <w:rPr>
        <w:rFonts w:ascii="Symbol" w:hAnsi="Symbol" w:hint="default"/>
      </w:rPr>
    </w:lvl>
    <w:lvl w:ilvl="1" w:tplc="04190003">
      <w:start w:val="1"/>
      <w:numFmt w:val="bullet"/>
      <w:suff w:val="tab"/>
      <w:lvlText w:val="o"/>
      <w:lvlJc w:val="left"/>
      <w:pPr>
        <w:ind w:hanging="360" w:left="2149"/>
      </w:pPr>
      <w:rPr>
        <w:rFonts w:ascii="Courier New" w:hAnsi="Courier New" w:cs="Courier New" w:hint="default"/>
      </w:rPr>
    </w:lvl>
    <w:lvl w:ilvl="2" w:tplc="04190005">
      <w:start w:val="1"/>
      <w:numFmt w:val="bullet"/>
      <w:suff w:val="tab"/>
      <w:lvlText w:val=""/>
      <w:lvlJc w:val="left"/>
      <w:pPr>
        <w:ind w:hanging="360" w:left="2869"/>
      </w:pPr>
      <w:rPr>
        <w:rFonts w:ascii="Wingdings" w:hAnsi="Wingdings" w:hint="default"/>
      </w:rPr>
    </w:lvl>
    <w:lvl w:ilvl="3" w:tplc="04190001">
      <w:start w:val="1"/>
      <w:numFmt w:val="bullet"/>
      <w:suff w:val="tab"/>
      <w:lvlText w:val=""/>
      <w:lvlJc w:val="left"/>
      <w:pPr>
        <w:ind w:hanging="360" w:left="3589"/>
      </w:pPr>
      <w:rPr>
        <w:rFonts w:ascii="Symbol" w:hAnsi="Symbol" w:hint="default"/>
      </w:rPr>
    </w:lvl>
    <w:lvl w:ilvl="4" w:tplc="04190003">
      <w:start w:val="1"/>
      <w:numFmt w:val="bullet"/>
      <w:suff w:val="tab"/>
      <w:lvlText w:val="o"/>
      <w:lvlJc w:val="left"/>
      <w:pPr>
        <w:ind w:hanging="360" w:left="4309"/>
      </w:pPr>
      <w:rPr>
        <w:rFonts w:ascii="Courier New" w:hAnsi="Courier New" w:cs="Courier New" w:hint="default"/>
      </w:rPr>
    </w:lvl>
    <w:lvl w:ilvl="5" w:tplc="04190005">
      <w:start w:val="1"/>
      <w:numFmt w:val="bullet"/>
      <w:suff w:val="tab"/>
      <w:lvlText w:val=""/>
      <w:lvlJc w:val="left"/>
      <w:pPr>
        <w:ind w:hanging="360" w:left="5029"/>
      </w:pPr>
      <w:rPr>
        <w:rFonts w:ascii="Wingdings" w:hAnsi="Wingdings" w:hint="default"/>
      </w:rPr>
    </w:lvl>
    <w:lvl w:ilvl="6" w:tplc="04190001">
      <w:start w:val="1"/>
      <w:numFmt w:val="bullet"/>
      <w:suff w:val="tab"/>
      <w:lvlText w:val=""/>
      <w:lvlJc w:val="left"/>
      <w:pPr>
        <w:ind w:hanging="360" w:left="5749"/>
      </w:pPr>
      <w:rPr>
        <w:rFonts w:ascii="Symbol" w:hAnsi="Symbol" w:hint="default"/>
      </w:rPr>
    </w:lvl>
    <w:lvl w:ilvl="7" w:tplc="04190003">
      <w:start w:val="1"/>
      <w:numFmt w:val="bullet"/>
      <w:suff w:val="tab"/>
      <w:lvlText w:val="o"/>
      <w:lvlJc w:val="left"/>
      <w:pPr>
        <w:ind w:hanging="360" w:left="6469"/>
      </w:pPr>
      <w:rPr>
        <w:rFonts w:ascii="Courier New" w:hAnsi="Courier New" w:cs="Courier New" w:hint="default"/>
      </w:rPr>
    </w:lvl>
    <w:lvl w:ilvl="8" w:tplc="04190005">
      <w:start w:val="1"/>
      <w:numFmt w:val="bullet"/>
      <w:suff w:val="tab"/>
      <w:lvlText w:val=""/>
      <w:lvlJc w:val="left"/>
      <w:pPr>
        <w:ind w:hanging="360" w:left="7189"/>
      </w:pPr>
      <w:rPr>
        <w:rFonts w:ascii="Wingdings" w:hAnsi="Wingdings" w:hint="default"/>
      </w:rPr>
    </w:lvl>
  </w:abstractNum>
  <w:abstractNum w:abstractNumId="45">
    <w:nsid w:val="7C98323F"/>
    <w:multiLevelType w:val="hybridMultilevel"/>
    <w:lvl w:ilvl="0" w:tplc="3BE4E49A">
      <w:start w:val="1"/>
      <w:numFmt w:val="bullet"/>
      <w:suff w:val="tab"/>
      <w:lvlText w:val=""/>
      <w:lvlJc w:val="left"/>
      <w:pPr>
        <w:ind w:hanging="360" w:left="1429"/>
      </w:pPr>
      <w:rPr>
        <w:rFonts w:ascii="Symbol" w:hAnsi="Symbol" w:hint="default"/>
      </w:rPr>
    </w:lvl>
    <w:lvl w:ilvl="1" w:tplc="04190003">
      <w:start w:val="1"/>
      <w:numFmt w:val="bullet"/>
      <w:suff w:val="tab"/>
      <w:lvlText w:val="o"/>
      <w:lvlJc w:val="left"/>
      <w:pPr>
        <w:ind w:hanging="360" w:left="2149"/>
      </w:pPr>
      <w:rPr>
        <w:rFonts w:ascii="Courier New" w:hAnsi="Courier New" w:cs="Courier New" w:hint="default"/>
      </w:rPr>
    </w:lvl>
    <w:lvl w:ilvl="2" w:tplc="04190005">
      <w:start w:val="1"/>
      <w:numFmt w:val="bullet"/>
      <w:suff w:val="tab"/>
      <w:lvlText w:val=""/>
      <w:lvlJc w:val="left"/>
      <w:pPr>
        <w:ind w:hanging="360" w:left="2869"/>
      </w:pPr>
      <w:rPr>
        <w:rFonts w:ascii="Wingdings" w:hAnsi="Wingdings" w:hint="default"/>
      </w:rPr>
    </w:lvl>
    <w:lvl w:ilvl="3" w:tplc="04190001">
      <w:start w:val="1"/>
      <w:numFmt w:val="bullet"/>
      <w:suff w:val="tab"/>
      <w:lvlText w:val=""/>
      <w:lvlJc w:val="left"/>
      <w:pPr>
        <w:ind w:hanging="360" w:left="3589"/>
      </w:pPr>
      <w:rPr>
        <w:rFonts w:ascii="Symbol" w:hAnsi="Symbol" w:hint="default"/>
      </w:rPr>
    </w:lvl>
    <w:lvl w:ilvl="4" w:tplc="04190003">
      <w:start w:val="1"/>
      <w:numFmt w:val="bullet"/>
      <w:suff w:val="tab"/>
      <w:lvlText w:val="o"/>
      <w:lvlJc w:val="left"/>
      <w:pPr>
        <w:ind w:hanging="360" w:left="4309"/>
      </w:pPr>
      <w:rPr>
        <w:rFonts w:ascii="Courier New" w:hAnsi="Courier New" w:cs="Courier New" w:hint="default"/>
      </w:rPr>
    </w:lvl>
    <w:lvl w:ilvl="5" w:tplc="04190005">
      <w:start w:val="1"/>
      <w:numFmt w:val="bullet"/>
      <w:suff w:val="tab"/>
      <w:lvlText w:val=""/>
      <w:lvlJc w:val="left"/>
      <w:pPr>
        <w:ind w:hanging="360" w:left="5029"/>
      </w:pPr>
      <w:rPr>
        <w:rFonts w:ascii="Wingdings" w:hAnsi="Wingdings" w:hint="default"/>
      </w:rPr>
    </w:lvl>
    <w:lvl w:ilvl="6" w:tplc="04190001">
      <w:start w:val="1"/>
      <w:numFmt w:val="bullet"/>
      <w:suff w:val="tab"/>
      <w:lvlText w:val=""/>
      <w:lvlJc w:val="left"/>
      <w:pPr>
        <w:ind w:hanging="360" w:left="5749"/>
      </w:pPr>
      <w:rPr>
        <w:rFonts w:ascii="Symbol" w:hAnsi="Symbol" w:hint="default"/>
      </w:rPr>
    </w:lvl>
    <w:lvl w:ilvl="7" w:tplc="04190003">
      <w:start w:val="1"/>
      <w:numFmt w:val="bullet"/>
      <w:suff w:val="tab"/>
      <w:lvlText w:val="o"/>
      <w:lvlJc w:val="left"/>
      <w:pPr>
        <w:ind w:hanging="360" w:left="6469"/>
      </w:pPr>
      <w:rPr>
        <w:rFonts w:ascii="Courier New" w:hAnsi="Courier New" w:cs="Courier New" w:hint="default"/>
      </w:rPr>
    </w:lvl>
    <w:lvl w:ilvl="8" w:tplc="04190005">
      <w:start w:val="1"/>
      <w:numFmt w:val="bullet"/>
      <w:suff w:val="tab"/>
      <w:lvlText w:val=""/>
      <w:lvlJc w:val="left"/>
      <w:pPr>
        <w:ind w:hanging="360" w:left="7189"/>
      </w:pPr>
      <w:rPr>
        <w:rFonts w:ascii="Wingdings" w:hAnsi="Wingdings" w:hint="default"/>
      </w:rPr>
    </w:lvl>
  </w:abstractNum>
  <w:num w:numId="1">
    <w:abstractNumId w:val="27"/>
  </w:num>
  <w:num w:numId="2">
    <w:abstractNumId w:val="4"/>
  </w:num>
  <w:num w:numId="3">
    <w:abstractNumId w:val="8"/>
  </w:num>
  <w:num w:numId="4">
    <w:abstractNumId w:val="32"/>
  </w:num>
  <w:num w:numId="5">
    <w:abstractNumId w:val="29"/>
  </w:num>
  <w:num w:numId="6">
    <w:abstractNumId w:val="43"/>
  </w:num>
  <w:num w:numId="7">
    <w:abstractNumId w:val="17"/>
  </w:num>
  <w:num w:numId="8">
    <w:abstractNumId w:val="2"/>
  </w:num>
  <w:num w:numId="9">
    <w:abstractNumId w:val="37"/>
  </w:num>
  <w:num w:numId="10">
    <w:abstractNumId w:val="9"/>
  </w:num>
  <w:num w:numId="11">
    <w:abstractNumId w:val="26"/>
  </w:num>
  <w:num w:numId="12">
    <w:abstractNumId w:val="18"/>
  </w:num>
  <w:num w:numId="13">
    <w:abstractNumId w:val="20"/>
  </w:num>
  <w:num w:numId="14">
    <w:abstractNumId w:val="39"/>
  </w:num>
  <w:num w:numId="15">
    <w:abstractNumId w:val="45"/>
  </w:num>
  <w:num w:numId="16">
    <w:abstractNumId w:val="12"/>
  </w:num>
  <w:num w:numId="17">
    <w:abstractNumId w:val="38"/>
  </w:num>
  <w:num w:numId="18">
    <w:abstractNumId w:val="22"/>
  </w:num>
  <w:num w:numId="19">
    <w:abstractNumId w:val="1"/>
  </w:num>
  <w:num w:numId="20">
    <w:abstractNumId w:val="16"/>
  </w:num>
  <w:num w:numId="21">
    <w:abstractNumId w:val="23"/>
  </w:num>
  <w:num w:numId="22">
    <w:abstractNumId w:val="40"/>
  </w:num>
  <w:num w:numId="23">
    <w:abstractNumId w:val="28"/>
  </w:num>
  <w:num w:numId="24">
    <w:abstractNumId w:val="36"/>
  </w:num>
  <w:num w:numId="25">
    <w:abstractNumId w:val="21"/>
  </w:num>
  <w:num w:numId="26">
    <w:abstractNumId w:val="13"/>
  </w:num>
  <w:num w:numId="27">
    <w:abstractNumId w:val="0"/>
  </w:num>
  <w:num w:numId="28">
    <w:abstractNumId w:val="33"/>
  </w:num>
  <w:num w:numId="29">
    <w:abstractNumId w:val="19"/>
  </w:num>
  <w:num w:numId="30">
    <w:abstractNumId w:val="7"/>
  </w:num>
  <w:num w:numId="31">
    <w:abstractNumId w:val="31"/>
  </w:num>
  <w:num w:numId="32">
    <w:abstractNumId w:val="6"/>
  </w:num>
  <w:num w:numId="33">
    <w:abstractNumId w:val="25"/>
  </w:num>
  <w:num w:numId="34">
    <w:abstractNumId w:val="30"/>
  </w:num>
  <w:num w:numId="35">
    <w:abstractNumId w:val="34"/>
  </w:num>
  <w:num w:numId="36">
    <w:abstractNumId w:val="11"/>
  </w:num>
  <w:num w:numId="37">
    <w:abstractNumId w:val="35"/>
  </w:num>
  <w:num w:numId="38">
    <w:abstractNumId w:val="5"/>
  </w:num>
  <w:num w:numId="39">
    <w:abstractNumId w:val="41"/>
  </w:num>
  <w:num w:numId="40">
    <w:abstractNumId w:val="42"/>
  </w:num>
  <w:num w:numId="41">
    <w:abstractNumId w:val="14"/>
  </w:num>
  <w:num w:numId="42">
    <w:abstractNumId w:val="24"/>
  </w:num>
  <w:num w:numId="43">
    <w:abstractNumId w:val="15"/>
  </w:num>
  <w:num w:numId="44">
    <w:abstractNumId w:val="44"/>
  </w:num>
  <w:num w:numId="45">
    <w:abstractNumId w:val="3"/>
  </w:num>
  <w:num w:numId="46">
    <w:abstractNumId w:val="10"/>
  </w:num>
</w:numbering>
</file>

<file path=word/settings.xml><?xml version="1.0" encoding="utf-8"?>
<w:settings xmlns:r="http://schemas.openxmlformats.org/officeDocument/2006/relationships" xmlns:w="http://schemas.openxmlformats.org/wordprocessingml/2006/main">
  <w:displayBackgroundShape w:val="0"/>
  <w:defaultTabStop w:val="708"/>
  <w:autoHyphenation w:val="0"/>
  <w:evenAndOddHeaders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xmlns:m="http://schemas.openxmlformats.org/officeDocument/2006/math">
    <m:brkBin m:val="before"/>
    <m:brkBinSub m:val="--"/>
    <m:defJc m:val="centerGroup"/>
    <m:dispDef/>
    <m:interSp m:val="0"/>
    <m:intLim m:val="subSup"/>
    <m:intraSp m:val="0"/>
    <m:lMargin m:val="0"/>
    <m:mathFont m:val="Cambria Math"/>
    <m:naryLim m:val="undOvr"/>
    <m:postSp m:val="0"/>
    <m:preSp m:val="0"/>
    <m:rMargin m:val="0"/>
    <m:smallFrac/>
    <m:wrapIndent m:val="1440"/>
    <m:wrapRight m:val="0"/>
  </m:mathPr>
  <w:clrSchemeMapping w:bg1="light1" w:t1="dark1" w:bg2="light2" w:t2="dark2" w:accent1="accent1" w:accent2="accent2" w:accent3="accent3" w:accent4="accent4" w:accent5="accent5" w:accent6="accent6" w:hyperlink="hyperlink" w:followedHyperlink="followedHyperlink"/>
  <w:footnotePr>
    <w:footnote w:id="-1"/>
    <w:footnote w:id="0"/>
  </w:footnotePr>
  <w:endnotePr>
    <w:endnote w:id="-1"/>
    <w:endnote w:id="0"/>
  </w:endnotePr>
</w:settings>
</file>

<file path=word/styles.xml><?xml version="1.0" encoding="utf-8"?>
<w:styles xmlns:w="http://schemas.openxmlformats.org/wordprocessingml/2006/main">
  <w:docDefaults>
    <w:rPrDefault>
      <w:rPr>
        <w:rFonts w:asciiTheme="minorHAnsi" w:hAnsiTheme="minorHAnsi" w:cstheme="minorBidi" w:eastAsiaTheme="minorHAnsi"/>
        <w:sz w:val="22"/>
        <w:szCs w:val="22"/>
        <w:lang w:val="ru-RU" w:bidi="ar-SA" w:eastAsia="en-US"/>
      </w:rPr>
    </w:rPrDefault>
    <w:pPrDefault>
      <w:pPr>
        <w:keepNext w:val="0"/>
        <w:keepLines w:val="0"/>
        <w:pageBreakBefore w:val="0"/>
        <w:widowControl w:val="1"/>
        <w:suppressLineNumbers w:val="0"/>
        <w:shd w:val="clear" w:fill="auto"/>
        <w:suppressAutoHyphens w:val="0"/>
        <w:spacing w:lineRule="auto" w:line="259" w:before="0" w:after="160" w:beforeAutospacing="0" w:afterAutospacing="0"/>
        <w:ind w:firstLine="0" w:left="0" w:right="0"/>
        <w:contextualSpacing w:val="0"/>
        <w:bidi w:val="0"/>
        <w:jc w:val="left"/>
        <w:outlineLvl w:val="9"/>
      </w:pPr>
    </w:pPrDefault>
  </w:docDefaults>
  <w:style w:type="paragraph" w:styleId="P0" w:default="1">
    <w:name w:val="Normal"/>
    <w:qFormat/>
    <w:pPr/>
    <w:rPr/>
  </w:style>
  <w:style w:type="paragraph" w:styleId="P1">
    <w:name w:val="Heading 1"/>
    <w:basedOn w:val="P0"/>
    <w:link w:val="C19"/>
    <w:qFormat/>
    <w:pPr>
      <w:widowControl w:val="0"/>
      <w:spacing w:lineRule="auto" w:line="240" w:before="79" w:after="0" w:beforeAutospacing="0" w:afterAutospacing="0"/>
      <w:ind w:left="111"/>
      <w:outlineLvl w:val="0"/>
    </w:pPr>
    <w:rPr>
      <w:rFonts w:ascii="Times New Roman" w:hAnsi="Times New Roman" w:cs="Times New Roman" w:eastAsia="Times New Roman"/>
      <w:b w:val="1"/>
      <w:bCs w:val="1"/>
      <w:sz w:val="32"/>
      <w:szCs w:val="32"/>
      <w:lang w:val="en-US"/>
    </w:rPr>
  </w:style>
  <w:style w:type="paragraph" w:styleId="P2">
    <w:name w:val="Heading 2"/>
    <w:basedOn w:val="P0"/>
    <w:link w:val="C20"/>
    <w:qFormat/>
    <w:pPr>
      <w:widowControl w:val="0"/>
      <w:spacing w:lineRule="auto" w:line="240" w:before="71" w:after="0" w:beforeAutospacing="0" w:afterAutospacing="0"/>
      <w:ind w:left="117"/>
      <w:outlineLvl w:val="1"/>
    </w:pPr>
    <w:rPr>
      <w:rFonts w:ascii="Georgia" w:hAnsi="Georgia" w:cs="Georgia" w:eastAsia="Georgia"/>
      <w:sz w:val="32"/>
      <w:szCs w:val="32"/>
      <w:lang w:val="en-US"/>
    </w:rPr>
  </w:style>
  <w:style w:type="paragraph" w:styleId="P3">
    <w:name w:val="Heading 3"/>
    <w:basedOn w:val="P0"/>
    <w:link w:val="C21"/>
    <w:qFormat/>
    <w:pPr>
      <w:widowControl w:val="0"/>
      <w:spacing w:lineRule="auto" w:line="240" w:after="0" w:beforeAutospacing="0" w:afterAutospacing="0"/>
      <w:ind w:hanging="340" w:left="450"/>
      <w:outlineLvl w:val="2"/>
    </w:pPr>
    <w:rPr>
      <w:rFonts w:ascii="Times New Roman" w:hAnsi="Times New Roman" w:cs="Times New Roman" w:eastAsia="Times New Roman"/>
      <w:b w:val="1"/>
      <w:bCs w:val="1"/>
      <w:sz w:val="24"/>
      <w:szCs w:val="24"/>
      <w:lang w:val="en-US"/>
    </w:rPr>
  </w:style>
  <w:style w:type="paragraph" w:styleId="P4">
    <w:name w:val="Heading 4"/>
    <w:basedOn w:val="P0"/>
    <w:link w:val="C22"/>
    <w:qFormat/>
    <w:pPr>
      <w:widowControl w:val="0"/>
      <w:spacing w:lineRule="auto" w:line="240" w:after="0" w:beforeAutospacing="0" w:afterAutospacing="0"/>
      <w:ind w:hanging="519" w:left="629"/>
      <w:outlineLvl w:val="3"/>
    </w:pPr>
    <w:rPr>
      <w:rFonts w:ascii="Times New Roman" w:hAnsi="Times New Roman" w:cs="Times New Roman" w:eastAsia="Times New Roman"/>
      <w:b w:val="1"/>
      <w:i w:val="1"/>
      <w:bCs w:val="1"/>
      <w:iCs w:val="1"/>
      <w:sz w:val="24"/>
      <w:szCs w:val="24"/>
      <w:lang w:val="en-US"/>
    </w:rPr>
  </w:style>
  <w:style w:type="paragraph" w:styleId="P5">
    <w:name w:val="Heading 5"/>
    <w:basedOn w:val="P0"/>
    <w:link w:val="C23"/>
    <w:qFormat/>
    <w:pPr>
      <w:widowControl w:val="0"/>
      <w:spacing w:lineRule="auto" w:line="240" w:after="0" w:beforeAutospacing="0" w:afterAutospacing="0"/>
      <w:ind w:left="111"/>
      <w:outlineLvl w:val="4"/>
    </w:pPr>
    <w:rPr>
      <w:rFonts w:ascii="Times New Roman" w:hAnsi="Times New Roman" w:cs="Times New Roman" w:eastAsia="Times New Roman"/>
      <w:b w:val="1"/>
      <w:bCs w:val="1"/>
      <w:sz w:val="20"/>
      <w:szCs w:val="20"/>
      <w:lang w:val="en-US"/>
    </w:rPr>
  </w:style>
  <w:style w:type="paragraph" w:styleId="P6">
    <w:name w:val="Heading 6"/>
    <w:basedOn w:val="P0"/>
    <w:next w:val="P0"/>
    <w:link w:val="C27"/>
    <w:qFormat/>
    <w:pPr>
      <w:keepNext w:val="1"/>
      <w:keepLines w:val="1"/>
      <w:spacing w:before="40" w:after="0" w:beforeAutospacing="0" w:afterAutospacing="0"/>
      <w:outlineLvl w:val="5"/>
    </w:pPr>
    <w:rPr>
      <w:rFonts w:asciiTheme="majorHAnsi" w:hAnsiTheme="majorHAnsi" w:cstheme="majorBidi" w:eastAsiaTheme="majorEastAsia"/>
      <w:color w:val="203864" w:themeColor="accent1" w:themeShade="7F"/>
    </w:rPr>
  </w:style>
  <w:style w:type="paragraph" w:styleId="P7">
    <w:name w:val="Основной текст3"/>
    <w:basedOn w:val="P0"/>
    <w:link w:val="C5"/>
    <w:pPr>
      <w:widowControl w:val="0"/>
      <w:shd w:val="clear" w:fill="FFFFFF"/>
      <w:spacing w:lineRule="exact" w:line="299" w:before="300" w:after="180" w:beforeAutospacing="0" w:afterAutospacing="0"/>
      <w:ind w:hanging="400"/>
      <w:jc w:val="both"/>
    </w:pPr>
    <w:rPr>
      <w:rFonts w:ascii="Times New Roman" w:hAnsi="Times New Roman" w:cs="Times New Roman" w:eastAsia="Times New Roman"/>
      <w:sz w:val="21"/>
      <w:szCs w:val="21"/>
    </w:rPr>
  </w:style>
  <w:style w:type="paragraph" w:styleId="P8">
    <w:name w:val="Основной текст (4)"/>
    <w:basedOn w:val="P0"/>
    <w:link w:val="C12"/>
    <w:pPr>
      <w:widowControl w:val="0"/>
      <w:shd w:val="clear" w:fill="FFFFFF"/>
      <w:spacing w:lineRule="exact" w:line="543" w:before="720" w:after="0" w:beforeAutospacing="0" w:afterAutospacing="0"/>
    </w:pPr>
    <w:rPr>
      <w:rFonts w:ascii="Times New Roman" w:hAnsi="Times New Roman" w:cs="Times New Roman" w:eastAsia="Times New Roman"/>
      <w:b w:val="1"/>
      <w:bCs w:val="1"/>
      <w:sz w:val="44"/>
      <w:szCs w:val="44"/>
    </w:rPr>
  </w:style>
  <w:style w:type="paragraph" w:styleId="P9">
    <w:name w:val="Header"/>
    <w:basedOn w:val="P0"/>
    <w:link w:val="C17"/>
    <w:pPr>
      <w:tabs>
        <w:tab w:val="center" w:pos="4677" w:leader="none"/>
        <w:tab w:val="right" w:pos="9355" w:leader="none"/>
      </w:tabs>
      <w:spacing w:lineRule="auto" w:line="240" w:after="0" w:beforeAutospacing="0" w:afterAutospacing="0"/>
    </w:pPr>
    <w:rPr/>
  </w:style>
  <w:style w:type="paragraph" w:styleId="P10">
    <w:name w:val="Footer"/>
    <w:basedOn w:val="P0"/>
    <w:link w:val="C18"/>
    <w:pPr>
      <w:tabs>
        <w:tab w:val="center" w:pos="4677" w:leader="none"/>
        <w:tab w:val="right" w:pos="9355" w:leader="none"/>
      </w:tabs>
      <w:spacing w:lineRule="auto" w:line="240" w:after="0" w:beforeAutospacing="0" w:afterAutospacing="0"/>
    </w:pPr>
    <w:rPr/>
  </w:style>
  <w:style w:type="paragraph" w:styleId="P11">
    <w:name w:val="TOC 1"/>
    <w:basedOn w:val="P0"/>
    <w:qFormat/>
    <w:pPr>
      <w:widowControl w:val="0"/>
      <w:spacing w:lineRule="auto" w:line="240" w:before="9" w:after="0" w:beforeAutospacing="0" w:afterAutospacing="0"/>
      <w:ind w:left="117"/>
    </w:pPr>
    <w:rPr>
      <w:rFonts w:ascii="Georgia" w:hAnsi="Georgia" w:cs="Georgia" w:eastAsia="Georgia"/>
      <w:sz w:val="20"/>
      <w:szCs w:val="20"/>
      <w:lang w:val="en-US"/>
    </w:rPr>
  </w:style>
  <w:style w:type="paragraph" w:styleId="P12">
    <w:name w:val="TOC 2"/>
    <w:basedOn w:val="P0"/>
    <w:qFormat/>
    <w:pPr>
      <w:widowControl w:val="0"/>
      <w:spacing w:lineRule="auto" w:line="240" w:before="69" w:after="0" w:beforeAutospacing="0" w:afterAutospacing="0"/>
      <w:ind w:left="117"/>
    </w:pPr>
    <w:rPr>
      <w:rFonts w:ascii="Times New Roman" w:hAnsi="Times New Roman" w:cs="Times New Roman" w:eastAsia="Times New Roman"/>
      <w:sz w:val="17"/>
      <w:szCs w:val="17"/>
      <w:lang w:val="en-US"/>
    </w:rPr>
  </w:style>
  <w:style w:type="paragraph" w:styleId="P13">
    <w:name w:val="Body Text"/>
    <w:basedOn w:val="P0"/>
    <w:link w:val="C24"/>
    <w:qFormat/>
    <w:pPr>
      <w:widowControl w:val="0"/>
      <w:spacing w:lineRule="auto" w:line="240" w:after="0" w:beforeAutospacing="0" w:afterAutospacing="0"/>
    </w:pPr>
    <w:rPr>
      <w:rFonts w:ascii="Times New Roman" w:hAnsi="Times New Roman" w:cs="Times New Roman" w:eastAsia="Times New Roman"/>
      <w:sz w:val="20"/>
      <w:szCs w:val="20"/>
      <w:lang w:val="en-US"/>
    </w:rPr>
  </w:style>
  <w:style w:type="paragraph" w:styleId="P14">
    <w:name w:val="Title"/>
    <w:basedOn w:val="P0"/>
    <w:link w:val="C25"/>
    <w:qFormat/>
    <w:pPr>
      <w:widowControl w:val="0"/>
      <w:spacing w:lineRule="auto" w:line="240" w:after="0" w:beforeAutospacing="0" w:afterAutospacing="0"/>
      <w:ind w:left="114"/>
    </w:pPr>
    <w:rPr>
      <w:rFonts w:ascii="Trebuchet MS" w:hAnsi="Trebuchet MS" w:cs="Trebuchet MS" w:eastAsia="Trebuchet MS"/>
      <w:sz w:val="132"/>
      <w:szCs w:val="132"/>
      <w:lang w:val="en-US"/>
    </w:rPr>
  </w:style>
  <w:style w:type="paragraph" w:styleId="P15">
    <w:name w:val="List Paragraph"/>
    <w:basedOn w:val="P0"/>
    <w:qFormat/>
    <w:pPr>
      <w:widowControl w:val="0"/>
      <w:spacing w:lineRule="auto" w:line="240" w:after="0" w:beforeAutospacing="0" w:afterAutospacing="0"/>
      <w:ind w:hanging="340" w:left="450"/>
    </w:pPr>
    <w:rPr>
      <w:rFonts w:ascii="Times New Roman" w:hAnsi="Times New Roman" w:cs="Times New Roman" w:eastAsia="Times New Roman"/>
      <w:lang w:val="en-US"/>
    </w:rPr>
  </w:style>
  <w:style w:type="paragraph" w:styleId="P16">
    <w:name w:val="Table Paragraph"/>
    <w:basedOn w:val="P0"/>
    <w:qFormat/>
    <w:pPr>
      <w:widowControl w:val="0"/>
      <w:spacing w:lineRule="auto" w:line="240" w:before="23" w:after="0" w:beforeAutospacing="0" w:afterAutospacing="0"/>
      <w:ind w:left="61"/>
    </w:pPr>
    <w:rPr>
      <w:rFonts w:ascii="Times New Roman" w:hAnsi="Times New Roman" w:cs="Times New Roman" w:eastAsia="Times New Roman"/>
      <w:lang w:val="en-US"/>
    </w:rPr>
  </w:style>
  <w:style w:type="paragraph" w:styleId="P17">
    <w:name w:val="TOC 3"/>
    <w:basedOn w:val="P0"/>
    <w:qFormat/>
    <w:pPr>
      <w:widowControl w:val="0"/>
      <w:spacing w:lineRule="auto" w:line="240" w:before="149" w:after="0" w:beforeAutospacing="0" w:afterAutospacing="0"/>
      <w:ind w:left="286"/>
    </w:pPr>
    <w:rPr>
      <w:rFonts w:ascii="Cambria" w:hAnsi="Cambria" w:cs="Cambria" w:eastAsia="Cambria"/>
      <w:b w:val="1"/>
      <w:i w:val="1"/>
      <w:bCs w:val="1"/>
      <w:iCs w:val="1"/>
      <w:lang w:val="en-US"/>
    </w:rPr>
  </w:style>
  <w:style w:type="paragraph" w:styleId="P18">
    <w:name w:val="TOC 4"/>
    <w:basedOn w:val="P0"/>
    <w:qFormat/>
    <w:pPr>
      <w:widowControl w:val="0"/>
      <w:spacing w:lineRule="auto" w:line="240" w:before="29" w:after="0" w:beforeAutospacing="0" w:afterAutospacing="0"/>
      <w:ind w:left="647"/>
    </w:pPr>
    <w:rPr>
      <w:rFonts w:ascii="Cambria" w:hAnsi="Cambria" w:cs="Cambria" w:eastAsia="Cambria"/>
      <w:sz w:val="18"/>
      <w:szCs w:val="18"/>
      <w:lang w:val="en-US"/>
    </w:rPr>
  </w:style>
  <w:style w:type="paragraph" w:styleId="P19">
    <w:name w:val="TOC 5"/>
    <w:basedOn w:val="P0"/>
    <w:qFormat/>
    <w:pPr>
      <w:widowControl w:val="0"/>
      <w:spacing w:lineRule="auto" w:line="240" w:before="29" w:after="0" w:beforeAutospacing="0" w:afterAutospacing="0"/>
      <w:ind w:left="642"/>
    </w:pPr>
    <w:rPr>
      <w:rFonts w:ascii="Cambria" w:hAnsi="Cambria" w:cs="Cambria" w:eastAsia="Cambria"/>
      <w:i w:val="1"/>
      <w:iCs w:val="1"/>
      <w:sz w:val="18"/>
      <w:szCs w:val="18"/>
      <w:lang w:val="en-US"/>
    </w:rPr>
  </w:style>
  <w:style w:type="paragraph" w:styleId="P20">
    <w:name w:val="Сноска"/>
    <w:basedOn w:val="P0"/>
    <w:link w:val="C29"/>
    <w:pPr>
      <w:widowControl w:val="0"/>
      <w:shd w:val="clear" w:fill="FFFFFF"/>
      <w:spacing w:lineRule="auto" w:line="240" w:after="0" w:beforeAutospacing="0" w:afterAutospacing="0"/>
      <w:jc w:val="both"/>
    </w:pPr>
    <w:rPr>
      <w:rFonts w:ascii="Garamond" w:hAnsi="Garamond" w:cs="Garamond" w:eastAsia="Garamond"/>
      <w:sz w:val="14"/>
      <w:szCs w:val="14"/>
    </w:rPr>
  </w:style>
  <w:style w:type="paragraph" w:styleId="P21">
    <w:name w:val="Основной текст2"/>
    <w:basedOn w:val="P0"/>
    <w:pPr>
      <w:widowControl w:val="0"/>
      <w:shd w:val="clear" w:fill="FFFFFF"/>
      <w:spacing w:lineRule="auto" w:line="240" w:after="0" w:beforeAutospacing="0" w:afterAutospacing="0"/>
      <w:ind w:hanging="240"/>
    </w:pPr>
    <w:rPr>
      <w:rFonts w:ascii="Garamond" w:hAnsi="Garamond" w:cs="Garamond" w:eastAsia="Garamond"/>
      <w:sz w:val="19"/>
      <w:szCs w:val="19"/>
    </w:rPr>
  </w:style>
  <w:style w:type="paragraph" w:styleId="P22">
    <w:name w:val="Основной текст (5)"/>
    <w:basedOn w:val="P0"/>
    <w:link w:val="C30"/>
    <w:pPr>
      <w:widowControl w:val="0"/>
      <w:shd w:val="clear" w:fill="FFFFFF"/>
      <w:spacing w:lineRule="auto" w:line="240" w:after="1080" w:beforeAutospacing="0" w:afterAutospacing="0"/>
      <w:ind w:hanging="360"/>
      <w:jc w:val="center"/>
    </w:pPr>
    <w:rPr>
      <w:rFonts w:ascii="Garamond" w:hAnsi="Garamond" w:cs="Garamond" w:eastAsia="Garamond"/>
      <w:sz w:val="17"/>
      <w:szCs w:val="17"/>
    </w:rPr>
  </w:style>
  <w:style w:type="paragraph" w:styleId="P23">
    <w:name w:val="Основной текст (7)"/>
    <w:basedOn w:val="P0"/>
    <w:link w:val="C31"/>
    <w:pPr>
      <w:widowControl w:val="0"/>
      <w:shd w:val="clear" w:fill="FFFFFF"/>
      <w:spacing w:lineRule="auto" w:line="240" w:after="240" w:beforeAutospacing="0" w:afterAutospacing="0"/>
      <w:jc w:val="center"/>
    </w:pPr>
    <w:rPr>
      <w:rFonts w:ascii="Garamond" w:hAnsi="Garamond" w:cs="Garamond" w:eastAsia="Garamond"/>
      <w:sz w:val="19"/>
      <w:szCs w:val="19"/>
    </w:rPr>
  </w:style>
  <w:style w:type="paragraph" w:styleId="P24">
    <w:name w:val="Основной текст (8)"/>
    <w:basedOn w:val="P0"/>
    <w:link w:val="C32"/>
    <w:pPr>
      <w:widowControl w:val="0"/>
      <w:shd w:val="clear" w:fill="FFFFFF"/>
      <w:spacing w:lineRule="auto" w:line="240" w:before="180" w:after="180" w:beforeAutospacing="0" w:afterAutospacing="0"/>
      <w:jc w:val="both"/>
    </w:pPr>
    <w:rPr>
      <w:rFonts w:ascii="Garamond" w:hAnsi="Garamond" w:cs="Garamond" w:eastAsia="Garamond"/>
      <w:sz w:val="14"/>
      <w:szCs w:val="14"/>
    </w:rPr>
  </w:style>
  <w:style w:type="paragraph" w:styleId="P25">
    <w:name w:val="HTML Preformatted"/>
    <w:basedOn w:val="P0"/>
    <w:link w:val="C38"/>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after="0" w:beforeAutospacing="0" w:afterAutospacing="0"/>
    </w:pPr>
    <w:rPr>
      <w:rFonts w:ascii="Courier New" w:hAnsi="Courier New" w:cs="Courier New" w:eastAsia="Times New Roman"/>
      <w:sz w:val="20"/>
      <w:szCs w:val="20"/>
      <w:lang w:eastAsia="ru-RU"/>
    </w:rPr>
  </w:style>
  <w:style w:type="paragraph" w:styleId="P26">
    <w:name w:val="Footnote Text"/>
    <w:basedOn w:val="P0"/>
    <w:link w:val="C41"/>
    <w:pPr>
      <w:spacing w:lineRule="auto" w:line="240" w:after="0" w:beforeAutospacing="0" w:afterAutospacing="0"/>
    </w:pPr>
    <w:rPr>
      <w:sz w:val="20"/>
      <w:szCs w:val="20"/>
    </w:rPr>
  </w:style>
  <w:style w:type="paragraph" w:styleId="P27">
    <w:name w:val="Основной текст4"/>
    <w:basedOn w:val="P0"/>
    <w:pPr>
      <w:widowControl w:val="0"/>
      <w:shd w:val="clear" w:fill="FFFFFF"/>
      <w:spacing w:lineRule="exact" w:line="274" w:before="360" w:after="0" w:beforeAutospacing="0" w:afterAutospacing="0"/>
      <w:ind w:hanging="360"/>
    </w:pPr>
    <w:rPr>
      <w:rFonts w:ascii="Times New Roman" w:hAnsi="Times New Roman" w:cs="Times New Roman" w:eastAsia="Times New Roman"/>
      <w:sz w:val="23"/>
      <w:szCs w:val="23"/>
    </w:rPr>
  </w:style>
  <w:style w:type="paragraph" w:styleId="P28">
    <w:name w:val="Default"/>
    <w:pPr>
      <w:spacing w:lineRule="auto" w:line="240" w:after="0" w:beforeAutospacing="0" w:afterAutospacing="0"/>
    </w:pPr>
    <w:rPr>
      <w:rFonts w:ascii="Times New Roman" w:hAnsi="Times New Roman" w:cs="Times New Roman"/>
      <w:color w:val="000000"/>
      <w:sz w:val="24"/>
      <w:szCs w:val="24"/>
    </w:rPr>
  </w:style>
  <w:style w:type="paragraph" w:styleId="P29">
    <w:name w:val="Основной текст (3)"/>
    <w:basedOn w:val="P0"/>
    <w:link w:val="C46"/>
    <w:pPr>
      <w:widowControl w:val="0"/>
      <w:shd w:val="clear" w:fill="FFFFFF"/>
      <w:spacing w:lineRule="exact" w:line="485" w:before="1260" w:after="3780" w:beforeAutospacing="0" w:afterAutospacing="0"/>
      <w:jc w:val="center"/>
    </w:pPr>
    <w:rPr>
      <w:rFonts w:ascii="Times New Roman" w:hAnsi="Times New Roman" w:cs="Times New Roman" w:eastAsia="Times New Roman"/>
      <w:b w:val="1"/>
      <w:bCs w:val="1"/>
      <w:sz w:val="27"/>
      <w:szCs w:val="27"/>
    </w:rPr>
  </w:style>
  <w:style w:type="paragraph" w:styleId="P30">
    <w:name w:val="Normal (Web)"/>
    <w:basedOn w:val="P0"/>
    <w:pPr>
      <w:spacing w:lineRule="auto" w:line="240" w:before="100" w:after="100" w:beforeAutospacing="1" w:afterAutospacing="1"/>
    </w:pPr>
    <w:rPr>
      <w:rFonts w:ascii="Times New Roman" w:hAnsi="Times New Roman" w:cs="Times New Roman" w:eastAsia="Times New Roman"/>
      <w:sz w:val="24"/>
      <w:szCs w:val="24"/>
      <w:lang w:eastAsia="ru-RU"/>
    </w:rPr>
  </w:style>
  <w:style w:type="paragraph" w:styleId="P31">
    <w:name w:val="Endnote Text"/>
    <w:link w:val="C56"/>
    <w:semiHidden/>
    <w:pPr>
      <w:spacing w:lineRule="auto" w:line="240" w:after="0"/>
    </w:pPr>
    <w:rPr>
      <w:sz w:val="20"/>
      <w:szCs w:val="20"/>
    </w:rPr>
  </w:style>
  <w:style w:type="character" w:styleId="C0" w:default="1">
    <w:name w:val="Default Paragraph Font"/>
    <w:semiHidden/>
    <w:rPr/>
  </w:style>
  <w:style w:type="character" w:styleId="C1">
    <w:name w:val="Line Number"/>
    <w:basedOn w:val="C0"/>
    <w:semiHidden/>
    <w:rPr/>
  </w:style>
  <w:style w:type="character" w:styleId="C2">
    <w:name w:val="Hyperlink"/>
    <w:basedOn w:val="C0"/>
    <w:rPr>
      <w:color w:val="0563C1" w:themeColor="hyperlink"/>
      <w:u w:val="single"/>
    </w:rPr>
  </w:style>
  <w:style w:type="character" w:styleId="C3">
    <w:name w:val="Заголовок №8_"/>
    <w:basedOn w:val="C0"/>
    <w:rPr>
      <w:rFonts w:ascii="Times New Roman" w:hAnsi="Times New Roman" w:cs="Times New Roman" w:eastAsia="Times New Roman"/>
      <w:b w:val="1"/>
      <w:i w:val="0"/>
      <w:bCs w:val="1"/>
      <w:iCs w:val="0"/>
      <w:smallCaps w:val="0"/>
      <w:sz w:val="39"/>
      <w:szCs w:val="39"/>
      <w:u w:val="none"/>
    </w:rPr>
  </w:style>
  <w:style w:type="character" w:styleId="C4">
    <w:name w:val="Заголовок №8"/>
    <w:basedOn w:val="C3"/>
    <w:rPr>
      <w:rFonts w:ascii="Times New Roman" w:hAnsi="Times New Roman" w:cs="Times New Roman" w:eastAsia="Times New Roman"/>
      <w:b w:val="1"/>
      <w:i w:val="0"/>
      <w:bCs w:val="1"/>
      <w:iCs w:val="0"/>
      <w:smallCaps w:val="0"/>
      <w:color w:val="000000"/>
      <w:sz w:val="39"/>
      <w:szCs w:val="39"/>
      <w:u w:val="none"/>
      <w:spacing w:val="0"/>
      <w:w w:val="100"/>
      <w:position w:val="0"/>
      <w:lang w:val="en-US"/>
    </w:rPr>
  </w:style>
  <w:style w:type="character" w:styleId="C5">
    <w:name w:val="Основной текст_"/>
    <w:basedOn w:val="C0"/>
    <w:link w:val="P7"/>
    <w:rPr>
      <w:rFonts w:ascii="Times New Roman" w:hAnsi="Times New Roman" w:cs="Times New Roman" w:eastAsia="Times New Roman"/>
      <w:sz w:val="21"/>
      <w:szCs w:val="21"/>
      <w:shd w:val="clear" w:color="auto" w:fill="FFFFFF"/>
    </w:rPr>
  </w:style>
  <w:style w:type="character" w:styleId="C6">
    <w:name w:val="Заголовок №9_"/>
    <w:basedOn w:val="C0"/>
    <w:rPr>
      <w:rFonts w:ascii="Times New Roman" w:hAnsi="Times New Roman" w:cs="Times New Roman" w:eastAsia="Times New Roman"/>
      <w:b w:val="1"/>
      <w:i w:val="1"/>
      <w:bCs w:val="1"/>
      <w:iCs w:val="1"/>
      <w:smallCaps w:val="0"/>
      <w:sz w:val="29"/>
      <w:szCs w:val="29"/>
      <w:u w:val="none"/>
    </w:rPr>
  </w:style>
  <w:style w:type="character" w:styleId="C7">
    <w:name w:val="Заголовок №9"/>
    <w:basedOn w:val="C6"/>
    <w:rPr>
      <w:rFonts w:ascii="Times New Roman" w:hAnsi="Times New Roman" w:cs="Times New Roman" w:eastAsia="Times New Roman"/>
      <w:b w:val="1"/>
      <w:i w:val="1"/>
      <w:bCs w:val="1"/>
      <w:iCs w:val="1"/>
      <w:smallCaps w:val="0"/>
      <w:color w:val="000000"/>
      <w:sz w:val="29"/>
      <w:szCs w:val="29"/>
      <w:u w:val="none"/>
      <w:spacing w:val="0"/>
      <w:w w:val="100"/>
      <w:position w:val="0"/>
      <w:lang w:val="en-US"/>
    </w:rPr>
  </w:style>
  <w:style w:type="character" w:styleId="C8">
    <w:name w:val="Основной текст (16)_"/>
    <w:basedOn w:val="C0"/>
    <w:rPr>
      <w:rFonts w:ascii="Times New Roman" w:hAnsi="Times New Roman" w:cs="Times New Roman" w:eastAsia="Times New Roman"/>
      <w:b w:val="1"/>
      <w:i w:val="1"/>
      <w:bCs w:val="1"/>
      <w:iCs w:val="1"/>
      <w:smallCaps w:val="0"/>
      <w:sz w:val="29"/>
      <w:szCs w:val="29"/>
      <w:u w:val="none"/>
    </w:rPr>
  </w:style>
  <w:style w:type="character" w:styleId="C9">
    <w:name w:val="Основной текст (16)"/>
    <w:basedOn w:val="C8"/>
    <w:rPr>
      <w:rFonts w:ascii="Times New Roman" w:hAnsi="Times New Roman" w:cs="Times New Roman" w:eastAsia="Times New Roman"/>
      <w:b w:val="1"/>
      <w:i w:val="1"/>
      <w:bCs w:val="1"/>
      <w:iCs w:val="1"/>
      <w:smallCaps w:val="0"/>
      <w:color w:val="000000"/>
      <w:sz w:val="29"/>
      <w:szCs w:val="29"/>
      <w:u w:val="none"/>
      <w:spacing w:val="0"/>
      <w:w w:val="100"/>
      <w:position w:val="0"/>
      <w:lang w:val="en-US"/>
    </w:rPr>
  </w:style>
  <w:style w:type="character" w:styleId="C10">
    <w:name w:val="Заголовок №10_"/>
    <w:basedOn w:val="C0"/>
    <w:rPr>
      <w:rFonts w:ascii="Times New Roman" w:hAnsi="Times New Roman" w:cs="Times New Roman" w:eastAsia="Times New Roman"/>
      <w:b w:val="0"/>
      <w:i w:val="1"/>
      <w:bCs w:val="0"/>
      <w:iCs w:val="1"/>
      <w:smallCaps w:val="0"/>
      <w:sz w:val="26"/>
      <w:szCs w:val="26"/>
      <w:u w:val="none"/>
    </w:rPr>
  </w:style>
  <w:style w:type="character" w:styleId="C11">
    <w:name w:val="Заголовок №10"/>
    <w:basedOn w:val="C10"/>
    <w:rPr>
      <w:rFonts w:ascii="Times New Roman" w:hAnsi="Times New Roman" w:cs="Times New Roman" w:eastAsia="Times New Roman"/>
      <w:b w:val="0"/>
      <w:i w:val="1"/>
      <w:bCs w:val="0"/>
      <w:iCs w:val="1"/>
      <w:smallCaps w:val="0"/>
      <w:color w:val="000000"/>
      <w:sz w:val="26"/>
      <w:szCs w:val="26"/>
      <w:u w:val="none"/>
      <w:spacing w:val="0"/>
      <w:w w:val="100"/>
      <w:position w:val="0"/>
      <w:lang w:val="en-US"/>
    </w:rPr>
  </w:style>
  <w:style w:type="character" w:styleId="C12">
    <w:name w:val="Основной текст (4)_"/>
    <w:basedOn w:val="C0"/>
    <w:link w:val="P8"/>
    <w:rPr>
      <w:rFonts w:ascii="Times New Roman" w:hAnsi="Times New Roman" w:cs="Times New Roman" w:eastAsia="Times New Roman"/>
      <w:b w:val="1"/>
      <w:bCs w:val="1"/>
      <w:sz w:val="44"/>
      <w:szCs w:val="44"/>
      <w:shd w:val="clear" w:color="auto" w:fill="FFFFFF"/>
    </w:rPr>
  </w:style>
  <w:style w:type="character" w:styleId="C13">
    <w:name w:val="Колонтитул_"/>
    <w:basedOn w:val="C0"/>
    <w:rPr>
      <w:rFonts w:ascii="Times New Roman" w:hAnsi="Times New Roman" w:cs="Times New Roman" w:eastAsia="Times New Roman"/>
      <w:b w:val="0"/>
      <w:i w:val="0"/>
      <w:bCs w:val="0"/>
      <w:iCs w:val="0"/>
      <w:smallCaps w:val="0"/>
      <w:sz w:val="18"/>
      <w:szCs w:val="18"/>
      <w:u w:val="none"/>
    </w:rPr>
  </w:style>
  <w:style w:type="character" w:styleId="C14">
    <w:name w:val="Колонтитул"/>
    <w:basedOn w:val="C13"/>
    <w:rPr>
      <w:rFonts w:ascii="Times New Roman" w:hAnsi="Times New Roman" w:cs="Times New Roman" w:eastAsia="Times New Roman"/>
      <w:b w:val="0"/>
      <w:i w:val="0"/>
      <w:bCs w:val="0"/>
      <w:iCs w:val="0"/>
      <w:smallCaps w:val="0"/>
      <w:color w:val="000000"/>
      <w:sz w:val="18"/>
      <w:szCs w:val="18"/>
      <w:u w:val="none"/>
      <w:spacing w:val="0"/>
      <w:w w:val="100"/>
      <w:position w:val="0"/>
      <w:lang w:val="en-US"/>
    </w:rPr>
  </w:style>
  <w:style w:type="character" w:styleId="C15">
    <w:name w:val="Колонтитул + Calibri;10;5 pt;Полужирный"/>
    <w:basedOn w:val="C13"/>
    <w:rPr>
      <w:rFonts w:ascii="Calibri" w:hAnsi="Calibri" w:cs="Calibri" w:eastAsia="Calibri"/>
      <w:b w:val="1"/>
      <w:i w:val="0"/>
      <w:bCs w:val="1"/>
      <w:iCs w:val="0"/>
      <w:smallCaps w:val="0"/>
      <w:color w:val="FFFFFF"/>
      <w:sz w:val="21"/>
      <w:szCs w:val="21"/>
      <w:u w:val="none"/>
      <w:spacing w:val="0"/>
      <w:w w:val="100"/>
      <w:position w:val="0"/>
    </w:rPr>
  </w:style>
  <w:style w:type="character" w:styleId="C16">
    <w:name w:val="Колонтитул + 12 pt;Полужирный"/>
    <w:basedOn w:val="C13"/>
    <w:rPr>
      <w:rFonts w:ascii="Times New Roman" w:hAnsi="Times New Roman" w:cs="Times New Roman" w:eastAsia="Times New Roman"/>
      <w:b w:val="1"/>
      <w:i w:val="0"/>
      <w:bCs w:val="1"/>
      <w:iCs w:val="0"/>
      <w:smallCaps w:val="0"/>
      <w:color w:val="FFFFFF"/>
      <w:sz w:val="24"/>
      <w:szCs w:val="24"/>
      <w:u w:val="none"/>
      <w:spacing w:val="0"/>
      <w:w w:val="100"/>
      <w:position w:val="0"/>
    </w:rPr>
  </w:style>
  <w:style w:type="character" w:styleId="C17">
    <w:name w:val="Верхний колонтитул Знак"/>
    <w:basedOn w:val="C0"/>
    <w:link w:val="P9"/>
    <w:rPr/>
  </w:style>
  <w:style w:type="character" w:styleId="C18">
    <w:name w:val="Нижний колонтитул Знак"/>
    <w:basedOn w:val="C0"/>
    <w:link w:val="P10"/>
    <w:rPr/>
  </w:style>
  <w:style w:type="character" w:styleId="C19">
    <w:name w:val="Заголовок 1 Знак"/>
    <w:basedOn w:val="C0"/>
    <w:link w:val="P1"/>
    <w:rPr>
      <w:rFonts w:ascii="Times New Roman" w:hAnsi="Times New Roman" w:cs="Times New Roman" w:eastAsia="Times New Roman"/>
      <w:b w:val="1"/>
      <w:bCs w:val="1"/>
      <w:sz w:val="32"/>
      <w:szCs w:val="32"/>
      <w:lang w:val="en-US"/>
    </w:rPr>
  </w:style>
  <w:style w:type="character" w:styleId="C20">
    <w:name w:val="Заголовок 2 Знак"/>
    <w:basedOn w:val="C0"/>
    <w:link w:val="P2"/>
    <w:rPr>
      <w:rFonts w:ascii="Georgia" w:hAnsi="Georgia" w:cs="Georgia" w:eastAsia="Georgia"/>
      <w:sz w:val="32"/>
      <w:szCs w:val="32"/>
      <w:lang w:val="en-US"/>
    </w:rPr>
  </w:style>
  <w:style w:type="character" w:styleId="C21">
    <w:name w:val="Заголовок 3 Знак"/>
    <w:basedOn w:val="C0"/>
    <w:link w:val="P3"/>
    <w:rPr>
      <w:rFonts w:ascii="Times New Roman" w:hAnsi="Times New Roman" w:cs="Times New Roman" w:eastAsia="Times New Roman"/>
      <w:b w:val="1"/>
      <w:bCs w:val="1"/>
      <w:sz w:val="24"/>
      <w:szCs w:val="24"/>
      <w:lang w:val="en-US"/>
    </w:rPr>
  </w:style>
  <w:style w:type="character" w:styleId="C22">
    <w:name w:val="Заголовок 4 Знак"/>
    <w:basedOn w:val="C0"/>
    <w:link w:val="P4"/>
    <w:rPr>
      <w:rFonts w:ascii="Times New Roman" w:hAnsi="Times New Roman" w:cs="Times New Roman" w:eastAsia="Times New Roman"/>
      <w:b w:val="1"/>
      <w:i w:val="1"/>
      <w:bCs w:val="1"/>
      <w:iCs w:val="1"/>
      <w:sz w:val="24"/>
      <w:szCs w:val="24"/>
      <w:lang w:val="en-US"/>
    </w:rPr>
  </w:style>
  <w:style w:type="character" w:styleId="C23">
    <w:name w:val="Заголовок 5 Знак"/>
    <w:basedOn w:val="C0"/>
    <w:link w:val="P5"/>
    <w:rPr>
      <w:rFonts w:ascii="Times New Roman" w:hAnsi="Times New Roman" w:cs="Times New Roman" w:eastAsia="Times New Roman"/>
      <w:b w:val="1"/>
      <w:bCs w:val="1"/>
      <w:sz w:val="20"/>
      <w:szCs w:val="20"/>
      <w:lang w:val="en-US"/>
    </w:rPr>
  </w:style>
  <w:style w:type="character" w:styleId="C24">
    <w:name w:val="Основной текст Знак"/>
    <w:basedOn w:val="C0"/>
    <w:link w:val="P13"/>
    <w:rPr>
      <w:rFonts w:ascii="Times New Roman" w:hAnsi="Times New Roman" w:cs="Times New Roman" w:eastAsia="Times New Roman"/>
      <w:sz w:val="20"/>
      <w:szCs w:val="20"/>
      <w:lang w:val="en-US"/>
    </w:rPr>
  </w:style>
  <w:style w:type="character" w:styleId="C25">
    <w:name w:val="Название Знак"/>
    <w:basedOn w:val="C0"/>
    <w:link w:val="P14"/>
    <w:rPr>
      <w:rFonts w:ascii="Trebuchet MS" w:hAnsi="Trebuchet MS" w:cs="Trebuchet MS" w:eastAsia="Trebuchet MS"/>
      <w:sz w:val="132"/>
      <w:szCs w:val="132"/>
      <w:lang w:val="en-US"/>
    </w:rPr>
  </w:style>
  <w:style w:type="character" w:styleId="C26">
    <w:name w:val="Основной текст + Курсив"/>
    <w:basedOn w:val="C5"/>
    <w:rPr>
      <w:rFonts w:ascii="Times New Roman" w:hAnsi="Times New Roman" w:cs="Times New Roman" w:eastAsia="Times New Roman"/>
      <w:i w:val="1"/>
      <w:iCs w:val="1"/>
      <w:color w:val="000000"/>
      <w:sz w:val="21"/>
      <w:szCs w:val="21"/>
      <w:shd w:val="clear" w:color="auto" w:fill="FFFFFF"/>
      <w:spacing w:val="0"/>
      <w:w w:val="100"/>
      <w:position w:val="0"/>
      <w:lang w:val="en-US"/>
    </w:rPr>
  </w:style>
  <w:style w:type="character" w:styleId="C27">
    <w:name w:val="Заголовок 6 Знак"/>
    <w:basedOn w:val="C0"/>
    <w:link w:val="P6"/>
    <w:rPr>
      <w:rFonts w:asciiTheme="majorHAnsi" w:hAnsiTheme="majorHAnsi" w:cstheme="majorBidi" w:eastAsiaTheme="majorEastAsia"/>
      <w:color w:val="203864" w:themeColor="accent1" w:themeShade="7F"/>
    </w:rPr>
  </w:style>
  <w:style w:type="character" w:styleId="C28">
    <w:name w:val="Неразрешенное упоминание1"/>
    <w:basedOn w:val="C0"/>
    <w:semiHidden/>
    <w:rPr>
      <w:color w:val="605E5C"/>
      <w:shd w:val="clear" w:color="auto" w:fill="E1DFDD"/>
    </w:rPr>
  </w:style>
  <w:style w:type="character" w:styleId="C29">
    <w:name w:val="Сноска_"/>
    <w:basedOn w:val="C0"/>
    <w:link w:val="P20"/>
    <w:rPr>
      <w:rFonts w:ascii="Garamond" w:hAnsi="Garamond" w:cs="Garamond" w:eastAsia="Garamond"/>
      <w:sz w:val="14"/>
      <w:szCs w:val="14"/>
      <w:shd w:val="clear" w:color="auto" w:fill="FFFFFF"/>
    </w:rPr>
  </w:style>
  <w:style w:type="character" w:styleId="C30">
    <w:name w:val="Основной текст (5)_"/>
    <w:basedOn w:val="C0"/>
    <w:link w:val="P22"/>
    <w:rPr>
      <w:rFonts w:ascii="Garamond" w:hAnsi="Garamond" w:cs="Garamond" w:eastAsia="Garamond"/>
      <w:sz w:val="17"/>
      <w:szCs w:val="17"/>
      <w:shd w:val="clear" w:color="auto" w:fill="FFFFFF"/>
    </w:rPr>
  </w:style>
  <w:style w:type="character" w:styleId="C31">
    <w:name w:val="Основной текст (7)_"/>
    <w:basedOn w:val="C0"/>
    <w:link w:val="P23"/>
    <w:rPr>
      <w:rFonts w:ascii="Garamond" w:hAnsi="Garamond" w:cs="Garamond" w:eastAsia="Garamond"/>
      <w:sz w:val="19"/>
      <w:szCs w:val="19"/>
      <w:shd w:val="clear" w:color="auto" w:fill="FFFFFF"/>
    </w:rPr>
  </w:style>
  <w:style w:type="character" w:styleId="C32">
    <w:name w:val="Основной текст (8)_"/>
    <w:basedOn w:val="C0"/>
    <w:link w:val="P24"/>
    <w:rPr>
      <w:rFonts w:ascii="Garamond" w:hAnsi="Garamond" w:cs="Garamond" w:eastAsia="Garamond"/>
      <w:sz w:val="14"/>
      <w:szCs w:val="14"/>
      <w:shd w:val="clear" w:color="auto" w:fill="FFFFFF"/>
    </w:rPr>
  </w:style>
  <w:style w:type="character" w:styleId="C33">
    <w:name w:val="Основной текст (5) + Интервал 2 pt"/>
    <w:basedOn w:val="C30"/>
    <w:rPr>
      <w:rFonts w:ascii="Garamond" w:hAnsi="Garamond" w:cs="Garamond" w:eastAsia="Garamond"/>
      <w:color w:val="000000"/>
      <w:sz w:val="17"/>
      <w:szCs w:val="17"/>
      <w:shd w:val="clear" w:color="auto" w:fill="FFFFFF"/>
      <w:spacing w:val="40"/>
      <w:w w:val="100"/>
      <w:position w:val="0"/>
      <w:lang w:val="en-US"/>
    </w:rPr>
  </w:style>
  <w:style w:type="character" w:styleId="C34">
    <w:name w:val="Основной текст + 7 pt"/>
    <w:aliases w:val="Малые прописные,Интервал 1 pt"/>
    <w:basedOn w:val="C32"/>
    <w:rPr>
      <w:rFonts w:ascii="Garamond" w:hAnsi="Garamond" w:cs="Garamond" w:eastAsia="Garamond"/>
      <w:smallCaps w:val="1"/>
      <w:color w:val="000000"/>
      <w:sz w:val="14"/>
      <w:szCs w:val="14"/>
      <w:shd w:val="clear" w:color="auto" w:fill="FFFFFF"/>
      <w:spacing w:val="30"/>
      <w:w w:val="100"/>
      <w:position w:val="0"/>
      <w:lang w:val="en-US"/>
    </w:rPr>
  </w:style>
  <w:style w:type="character" w:styleId="C35">
    <w:name w:val="Основной текст (7) + Малые прописные"/>
    <w:aliases w:val="Интервал 2 pt"/>
    <w:basedOn w:val="C30"/>
    <w:rPr>
      <w:rFonts w:ascii="Garamond" w:hAnsi="Garamond" w:cs="Garamond" w:eastAsia="Garamond"/>
      <w:smallCaps w:val="1"/>
      <w:color w:val="000000"/>
      <w:sz w:val="17"/>
      <w:szCs w:val="17"/>
      <w:shd w:val="clear" w:color="auto" w:fill="FFFFFF"/>
      <w:spacing w:val="40"/>
      <w:w w:val="100"/>
      <w:position w:val="0"/>
      <w:lang w:val="en-US"/>
    </w:rPr>
  </w:style>
  <w:style w:type="character" w:styleId="C36">
    <w:name w:val="Основной текст (7) + Интервал 2 pt"/>
    <w:basedOn w:val="C31"/>
    <w:rPr>
      <w:rFonts w:ascii="Garamond" w:hAnsi="Garamond" w:cs="Garamond" w:eastAsia="Garamond"/>
      <w:color w:val="000000"/>
      <w:sz w:val="19"/>
      <w:szCs w:val="19"/>
      <w:shd w:val="clear" w:color="auto" w:fill="FFFFFF"/>
      <w:spacing w:val="40"/>
      <w:w w:val="100"/>
      <w:position w:val="0"/>
      <w:lang w:val="en-US"/>
    </w:rPr>
  </w:style>
  <w:style w:type="character" w:styleId="C37">
    <w:name w:val="Основной текст (8) + Малые прописные"/>
    <w:basedOn w:val="C32"/>
    <w:rPr>
      <w:rFonts w:ascii="Garamond" w:hAnsi="Garamond" w:cs="Garamond" w:eastAsia="Garamond"/>
      <w:smallCaps w:val="1"/>
      <w:color w:val="000000"/>
      <w:sz w:val="14"/>
      <w:szCs w:val="14"/>
      <w:shd w:val="clear" w:color="auto" w:fill="FFFFFF"/>
      <w:spacing w:val="0"/>
      <w:w w:val="100"/>
      <w:position w:val="0"/>
      <w:lang w:val="en-US"/>
    </w:rPr>
  </w:style>
  <w:style w:type="character" w:styleId="C38">
    <w:name w:val="Стандартный HTML Знак"/>
    <w:basedOn w:val="C0"/>
    <w:link w:val="P25"/>
    <w:rPr>
      <w:rFonts w:ascii="Courier New" w:hAnsi="Courier New" w:cs="Courier New" w:eastAsia="Times New Roman"/>
      <w:sz w:val="20"/>
      <w:szCs w:val="20"/>
      <w:lang w:eastAsia="ru-RU"/>
    </w:rPr>
  </w:style>
  <w:style w:type="character" w:styleId="C39">
    <w:name w:val="translation-word"/>
    <w:basedOn w:val="C0"/>
    <w:rPr/>
  </w:style>
  <w:style w:type="character" w:styleId="C40">
    <w:name w:val="Placeholder Text1"/>
    <w:basedOn w:val="C0"/>
    <w:semiHidden/>
    <w:rPr>
      <w:color w:val="808080"/>
    </w:rPr>
  </w:style>
  <w:style w:type="character" w:styleId="C41">
    <w:name w:val="Текст сноски Знак"/>
    <w:basedOn w:val="C0"/>
    <w:link w:val="P26"/>
    <w:rPr>
      <w:sz w:val="20"/>
      <w:szCs w:val="20"/>
    </w:rPr>
  </w:style>
  <w:style w:type="character" w:styleId="C42">
    <w:name w:val="Footnote Reference"/>
    <w:basedOn w:val="C0"/>
    <w:semiHidden/>
    <w:rPr>
      <w:vertAlign w:val="superscript"/>
    </w:rPr>
  </w:style>
  <w:style w:type="character" w:styleId="C43">
    <w:name w:val="Неразрешенное упоминание2"/>
    <w:basedOn w:val="C0"/>
    <w:semiHidden/>
    <w:rPr>
      <w:color w:val="605E5C"/>
      <w:shd w:val="clear" w:color="auto" w:fill="E1DFDD"/>
    </w:rPr>
  </w:style>
  <w:style w:type="character" w:styleId="C44">
    <w:name w:val="Неразрешенное упоминание3"/>
    <w:basedOn w:val="C0"/>
    <w:semiHidden/>
    <w:rPr>
      <w:color w:val="605E5C"/>
      <w:shd w:val="clear" w:color="auto" w:fill="E1DFDD"/>
    </w:rPr>
  </w:style>
  <w:style w:type="character" w:styleId="C45">
    <w:name w:val="Неразрешенное упоминание4"/>
    <w:basedOn w:val="C0"/>
    <w:semiHidden/>
    <w:rPr>
      <w:color w:val="605E5C"/>
      <w:shd w:val="clear" w:color="auto" w:fill="E1DFDD"/>
    </w:rPr>
  </w:style>
  <w:style w:type="character" w:styleId="C46">
    <w:name w:val="Основной текст (3)_"/>
    <w:basedOn w:val="C0"/>
    <w:link w:val="P29"/>
    <w:rPr>
      <w:rFonts w:ascii="Times New Roman" w:hAnsi="Times New Roman" w:cs="Times New Roman" w:eastAsia="Times New Roman"/>
      <w:b w:val="1"/>
      <w:bCs w:val="1"/>
      <w:sz w:val="27"/>
      <w:szCs w:val="27"/>
      <w:shd w:val="clear" w:color="auto" w:fill="FFFFFF"/>
    </w:rPr>
  </w:style>
  <w:style w:type="character" w:styleId="C47">
    <w:name w:val="Strong"/>
    <w:basedOn w:val="C0"/>
    <w:qFormat/>
    <w:rPr>
      <w:b w:val="1"/>
      <w:bCs w:val="1"/>
    </w:rPr>
  </w:style>
  <w:style w:type="character" w:styleId="C48">
    <w:name w:val="mord"/>
    <w:basedOn w:val="C0"/>
    <w:rPr/>
  </w:style>
  <w:style w:type="character" w:styleId="C49">
    <w:name w:val="katex-mathml"/>
    <w:basedOn w:val="C0"/>
    <w:rPr/>
  </w:style>
  <w:style w:type="character" w:styleId="C50">
    <w:name w:val="mrel"/>
    <w:basedOn w:val="C0"/>
    <w:rPr/>
  </w:style>
  <w:style w:type="character" w:styleId="C51">
    <w:name w:val="vlist-s"/>
    <w:basedOn w:val="C0"/>
    <w:rPr/>
  </w:style>
  <w:style w:type="character" w:styleId="C52">
    <w:name w:val="Emphasis"/>
    <w:basedOn w:val="C0"/>
    <w:qFormat/>
    <w:rPr>
      <w:i w:val="1"/>
      <w:iCs w:val="1"/>
    </w:rPr>
  </w:style>
  <w:style w:type="character" w:styleId="C53">
    <w:name w:val="markdown-word"/>
    <w:basedOn w:val="C0"/>
    <w:rPr/>
  </w:style>
  <w:style w:type="character" w:styleId="C54">
    <w:name w:val="Footnote Text Char"/>
    <w:semiHidden/>
    <w:rPr>
      <w:sz w:val="20"/>
      <w:szCs w:val="20"/>
    </w:rPr>
  </w:style>
  <w:style w:type="character" w:styleId="C55">
    <w:name w:val="Endnote Reference"/>
    <w:semiHidden/>
    <w:rPr>
      <w:vertAlign w:val="superscript"/>
    </w:rPr>
  </w:style>
  <w:style w:type="character" w:styleId="C56">
    <w:name w:val="Endnote Text Char"/>
    <w:link w:val="P31"/>
    <w:semiHidden/>
    <w:rPr>
      <w:sz w:val="20"/>
      <w:szCs w:val="20"/>
    </w:rPr>
  </w:style>
  <w:style w:type="table" w:styleId="T0" w:default="1">
    <w:name w:val="Normal Table"/>
    <w:semiHidden/>
    <w:tblPr>
      <w:tblInd w:w="0" w:type="dxa"/>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e Normal1"/>
    <w:semiHidden/>
    <w:qFormat/>
    <w:pPr>
      <w:widowControl w:val="0"/>
      <w:spacing w:lineRule="auto" w:line="240" w:after="0" w:beforeAutospacing="0" w:afterAutospacing="0"/>
    </w:pPr>
    <w:rPr>
      <w:lang w:val="en-US"/>
    </w:rPr>
    <w:tblPr>
      <w:tblInd w:w="0" w:type="dxa"/>
      <w:tblCellMar>
        <w:top w:w="0" w:type="dxa"/>
        <w:left w:w="0" w:type="dxa"/>
        <w:bottom w:w="0" w:type="dxa"/>
        <w:right w:w="0" w:type="dxa"/>
      </w:tblCellMar>
    </w:tblPr>
    <w:trPr/>
    <w:tcPr/>
  </w:style>
  <w:style w:type="table" w:styleId="T3">
    <w:name w:val="Table Grid"/>
    <w:basedOn w:val="T0"/>
    <w:pPr>
      <w:spacing w:lineRule="auto" w:line="240" w:after="0" w:beforeAutospacing="0" w:afterAutospacing="0"/>
    </w:pPr>
    <w:tblPr>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Pr>
    <w:trPr/>
    <w:tcPr/>
  </w:style>
  <w:style w:type="table" w:styleId="T4">
    <w:name w:val="Light List1"/>
    <w:basedOn w:val="T0"/>
    <w:pPr>
      <w:spacing w:lineRule="auto" w:line="240" w:after="0" w:beforeAutospacing="0" w:afterAutospacing="0"/>
    </w:pPr>
    <w:rPr>
      <w:rFonts w:eastAsiaTheme="minorEastAsia"/>
      <w:lang w:val="en-US"/>
    </w:rPr>
    <w:tblPr>
      <w:tblStyleRowBandSize w:val="1"/>
      <w:tblStyleColBandSize w:val="1"/>
      <w:tbl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tblBorders>
    </w:tblPr>
    <w:trPr/>
    <w:tcPr/>
    <w:tblStylePr w:type="band1Horz">
      <w:tblPr/>
      <w:trPr/>
      <w:tcPr>
        <w:tc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tcBorders>
      </w:tcPr>
    </w:tblStylePr>
    <w:tblStylePr w:type="band1Vert">
      <w:tblPr/>
      <w:trPr/>
      <w:tcPr>
        <w:tc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tcBorders>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tcBorders>
      </w:tcPr>
    </w:tblStylePr>
    <w:tblStylePr w:type="firstRow">
      <w:pPr>
        <w:spacing w:lineRule="auto" w:line="240" w:before="0" w:after="0" w:beforeAutospacing="0" w:afterAutospacing="0"/>
      </w:pPr>
      <w:rPr>
        <w:b w:val="1"/>
        <w:bCs w:val="1"/>
        <w:color w:val="FFFFFF" w:themeColor="background1"/>
      </w:rPr>
      <w:tblPr/>
      <w:trPr/>
      <w:tcPr>
        <w:shd w:val="clear" w:color="auto" w:fill="000000" w:themeFill="text1"/>
      </w:tcPr>
    </w:tblStylePr>
  </w:style>
  <w:style w:type="table" w:styleId="T5">
    <w:name w:val="Grid Table Light"/>
    <w:basedOn w:val="T0"/>
    <w:pPr>
      <w:spacing w:lineRule="auto" w:line="240" w:after="0" w:beforeAutospacing="0" w:afterAutospacing="0"/>
    </w:pPr>
    <w:tblPr>
      <w:tblBorders>
        <w:top w:val="single" w:sz="4" w:space="0" w:shadow="0" w:frame="0" w:color="BFBFBF" w:themeColor="background1" w:themeShade="BF"/>
        <w:left w:val="single" w:sz="4" w:space="0" w:shadow="0" w:frame="0" w:color="BFBFBF" w:themeColor="background1" w:themeShade="BF"/>
        <w:bottom w:val="single" w:sz="4" w:space="0" w:shadow="0" w:frame="0" w:color="BFBFBF" w:themeColor="background1" w:themeShade="BF"/>
        <w:right w:val="single" w:sz="4" w:space="0" w:shadow="0" w:frame="0" w:color="BFBFBF" w:themeColor="background1" w:themeShade="BF"/>
        <w:insideH w:val="single" w:sz="4" w:space="0" w:shadow="0" w:frame="0" w:color="BFBFBF" w:themeColor="background1" w:themeShade="BF"/>
        <w:insideV w:val="single" w:sz="4" w:space="0" w:shadow="0" w:frame="0" w:color="BFBFBF" w:themeColor="background1" w:themeShade="BF"/>
      </w:tblBorders>
    </w:tblPr>
    <w:trPr/>
    <w:tcPr/>
  </w:style>
  <w:style w:type="table" w:styleId="T6">
    <w:name w:val="Plain Table 21"/>
    <w:basedOn w:val="T0"/>
    <w:pPr>
      <w:spacing w:lineRule="auto" w:line="240" w:after="0" w:beforeAutospacing="0" w:afterAutospacing="0"/>
    </w:pPr>
    <w:tblPr>
      <w:tblStyleRowBandSize w:val="1"/>
      <w:tblStyleColBandSize w:val="1"/>
      <w:tblBorders>
        <w:top w:val="single" w:sz="4" w:space="0" w:shadow="0" w:frame="0" w:color="7F7F7F" w:themeColor="text1" w:themeTint="80"/>
        <w:bottom w:val="single" w:sz="4" w:space="0" w:shadow="0" w:frame="0" w:color="7F7F7F" w:themeColor="text1" w:themeTint="80"/>
      </w:tblBorders>
    </w:tblPr>
    <w:trPr/>
    <w:tcPr/>
    <w:tblStylePr w:type="band1Horz">
      <w:tblPr/>
      <w:trPr/>
      <w:tcPr>
        <w:tcBorders>
          <w:top w:val="single" w:sz="4" w:space="0" w:shadow="0" w:frame="0" w:color="7F7F7F" w:themeColor="text1" w:themeTint="80"/>
          <w:bottom w:val="single" w:sz="4" w:space="0" w:shadow="0" w:frame="0" w:color="7F7F7F" w:themeColor="text1" w:themeTint="80"/>
        </w:tcBorders>
      </w:tcPr>
    </w:tblStylePr>
    <w:tblStylePr w:type="band2Vert">
      <w:tblPr/>
      <w:trPr/>
      <w:tcPr>
        <w:tcBorders>
          <w:left w:val="single" w:sz="4" w:space="0" w:shadow="0" w:frame="0" w:color="7F7F7F" w:themeColor="text1" w:themeTint="80"/>
          <w:right w:val="single" w:sz="4" w:space="0" w:shadow="0" w:frame="0" w:color="7F7F7F" w:themeColor="text1" w:themeTint="80"/>
        </w:tcBorders>
      </w:tcPr>
    </w:tblStylePr>
    <w:tblStylePr w:type="band1Vert">
      <w:tblPr/>
      <w:trPr/>
      <w:tcPr>
        <w:tcBorders>
          <w:left w:val="single" w:sz="4" w:space="0" w:shadow="0" w:frame="0" w:color="7F7F7F" w:themeColor="text1" w:themeTint="80"/>
          <w:right w:val="single" w:sz="4" w:space="0" w:shadow="0" w:frame="0" w:color="7F7F7F" w:themeColor="text1" w:themeTint="80"/>
        </w:tcBorders>
      </w:tcPr>
    </w:tblStylePr>
    <w:tblStylePr w:type="lastCol">
      <w:rPr>
        <w:b w:val="1"/>
        <w:bCs w:val="1"/>
      </w:rPr>
      <w:tblPr/>
      <w:trPr/>
      <w:tcPr/>
    </w:tblStylePr>
    <w:tblStylePr w:type="firstCol">
      <w:rPr>
        <w:b w:val="1"/>
        <w:bCs w:val="1"/>
      </w:rPr>
      <w:tblPr/>
      <w:trPr/>
      <w:tcPr/>
    </w:tblStylePr>
    <w:tblStylePr w:type="lastRow">
      <w:rPr>
        <w:b w:val="1"/>
        <w:bCs w:val="1"/>
      </w:rPr>
      <w:tblPr/>
      <w:trPr/>
      <w:tcPr>
        <w:tcBorders>
          <w:top w:val="single" w:sz="4" w:space="0" w:shadow="0" w:frame="0" w:color="7F7F7F" w:themeColor="text1" w:themeTint="80"/>
        </w:tcBorders>
      </w:tcPr>
    </w:tblStylePr>
    <w:tblStylePr w:type="firstRow">
      <w:rPr>
        <w:b w:val="1"/>
        <w:bCs w:val="1"/>
      </w:rPr>
      <w:tblPr/>
      <w:trPr/>
      <w:tcPr>
        <w:tcBorders>
          <w:bottom w:val="single" w:sz="4" w:space="0" w:shadow="0" w:frame="0" w:color="7F7F7F" w:themeColor="text1" w:themeTint="80"/>
        </w:tcBorders>
      </w:tcPr>
    </w:tblStylePr>
  </w:style>
  <w:style w:type="numbering" w:styleId="N0">
    <w:name w:val="No List"/>
  </w:style>
</w:styles>
</file>

<file path=word/_rels/document.xml.rels>&#65279;<?xml version="1.0" encoding="utf-8"?><Relationships xmlns="http://schemas.openxmlformats.org/package/2006/relationships"><Relationship Id="Relimage1" Type="http://schemas.openxmlformats.org/officeDocument/2006/relationships/image" Target="/media/image1.png" /><Relationship Id="Relimage2" Type="http://schemas.openxmlformats.org/officeDocument/2006/relationships/image" Target="/media/image2.png" /><Relationship Id="Relimage3" Type="http://schemas.openxmlformats.org/officeDocument/2006/relationships/image" Target="/media/image3.png" /><Relationship Id="Relimage4" Type="http://schemas.openxmlformats.org/officeDocument/2006/relationships/image" Target="/media/image4.png" /><Relationship Id="Relimage5" Type="http://schemas.openxmlformats.org/officeDocument/2006/relationships/image" Target="/media/image5.png" /><Relationship Id="Relimage6" Type="http://schemas.openxmlformats.org/officeDocument/2006/relationships/image" Target="/media/image6.png" /><Relationship Id="Relimage7" Type="http://schemas.openxmlformats.org/officeDocument/2006/relationships/image" Target="/media/image7.png" /><Relationship Id="Relimage8" Type="http://schemas.openxmlformats.org/officeDocument/2006/relationships/image" Target="/media/image8.png" /><Relationship Id="Relimage9" Type="http://schemas.openxmlformats.org/officeDocument/2006/relationships/image" Target="/media/image9.png" /><Relationship Id="Relimage10" Type="http://schemas.openxmlformats.org/officeDocument/2006/relationships/image" Target="/media/image10.png" /><Relationship Id="Relimage11" Type="http://schemas.openxmlformats.org/officeDocument/2006/relationships/image" Target="/media/image11.png" /><Relationship Id="R2" Type="http://schemas.openxmlformats.org/officeDocument/2006/relationships/hyperlink" Target="https://statbase.ru/data/civ-gdp/" TargetMode="External" /><Relationship Id="R3" Type="http://schemas.openxmlformats.org/officeDocument/2006/relationships/hyperlink" Target="https://ru.tradingeconomics.com/ivory-coast/gdp" TargetMode="External" /><Relationship Id="R4" Type="http://schemas.openxmlformats.org/officeDocument/2006/relationships/hyperlink" Target="http://www.ced.org/reports/single/social-responsibilities-of-business-corporations" TargetMode="External" /><Relationship Id="R5" Type="http://schemas.openxmlformats.org/officeDocument/2006/relationships/hyperlink" Target="http://www.nickscrusade.org/history-of-u-s-latin-american-relations/" TargetMode="External" /><Relationship Id="R6" Type="http://schemas.openxmlformats.org/officeDocument/2006/relationships/hyperlink" Target="http://www.independent.co.uk/news/world/africa/report-blames-shell-over-coverup-of-nigerias-oil-spills-1726207.html" TargetMode="External" /><Relationship Id="R7" Type="http://schemas.openxmlformats.org/officeDocument/2006/relationships/hyperlink" Target="http://www.donellameadows.org/wp-content/userfiles/Limits-to-Growth-digital-scan-version.pdf" TargetMode="External" /><Relationship Id="R8" Type="http://schemas.openxmlformats.org/officeDocument/2006/relationships/hyperlink" Target="http://publications.gc.ca/Collection-R/LoPBdP/BP/bp317-e.htm" TargetMode="External" /><Relationship Id="R9" Type="http://schemas.openxmlformats.org/officeDocument/2006/relationships/hyperlink" Target="http://www.weforum.org/reports/the-inclusive-development-index-2018" TargetMode="External" /><Relationship Id="RelHdr1" Type="http://schemas.openxmlformats.org/officeDocument/2006/relationships/header" Target="header1.xml" /><Relationship Id="RelHdr2" Type="http://schemas.openxmlformats.org/officeDocument/2006/relationships/header" Target="header2.xml" /><Relationship Id="RelFtr1" Type="http://schemas.openxmlformats.org/officeDocument/2006/relationships/footer" Target="footer1.xml" /><Relationship Id="RelFtr2" Type="http://schemas.openxmlformats.org/officeDocument/2006/relationships/footer" Target="footer2.xml" /><Relationship Id="RelFnt1" Type="http://schemas.openxmlformats.org/officeDocument/2006/relationships/footnotes" Target="footnotes.xml" /><Relationship Id="RelEnt1" Type="http://schemas.openxmlformats.org/officeDocument/2006/relationships/endnotes" Target="endnotes.xml" /><Relationship Id="RelChart1" Type="http://schemas.openxmlformats.org/officeDocument/2006/relationships/chart" Target="charts/chart1.xml" /><Relationship Id="RelChart2" Type="http://schemas.openxmlformats.org/officeDocument/2006/relationships/chart" Target="charts/chart2.xml" /><Relationship Id="RelChart3" Type="http://schemas.openxmlformats.org/officeDocument/2006/relationships/chart" Target="charts/chart3.xml" /><Relationship Id="RelChart4" Type="http://schemas.openxmlformats.org/officeDocument/2006/relationships/chart" Target="charts/chart4.xml" /><Relationship Id="RelChart5" Type="http://schemas.openxmlformats.org/officeDocument/2006/relationships/chart" Target="charts/chart5.xml" /><Relationship Id="RelChart6" Type="http://schemas.openxmlformats.org/officeDocument/2006/relationships/chart" Target="charts/chart6.xml" /><Relationship Id="RelChart7" Type="http://schemas.openxmlformats.org/officeDocument/2006/relationships/chart" Target="charts/chart7.xml" /><Relationship Id="RelChart8" Type="http://schemas.openxmlformats.org/officeDocument/2006/relationships/chart" Target="charts/chart8.xml" /><Relationship Id="RelChart9" Type="http://schemas.openxmlformats.org/officeDocument/2006/relationships/chart" Target="charts/chart9.xml" /><Relationship Id="RelChart10" Type="http://schemas.openxmlformats.org/officeDocument/2006/relationships/chart" Target="charts/chart10.xml" /><Relationship Id="RelChart11" Type="http://schemas.openxmlformats.org/officeDocument/2006/relationships/chart" Target="charts/chart11.xml" /><Relationship Id="RelChart12" Type="http://schemas.openxmlformats.org/officeDocument/2006/relationships/chart" Target="charts/chart12.xml" /><Relationship Id="RelChart13" Type="http://schemas.openxmlformats.org/officeDocument/2006/relationships/chart" Target="charts/chart13.xml" /><Relationship Id="RelChart14" Type="http://schemas.openxmlformats.org/officeDocument/2006/relationships/chart" Target="charts/chart14.xml" /><Relationship Id="RelChart15" Type="http://schemas.openxmlformats.org/officeDocument/2006/relationships/chart" Target="charts/chart15.xml" /><Relationship Id="RelChart16" Type="http://schemas.openxmlformats.org/officeDocument/2006/relationships/chart" Target="charts/chart16.xml" /><Relationship Id="RelChart17" Type="http://schemas.openxmlformats.org/officeDocument/2006/relationships/chart" Target="charts/chart17.xml" /><Relationship Id="RelChart18" Type="http://schemas.openxmlformats.org/officeDocument/2006/relationships/chart" Target="charts/chart18.xm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 Id="RelItem1" Type="http://schemas.openxmlformats.org/officeDocument/2006/relationships/customXml" Target="../customXml/item1.xml" /></Relationships>
</file>

<file path=word/_rels/endnotes.xml.rels>&#65279;<?xml version="1.0" encoding="utf-8"?><Relationships xmlns="http://schemas.openxmlformats.org/package/2006/relationships" />
</file>

<file path=word/_rels/footer1.xml.rels>&#65279;<?xml version="1.0" encoding="utf-8"?><Relationships xmlns="http://schemas.openxmlformats.org/package/2006/relationships" />
</file>

<file path=word/_rels/footer2.xml.rels>&#65279;<?xml version="1.0" encoding="utf-8"?><Relationships xmlns="http://schemas.openxmlformats.org/package/2006/relationships" />
</file>

<file path=word/_rels/footnotes.xml.rels>&#65279;<?xml version="1.0" encoding="utf-8"?><Relationships xmlns="http://schemas.openxmlformats.org/package/2006/relationships"><Relationship Id="RA" Type="http://schemas.openxmlformats.org/officeDocument/2006/relationships/hyperlink" Target="https://documents1.worldbank.org/curated/en/771771468180864543/pdf/WPS4851.pdf?utm_source=chatgpt.com" TargetMode="External" /><Relationship Id="RB" Type="http://schemas.openxmlformats.org/officeDocument/2006/relationships/hyperlink" Target="https://www.enterprisesurveys.org/en/enterprisesurveys?utm_source=chatgpt.com" TargetMode="External" /><Relationship Id="RC" Type="http://schemas.openxmlformats.org/officeDocument/2006/relationships/hyperlink" Target="https://www.gouv.ci/uploads/publications/175819822877.pdf?utm_source=chatgpt.com" TargetMode="External" /></Relationships>
</file>

<file path=word/_rels/header1.xml.rels>&#65279;<?xml version="1.0" encoding="utf-8"?><Relationships xmlns="http://schemas.openxmlformats.org/package/2006/relationships" />
</file>

<file path=word/_rels/header2.xml.rels>&#65279;<?xml version="1.0" encoding="utf-8"?><Relationships xmlns="http://schemas.openxmlformats.org/package/2006/relationships" />
</file>

<file path=word/charts/_rels/chart1.xml.rels>&#65279;<?xml version="1.0" encoding="utf-8"?><Relationships xmlns="http://schemas.openxmlformats.org/package/2006/relationships"><Relationship Id="RelChartData1" Type="http://schemas.openxmlformats.org/officeDocument/2006/relationships/package" Target="../embeddings/Microsoft_Excel_Worksheet1.xlsx" /></Relationships>
</file>

<file path=word/charts/_rels/chart2.xml.rels>&#65279;<?xml version="1.0" encoding="utf-8"?><Relationships xmlns="http://schemas.openxmlformats.org/package/2006/relationships"><Relationship Id="RelChartData2" Type="http://schemas.openxmlformats.org/officeDocument/2006/relationships/package" Target="../embeddings/Microsoft_Excel_Worksheet2.xlsx" /></Relationships>
</file>

<file path=word/charts/_rels/chart3.xml.rels>&#65279;<?xml version="1.0" encoding="utf-8"?><Relationships xmlns="http://schemas.openxmlformats.org/package/2006/relationships"><Relationship Id="RelChartData3" Type="http://schemas.openxmlformats.org/officeDocument/2006/relationships/package" Target="../embeddings/Microsoft_Excel_Worksheet3.xlsx" /></Relationships>
</file>

<file path=word/charts/_rels/chart4.xml.rels>&#65279;<?xml version="1.0" encoding="utf-8"?><Relationships xmlns="http://schemas.openxmlformats.org/package/2006/relationships"><Relationship Id="RelChartData4" Type="http://schemas.openxmlformats.org/officeDocument/2006/relationships/package" Target="../embeddings/Microsoft_Excel_Worksheet4.xlsx" /></Relationships>
</file>

<file path=word/charts/_rels/chart5.xml.rels>&#65279;<?xml version="1.0" encoding="utf-8"?><Relationships xmlns="http://schemas.openxmlformats.org/package/2006/relationships"><Relationship Id="RelChartData5" Type="http://schemas.openxmlformats.org/officeDocument/2006/relationships/package" Target="../embeddings/Microsoft_Excel_Worksheet5.xlsx" /></Relationships>
</file>

<file path=word/charts/_rels/chart6.xml.rels>&#65279;<?xml version="1.0" encoding="utf-8"?><Relationships xmlns="http://schemas.openxmlformats.org/package/2006/relationships"><Relationship Id="RelChartData6" Type="http://schemas.openxmlformats.org/officeDocument/2006/relationships/package" Target="../embeddings/Microsoft_Excel_Worksheet6.xlsx" /></Relationships>
</file>

<file path=word/charts/_rels/chart7.xml.rels>&#65279;<?xml version="1.0" encoding="utf-8"?><Relationships xmlns="http://schemas.openxmlformats.org/package/2006/relationships"><Relationship Id="RelChartData7" Type="http://schemas.openxmlformats.org/officeDocument/2006/relationships/package" Target="../embeddings/Microsoft_Excel_Worksheet7.xlsx" /></Relationships>
</file>

<file path=word/charts/_rels/chart8.xml.rels>&#65279;<?xml version="1.0" encoding="utf-8"?><Relationships xmlns="http://schemas.openxmlformats.org/package/2006/relationships"><Relationship Id="RelChartData8" Type="http://schemas.openxmlformats.org/officeDocument/2006/relationships/package" Target="../embeddings/Microsoft_Excel_Worksheet8.xlsx" /></Relationships>
</file>

<file path=word/charts/_rels/chart9.xml.rels>&#65279;<?xml version="1.0" encoding="utf-8"?><Relationships xmlns="http://schemas.openxmlformats.org/package/2006/relationships"><Relationship Id="RelChartData9" Type="http://schemas.openxmlformats.org/officeDocument/2006/relationships/package" Target="../embeddings/Microsoft_Excel_Worksheet9.xlsx" /></Relationships>
</file>

<file path=word/charts/_rels/chart10.xml.rels>&#65279;<?xml version="1.0" encoding="utf-8"?><Relationships xmlns="http://schemas.openxmlformats.org/package/2006/relationships"><Relationship Id="RelChartData10" Type="http://schemas.openxmlformats.org/officeDocument/2006/relationships/package" Target="../embeddings/Microsoft_Excel_Worksheet10.xlsx" /></Relationships>
</file>

<file path=word/charts/_rels/chart11.xml.rels>&#65279;<?xml version="1.0" encoding="utf-8"?><Relationships xmlns="http://schemas.openxmlformats.org/package/2006/relationships"><Relationship Id="RelChartData11" Type="http://schemas.openxmlformats.org/officeDocument/2006/relationships/package" Target="../embeddings/Microsoft_Excel_Worksheet11.xlsx" /></Relationships>
</file>

<file path=word/charts/_rels/chart12.xml.rels>&#65279;<?xml version="1.0" encoding="utf-8"?><Relationships xmlns="http://schemas.openxmlformats.org/package/2006/relationships"><Relationship Id="RelChartData12" Type="http://schemas.openxmlformats.org/officeDocument/2006/relationships/package" Target="../embeddings/Microsoft_Excel_Worksheet12.xlsx" /></Relationships>
</file>

<file path=word/charts/_rels/chart13.xml.rels>&#65279;<?xml version="1.0" encoding="utf-8"?><Relationships xmlns="http://schemas.openxmlformats.org/package/2006/relationships"><Relationship Id="RelChartData13" Type="http://schemas.openxmlformats.org/officeDocument/2006/relationships/package" Target="../embeddings/Microsoft_Excel_Worksheet13.xlsx" /></Relationships>
</file>

<file path=word/charts/_rels/chart14.xml.rels>&#65279;<?xml version="1.0" encoding="utf-8"?><Relationships xmlns="http://schemas.openxmlformats.org/package/2006/relationships"><Relationship Id="RelChartData14" Type="http://schemas.openxmlformats.org/officeDocument/2006/relationships/package" Target="../embeddings/Microsoft_Excel_Worksheet14.xlsx" /></Relationships>
</file>

<file path=word/charts/_rels/chart15.xml.rels>&#65279;<?xml version="1.0" encoding="utf-8"?><Relationships xmlns="http://schemas.openxmlformats.org/package/2006/relationships"><Relationship Id="RelChartData15" Type="http://schemas.openxmlformats.org/officeDocument/2006/relationships/package" Target="../embeddings/Microsoft_Excel_Worksheet15.xlsx" /></Relationships>
</file>

<file path=word/charts/_rels/chart16.xml.rels>&#65279;<?xml version="1.0" encoding="utf-8"?><Relationships xmlns="http://schemas.openxmlformats.org/package/2006/relationships"><Relationship Id="RelChartData16" Type="http://schemas.openxmlformats.org/officeDocument/2006/relationships/package" Target="../embeddings/Microsoft_Excel_Worksheet16.xlsx" /></Relationships>
</file>

<file path=word/charts/_rels/chart17.xml.rels>&#65279;<?xml version="1.0" encoding="utf-8"?><Relationships xmlns="http://schemas.openxmlformats.org/package/2006/relationships"><Relationship Id="RelChartData17" Type="http://schemas.openxmlformats.org/officeDocument/2006/relationships/package" Target="../embeddings/Microsoft_Excel_Worksheet17.xlsx" /></Relationships>
</file>

<file path=word/charts/_rels/chart18.xml.rels>&#65279;<?xml version="1.0" encoding="utf-8"?><Relationships xmlns="http://schemas.openxmlformats.org/package/2006/relationships"><Relationship Id="RelChartData18" Type="http://schemas.openxmlformats.org/officeDocument/2006/relationships/package" Target="../embeddings/Microsoft_Excel_Worksheet18.xlsx" /></Relationships>
</file>

<file path=word/charts/chart1.xml><?xml version="1.0" encoding="utf-8"?>
<c:chartSpace xmlns:c="http://schemas.openxmlformats.org/drawingml/2006/chart" xmlns:r="http://schemas.openxmlformats.org/officeDocument/2006/relationships" xmlns:a="http://schemas.openxmlformats.org/drawingml/2006/main">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Рисунки!$A$21</c:f>
              <c:strCache>
                <c:ptCount val="1"/>
                <c:pt idx="0">
                  <c:v>ВВП на душу населения (в постоянных ценах 2015 г., долл. США)</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ysClr val="windowText"/>
                    </a:solidFill>
                    <a:latin typeface="Times New Roman" panose="02020603050405020304" pitchFamily="18" charset="0"/>
                    <a:ea typeface="+mn-ea"/>
                    <a:cs typeface="Times New Roman" panose="02020603050405020304" pitchFamily="18" charset="0"/>
                  </a:defRPr>
                </a:pPr>
                <a:endParaRPr lang="ru-RU"/>
              </a:p>
            </c:txPr>
            <c:showLegendKey val="0"/>
            <c:showVal val="1"/>
            <c:showCatName val="0"/>
            <c:showSerName val="0"/>
            <c:showPercent val="0"/>
            <c:showBubbleSize val="0"/>
            <c:showLeaderLines val="0"/>
          </c:dLbls>
          <c:cat>
            <c:numRef>
              <c:f>Рисунки!$B$20:$K$20</c:f>
              <c:numCache>
                <c:formatCode>0</c:formatCode>
                <c:ptCount val="10"/>
                <c:pt idx="0" formatCode="0">
                  <c:v>2012</c:v>
                </c:pt>
                <c:pt idx="1" formatCode="0">
                  <c:v>2013</c:v>
                </c:pt>
                <c:pt idx="2" formatCode="0">
                  <c:v>2014</c:v>
                </c:pt>
                <c:pt idx="3" formatCode="0">
                  <c:v>2015</c:v>
                </c:pt>
                <c:pt idx="4" formatCode="0">
                  <c:v>2016</c:v>
                </c:pt>
                <c:pt idx="5" formatCode="0">
                  <c:v>2017</c:v>
                </c:pt>
                <c:pt idx="6" formatCode="0">
                  <c:v>2018</c:v>
                </c:pt>
                <c:pt idx="7" formatCode="0">
                  <c:v>2019</c:v>
                </c:pt>
                <c:pt idx="8" formatCode="0">
                  <c:v>2020</c:v>
                </c:pt>
                <c:pt idx="9" formatCode="0">
                  <c:v>2021</c:v>
                </c:pt>
              </c:numCache>
            </c:numRef>
          </c:cat>
          <c:val>
            <c:numRef>
              <c:f>Рисунки!$B$21:$K$21</c:f>
              <c:numCache>
                <c:formatCode>0.00</c:formatCode>
                <c:ptCount val="10"/>
                <c:pt idx="0" formatCode="0.00">
                  <c:v>1602.91091815894</c:v>
                </c:pt>
                <c:pt idx="1" formatCode="0.00">
                  <c:v>1739.15518900044</c:v>
                </c:pt>
                <c:pt idx="2" formatCode="0.00">
                  <c:v>1858.61534716444</c:v>
                </c:pt>
                <c:pt idx="3" formatCode="0.00">
                  <c:v>1941.56633627815</c:v>
                </c:pt>
                <c:pt idx="4" formatCode="0.00">
                  <c:v>2027.93972934844</c:v>
                </c:pt>
                <c:pt idx="5" formatCode="0.00">
                  <c:v>2121.60300902248</c:v>
                </c:pt>
                <c:pt idx="6" formatCode="0.00">
                  <c:v>2210.32581478907</c:v>
                </c:pt>
                <c:pt idx="7" formatCode="0.00">
                  <c:v>2289.37652106313</c:v>
                </c:pt>
                <c:pt idx="8" formatCode="0.00">
                  <c:v>2276.83952295318</c:v>
                </c:pt>
                <c:pt idx="9" formatCode="0.00">
                  <c:v>2377.97343963816</c:v>
                </c:pt>
              </c:numCache>
            </c:numRef>
          </c:val>
        </c:ser>
        <c:ser>
          <c:idx val="1"/>
          <c:order val="1"/>
          <c:tx>
            <c:strRef>
              <c:f>Рисунки!$A$22</c:f>
              <c:strCache>
                <c:ptCount val="1"/>
                <c:pt idx="0">
                  <c:v>ВВП на одного занятого (по ППС в постоянных ценах 2017 г., долл. США)</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ysClr val="windowText"/>
                    </a:solidFill>
                    <a:latin typeface="Times New Roman" panose="02020603050405020304" pitchFamily="18" charset="0"/>
                    <a:ea typeface="+mn-ea"/>
                    <a:cs typeface="Times New Roman" panose="02020603050405020304" pitchFamily="18" charset="0"/>
                  </a:defRPr>
                </a:pPr>
                <a:endParaRPr lang="ru-RU"/>
              </a:p>
            </c:txPr>
            <c:showLegendKey val="0"/>
            <c:showVal val="1"/>
            <c:showCatName val="0"/>
            <c:showSerName val="0"/>
            <c:showPercent val="0"/>
            <c:showBubbleSize val="0"/>
            <c:showLeaderLines val="0"/>
          </c:dLbls>
          <c:cat>
            <c:numRef>
              <c:f>Рисунки!$B$20:$K$20</c:f>
              <c:numCache>
                <c:formatCode>0</c:formatCode>
                <c:ptCount val="10"/>
                <c:pt idx="0" formatCode="0">
                  <c:v>2012</c:v>
                </c:pt>
                <c:pt idx="1" formatCode="0">
                  <c:v>2013</c:v>
                </c:pt>
                <c:pt idx="2" formatCode="0">
                  <c:v>2014</c:v>
                </c:pt>
                <c:pt idx="3" formatCode="0">
                  <c:v>2015</c:v>
                </c:pt>
                <c:pt idx="4" formatCode="0">
                  <c:v>2016</c:v>
                </c:pt>
                <c:pt idx="5" formatCode="0">
                  <c:v>2017</c:v>
                </c:pt>
                <c:pt idx="6" formatCode="0">
                  <c:v>2018</c:v>
                </c:pt>
                <c:pt idx="7" formatCode="0">
                  <c:v>2019</c:v>
                </c:pt>
                <c:pt idx="8" formatCode="0">
                  <c:v>2020</c:v>
                </c:pt>
                <c:pt idx="9" formatCode="0">
                  <c:v>2021</c:v>
                </c:pt>
              </c:numCache>
            </c:numRef>
          </c:cat>
          <c:val>
            <c:numRef>
              <c:f>Рисунки!$B$22:$K$22</c:f>
              <c:numCache>
                <c:formatCode>0.00</c:formatCode>
                <c:ptCount val="10"/>
                <c:pt idx="0" formatCode="0.00">
                  <c:v>11810.4455651732</c:v>
                </c:pt>
                <c:pt idx="1" formatCode="0.00">
                  <c:v>12522.9545174583</c:v>
                </c:pt>
                <c:pt idx="2" formatCode="0.00">
                  <c:v>13385.2652849859</c:v>
                </c:pt>
                <c:pt idx="3" formatCode="0.00">
                  <c:v>13955.8342309767</c:v>
                </c:pt>
                <c:pt idx="4" formatCode="0.00">
                  <c:v>14549.536512132</c:v>
                </c:pt>
                <c:pt idx="5" formatCode="0.00">
                  <c:v>15387.1047686436</c:v>
                </c:pt>
                <c:pt idx="6" formatCode="0.00">
                  <c:v>15967.4714709353</c:v>
                </c:pt>
                <c:pt idx="7" formatCode="0.00">
                  <c:v>16466.2825409154</c:v>
                </c:pt>
                <c:pt idx="8" formatCode="0.00">
                  <c:v>16468.8577032135</c:v>
                </c:pt>
                <c:pt idx="9" formatCode="0.00">
                  <c:v>17077.709305533</c:v>
                </c:pt>
              </c:numCache>
            </c:numRef>
          </c:val>
        </c:ser>
        <c:dLbls>
          <c:showLegendKey val="0"/>
          <c:showVal val="0"/>
          <c:showCatName val="0"/>
          <c:showSerName val="0"/>
          <c:showPercent val="0"/>
          <c:showBubbleSize val="0"/>
        </c:dLbls>
        <c:gapWidth val="219"/>
        <c:overlap val="-27"/>
        <c:axId val="1"/>
        <c:axId val="2"/>
      </c:barChart>
      <c:catAx>
        <c:axId val="1"/>
        <c:scaling>
          <c:orientation val="minMax"/>
        </c:scaling>
        <c:delete val="0"/>
        <c:axPos val="b"/>
        <c:numFmt formatCode="0" sourceLinked="1"/>
        <c:majorTickMark val="none"/>
        <c:minorTickMark val="none"/>
        <c:tickLblPos val="nextTo"/>
        <c:spPr>
          <a:noFill/>
          <a:ln w="9525"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ysClr val="windowText"/>
                </a:solidFill>
                <a:latin typeface="Times New Roman" panose="02020603050405020304" pitchFamily="18" charset="0"/>
                <a:ea typeface="+mn-ea"/>
                <a:cs typeface="Times New Roman" panose="02020603050405020304" pitchFamily="18" charset="0"/>
              </a:defRPr>
            </a:pPr>
            <a:endParaRPr lang="ru-RU"/>
          </a:p>
        </c:txPr>
        <c:crossAx val="2"/>
        <c:crosses val="autoZero"/>
        <c:auto val="1"/>
        <c:lblAlgn val="ctr"/>
        <c:lblOffset val="100"/>
        <c:noMultiLvlLbl val="0"/>
      </c:catAx>
      <c:valAx>
        <c:axId val="2"/>
        <c:scaling>
          <c:orientation val="minMax"/>
        </c:scaling>
        <c:delete val="0"/>
        <c:axPos val="l"/>
        <c:majorGridlines>
          <c:spPr>
            <a:ln w="9525"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a:solidFill>
                <a:latin typeface="Times New Roman" panose="02020603050405020304" pitchFamily="18" charset="0"/>
                <a:ea typeface="+mn-ea"/>
                <a:cs typeface="Times New Roman" panose="02020603050405020304" pitchFamily="18" charset="0"/>
              </a:defRPr>
            </a:pPr>
            <a:endParaRPr lang="ru-RU"/>
          </a:p>
        </c:txPr>
        <c:crossAx val="1"/>
        <c:crosses val="autoZero"/>
        <c:crossBetween val="between"/>
      </c:valAx>
      <c:spPr>
        <a:noFill/>
        <a:ln>
          <a:noFill/>
        </a:ln>
        <a:effectLst/>
      </c:spPr>
    </c:plotArea>
    <c:legend>
      <c:legendPos val="b"/>
      <c:layout/>
      <c:overlay val="0"/>
      <c:spPr>
        <a:noFill/>
        <a:ln>
          <a:noFill/>
        </a:ln>
        <a:effectLst/>
      </c:spPr>
      <c:txPr>
        <a:bodyPr rot="0" spcFirstLastPara="1" vertOverflow="ellipsis" vert="horz" wrap="square" anchor="ctr" anchorCtr="1"/>
        <a:lstStyle/>
        <a:p>
          <a:pPr>
            <a:defRPr sz="900" b="0" i="0" u="none" strike="noStrike" kern="1200" baseline="0">
              <a:solidFill>
                <a:sysClr val="windowText"/>
              </a:solidFill>
              <a:latin typeface="Times New Roman" panose="02020603050405020304" pitchFamily="18" charset="0"/>
              <a:ea typeface="+mn-ea"/>
              <a:cs typeface="Times New Roman" panose="02020603050405020304" pitchFamily="18" charset="0"/>
            </a:defRPr>
          </a:pPr>
          <a:endParaRPr lang="ru-RU"/>
        </a:p>
      </c:txPr>
    </c:legend>
    <c:plotVisOnly val="1"/>
    <c:dispBlanksAs val="gap"/>
    <c:showDLblsOverMax val="0"/>
  </c:chart>
  <c:spPr>
    <a:solidFill>
      <a:schemeClr val="bg1"/>
    </a:solidFill>
    <a:ln w="9525" cmpd="sng" algn="ctr">
      <a:solidFill>
        <a:schemeClr val="tx1">
          <a:lumMod val="15000"/>
          <a:lumOff val="85000"/>
        </a:schemeClr>
      </a:solidFill>
      <a:round/>
    </a:ln>
    <a:effectLst/>
  </c:spPr>
  <c:txPr>
    <a:bodyPr/>
    <a:lstStyle/>
    <a:p>
      <a:pPr>
        <a:defRPr>
          <a:solidFill>
            <a:sysClr val="windowText"/>
          </a:solidFill>
          <a:latin typeface="Times New Roman" panose="02020603050405020304" pitchFamily="18" charset="0"/>
          <a:cs typeface="Times New Roman" panose="02020603050405020304" pitchFamily="18" charset="0"/>
        </a:defRPr>
      </a:pPr>
      <a:endParaRPr lang="ru-RU"/>
    </a:p>
  </c:txPr>
  <c:externalData r:id="RelChartData1">
    <c:autoUpdate val="0"/>
  </c:externalData>
</c:chartSpace>
</file>

<file path=word/charts/chart2.xml><?xml version="1.0" encoding="utf-8"?>
<c:chartSpace xmlns:c="http://schemas.openxmlformats.org/drawingml/2006/chart" xmlns:r="http://schemas.openxmlformats.org/officeDocument/2006/relationships" xmlns:a="http://schemas.openxmlformats.org/drawingml/2006/main">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Исходные!$A$11</c:f>
              <c:strCache>
                <c:ptCount val="1"/>
                <c:pt idx="0">
                  <c:v>ВНД на душу населения, ППС (в текущих международных долларах)</c:v>
                </c:pt>
              </c:strCache>
            </c:strRef>
          </c:tx>
          <c:spPr>
            <a:ln w="28575" cap="rnd">
              <a:solidFill>
                <a:schemeClr val="tx1"/>
              </a:solidFill>
              <a:round/>
            </a:ln>
            <a:effectLst/>
          </c:spPr>
          <c:marker>
            <c:symbol val="none"/>
          </c:marker>
          <c:cat>
            <c:numRef>
              <c:f>Исходные!$B$1:$K$1</c:f>
              <c:numCache>
                <c:formatCode>0</c:formatCode>
                <c:ptCount val="10"/>
                <c:pt idx="0" formatCode="0">
                  <c:v>2012</c:v>
                </c:pt>
                <c:pt idx="1" formatCode="0">
                  <c:v>2013</c:v>
                </c:pt>
                <c:pt idx="2" formatCode="0">
                  <c:v>2014</c:v>
                </c:pt>
                <c:pt idx="3" formatCode="0">
                  <c:v>2015</c:v>
                </c:pt>
                <c:pt idx="4" formatCode="0">
                  <c:v>2016</c:v>
                </c:pt>
                <c:pt idx="5" formatCode="0">
                  <c:v>2017</c:v>
                </c:pt>
                <c:pt idx="6" formatCode="0">
                  <c:v>2018</c:v>
                </c:pt>
                <c:pt idx="7" formatCode="0">
                  <c:v>2019</c:v>
                </c:pt>
                <c:pt idx="8" formatCode="0">
                  <c:v>2020</c:v>
                </c:pt>
                <c:pt idx="9" formatCode="0">
                  <c:v>2021</c:v>
                </c:pt>
              </c:numCache>
            </c:numRef>
          </c:cat>
          <c:val>
            <c:numRef>
              <c:f>Исходные!$B$11:$K$11</c:f>
              <c:numCache>
                <c:formatCode>0.00</c:formatCode>
                <c:ptCount val="10"/>
                <c:pt idx="0" formatCode="0.00">
                  <c:v>2490</c:v>
                </c:pt>
                <c:pt idx="1" formatCode="0.00">
                  <c:v>2650</c:v>
                </c:pt>
                <c:pt idx="2" formatCode="0.00">
                  <c:v>4180</c:v>
                </c:pt>
                <c:pt idx="3" formatCode="0.00">
                  <c:v>4480</c:v>
                </c:pt>
                <c:pt idx="4" formatCode="0.00">
                  <c:v>4550</c:v>
                </c:pt>
                <c:pt idx="5" formatCode="0.00">
                  <c:v>4610</c:v>
                </c:pt>
                <c:pt idx="6" formatCode="0.00">
                  <c:v>4880</c:v>
                </c:pt>
                <c:pt idx="7" formatCode="0.00">
                  <c:v>5200</c:v>
                </c:pt>
                <c:pt idx="8" formatCode="0.00">
                  <c:v>5220</c:v>
                </c:pt>
                <c:pt idx="9" formatCode="0.00">
                  <c:v>5670</c:v>
                </c:pt>
              </c:numCache>
            </c:numRef>
          </c:val>
          <c:smooth val="0"/>
        </c:ser>
        <c:dLbls>
          <c:showLegendKey val="0"/>
          <c:showVal val="0"/>
          <c:showCatName val="0"/>
          <c:showSerName val="0"/>
          <c:showPercent val="0"/>
          <c:showBubbleSize val="0"/>
        </c:dLbls>
        <c:marker val="1"/>
        <c:smooth val="0"/>
        <c:axId val="1"/>
        <c:axId val="2"/>
      </c:lineChart>
      <c:catAx>
        <c:axId val="1"/>
        <c:scaling>
          <c:orientation val="minMax"/>
        </c:scaling>
        <c:delete val="0"/>
        <c:axPos val="b"/>
        <c:numFmt formatCode="0" sourceLinked="1"/>
        <c:majorTickMark val="none"/>
        <c:minorTickMark val="none"/>
        <c:tickLblPos val="nextTo"/>
        <c:spPr>
          <a:noFill/>
          <a:ln w="9525"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ysClr val="windowText"/>
                </a:solidFill>
                <a:latin typeface="Times New Roman" panose="02020603050405020304" pitchFamily="18" charset="0"/>
                <a:ea typeface="+mn-ea"/>
                <a:cs typeface="Times New Roman" panose="02020603050405020304" pitchFamily="18" charset="0"/>
              </a:defRPr>
            </a:pPr>
            <a:endParaRPr lang="ru-RU"/>
          </a:p>
        </c:txPr>
        <c:crossAx val="2"/>
        <c:crosses val="autoZero"/>
        <c:auto val="1"/>
        <c:lblAlgn val="ctr"/>
        <c:lblOffset val="100"/>
        <c:noMultiLvlLbl val="0"/>
      </c:catAx>
      <c:valAx>
        <c:axId val="2"/>
        <c:scaling>
          <c:orientation val="minMax"/>
        </c:scaling>
        <c:delete val="0"/>
        <c:axPos val="l"/>
        <c:majorGridlines>
          <c:spPr>
            <a:ln w="9525"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a:solidFill>
                <a:latin typeface="Times New Roman" panose="02020603050405020304" pitchFamily="18" charset="0"/>
                <a:ea typeface="+mn-ea"/>
                <a:cs typeface="Times New Roman" panose="02020603050405020304" pitchFamily="18" charset="0"/>
              </a:defRPr>
            </a:pPr>
            <a:endParaRPr lang="ru-RU"/>
          </a:p>
        </c:txPr>
        <c:crossAx val="1"/>
        <c:crosses val="autoZero"/>
        <c:crossBetween val="between"/>
      </c:valAx>
      <c:spPr>
        <a:noFill/>
        <a:ln>
          <a:noFill/>
        </a:ln>
        <a:effectLst/>
      </c:spPr>
    </c:plotArea>
    <c:plotVisOnly val="1"/>
    <c:dispBlanksAs val="gap"/>
    <c:showDLblsOverMax val="0"/>
  </c:chart>
  <c:spPr>
    <a:solidFill>
      <a:schemeClr val="bg1"/>
    </a:solidFill>
    <a:ln w="9525" cmpd="sng" algn="ctr">
      <a:solidFill>
        <a:schemeClr val="tx1">
          <a:lumMod val="15000"/>
          <a:lumOff val="85000"/>
        </a:schemeClr>
      </a:solidFill>
      <a:round/>
    </a:ln>
    <a:effectLst/>
  </c:spPr>
  <c:txPr>
    <a:bodyPr/>
    <a:lstStyle/>
    <a:p>
      <a:pPr>
        <a:defRPr>
          <a:solidFill>
            <a:sysClr val="windowText"/>
          </a:solidFill>
          <a:latin typeface="Times New Roman" panose="02020603050405020304" pitchFamily="18" charset="0"/>
          <a:cs typeface="Times New Roman" panose="02020603050405020304" pitchFamily="18" charset="0"/>
        </a:defRPr>
      </a:pPr>
      <a:endParaRPr lang="ru-RU"/>
    </a:p>
  </c:txPr>
  <c:externalData r:id="RelChartData2">
    <c:autoUpdate val="0"/>
  </c:externalData>
</c:chartSpace>
</file>

<file path=word/charts/chart3.xml><?xml version="1.0" encoding="utf-8"?>
<c:chartSpace xmlns:c="http://schemas.openxmlformats.org/drawingml/2006/chart" xmlns:r="http://schemas.openxmlformats.org/officeDocument/2006/relationships" xmlns:a="http://schemas.openxmlformats.org/drawingml/2006/main">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Исходные!$A$990</c:f>
              <c:strCache>
                <c:ptCount val="1"/>
                <c:pt idx="0">
                  <c:v>Люди, пользующиеся хотя бы базовыми санитарными услугами, сельское население (% сельского населения)</c:v>
                </c:pt>
              </c:strCache>
            </c:strRef>
          </c:tx>
          <c:spPr>
            <a:ln w="28575" cap="rnd">
              <a:solidFill>
                <a:schemeClr val="tx1"/>
              </a:solidFill>
              <a:prstDash val="dash"/>
              <a:round/>
            </a:ln>
            <a:effectLst/>
          </c:spPr>
          <c:marker>
            <c:symbol val="none"/>
          </c:marker>
          <c:cat>
            <c:numRef>
              <c:f>Исходные!$B$1:$K$1</c:f>
              <c:numCache>
                <c:formatCode>0</c:formatCode>
                <c:ptCount val="10"/>
                <c:pt idx="0" formatCode="0">
                  <c:v>2012</c:v>
                </c:pt>
                <c:pt idx="1" formatCode="0">
                  <c:v>2013</c:v>
                </c:pt>
                <c:pt idx="2" formatCode="0">
                  <c:v>2014</c:v>
                </c:pt>
                <c:pt idx="3" formatCode="0">
                  <c:v>2015</c:v>
                </c:pt>
                <c:pt idx="4" formatCode="0">
                  <c:v>2016</c:v>
                </c:pt>
                <c:pt idx="5" formatCode="0">
                  <c:v>2017</c:v>
                </c:pt>
                <c:pt idx="6" formatCode="0">
                  <c:v>2018</c:v>
                </c:pt>
                <c:pt idx="7" formatCode="0">
                  <c:v>2019</c:v>
                </c:pt>
                <c:pt idx="8" formatCode="0">
                  <c:v>2020</c:v>
                </c:pt>
                <c:pt idx="9" formatCode="0">
                  <c:v>2021</c:v>
                </c:pt>
              </c:numCache>
            </c:numRef>
          </c:cat>
          <c:val>
            <c:numRef>
              <c:f>Исходные!$B$990:$K$990</c:f>
              <c:numCache>
                <c:formatCode>0.00</c:formatCode>
                <c:ptCount val="10"/>
                <c:pt idx="0" formatCode="0.00">
                  <c:v>13.99539399</c:v>
                </c:pt>
                <c:pt idx="1" formatCode="0.00">
                  <c:v>14.74174921</c:v>
                </c:pt>
                <c:pt idx="2" formatCode="0.00">
                  <c:v>15.50724</c:v>
                </c:pt>
                <c:pt idx="3" formatCode="0.00">
                  <c:v>16.29186</c:v>
                </c:pt>
                <c:pt idx="4" formatCode="0.00">
                  <c:v>17.09562</c:v>
                </c:pt>
                <c:pt idx="5" formatCode="0.00">
                  <c:v>17.91852</c:v>
                </c:pt>
                <c:pt idx="6" formatCode="0.00">
                  <c:v>18.76055</c:v>
                </c:pt>
                <c:pt idx="7" formatCode="0.00">
                  <c:v>19.62171</c:v>
                </c:pt>
                <c:pt idx="8" formatCode="0.00">
                  <c:v>20.50200686</c:v>
                </c:pt>
                <c:pt idx="9" formatCode="0.00">
                  <c:v>20.84</c:v>
                </c:pt>
              </c:numCache>
            </c:numRef>
          </c:val>
          <c:smooth val="0"/>
        </c:ser>
        <c:ser>
          <c:idx val="1"/>
          <c:order val="1"/>
          <c:tx>
            <c:strRef>
              <c:f>Исходные!$A$991</c:f>
              <c:strCache>
                <c:ptCount val="1"/>
                <c:pt idx="0">
                  <c:v>Люди, пользующиеся хотя бы базовыми услугами санитарии, город (% городского населения)</c:v>
                </c:pt>
              </c:strCache>
            </c:strRef>
          </c:tx>
          <c:spPr>
            <a:ln w="28575" cap="rnd">
              <a:solidFill>
                <a:schemeClr val="tx1"/>
              </a:solidFill>
              <a:round/>
            </a:ln>
            <a:effectLst/>
          </c:spPr>
          <c:marker>
            <c:symbol val="none"/>
          </c:marker>
          <c:cat>
            <c:numRef>
              <c:f>Исходные!$B$1:$K$1</c:f>
              <c:numCache>
                <c:formatCode>0</c:formatCode>
                <c:ptCount val="10"/>
                <c:pt idx="0" formatCode="0">
                  <c:v>2012</c:v>
                </c:pt>
                <c:pt idx="1" formatCode="0">
                  <c:v>2013</c:v>
                </c:pt>
                <c:pt idx="2" formatCode="0">
                  <c:v>2014</c:v>
                </c:pt>
                <c:pt idx="3" formatCode="0">
                  <c:v>2015</c:v>
                </c:pt>
                <c:pt idx="4" formatCode="0">
                  <c:v>2016</c:v>
                </c:pt>
                <c:pt idx="5" formatCode="0">
                  <c:v>2017</c:v>
                </c:pt>
                <c:pt idx="6" formatCode="0">
                  <c:v>2018</c:v>
                </c:pt>
                <c:pt idx="7" formatCode="0">
                  <c:v>2019</c:v>
                </c:pt>
                <c:pt idx="8" formatCode="0">
                  <c:v>2020</c:v>
                </c:pt>
                <c:pt idx="9" formatCode="0">
                  <c:v>2021</c:v>
                </c:pt>
              </c:numCache>
            </c:numRef>
          </c:cat>
          <c:val>
            <c:numRef>
              <c:f>Исходные!$B$991:$K$991</c:f>
              <c:numCache>
                <c:formatCode>0.00</c:formatCode>
                <c:ptCount val="10"/>
                <c:pt idx="0" formatCode="0.00">
                  <c:v>43.81869266</c:v>
                </c:pt>
                <c:pt idx="1" formatCode="0.00">
                  <c:v>44.32549781</c:v>
                </c:pt>
                <c:pt idx="2" formatCode="0.00">
                  <c:v>44.83521</c:v>
                </c:pt>
                <c:pt idx="3" formatCode="0.00">
                  <c:v>45.34783</c:v>
                </c:pt>
                <c:pt idx="4" formatCode="0.00">
                  <c:v>45.86336</c:v>
                </c:pt>
                <c:pt idx="5" formatCode="0.00">
                  <c:v>46.3818</c:v>
                </c:pt>
                <c:pt idx="6" formatCode="0.00">
                  <c:v>46.90314</c:v>
                </c:pt>
                <c:pt idx="7" formatCode="0.00">
                  <c:v>47.42739</c:v>
                </c:pt>
                <c:pt idx="8" formatCode="0.00">
                  <c:v>47.70186053</c:v>
                </c:pt>
                <c:pt idx="9" formatCode="0.00">
                  <c:v>48.2</c:v>
                </c:pt>
              </c:numCache>
            </c:numRef>
          </c:val>
          <c:smooth val="0"/>
        </c:ser>
        <c:dLbls>
          <c:showLegendKey val="0"/>
          <c:showVal val="0"/>
          <c:showCatName val="0"/>
          <c:showSerName val="0"/>
          <c:showPercent val="0"/>
          <c:showBubbleSize val="0"/>
        </c:dLbls>
        <c:marker val="1"/>
        <c:smooth val="0"/>
        <c:axId val="1"/>
        <c:axId val="2"/>
      </c:lineChart>
      <c:catAx>
        <c:axId val="1"/>
        <c:scaling>
          <c:orientation val="minMax"/>
        </c:scaling>
        <c:delete val="0"/>
        <c:axPos val="b"/>
        <c:numFmt formatCode="0" sourceLinked="1"/>
        <c:majorTickMark val="none"/>
        <c:minorTickMark val="none"/>
        <c:tickLblPos val="nextTo"/>
        <c:spPr>
          <a:noFill/>
          <a:ln w="9525"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ysClr val="windowText"/>
                </a:solidFill>
                <a:latin typeface="Times New Roman" panose="02020603050405020304" pitchFamily="18" charset="0"/>
                <a:ea typeface="+mn-ea"/>
                <a:cs typeface="Times New Roman" panose="02020603050405020304" pitchFamily="18" charset="0"/>
              </a:defRPr>
            </a:pPr>
            <a:endParaRPr lang="ru-RU"/>
          </a:p>
        </c:txPr>
        <c:crossAx val="2"/>
        <c:crosses val="autoZero"/>
        <c:auto val="1"/>
        <c:lblAlgn val="ctr"/>
        <c:lblOffset val="100"/>
        <c:noMultiLvlLbl val="0"/>
      </c:catAx>
      <c:valAx>
        <c:axId val="2"/>
        <c:scaling>
          <c:orientation val="minMax"/>
        </c:scaling>
        <c:delete val="0"/>
        <c:axPos val="l"/>
        <c:majorGridlines>
          <c:spPr>
            <a:ln w="9525"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a:solidFill>
                <a:latin typeface="Times New Roman" panose="02020603050405020304" pitchFamily="18" charset="0"/>
                <a:ea typeface="+mn-ea"/>
                <a:cs typeface="Times New Roman" panose="02020603050405020304" pitchFamily="18" charset="0"/>
              </a:defRPr>
            </a:pPr>
            <a:endParaRPr lang="ru-RU"/>
          </a:p>
        </c:txPr>
        <c:crossAx val="1"/>
        <c:crosses val="autoZero"/>
        <c:crossBetween val="between"/>
      </c:valAx>
      <c:spPr>
        <a:noFill/>
        <a:ln>
          <a:noFill/>
        </a:ln>
        <a:effectLst/>
      </c:spPr>
    </c:plotArea>
    <c:legend>
      <c:legendPos val="b"/>
      <c:layout/>
      <c:overlay val="0"/>
      <c:spPr>
        <a:noFill/>
        <a:ln>
          <a:noFill/>
        </a:ln>
        <a:effectLst/>
      </c:spPr>
      <c:txPr>
        <a:bodyPr rot="0" spcFirstLastPara="1" vertOverflow="ellipsis" vert="horz" wrap="square" anchor="ctr" anchorCtr="1"/>
        <a:lstStyle/>
        <a:p>
          <a:pPr>
            <a:defRPr sz="900" b="0" i="0" u="none" strike="noStrike" kern="1200" baseline="0">
              <a:solidFill>
                <a:sysClr val="windowText"/>
              </a:solidFill>
              <a:latin typeface="Times New Roman" panose="02020603050405020304" pitchFamily="18" charset="0"/>
              <a:ea typeface="+mn-ea"/>
              <a:cs typeface="Times New Roman" panose="02020603050405020304" pitchFamily="18" charset="0"/>
            </a:defRPr>
          </a:pPr>
          <a:endParaRPr lang="ru-RU"/>
        </a:p>
      </c:txPr>
    </c:legend>
    <c:plotVisOnly val="1"/>
    <c:dispBlanksAs val="gap"/>
    <c:showDLblsOverMax val="0"/>
  </c:chart>
  <c:spPr>
    <a:solidFill>
      <a:schemeClr val="bg1"/>
    </a:solidFill>
    <a:ln w="9525" cmpd="sng" algn="ctr">
      <a:solidFill>
        <a:schemeClr val="tx1">
          <a:lumMod val="15000"/>
          <a:lumOff val="85000"/>
        </a:schemeClr>
      </a:solidFill>
      <a:round/>
    </a:ln>
    <a:effectLst/>
  </c:spPr>
  <c:txPr>
    <a:bodyPr/>
    <a:lstStyle/>
    <a:p>
      <a:pPr>
        <a:defRPr>
          <a:solidFill>
            <a:sysClr val="windowText"/>
          </a:solidFill>
          <a:latin typeface="Times New Roman" panose="02020603050405020304" pitchFamily="18" charset="0"/>
          <a:cs typeface="Times New Roman" panose="02020603050405020304" pitchFamily="18" charset="0"/>
        </a:defRPr>
      </a:pPr>
      <a:endParaRPr lang="ru-RU"/>
    </a:p>
  </c:txPr>
  <c:externalData r:id="RelChartData3">
    <c:autoUpdate val="0"/>
  </c:externalData>
</c:chartSpace>
</file>

<file path=word/charts/chart4.xml><?xml version="1.0" encoding="utf-8"?>
<c:chartSpace xmlns:c="http://schemas.openxmlformats.org/drawingml/2006/chart" xmlns:r="http://schemas.openxmlformats.org/officeDocument/2006/relationships" xmlns:a="http://schemas.openxmlformats.org/drawingml/2006/main">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Исходные!$A$993</c:f>
              <c:strCache>
                <c:ptCount val="1"/>
                <c:pt idx="0">
                  <c:v>Люди, пользующиеся безопасно управляемыми услугами питьевого водоснабжения, сельское население </c:v>
                </c:pt>
              </c:strCache>
            </c:strRef>
          </c:tx>
          <c:spPr>
            <a:ln w="28575" cap="rnd">
              <a:solidFill>
                <a:schemeClr val="tx1"/>
              </a:solidFill>
              <a:prstDash val="dash"/>
              <a:round/>
            </a:ln>
            <a:effectLst/>
          </c:spPr>
          <c:marker>
            <c:symbol val="none"/>
          </c:marker>
          <c:cat>
            <c:numRef>
              <c:f>Исходные!$B$1:$K$1</c:f>
              <c:numCache>
                <c:formatCode>0</c:formatCode>
                <c:ptCount val="10"/>
                <c:pt idx="0" formatCode="0">
                  <c:v>2012</c:v>
                </c:pt>
                <c:pt idx="1" formatCode="0">
                  <c:v>2013</c:v>
                </c:pt>
                <c:pt idx="2" formatCode="0">
                  <c:v>2014</c:v>
                </c:pt>
                <c:pt idx="3" formatCode="0">
                  <c:v>2015</c:v>
                </c:pt>
                <c:pt idx="4" formatCode="0">
                  <c:v>2016</c:v>
                </c:pt>
                <c:pt idx="5" formatCode="0">
                  <c:v>2017</c:v>
                </c:pt>
                <c:pt idx="6" formatCode="0">
                  <c:v>2018</c:v>
                </c:pt>
                <c:pt idx="7" formatCode="0">
                  <c:v>2019</c:v>
                </c:pt>
                <c:pt idx="8" formatCode="0">
                  <c:v>2020</c:v>
                </c:pt>
                <c:pt idx="9" formatCode="0">
                  <c:v>2021</c:v>
                </c:pt>
              </c:numCache>
            </c:numRef>
          </c:cat>
          <c:val>
            <c:numRef>
              <c:f>Исходные!$B$993:$K$993</c:f>
              <c:numCache>
                <c:formatCode>0.00</c:formatCode>
                <c:ptCount val="10"/>
                <c:pt idx="0" formatCode="0.00">
                  <c:v>15.55337457</c:v>
                </c:pt>
                <c:pt idx="1" formatCode="0.00">
                  <c:v>15.43136175</c:v>
                </c:pt>
                <c:pt idx="2" formatCode="0.00">
                  <c:v>15.30932</c:v>
                </c:pt>
                <c:pt idx="3" formatCode="0.00">
                  <c:v>15.18726</c:v>
                </c:pt>
                <c:pt idx="4" formatCode="0.00">
                  <c:v>15.06518</c:v>
                </c:pt>
                <c:pt idx="5" formatCode="0.00">
                  <c:v>14.94307</c:v>
                </c:pt>
                <c:pt idx="6" formatCode="0.00">
                  <c:v>14.82093</c:v>
                </c:pt>
                <c:pt idx="7" formatCode="0.00">
                  <c:v>14.69877</c:v>
                </c:pt>
                <c:pt idx="8" formatCode="0.00">
                  <c:v>14.57659083</c:v>
                </c:pt>
                <c:pt idx="9" formatCode="0.00">
                  <c:v>14.61</c:v>
                </c:pt>
              </c:numCache>
            </c:numRef>
          </c:val>
          <c:smooth val="0"/>
        </c:ser>
        <c:ser>
          <c:idx val="1"/>
          <c:order val="1"/>
          <c:tx>
            <c:strRef>
              <c:f>Исходные!$A$994</c:f>
              <c:strCache>
                <c:ptCount val="1"/>
                <c:pt idx="0">
                  <c:v>Люди, пользующиеся безопасно управляемыми услугами питьевого водоснабжения, город </c:v>
                </c:pt>
              </c:strCache>
            </c:strRef>
          </c:tx>
          <c:spPr>
            <a:ln w="28575" cap="rnd">
              <a:solidFill>
                <a:schemeClr val="tx1"/>
              </a:solidFill>
              <a:round/>
            </a:ln>
            <a:effectLst/>
          </c:spPr>
          <c:marker>
            <c:symbol val="none"/>
          </c:marker>
          <c:cat>
            <c:numRef>
              <c:f>Исходные!$B$1:$K$1</c:f>
              <c:numCache>
                <c:formatCode>0</c:formatCode>
                <c:ptCount val="10"/>
                <c:pt idx="0" formatCode="0">
                  <c:v>2012</c:v>
                </c:pt>
                <c:pt idx="1" formatCode="0">
                  <c:v>2013</c:v>
                </c:pt>
                <c:pt idx="2" formatCode="0">
                  <c:v>2014</c:v>
                </c:pt>
                <c:pt idx="3" formatCode="0">
                  <c:v>2015</c:v>
                </c:pt>
                <c:pt idx="4" formatCode="0">
                  <c:v>2016</c:v>
                </c:pt>
                <c:pt idx="5" formatCode="0">
                  <c:v>2017</c:v>
                </c:pt>
                <c:pt idx="6" formatCode="0">
                  <c:v>2018</c:v>
                </c:pt>
                <c:pt idx="7" formatCode="0">
                  <c:v>2019</c:v>
                </c:pt>
                <c:pt idx="8" formatCode="0">
                  <c:v>2020</c:v>
                </c:pt>
                <c:pt idx="9" formatCode="0">
                  <c:v>2021</c:v>
                </c:pt>
              </c:numCache>
            </c:numRef>
          </c:cat>
          <c:val>
            <c:numRef>
              <c:f>Исходные!$B$994:$K$994</c:f>
              <c:numCache>
                <c:formatCode>0.00</c:formatCode>
                <c:ptCount val="10"/>
                <c:pt idx="0" formatCode="0.00">
                  <c:v>55.42676805</c:v>
                </c:pt>
                <c:pt idx="1" formatCode="0.00">
                  <c:v>55.30739145</c:v>
                </c:pt>
                <c:pt idx="2" formatCode="0.00">
                  <c:v>55.18801</c:v>
                </c:pt>
                <c:pt idx="3" formatCode="0.00">
                  <c:v>55.06864</c:v>
                </c:pt>
                <c:pt idx="4" formatCode="0.00">
                  <c:v>54.94926</c:v>
                </c:pt>
                <c:pt idx="5" formatCode="0.00">
                  <c:v>54.82989</c:v>
                </c:pt>
                <c:pt idx="6" formatCode="0.00">
                  <c:v>54.71051</c:v>
                </c:pt>
                <c:pt idx="7" formatCode="0.00">
                  <c:v>54.59113</c:v>
                </c:pt>
                <c:pt idx="8" formatCode="0.00">
                  <c:v>54.47175524</c:v>
                </c:pt>
                <c:pt idx="9" formatCode="0.00">
                  <c:v>54.18</c:v>
                </c:pt>
              </c:numCache>
            </c:numRef>
          </c:val>
          <c:smooth val="0"/>
        </c:ser>
        <c:dLbls>
          <c:showLegendKey val="0"/>
          <c:showVal val="0"/>
          <c:showCatName val="0"/>
          <c:showSerName val="0"/>
          <c:showPercent val="0"/>
          <c:showBubbleSize val="0"/>
        </c:dLbls>
        <c:marker val="1"/>
        <c:smooth val="0"/>
        <c:axId val="1"/>
        <c:axId val="2"/>
      </c:lineChart>
      <c:catAx>
        <c:axId val="1"/>
        <c:scaling>
          <c:orientation val="minMax"/>
        </c:scaling>
        <c:delete val="0"/>
        <c:axPos val="b"/>
        <c:numFmt formatCode="0" sourceLinked="1"/>
        <c:majorTickMark val="none"/>
        <c:minorTickMark val="none"/>
        <c:tickLblPos val="nextTo"/>
        <c:spPr>
          <a:noFill/>
          <a:ln w="9525"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ysClr val="windowText"/>
                </a:solidFill>
                <a:latin typeface="Times New Roman" panose="02020603050405020304" pitchFamily="18" charset="0"/>
                <a:ea typeface="+mn-ea"/>
                <a:cs typeface="Times New Roman" panose="02020603050405020304" pitchFamily="18" charset="0"/>
              </a:defRPr>
            </a:pPr>
            <a:endParaRPr lang="ru-RU"/>
          </a:p>
        </c:txPr>
        <c:crossAx val="2"/>
        <c:crosses val="autoZero"/>
        <c:auto val="1"/>
        <c:lblAlgn val="ctr"/>
        <c:lblOffset val="100"/>
        <c:noMultiLvlLbl val="0"/>
      </c:catAx>
      <c:valAx>
        <c:axId val="2"/>
        <c:scaling>
          <c:orientation val="minMax"/>
        </c:scaling>
        <c:delete val="0"/>
        <c:axPos val="l"/>
        <c:majorGridlines>
          <c:spPr>
            <a:ln w="9525"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a:solidFill>
                <a:latin typeface="Times New Roman" panose="02020603050405020304" pitchFamily="18" charset="0"/>
                <a:ea typeface="+mn-ea"/>
                <a:cs typeface="Times New Roman" panose="02020603050405020304" pitchFamily="18" charset="0"/>
              </a:defRPr>
            </a:pPr>
            <a:endParaRPr lang="ru-RU"/>
          </a:p>
        </c:txPr>
        <c:crossAx val="1"/>
        <c:crosses val="autoZero"/>
        <c:crossBetween val="between"/>
      </c:valAx>
      <c:spPr>
        <a:noFill/>
        <a:ln>
          <a:noFill/>
        </a:ln>
        <a:effectLst/>
      </c:spPr>
    </c:plotArea>
    <c:legend>
      <c:legendPos val="b"/>
      <c:layout>
        <c:manualLayout>
          <c:xMode val="edge"/>
          <c:yMode val="edge"/>
          <c:x val="0.019861027598381"/>
          <c:y val="0.763609945774078"/>
          <c:w val="0.951730787754059"/>
          <c:h val="0.205620840191841"/>
        </c:manualLayout>
      </c:layout>
      <c:overlay val="0"/>
      <c:spPr>
        <a:noFill/>
        <a:ln>
          <a:noFill/>
        </a:ln>
        <a:effectLst/>
      </c:spPr>
      <c:txPr>
        <a:bodyPr rot="0" spcFirstLastPara="1" vertOverflow="ellipsis" vert="horz" wrap="square" anchor="ctr" anchorCtr="1"/>
        <a:lstStyle/>
        <a:p>
          <a:pPr>
            <a:defRPr sz="900" b="0" i="0" u="none" strike="noStrike" kern="1200" baseline="0">
              <a:solidFill>
                <a:sysClr val="windowText"/>
              </a:solidFill>
              <a:latin typeface="Times New Roman" panose="02020603050405020304" pitchFamily="18" charset="0"/>
              <a:ea typeface="+mn-ea"/>
              <a:cs typeface="Times New Roman" panose="02020603050405020304" pitchFamily="18" charset="0"/>
            </a:defRPr>
          </a:pPr>
          <a:endParaRPr lang="ru-RU"/>
        </a:p>
      </c:txPr>
    </c:legend>
    <c:plotVisOnly val="1"/>
    <c:dispBlanksAs val="gap"/>
    <c:showDLblsOverMax val="0"/>
  </c:chart>
  <c:spPr>
    <a:solidFill>
      <a:schemeClr val="bg1"/>
    </a:solidFill>
    <a:ln w="9525" cmpd="sng" algn="ctr">
      <a:solidFill>
        <a:schemeClr val="tx1">
          <a:lumMod val="15000"/>
          <a:lumOff val="85000"/>
        </a:schemeClr>
      </a:solidFill>
      <a:round/>
    </a:ln>
    <a:effectLst/>
  </c:spPr>
  <c:txPr>
    <a:bodyPr/>
    <a:lstStyle/>
    <a:p>
      <a:pPr>
        <a:defRPr>
          <a:solidFill>
            <a:sysClr val="windowText"/>
          </a:solidFill>
          <a:latin typeface="Times New Roman" panose="02020603050405020304" pitchFamily="18" charset="0"/>
          <a:cs typeface="Times New Roman" panose="02020603050405020304" pitchFamily="18" charset="0"/>
        </a:defRPr>
      </a:pPr>
      <a:endParaRPr lang="ru-RU"/>
    </a:p>
  </c:txPr>
  <c:externalData r:id="RelChartData4">
    <c:autoUpdate val="0"/>
  </c:externalData>
</c:chartSpace>
</file>

<file path=word/charts/chart5.xml><?xml version="1.0" encoding="utf-8"?>
<c:chartSpace xmlns:c="http://schemas.openxmlformats.org/drawingml/2006/chart" xmlns:r="http://schemas.openxmlformats.org/officeDocument/2006/relationships" xmlns:a="http://schemas.openxmlformats.org/drawingml/2006/main">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spPr>
            <a:solidFill>
              <a:schemeClr val="accent1"/>
            </a:solidFill>
            <a:ln>
              <a:noFill/>
            </a:ln>
            <a:effectLst/>
          </c:spPr>
          <c:invertIfNegative val="0"/>
          <c:cat>
            <c:strRef>
              <c:f>Рисунки!$A$9:$A$13</c:f>
              <c:strCache>
                <c:ptCount val="5"/>
                <c:pt idx="0">
                  <c:v>2-ой квантиль</c:v>
                </c:pt>
                <c:pt idx="1">
                  <c:v>3-ий квантиль</c:v>
                </c:pt>
                <c:pt idx="2">
                  <c:v>4-ый квантиль</c:v>
                </c:pt>
                <c:pt idx="3">
                  <c:v>Беднейший квантиль</c:v>
                </c:pt>
                <c:pt idx="4">
                  <c:v>Богатейший квантиль</c:v>
                </c:pt>
              </c:strCache>
            </c:strRef>
          </c:cat>
          <c:val>
            <c:numRef>
              <c:f>Рисунки!$B$9:$B$13</c:f>
              <c:numCache>
                <c:formatCode>General</c:formatCode>
                <c:ptCount val="5"/>
                <c:pt idx="0">
                  <c:v>7.33680174</c:v>
                </c:pt>
                <c:pt idx="1">
                  <c:v>8.25327852</c:v>
                </c:pt>
                <c:pt idx="2">
                  <c:v>9.64089906</c:v>
                </c:pt>
                <c:pt idx="3">
                  <c:v>6.1854234</c:v>
                </c:pt>
                <c:pt idx="4">
                  <c:v>13.7361222</c:v>
                </c:pt>
              </c:numCache>
            </c:numRef>
          </c:val>
        </c:ser>
        <c:dLbls>
          <c:showLegendKey val="0"/>
          <c:showVal val="0"/>
          <c:showCatName val="0"/>
          <c:showSerName val="0"/>
          <c:showPercent val="0"/>
          <c:showBubbleSize val="0"/>
        </c:dLbls>
        <c:gapWidth val="219"/>
        <c:overlap val="-27"/>
        <c:axId val="1"/>
        <c:axId val="2"/>
      </c:barChart>
      <c:catAx>
        <c:axId val="1"/>
        <c:scaling>
          <c:orientation val="minMax"/>
        </c:scaling>
        <c:delete val="0"/>
        <c:axPos val="b"/>
        <c:majorTickMark val="none"/>
        <c:minorTickMark val="none"/>
        <c:tickLblPos val="nextTo"/>
        <c:spPr>
          <a:noFill/>
          <a:ln w="9525"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ysClr val="windowText"/>
                </a:solidFill>
                <a:latin typeface="Times New Roman" panose="02020603050405020304" pitchFamily="18" charset="0"/>
                <a:ea typeface="+mn-ea"/>
                <a:cs typeface="Times New Roman" panose="02020603050405020304" pitchFamily="18" charset="0"/>
              </a:defRPr>
            </a:pPr>
            <a:endParaRPr lang="ru-RU"/>
          </a:p>
        </c:txPr>
        <c:crossAx val="2"/>
        <c:crosses val="autoZero"/>
        <c:auto val="1"/>
        <c:lblAlgn val="ctr"/>
        <c:lblOffset val="100"/>
        <c:noMultiLvlLbl val="0"/>
      </c:catAx>
      <c:valAx>
        <c:axId val="2"/>
        <c:scaling>
          <c:orientation val="minMax"/>
        </c:scaling>
        <c:delete val="0"/>
        <c:axPos val="l"/>
        <c:majorGridlines>
          <c:spPr>
            <a:ln w="9525" cmpd="sng" algn="ctr">
              <a:solidFill>
                <a:schemeClr val="tx1">
                  <a:lumMod val="15000"/>
                  <a:lumOff val="85000"/>
                </a:schemeClr>
              </a:solidFill>
              <a:round/>
            </a:ln>
            <a:effectLst/>
          </c:spPr>
        </c:majorGridlines>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a:solidFill>
                <a:latin typeface="Times New Roman" panose="02020603050405020304" pitchFamily="18" charset="0"/>
                <a:ea typeface="+mn-ea"/>
                <a:cs typeface="Times New Roman" panose="02020603050405020304" pitchFamily="18" charset="0"/>
              </a:defRPr>
            </a:pPr>
            <a:endParaRPr lang="ru-RU"/>
          </a:p>
        </c:txPr>
        <c:crossAx val="1"/>
        <c:crosses val="autoZero"/>
        <c:crossBetween val="between"/>
      </c:valAx>
      <c:spPr>
        <a:noFill/>
        <a:ln>
          <a:noFill/>
        </a:ln>
        <a:effectLst/>
      </c:spPr>
    </c:plotArea>
    <c:plotVisOnly val="1"/>
    <c:dispBlanksAs val="gap"/>
    <c:showDLblsOverMax val="0"/>
  </c:chart>
  <c:spPr>
    <a:solidFill>
      <a:schemeClr val="bg1"/>
    </a:solidFill>
    <a:ln w="9525" cmpd="sng" algn="ctr">
      <a:solidFill>
        <a:schemeClr val="tx1">
          <a:lumMod val="15000"/>
          <a:lumOff val="85000"/>
        </a:schemeClr>
      </a:solidFill>
      <a:round/>
    </a:ln>
    <a:effectLst/>
  </c:spPr>
  <c:txPr>
    <a:bodyPr/>
    <a:lstStyle/>
    <a:p>
      <a:pPr>
        <a:defRPr>
          <a:solidFill>
            <a:sysClr val="windowText"/>
          </a:solidFill>
          <a:latin typeface="Times New Roman" panose="02020603050405020304" pitchFamily="18" charset="0"/>
          <a:cs typeface="Times New Roman" panose="02020603050405020304" pitchFamily="18" charset="0"/>
        </a:defRPr>
      </a:pPr>
      <a:endParaRPr lang="ru-RU"/>
    </a:p>
  </c:txPr>
  <c:externalData r:id="RelChartData5">
    <c:autoUpdate val="0"/>
  </c:externalData>
</c:chartSpace>
</file>

<file path=word/charts/chart6.xml><?xml version="1.0" encoding="utf-8"?>
<c:chartSpace xmlns:c="http://schemas.openxmlformats.org/drawingml/2006/chart" xmlns:r="http://schemas.openxmlformats.org/officeDocument/2006/relationships" xmlns:a="http://schemas.openxmlformats.org/drawingml/2006/main">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spPr>
            <a:solidFill>
              <a:schemeClr val="accent1"/>
            </a:solidFill>
            <a:ln>
              <a:noFill/>
            </a:ln>
            <a:effectLst/>
          </c:spPr>
          <c:invertIfNegative val="0"/>
          <c:cat>
            <c:strRef>
              <c:f>Рисунки!$A$15:$A$19</c:f>
              <c:strCache>
                <c:ptCount val="5"/>
                <c:pt idx="0">
                  <c:v>2-ой квантиль</c:v>
                </c:pt>
                <c:pt idx="1">
                  <c:v>3-ий квантиль</c:v>
                </c:pt>
                <c:pt idx="2">
                  <c:v>4-ый квантиль</c:v>
                </c:pt>
                <c:pt idx="3">
                  <c:v>Беднейший квантиль</c:v>
                </c:pt>
                <c:pt idx="4">
                  <c:v>Богатейший квантиль</c:v>
                </c:pt>
              </c:strCache>
            </c:strRef>
          </c:cat>
          <c:val>
            <c:numRef>
              <c:f>Рисунки!$B$15:$B$19</c:f>
              <c:numCache>
                <c:formatCode>0.00</c:formatCode>
                <c:ptCount val="5"/>
                <c:pt idx="0" formatCode="0.00">
                  <c:v>34.15129</c:v>
                </c:pt>
                <c:pt idx="1" formatCode="0.00">
                  <c:v>31.47882</c:v>
                </c:pt>
                <c:pt idx="2" formatCode="0.00">
                  <c:v>22.66683</c:v>
                </c:pt>
                <c:pt idx="3" formatCode="0.00">
                  <c:v>36.46498</c:v>
                </c:pt>
                <c:pt idx="4" formatCode="0.00">
                  <c:v>11.40251</c:v>
                </c:pt>
              </c:numCache>
            </c:numRef>
          </c:val>
        </c:ser>
        <c:dLbls>
          <c:showLegendKey val="0"/>
          <c:showVal val="0"/>
          <c:showCatName val="0"/>
          <c:showSerName val="0"/>
          <c:showPercent val="0"/>
          <c:showBubbleSize val="0"/>
        </c:dLbls>
        <c:gapWidth val="219"/>
        <c:overlap val="-27"/>
        <c:axId val="1"/>
        <c:axId val="2"/>
      </c:barChart>
      <c:catAx>
        <c:axId val="1"/>
        <c:scaling>
          <c:orientation val="minMax"/>
        </c:scaling>
        <c:delete val="0"/>
        <c:axPos val="b"/>
        <c:majorTickMark val="none"/>
        <c:minorTickMark val="none"/>
        <c:tickLblPos val="nextTo"/>
        <c:spPr>
          <a:noFill/>
          <a:ln w="9525"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ysClr val="windowText"/>
                </a:solidFill>
                <a:latin typeface="Times New Roman" panose="02020603050405020304" pitchFamily="18" charset="0"/>
                <a:ea typeface="+mn-ea"/>
                <a:cs typeface="Times New Roman" panose="02020603050405020304" pitchFamily="18" charset="0"/>
              </a:defRPr>
            </a:pPr>
            <a:endParaRPr lang="ru-RU"/>
          </a:p>
        </c:txPr>
        <c:crossAx val="2"/>
        <c:crosses val="autoZero"/>
        <c:auto val="1"/>
        <c:lblAlgn val="ctr"/>
        <c:lblOffset val="100"/>
        <c:noMultiLvlLbl val="0"/>
      </c:catAx>
      <c:valAx>
        <c:axId val="2"/>
        <c:scaling>
          <c:orientation val="minMax"/>
        </c:scaling>
        <c:delete val="0"/>
        <c:axPos val="l"/>
        <c:majorGridlines>
          <c:spPr>
            <a:ln w="9525"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a:solidFill>
                <a:latin typeface="Times New Roman" panose="02020603050405020304" pitchFamily="18" charset="0"/>
                <a:ea typeface="+mn-ea"/>
                <a:cs typeface="Times New Roman" panose="02020603050405020304" pitchFamily="18" charset="0"/>
              </a:defRPr>
            </a:pPr>
            <a:endParaRPr lang="ru-RU"/>
          </a:p>
        </c:txPr>
        <c:crossAx val="1"/>
        <c:crosses val="autoZero"/>
        <c:crossBetween val="between"/>
      </c:valAx>
      <c:spPr>
        <a:noFill/>
        <a:ln>
          <a:noFill/>
        </a:ln>
        <a:effectLst/>
      </c:spPr>
    </c:plotArea>
    <c:plotVisOnly val="1"/>
    <c:dispBlanksAs val="gap"/>
    <c:showDLblsOverMax val="0"/>
  </c:chart>
  <c:spPr>
    <a:solidFill>
      <a:schemeClr val="bg1"/>
    </a:solidFill>
    <a:ln w="9525" cmpd="sng" algn="ctr">
      <a:solidFill>
        <a:schemeClr val="tx1">
          <a:lumMod val="15000"/>
          <a:lumOff val="85000"/>
        </a:schemeClr>
      </a:solidFill>
      <a:round/>
    </a:ln>
    <a:effectLst/>
  </c:spPr>
  <c:txPr>
    <a:bodyPr/>
    <a:lstStyle/>
    <a:p>
      <a:pPr>
        <a:defRPr>
          <a:solidFill>
            <a:sysClr val="windowText"/>
          </a:solidFill>
          <a:latin typeface="Times New Roman" panose="02020603050405020304" pitchFamily="18" charset="0"/>
          <a:cs typeface="Times New Roman" panose="02020603050405020304" pitchFamily="18" charset="0"/>
        </a:defRPr>
      </a:pPr>
      <a:endParaRPr lang="ru-RU"/>
    </a:p>
  </c:txPr>
  <c:externalData r:id="RelChartData6">
    <c:autoUpdate val="0"/>
  </c:externalData>
</c:chartSpace>
</file>

<file path=word/charts/chart7.xml><?xml version="1.0" encoding="utf-8"?>
<c:chartSpace xmlns:c="http://schemas.openxmlformats.org/drawingml/2006/chart" xmlns:r="http://schemas.openxmlformats.org/officeDocument/2006/relationships" xmlns:a="http://schemas.openxmlformats.org/drawingml/2006/main">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clustered"/>
        <c:varyColors val="0"/>
        <c:ser>
          <c:idx val="0"/>
          <c:order val="0"/>
          <c:tx>
            <c:strRef>
              <c:f>Рисунки!$B$23</c:f>
              <c:strCache>
                <c:ptCount val="1"/>
                <c:pt idx="0">
                  <c:v>2015</c:v>
                </c:pt>
              </c:strCache>
            </c:strRef>
          </c:tx>
          <c:spPr>
            <a:solidFill>
              <a:schemeClr val="accent1"/>
            </a:solidFill>
            <a:ln>
              <a:noFill/>
            </a:ln>
            <a:effectLst/>
          </c:spPr>
          <c:invertIfNegative val="0"/>
          <c:cat>
            <c:strRef>
              <c:f>Рисунки!$A$24:$A$29</c:f>
              <c:strCache>
                <c:ptCount val="6"/>
                <c:pt idx="0">
                  <c:v>Индекс человеческого капитала (HCI), женщины</c:v>
                </c:pt>
                <c:pt idx="1">
                  <c:v>Индекс человеческого капитала (HCI), женщины, нижняя граница </c:v>
                </c:pt>
                <c:pt idx="2">
                  <c:v>Индекс человеческого капитала (HCI), женщины, верхняя граница </c:v>
                </c:pt>
                <c:pt idx="3">
                  <c:v>Индекс человеческого капитала (HCI), мужчины </c:v>
                </c:pt>
                <c:pt idx="4">
                  <c:v>Индекс человеческого капитала (HCI), мужчины, нижняя граница</c:v>
                </c:pt>
                <c:pt idx="5">
                  <c:v>Индекс человеческого капитала (HCI), мужчины, верхняя граница </c:v>
                </c:pt>
              </c:strCache>
            </c:strRef>
          </c:cat>
          <c:val>
            <c:numRef>
              <c:f>Рисунки!$B$24:$B$29</c:f>
              <c:numCache>
                <c:formatCode>0.00</c:formatCode>
                <c:ptCount val="6"/>
                <c:pt idx="0" formatCode="0.00">
                  <c:v>0.323</c:v>
                </c:pt>
                <c:pt idx="1" formatCode="0.00">
                  <c:v>0.302</c:v>
                </c:pt>
                <c:pt idx="2" formatCode="0.00">
                  <c:v>0.342</c:v>
                </c:pt>
                <c:pt idx="3" formatCode="0.00">
                  <c:v>0.325</c:v>
                </c:pt>
                <c:pt idx="4" formatCode="0.00">
                  <c:v>0.303</c:v>
                </c:pt>
                <c:pt idx="5" formatCode="0.00">
                  <c:v>0.345</c:v>
                </c:pt>
              </c:numCache>
            </c:numRef>
          </c:val>
        </c:ser>
        <c:ser>
          <c:idx val="1"/>
          <c:order val="1"/>
          <c:tx>
            <c:strRef>
              <c:f>Рисунки!$C$23</c:f>
              <c:strCache>
                <c:ptCount val="1"/>
                <c:pt idx="0">
                  <c:v>2020</c:v>
                </c:pt>
              </c:strCache>
            </c:strRef>
          </c:tx>
          <c:spPr>
            <a:solidFill>
              <a:schemeClr val="accent2"/>
            </a:solidFill>
            <a:ln>
              <a:noFill/>
            </a:ln>
            <a:effectLst/>
          </c:spPr>
          <c:invertIfNegative val="0"/>
          <c:cat>
            <c:strRef>
              <c:f>Рисунки!$A$24:$A$29</c:f>
              <c:strCache>
                <c:ptCount val="6"/>
                <c:pt idx="0">
                  <c:v>Индекс человеческого капитала (HCI), женщины</c:v>
                </c:pt>
                <c:pt idx="1">
                  <c:v>Индекс человеческого капитала (HCI), женщины, нижняя граница </c:v>
                </c:pt>
                <c:pt idx="2">
                  <c:v>Индекс человеческого капитала (HCI), женщины, верхняя граница </c:v>
                </c:pt>
                <c:pt idx="3">
                  <c:v>Индекс человеческого капитала (HCI), мужчины </c:v>
                </c:pt>
                <c:pt idx="4">
                  <c:v>Индекс человеческого капитала (HCI), мужчины, нижняя граница</c:v>
                </c:pt>
                <c:pt idx="5">
                  <c:v>Индекс человеческого капитала (HCI), мужчины, верхняя граница </c:v>
                </c:pt>
              </c:strCache>
            </c:strRef>
          </c:cat>
          <c:val>
            <c:numRef>
              <c:f>Рисунки!$C$24:$C$29</c:f>
              <c:numCache>
                <c:formatCode>0.00</c:formatCode>
                <c:ptCount val="6"/>
                <c:pt idx="0" formatCode="0.00">
                  <c:v>0.377775401</c:v>
                </c:pt>
                <c:pt idx="1" formatCode="0.00">
                  <c:v>0.358280152</c:v>
                </c:pt>
                <c:pt idx="2" formatCode="0.00">
                  <c:v>0.396515399</c:v>
                </c:pt>
                <c:pt idx="3" formatCode="0.00">
                  <c:v>0.382482678</c:v>
                </c:pt>
                <c:pt idx="4" formatCode="0.00">
                  <c:v>0.361157805</c:v>
                </c:pt>
                <c:pt idx="5" formatCode="0.00">
                  <c:v>0.403073192</c:v>
                </c:pt>
              </c:numCache>
            </c:numRef>
          </c:val>
        </c:ser>
        <c:dLbls>
          <c:showLegendKey val="0"/>
          <c:showVal val="0"/>
          <c:showCatName val="0"/>
          <c:showSerName val="0"/>
          <c:showPercent val="0"/>
          <c:showBubbleSize val="0"/>
        </c:dLbls>
        <c:gapWidth val="182"/>
        <c:axId val="1"/>
        <c:axId val="2"/>
      </c:barChart>
      <c:catAx>
        <c:axId val="1"/>
        <c:scaling>
          <c:orientation val="minMax"/>
        </c:scaling>
        <c:delete val="0"/>
        <c:axPos val="l"/>
        <c:majorTickMark val="none"/>
        <c:minorTickMark val="none"/>
        <c:tickLblPos val="nextTo"/>
        <c:spPr>
          <a:noFill/>
          <a:ln w="9525"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ysClr val="windowText"/>
                </a:solidFill>
                <a:latin typeface="Times New Roman" panose="02020603050405020304" pitchFamily="18" charset="0"/>
                <a:ea typeface="+mn-ea"/>
                <a:cs typeface="Times New Roman" panose="02020603050405020304" pitchFamily="18" charset="0"/>
              </a:defRPr>
            </a:pPr>
            <a:endParaRPr lang="ru-RU"/>
          </a:p>
        </c:txPr>
        <c:crossAx val="2"/>
        <c:crosses val="autoZero"/>
        <c:auto val="1"/>
        <c:lblAlgn val="ctr"/>
        <c:lblOffset val="100"/>
        <c:noMultiLvlLbl val="0"/>
      </c:catAx>
      <c:valAx>
        <c:axId val="2"/>
        <c:scaling>
          <c:orientation val="minMax"/>
        </c:scaling>
        <c:delete val="0"/>
        <c:axPos val="b"/>
        <c:majorGridlines>
          <c:spPr>
            <a:ln w="9525"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a:solidFill>
                <a:latin typeface="Times New Roman" panose="02020603050405020304" pitchFamily="18" charset="0"/>
                <a:ea typeface="+mn-ea"/>
                <a:cs typeface="Times New Roman" panose="02020603050405020304" pitchFamily="18" charset="0"/>
              </a:defRPr>
            </a:pPr>
            <a:endParaRPr lang="ru-RU"/>
          </a:p>
        </c:txPr>
        <c:crossAx val="1"/>
        <c:crosses val="autoZero"/>
        <c:crossBetween val="between"/>
      </c:valAx>
      <c:spPr>
        <a:noFill/>
        <a:ln>
          <a:noFill/>
        </a:ln>
        <a:effectLst/>
      </c:spPr>
    </c:plotArea>
    <c:legend>
      <c:legendPos val="b"/>
      <c:layout/>
      <c:overlay val="0"/>
      <c:spPr>
        <a:noFill/>
        <a:ln>
          <a:noFill/>
        </a:ln>
        <a:effectLst/>
      </c:spPr>
      <c:txPr>
        <a:bodyPr rot="0" spcFirstLastPara="1" vertOverflow="ellipsis" vert="horz" wrap="square" anchor="ctr" anchorCtr="1"/>
        <a:lstStyle/>
        <a:p>
          <a:pPr>
            <a:defRPr sz="900" b="0" i="0" u="none" strike="noStrike" kern="1200" baseline="0">
              <a:solidFill>
                <a:sysClr val="windowText"/>
              </a:solidFill>
              <a:latin typeface="Times New Roman" panose="02020603050405020304" pitchFamily="18" charset="0"/>
              <a:ea typeface="+mn-ea"/>
              <a:cs typeface="Times New Roman" panose="02020603050405020304" pitchFamily="18" charset="0"/>
            </a:defRPr>
          </a:pPr>
          <a:endParaRPr lang="ru-RU"/>
        </a:p>
      </c:txPr>
    </c:legend>
    <c:plotVisOnly val="1"/>
    <c:dispBlanksAs val="gap"/>
    <c:showDLblsOverMax val="0"/>
  </c:chart>
  <c:spPr>
    <a:solidFill>
      <a:schemeClr val="bg1"/>
    </a:solidFill>
    <a:ln w="9525" cmpd="sng" algn="ctr">
      <a:solidFill>
        <a:schemeClr val="tx1">
          <a:lumMod val="15000"/>
          <a:lumOff val="85000"/>
        </a:schemeClr>
      </a:solidFill>
      <a:round/>
    </a:ln>
    <a:effectLst/>
  </c:spPr>
  <c:txPr>
    <a:bodyPr/>
    <a:lstStyle/>
    <a:p>
      <a:pPr>
        <a:defRPr>
          <a:solidFill>
            <a:sysClr val="windowText"/>
          </a:solidFill>
          <a:latin typeface="Times New Roman" panose="02020603050405020304" pitchFamily="18" charset="0"/>
          <a:cs typeface="Times New Roman" panose="02020603050405020304" pitchFamily="18" charset="0"/>
        </a:defRPr>
      </a:pPr>
      <a:endParaRPr lang="ru-RU"/>
    </a:p>
  </c:txPr>
  <c:externalData r:id="RelChartData7">
    <c:autoUpdate val="0"/>
  </c:externalData>
</c:chartSpace>
</file>

<file path=word/charts/chart8.xml><?xml version="1.0" encoding="utf-8"?>
<c:chartSpace xmlns:c="http://schemas.openxmlformats.org/drawingml/2006/chart" xmlns:r="http://schemas.openxmlformats.org/officeDocument/2006/relationships" xmlns:a="http://schemas.openxmlformats.org/drawingml/2006/main">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Исходные!$A$825</c:f>
              <c:strCache>
                <c:ptCount val="1"/>
                <c:pt idx="0">
                  <c:v>Смертность детей в возрасте до 5 лет, девочки </c:v>
                </c:pt>
              </c:strCache>
            </c:strRef>
          </c:tx>
          <c:spPr>
            <a:ln w="28575" cap="rnd">
              <a:solidFill>
                <a:schemeClr val="tx1"/>
              </a:solidFill>
              <a:prstDash val="dash"/>
              <a:round/>
            </a:ln>
            <a:effectLst/>
          </c:spPr>
          <c:marker>
            <c:symbol val="none"/>
          </c:marker>
          <c:cat>
            <c:numRef>
              <c:f>Исходные!$B$1:$K$1</c:f>
              <c:numCache>
                <c:formatCode>0</c:formatCode>
                <c:ptCount val="10"/>
                <c:pt idx="0" formatCode="0">
                  <c:v>2012</c:v>
                </c:pt>
                <c:pt idx="1" formatCode="0">
                  <c:v>2013</c:v>
                </c:pt>
                <c:pt idx="2" formatCode="0">
                  <c:v>2014</c:v>
                </c:pt>
                <c:pt idx="3" formatCode="0">
                  <c:v>2015</c:v>
                </c:pt>
                <c:pt idx="4" formatCode="0">
                  <c:v>2016</c:v>
                </c:pt>
                <c:pt idx="5" formatCode="0">
                  <c:v>2017</c:v>
                </c:pt>
                <c:pt idx="6" formatCode="0">
                  <c:v>2018</c:v>
                </c:pt>
                <c:pt idx="7" formatCode="0">
                  <c:v>2019</c:v>
                </c:pt>
                <c:pt idx="8" formatCode="0">
                  <c:v>2020</c:v>
                </c:pt>
                <c:pt idx="9" formatCode="0">
                  <c:v>2021</c:v>
                </c:pt>
              </c:numCache>
            </c:numRef>
          </c:cat>
          <c:val>
            <c:numRef>
              <c:f>Исходные!$B$825:$K$825</c:f>
              <c:numCache>
                <c:formatCode>0.00</c:formatCode>
                <c:ptCount val="10"/>
                <c:pt idx="0" formatCode="0.00">
                  <c:v>89.8</c:v>
                </c:pt>
                <c:pt idx="1" formatCode="0.00">
                  <c:v>86.8</c:v>
                </c:pt>
                <c:pt idx="2" formatCode="0.00">
                  <c:v>83.7</c:v>
                </c:pt>
                <c:pt idx="3" formatCode="0.00">
                  <c:v>81</c:v>
                </c:pt>
                <c:pt idx="4" formatCode="0.00">
                  <c:v>78.7</c:v>
                </c:pt>
                <c:pt idx="5" formatCode="0.00">
                  <c:v>76.5</c:v>
                </c:pt>
                <c:pt idx="6" formatCode="0.00">
                  <c:v>74</c:v>
                </c:pt>
                <c:pt idx="7" formatCode="0.00">
                  <c:v>71.2</c:v>
                </c:pt>
                <c:pt idx="8" formatCode="0.00">
                  <c:v>68.9</c:v>
                </c:pt>
                <c:pt idx="9" formatCode="0.00">
                  <c:v>66.7</c:v>
                </c:pt>
              </c:numCache>
            </c:numRef>
          </c:val>
          <c:smooth val="0"/>
        </c:ser>
        <c:ser>
          <c:idx val="1"/>
          <c:order val="1"/>
          <c:tx>
            <c:strRef>
              <c:f>Исходные!$A$826</c:f>
              <c:strCache>
                <c:ptCount val="1"/>
                <c:pt idx="0">
                  <c:v>Смертность детей в возрасте до 5 лет, мальчики </c:v>
                </c:pt>
              </c:strCache>
            </c:strRef>
          </c:tx>
          <c:spPr>
            <a:ln w="28575" cap="rnd">
              <a:solidFill>
                <a:schemeClr val="tx1"/>
              </a:solidFill>
              <a:round/>
            </a:ln>
            <a:effectLst/>
          </c:spPr>
          <c:marker>
            <c:symbol val="none"/>
          </c:marker>
          <c:cat>
            <c:numRef>
              <c:f>Исходные!$B$1:$K$1</c:f>
              <c:numCache>
                <c:formatCode>0</c:formatCode>
                <c:ptCount val="10"/>
                <c:pt idx="0" formatCode="0">
                  <c:v>2012</c:v>
                </c:pt>
                <c:pt idx="1" formatCode="0">
                  <c:v>2013</c:v>
                </c:pt>
                <c:pt idx="2" formatCode="0">
                  <c:v>2014</c:v>
                </c:pt>
                <c:pt idx="3" formatCode="0">
                  <c:v>2015</c:v>
                </c:pt>
                <c:pt idx="4" formatCode="0">
                  <c:v>2016</c:v>
                </c:pt>
                <c:pt idx="5" formatCode="0">
                  <c:v>2017</c:v>
                </c:pt>
                <c:pt idx="6" formatCode="0">
                  <c:v>2018</c:v>
                </c:pt>
                <c:pt idx="7" formatCode="0">
                  <c:v>2019</c:v>
                </c:pt>
                <c:pt idx="8" formatCode="0">
                  <c:v>2020</c:v>
                </c:pt>
                <c:pt idx="9" formatCode="0">
                  <c:v>2021</c:v>
                </c:pt>
              </c:numCache>
            </c:numRef>
          </c:cat>
          <c:val>
            <c:numRef>
              <c:f>Исходные!$B$826:$K$826</c:f>
              <c:numCache>
                <c:formatCode>0.00</c:formatCode>
                <c:ptCount val="10"/>
                <c:pt idx="0" formatCode="0.00">
                  <c:v>110</c:v>
                </c:pt>
                <c:pt idx="1" formatCode="0.00">
                  <c:v>106.4</c:v>
                </c:pt>
                <c:pt idx="2" formatCode="0.00">
                  <c:v>102.8</c:v>
                </c:pt>
                <c:pt idx="3" formatCode="0.00">
                  <c:v>99.5</c:v>
                </c:pt>
                <c:pt idx="4" formatCode="0.00">
                  <c:v>97</c:v>
                </c:pt>
                <c:pt idx="5" formatCode="0.00">
                  <c:v>94.3</c:v>
                </c:pt>
                <c:pt idx="6" formatCode="0.00">
                  <c:v>91.2</c:v>
                </c:pt>
                <c:pt idx="7" formatCode="0.00">
                  <c:v>87.9</c:v>
                </c:pt>
                <c:pt idx="8" formatCode="0.00">
                  <c:v>85.2</c:v>
                </c:pt>
                <c:pt idx="9" formatCode="0.00">
                  <c:v>82.5</c:v>
                </c:pt>
              </c:numCache>
            </c:numRef>
          </c:val>
          <c:smooth val="0"/>
        </c:ser>
        <c:dLbls>
          <c:showLegendKey val="0"/>
          <c:showVal val="0"/>
          <c:showCatName val="0"/>
          <c:showSerName val="0"/>
          <c:showPercent val="0"/>
          <c:showBubbleSize val="0"/>
        </c:dLbls>
        <c:marker val="1"/>
        <c:smooth val="0"/>
        <c:axId val="1"/>
        <c:axId val="2"/>
      </c:lineChart>
      <c:catAx>
        <c:axId val="1"/>
        <c:scaling>
          <c:orientation val="minMax"/>
        </c:scaling>
        <c:delete val="0"/>
        <c:axPos val="b"/>
        <c:numFmt formatCode="0" sourceLinked="1"/>
        <c:majorTickMark val="none"/>
        <c:minorTickMark val="none"/>
        <c:tickLblPos val="nextTo"/>
        <c:spPr>
          <a:noFill/>
          <a:ln w="9525"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ysClr val="windowText"/>
                </a:solidFill>
                <a:latin typeface="Times New Roman" panose="02020603050405020304" pitchFamily="18" charset="0"/>
                <a:ea typeface="+mn-ea"/>
                <a:cs typeface="Times New Roman" panose="02020603050405020304" pitchFamily="18" charset="0"/>
              </a:defRPr>
            </a:pPr>
            <a:endParaRPr lang="ru-RU"/>
          </a:p>
        </c:txPr>
        <c:crossAx val="2"/>
        <c:crosses val="autoZero"/>
        <c:auto val="1"/>
        <c:lblAlgn val="ctr"/>
        <c:lblOffset val="100"/>
        <c:noMultiLvlLbl val="0"/>
      </c:catAx>
      <c:valAx>
        <c:axId val="2"/>
        <c:scaling>
          <c:orientation val="minMax"/>
          <c:min val="50"/>
        </c:scaling>
        <c:delete val="0"/>
        <c:axPos val="l"/>
        <c:majorGridlines>
          <c:spPr>
            <a:ln w="9525"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a:solidFill>
                <a:latin typeface="Times New Roman" panose="02020603050405020304" pitchFamily="18" charset="0"/>
                <a:ea typeface="+mn-ea"/>
                <a:cs typeface="Times New Roman" panose="02020603050405020304" pitchFamily="18" charset="0"/>
              </a:defRPr>
            </a:pPr>
            <a:endParaRPr lang="ru-RU"/>
          </a:p>
        </c:txPr>
        <c:crossAx val="1"/>
        <c:crosses val="autoZero"/>
        <c:crossBetween val="between"/>
      </c:valAx>
      <c:spPr>
        <a:noFill/>
        <a:ln>
          <a:noFill/>
        </a:ln>
        <a:effectLst/>
      </c:spPr>
    </c:plotArea>
    <c:legend>
      <c:legendPos val="b"/>
      <c:layout/>
      <c:overlay val="0"/>
      <c:spPr>
        <a:noFill/>
        <a:ln>
          <a:noFill/>
        </a:ln>
        <a:effectLst/>
      </c:spPr>
      <c:txPr>
        <a:bodyPr rot="0" spcFirstLastPara="1" vertOverflow="ellipsis" vert="horz" wrap="square" anchor="ctr" anchorCtr="1"/>
        <a:lstStyle/>
        <a:p>
          <a:pPr>
            <a:defRPr sz="900" b="0" i="0" u="none" strike="noStrike" kern="1200" baseline="0">
              <a:solidFill>
                <a:sysClr val="windowText"/>
              </a:solidFill>
              <a:latin typeface="Times New Roman" panose="02020603050405020304" pitchFamily="18" charset="0"/>
              <a:ea typeface="+mn-ea"/>
              <a:cs typeface="Times New Roman" panose="02020603050405020304" pitchFamily="18" charset="0"/>
            </a:defRPr>
          </a:pPr>
          <a:endParaRPr lang="ru-RU"/>
        </a:p>
      </c:txPr>
    </c:legend>
    <c:plotVisOnly val="1"/>
    <c:dispBlanksAs val="gap"/>
    <c:showDLblsOverMax val="0"/>
  </c:chart>
  <c:spPr>
    <a:solidFill>
      <a:schemeClr val="bg1"/>
    </a:solidFill>
    <a:ln w="9525" cmpd="sng" algn="ctr">
      <a:solidFill>
        <a:schemeClr val="tx1">
          <a:lumMod val="15000"/>
          <a:lumOff val="85000"/>
        </a:schemeClr>
      </a:solidFill>
      <a:round/>
    </a:ln>
    <a:effectLst/>
  </c:spPr>
  <c:txPr>
    <a:bodyPr/>
    <a:lstStyle/>
    <a:p>
      <a:pPr>
        <a:defRPr>
          <a:solidFill>
            <a:sysClr val="windowText"/>
          </a:solidFill>
          <a:latin typeface="Times New Roman" panose="02020603050405020304" pitchFamily="18" charset="0"/>
          <a:cs typeface="Times New Roman" panose="02020603050405020304" pitchFamily="18" charset="0"/>
        </a:defRPr>
      </a:pPr>
      <a:endParaRPr lang="ru-RU"/>
    </a:p>
  </c:txPr>
  <c:externalData r:id="RelChartData8">
    <c:autoUpdate val="0"/>
  </c:externalData>
</c:chartSpace>
</file>

<file path=word/charts/chart9.xml><?xml version="1.0" encoding="utf-8"?>
<c:chartSpace xmlns:c="http://schemas.openxmlformats.org/drawingml/2006/chart" xmlns:r="http://schemas.openxmlformats.org/officeDocument/2006/relationships" xmlns:a="http://schemas.openxmlformats.org/drawingml/2006/main">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Исходные!$A$728</c:f>
              <c:strCache>
                <c:ptCount val="1"/>
                <c:pt idx="0">
                  <c:v>Ожидаемая продолжительность жизни при рождении, женщины (лет)</c:v>
                </c:pt>
              </c:strCache>
            </c:strRef>
          </c:tx>
          <c:spPr>
            <a:ln w="28575" cap="rnd">
              <a:solidFill>
                <a:schemeClr val="tx1"/>
              </a:solidFill>
              <a:round/>
            </a:ln>
            <a:effectLst/>
          </c:spPr>
          <c:marker>
            <c:symbol val="none"/>
          </c:marker>
          <c:cat>
            <c:numRef>
              <c:f>Исходные!$B$1:$K$1</c:f>
              <c:numCache>
                <c:formatCode>0</c:formatCode>
                <c:ptCount val="10"/>
                <c:pt idx="0" formatCode="0">
                  <c:v>2012</c:v>
                </c:pt>
                <c:pt idx="1" formatCode="0">
                  <c:v>2013</c:v>
                </c:pt>
                <c:pt idx="2" formatCode="0">
                  <c:v>2014</c:v>
                </c:pt>
                <c:pt idx="3" formatCode="0">
                  <c:v>2015</c:v>
                </c:pt>
                <c:pt idx="4" formatCode="0">
                  <c:v>2016</c:v>
                </c:pt>
                <c:pt idx="5" formatCode="0">
                  <c:v>2017</c:v>
                </c:pt>
                <c:pt idx="6" formatCode="0">
                  <c:v>2018</c:v>
                </c:pt>
                <c:pt idx="7" formatCode="0">
                  <c:v>2019</c:v>
                </c:pt>
                <c:pt idx="8" formatCode="0">
                  <c:v>2020</c:v>
                </c:pt>
                <c:pt idx="9" formatCode="0">
                  <c:v>2021</c:v>
                </c:pt>
              </c:numCache>
            </c:numRef>
          </c:cat>
          <c:val>
            <c:numRef>
              <c:f>Исходные!$B$728:$K$728</c:f>
              <c:numCache>
                <c:formatCode>0.00</c:formatCode>
                <c:ptCount val="10"/>
                <c:pt idx="0" formatCode="0.00">
                  <c:v>57.339</c:v>
                </c:pt>
                <c:pt idx="1" formatCode="0.00">
                  <c:v>58.024</c:v>
                </c:pt>
                <c:pt idx="2" formatCode="0.00">
                  <c:v>58.263</c:v>
                </c:pt>
                <c:pt idx="3" formatCode="0.00">
                  <c:v>58.947</c:v>
                </c:pt>
                <c:pt idx="4" formatCode="0.00">
                  <c:v>59.069</c:v>
                </c:pt>
                <c:pt idx="5" formatCode="0.00">
                  <c:v>59.723</c:v>
                </c:pt>
                <c:pt idx="6" formatCode="0.00">
                  <c:v>59.94</c:v>
                </c:pt>
                <c:pt idx="7" formatCode="0.00">
                  <c:v>60.59</c:v>
                </c:pt>
                <c:pt idx="8" formatCode="0.00">
                  <c:v>60.351</c:v>
                </c:pt>
                <c:pt idx="9" formatCode="0.00">
                  <c:v>60.86</c:v>
                </c:pt>
              </c:numCache>
            </c:numRef>
          </c:val>
          <c:smooth val="0"/>
        </c:ser>
        <c:ser>
          <c:idx val="1"/>
          <c:order val="1"/>
          <c:tx>
            <c:strRef>
              <c:f>Исходные!$A$729</c:f>
              <c:strCache>
                <c:ptCount val="1"/>
                <c:pt idx="0">
                  <c:v>Ожидаемая продолжительность жизни при рождении, мужчины (лет)</c:v>
                </c:pt>
              </c:strCache>
            </c:strRef>
          </c:tx>
          <c:spPr>
            <a:ln w="28575" cap="rnd">
              <a:solidFill>
                <a:schemeClr val="tx1"/>
              </a:solidFill>
              <a:prstDash val="dash"/>
              <a:round/>
            </a:ln>
            <a:effectLst/>
          </c:spPr>
          <c:marker>
            <c:symbol val="none"/>
          </c:marker>
          <c:cat>
            <c:numRef>
              <c:f>Исходные!$B$1:$K$1</c:f>
              <c:numCache>
                <c:formatCode>0</c:formatCode>
                <c:ptCount val="10"/>
                <c:pt idx="0" formatCode="0">
                  <c:v>2012</c:v>
                </c:pt>
                <c:pt idx="1" formatCode="0">
                  <c:v>2013</c:v>
                </c:pt>
                <c:pt idx="2" formatCode="0">
                  <c:v>2014</c:v>
                </c:pt>
                <c:pt idx="3" formatCode="0">
                  <c:v>2015</c:v>
                </c:pt>
                <c:pt idx="4" formatCode="0">
                  <c:v>2016</c:v>
                </c:pt>
                <c:pt idx="5" formatCode="0">
                  <c:v>2017</c:v>
                </c:pt>
                <c:pt idx="6" formatCode="0">
                  <c:v>2018</c:v>
                </c:pt>
                <c:pt idx="7" formatCode="0">
                  <c:v>2019</c:v>
                </c:pt>
                <c:pt idx="8" formatCode="0">
                  <c:v>2020</c:v>
                </c:pt>
                <c:pt idx="9" formatCode="0">
                  <c:v>2021</c:v>
                </c:pt>
              </c:numCache>
            </c:numRef>
          </c:cat>
          <c:val>
            <c:numRef>
              <c:f>Исходные!$B$729:$K$729</c:f>
              <c:numCache>
                <c:formatCode>0.00</c:formatCode>
                <c:ptCount val="10"/>
                <c:pt idx="0" formatCode="0.00">
                  <c:v>55.073</c:v>
                </c:pt>
                <c:pt idx="1" formatCode="0.00">
                  <c:v>55.581</c:v>
                </c:pt>
                <c:pt idx="2" formatCode="0.00">
                  <c:v>56.234</c:v>
                </c:pt>
                <c:pt idx="3" formatCode="0.00">
                  <c:v>56.677</c:v>
                </c:pt>
                <c:pt idx="4" formatCode="0.00">
                  <c:v>57.13</c:v>
                </c:pt>
                <c:pt idx="5" formatCode="0.00">
                  <c:v>57.348</c:v>
                </c:pt>
                <c:pt idx="6" formatCode="0.00">
                  <c:v>57.846</c:v>
                </c:pt>
                <c:pt idx="7" formatCode="0.00">
                  <c:v>58.162</c:v>
                </c:pt>
                <c:pt idx="8" formatCode="0.00">
                  <c:v>57.86</c:v>
                </c:pt>
                <c:pt idx="9" formatCode="0.00">
                  <c:v>58.02</c:v>
                </c:pt>
              </c:numCache>
            </c:numRef>
          </c:val>
          <c:smooth val="0"/>
        </c:ser>
        <c:dLbls>
          <c:showLegendKey val="0"/>
          <c:showVal val="0"/>
          <c:showCatName val="0"/>
          <c:showSerName val="0"/>
          <c:showPercent val="0"/>
          <c:showBubbleSize val="0"/>
        </c:dLbls>
        <c:marker val="1"/>
        <c:smooth val="0"/>
        <c:axId val="1"/>
        <c:axId val="2"/>
      </c:lineChart>
      <c:catAx>
        <c:axId val="1"/>
        <c:scaling>
          <c:orientation val="minMax"/>
        </c:scaling>
        <c:delete val="0"/>
        <c:axPos val="b"/>
        <c:numFmt formatCode="0" sourceLinked="1"/>
        <c:majorTickMark val="none"/>
        <c:minorTickMark val="none"/>
        <c:tickLblPos val="nextTo"/>
        <c:spPr>
          <a:noFill/>
          <a:ln w="9525"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ysClr val="windowText"/>
                </a:solidFill>
                <a:latin typeface="Times New Roman" panose="02020603050405020304" pitchFamily="18" charset="0"/>
                <a:ea typeface="+mn-ea"/>
                <a:cs typeface="Times New Roman" panose="02020603050405020304" pitchFamily="18" charset="0"/>
              </a:defRPr>
            </a:pPr>
            <a:endParaRPr lang="ru-RU"/>
          </a:p>
        </c:txPr>
        <c:crossAx val="2"/>
        <c:crosses val="autoZero"/>
        <c:auto val="1"/>
        <c:lblAlgn val="ctr"/>
        <c:lblOffset val="100"/>
        <c:noMultiLvlLbl val="0"/>
      </c:catAx>
      <c:valAx>
        <c:axId val="2"/>
        <c:scaling>
          <c:orientation val="minMax"/>
        </c:scaling>
        <c:delete val="0"/>
        <c:axPos val="l"/>
        <c:majorGridlines>
          <c:spPr>
            <a:ln w="9525"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a:solidFill>
                <a:latin typeface="Times New Roman" panose="02020603050405020304" pitchFamily="18" charset="0"/>
                <a:ea typeface="+mn-ea"/>
                <a:cs typeface="Times New Roman" panose="02020603050405020304" pitchFamily="18" charset="0"/>
              </a:defRPr>
            </a:pPr>
            <a:endParaRPr lang="ru-RU"/>
          </a:p>
        </c:txPr>
        <c:crossAx val="1"/>
        <c:crosses val="autoZero"/>
        <c:crossBetween val="between"/>
      </c:valAx>
      <c:spPr>
        <a:noFill/>
        <a:ln>
          <a:noFill/>
        </a:ln>
        <a:effectLst/>
      </c:spPr>
    </c:plotArea>
    <c:legend>
      <c:legendPos val="b"/>
      <c:layout/>
      <c:overlay val="0"/>
      <c:spPr>
        <a:noFill/>
        <a:ln>
          <a:noFill/>
        </a:ln>
        <a:effectLst/>
      </c:spPr>
      <c:txPr>
        <a:bodyPr rot="0" spcFirstLastPara="1" vertOverflow="ellipsis" vert="horz" wrap="square" anchor="ctr" anchorCtr="1"/>
        <a:lstStyle/>
        <a:p>
          <a:pPr>
            <a:defRPr sz="900" b="0" i="0" u="none" strike="noStrike" kern="1200" baseline="0">
              <a:solidFill>
                <a:sysClr val="windowText"/>
              </a:solidFill>
              <a:latin typeface="Times New Roman" panose="02020603050405020304" pitchFamily="18" charset="0"/>
              <a:ea typeface="+mn-ea"/>
              <a:cs typeface="Times New Roman" panose="02020603050405020304" pitchFamily="18" charset="0"/>
            </a:defRPr>
          </a:pPr>
          <a:endParaRPr lang="ru-RU"/>
        </a:p>
      </c:txPr>
    </c:legend>
    <c:plotVisOnly val="1"/>
    <c:dispBlanksAs val="gap"/>
    <c:showDLblsOverMax val="0"/>
  </c:chart>
  <c:spPr>
    <a:solidFill>
      <a:schemeClr val="bg1"/>
    </a:solidFill>
    <a:ln w="9525" cmpd="sng" algn="ctr">
      <a:solidFill>
        <a:schemeClr val="tx1">
          <a:lumMod val="15000"/>
          <a:lumOff val="85000"/>
        </a:schemeClr>
      </a:solidFill>
      <a:round/>
    </a:ln>
    <a:effectLst/>
  </c:spPr>
  <c:txPr>
    <a:bodyPr/>
    <a:lstStyle/>
    <a:p>
      <a:pPr>
        <a:defRPr>
          <a:solidFill>
            <a:sysClr val="windowText"/>
          </a:solidFill>
          <a:latin typeface="Times New Roman" panose="02020603050405020304" pitchFamily="18" charset="0"/>
          <a:cs typeface="Times New Roman" panose="02020603050405020304" pitchFamily="18" charset="0"/>
        </a:defRPr>
      </a:pPr>
      <a:endParaRPr lang="ru-RU"/>
    </a:p>
  </c:txPr>
  <c:externalData r:id="RelChartData9">
    <c:autoUpdate val="0"/>
  </c:externalData>
</c:chartSpace>
</file>

<file path=word/charts/chart10.xml><?xml version="1.0" encoding="utf-8"?>
<c:chartSpace xmlns:c="http://schemas.openxmlformats.org/drawingml/2006/chart" xmlns:r="http://schemas.openxmlformats.org/officeDocument/2006/relationships" xmlns:a="http://schemas.openxmlformats.org/drawingml/2006/main">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таблицы!$A$20</c:f>
              <c:strCache>
                <c:ptCount val="1"/>
                <c:pt idx="0">
                  <c:v>Дети, не посещающие школу, женщины (% девочек младшего школьного возраста)</c:v>
                </c:pt>
              </c:strCache>
            </c:strRef>
          </c:tx>
          <c:spPr>
            <a:ln w="28575" cap="rnd">
              <a:solidFill>
                <a:schemeClr val="tx1"/>
              </a:solidFill>
              <a:round/>
            </a:ln>
            <a:effectLst/>
          </c:spPr>
          <c:marker>
            <c:symbol val="none"/>
          </c:marker>
          <c:cat>
            <c:numRef>
              <c:f>таблицы!$B$1:$K$1</c:f>
              <c:numCache>
                <c:formatCode>0</c:formatCode>
                <c:ptCount val="10"/>
                <c:pt idx="0" formatCode="0">
                  <c:v>2012</c:v>
                </c:pt>
                <c:pt idx="1" formatCode="0">
                  <c:v>2013</c:v>
                </c:pt>
                <c:pt idx="2" formatCode="0">
                  <c:v>2014</c:v>
                </c:pt>
                <c:pt idx="3" formatCode="0">
                  <c:v>2015</c:v>
                </c:pt>
                <c:pt idx="4" formatCode="0">
                  <c:v>2016</c:v>
                </c:pt>
                <c:pt idx="5" formatCode="0">
                  <c:v>2017</c:v>
                </c:pt>
                <c:pt idx="6" formatCode="0">
                  <c:v>2018</c:v>
                </c:pt>
                <c:pt idx="7" formatCode="0">
                  <c:v>2019</c:v>
                </c:pt>
                <c:pt idx="8" formatCode="0">
                  <c:v>2020</c:v>
                </c:pt>
                <c:pt idx="9" formatCode="0">
                  <c:v>2021</c:v>
                </c:pt>
              </c:numCache>
            </c:numRef>
          </c:cat>
          <c:val>
            <c:numRef>
              <c:f>таблицы!$B$20:$K$20</c:f>
              <c:numCache>
                <c:formatCode>0.00</c:formatCode>
                <c:ptCount val="10"/>
                <c:pt idx="0" formatCode="0.00">
                  <c:v>35.16</c:v>
                </c:pt>
                <c:pt idx="1" formatCode="0.00">
                  <c:v>34.53411102</c:v>
                </c:pt>
                <c:pt idx="2" formatCode="0.00">
                  <c:v>31.59946</c:v>
                </c:pt>
                <c:pt idx="3" formatCode="0.00">
                  <c:v>27.94593</c:v>
                </c:pt>
                <c:pt idx="4" formatCode="0.00">
                  <c:v>17.54472</c:v>
                </c:pt>
                <c:pt idx="5" formatCode="0.00">
                  <c:v>15.13918</c:v>
                </c:pt>
                <c:pt idx="6" formatCode="0.00">
                  <c:v>10.14562</c:v>
                </c:pt>
                <c:pt idx="7" formatCode="0.00">
                  <c:v>8.38753</c:v>
                </c:pt>
                <c:pt idx="8" formatCode="0.00">
                  <c:v>7.013949871</c:v>
                </c:pt>
                <c:pt idx="9" formatCode="0.00">
                  <c:v>8.055689812</c:v>
                </c:pt>
              </c:numCache>
            </c:numRef>
          </c:val>
          <c:smooth val="0"/>
        </c:ser>
        <c:ser>
          <c:idx val="1"/>
          <c:order val="1"/>
          <c:tx>
            <c:strRef>
              <c:f>таблицы!$A$21</c:f>
              <c:strCache>
                <c:ptCount val="1"/>
                <c:pt idx="0">
                  <c:v>Дети, не посещающие школу, мужчины (% мужчин начального школьного возраста)</c:v>
                </c:pt>
              </c:strCache>
            </c:strRef>
          </c:tx>
          <c:spPr>
            <a:ln w="28575" cap="rnd">
              <a:solidFill>
                <a:schemeClr val="tx1"/>
              </a:solidFill>
              <a:prstDash val="dash"/>
              <a:round/>
            </a:ln>
            <a:effectLst/>
          </c:spPr>
          <c:marker>
            <c:symbol val="none"/>
          </c:marker>
          <c:cat>
            <c:numRef>
              <c:f>таблицы!$B$1:$K$1</c:f>
              <c:numCache>
                <c:formatCode>0</c:formatCode>
                <c:ptCount val="10"/>
                <c:pt idx="0" formatCode="0">
                  <c:v>2012</c:v>
                </c:pt>
                <c:pt idx="1" formatCode="0">
                  <c:v>2013</c:v>
                </c:pt>
                <c:pt idx="2" formatCode="0">
                  <c:v>2014</c:v>
                </c:pt>
                <c:pt idx="3" formatCode="0">
                  <c:v>2015</c:v>
                </c:pt>
                <c:pt idx="4" formatCode="0">
                  <c:v>2016</c:v>
                </c:pt>
                <c:pt idx="5" formatCode="0">
                  <c:v>2017</c:v>
                </c:pt>
                <c:pt idx="6" formatCode="0">
                  <c:v>2018</c:v>
                </c:pt>
                <c:pt idx="7" formatCode="0">
                  <c:v>2019</c:v>
                </c:pt>
                <c:pt idx="8" formatCode="0">
                  <c:v>2020</c:v>
                </c:pt>
                <c:pt idx="9" formatCode="0">
                  <c:v>2021</c:v>
                </c:pt>
              </c:numCache>
            </c:numRef>
          </c:cat>
          <c:val>
            <c:numRef>
              <c:f>таблицы!$B$21:$K$21</c:f>
              <c:numCache>
                <c:formatCode>0.00</c:formatCode>
                <c:ptCount val="10"/>
                <c:pt idx="0" formatCode="0.00">
                  <c:v>28.94</c:v>
                </c:pt>
                <c:pt idx="1" formatCode="0.00">
                  <c:v>28.68457985</c:v>
                </c:pt>
                <c:pt idx="2" formatCode="0.00">
                  <c:v>22.40221</c:v>
                </c:pt>
                <c:pt idx="3" formatCode="0.00">
                  <c:v>18.60194</c:v>
                </c:pt>
                <c:pt idx="4" formatCode="0.00">
                  <c:v>8.44549</c:v>
                </c:pt>
                <c:pt idx="5" formatCode="0.00">
                  <c:v>7.3419</c:v>
                </c:pt>
                <c:pt idx="6" formatCode="0.00">
                  <c:v>2.24677</c:v>
                </c:pt>
                <c:pt idx="7" formatCode="0.00">
                  <c:v>1.63027</c:v>
                </c:pt>
                <c:pt idx="8" formatCode="0.00">
                  <c:v>0.282669991</c:v>
                </c:pt>
                <c:pt idx="9" formatCode="0.00">
                  <c:v>2.282870054</c:v>
                </c:pt>
              </c:numCache>
            </c:numRef>
          </c:val>
          <c:smooth val="0"/>
        </c:ser>
        <c:dLbls>
          <c:showLegendKey val="0"/>
          <c:showVal val="0"/>
          <c:showCatName val="0"/>
          <c:showSerName val="0"/>
          <c:showPercent val="0"/>
          <c:showBubbleSize val="0"/>
        </c:dLbls>
        <c:marker val="1"/>
        <c:smooth val="0"/>
        <c:axId val="1"/>
        <c:axId val="2"/>
      </c:lineChart>
      <c:catAx>
        <c:axId val="1"/>
        <c:scaling>
          <c:orientation val="minMax"/>
        </c:scaling>
        <c:delete val="0"/>
        <c:axPos val="b"/>
        <c:numFmt formatCode="0" sourceLinked="1"/>
        <c:majorTickMark val="none"/>
        <c:minorTickMark val="none"/>
        <c:tickLblPos val="nextTo"/>
        <c:spPr>
          <a:noFill/>
          <a:ln w="9525"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ysClr val="windowText"/>
                </a:solidFill>
                <a:latin typeface="Times New Roman" panose="02020603050405020304" pitchFamily="18" charset="0"/>
                <a:ea typeface="+mn-ea"/>
                <a:cs typeface="Times New Roman" panose="02020603050405020304" pitchFamily="18" charset="0"/>
              </a:defRPr>
            </a:pPr>
            <a:endParaRPr lang="ru-RU"/>
          </a:p>
        </c:txPr>
        <c:crossAx val="2"/>
        <c:crosses val="autoZero"/>
        <c:auto val="1"/>
        <c:lblAlgn val="ctr"/>
        <c:lblOffset val="100"/>
        <c:noMultiLvlLbl val="0"/>
      </c:catAx>
      <c:valAx>
        <c:axId val="2"/>
        <c:scaling>
          <c:orientation val="minMax"/>
        </c:scaling>
        <c:delete val="0"/>
        <c:axPos val="l"/>
        <c:majorGridlines>
          <c:spPr>
            <a:ln w="9525"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a:solidFill>
                <a:latin typeface="Times New Roman" panose="02020603050405020304" pitchFamily="18" charset="0"/>
                <a:ea typeface="+mn-ea"/>
                <a:cs typeface="Times New Roman" panose="02020603050405020304" pitchFamily="18" charset="0"/>
              </a:defRPr>
            </a:pPr>
            <a:endParaRPr lang="ru-RU"/>
          </a:p>
        </c:txPr>
        <c:crossAx val="1"/>
        <c:crosses val="autoZero"/>
        <c:crossBetween val="between"/>
      </c:valAx>
      <c:spPr>
        <a:noFill/>
        <a:ln>
          <a:noFill/>
        </a:ln>
        <a:effectLst/>
      </c:spPr>
    </c:plotArea>
    <c:legend>
      <c:legendPos val="b"/>
      <c:layout/>
      <c:overlay val="0"/>
      <c:spPr>
        <a:noFill/>
        <a:ln>
          <a:noFill/>
        </a:ln>
        <a:effectLst/>
      </c:spPr>
      <c:txPr>
        <a:bodyPr rot="0" spcFirstLastPara="1" vertOverflow="ellipsis" vert="horz" wrap="square" anchor="ctr" anchorCtr="1"/>
        <a:lstStyle/>
        <a:p>
          <a:pPr>
            <a:defRPr sz="900" b="0" i="0" u="none" strike="noStrike" kern="1200" baseline="0">
              <a:solidFill>
                <a:sysClr val="windowText"/>
              </a:solidFill>
              <a:latin typeface="Times New Roman" panose="02020603050405020304" pitchFamily="18" charset="0"/>
              <a:ea typeface="+mn-ea"/>
              <a:cs typeface="Times New Roman" panose="02020603050405020304" pitchFamily="18" charset="0"/>
            </a:defRPr>
          </a:pPr>
          <a:endParaRPr lang="ru-RU"/>
        </a:p>
      </c:txPr>
    </c:legend>
    <c:plotVisOnly val="1"/>
    <c:dispBlanksAs val="gap"/>
    <c:showDLblsOverMax val="0"/>
  </c:chart>
  <c:spPr>
    <a:solidFill>
      <a:schemeClr val="bg1"/>
    </a:solidFill>
    <a:ln w="9525" cmpd="sng" algn="ctr">
      <a:solidFill>
        <a:schemeClr val="tx1">
          <a:lumMod val="15000"/>
          <a:lumOff val="85000"/>
        </a:schemeClr>
      </a:solidFill>
      <a:round/>
    </a:ln>
    <a:effectLst/>
  </c:spPr>
  <c:txPr>
    <a:bodyPr/>
    <a:lstStyle/>
    <a:p>
      <a:pPr>
        <a:defRPr>
          <a:solidFill>
            <a:sysClr val="windowText"/>
          </a:solidFill>
          <a:latin typeface="Times New Roman" panose="02020603050405020304" pitchFamily="18" charset="0"/>
          <a:cs typeface="Times New Roman" panose="02020603050405020304" pitchFamily="18" charset="0"/>
        </a:defRPr>
      </a:pPr>
      <a:endParaRPr lang="ru-RU"/>
    </a:p>
  </c:txPr>
  <c:externalData r:id="RelChartData10">
    <c:autoUpdate val="0"/>
  </c:externalData>
</c:chartSpace>
</file>

<file path=word/charts/chart11.xml><?xml version="1.0" encoding="utf-8"?>
<c:chartSpace xmlns:c="http://schemas.openxmlformats.org/drawingml/2006/chart" xmlns:r="http://schemas.openxmlformats.org/officeDocument/2006/relationships" xmlns:a="http://schemas.openxmlformats.org/drawingml/2006/main">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Исходные!$A$752</c:f>
              <c:strCache>
                <c:ptCount val="1"/>
                <c:pt idx="0">
                  <c:v>Процент окончивших неполную среднюю школу, мужчины (% соответствующей возрастной группы)</c:v>
                </c:pt>
              </c:strCache>
            </c:strRef>
          </c:tx>
          <c:spPr>
            <a:ln w="28575" cap="rnd">
              <a:solidFill>
                <a:schemeClr val="tx1"/>
              </a:solidFill>
              <a:prstDash val="dash"/>
              <a:round/>
            </a:ln>
            <a:effectLst/>
          </c:spPr>
          <c:marker>
            <c:symbol val="none"/>
          </c:marker>
          <c:cat>
            <c:numRef>
              <c:f>Исходные!$B$1:$K$1</c:f>
              <c:numCache>
                <c:formatCode>0</c:formatCode>
                <c:ptCount val="10"/>
                <c:pt idx="0" formatCode="0">
                  <c:v>2012</c:v>
                </c:pt>
                <c:pt idx="1" formatCode="0">
                  <c:v>2013</c:v>
                </c:pt>
                <c:pt idx="2" formatCode="0">
                  <c:v>2014</c:v>
                </c:pt>
                <c:pt idx="3" formatCode="0">
                  <c:v>2015</c:v>
                </c:pt>
                <c:pt idx="4" formatCode="0">
                  <c:v>2016</c:v>
                </c:pt>
                <c:pt idx="5" formatCode="0">
                  <c:v>2017</c:v>
                </c:pt>
                <c:pt idx="6" formatCode="0">
                  <c:v>2018</c:v>
                </c:pt>
                <c:pt idx="7" formatCode="0">
                  <c:v>2019</c:v>
                </c:pt>
                <c:pt idx="8" formatCode="0">
                  <c:v>2020</c:v>
                </c:pt>
                <c:pt idx="9" formatCode="0">
                  <c:v>2021</c:v>
                </c:pt>
              </c:numCache>
            </c:numRef>
          </c:cat>
          <c:val>
            <c:numRef>
              <c:f>Исходные!$B$752:$K$752</c:f>
              <c:numCache>
                <c:formatCode>0.00</c:formatCode>
                <c:ptCount val="10"/>
                <c:pt idx="0" formatCode="0.00">
                  <c:v>36.92721939</c:v>
                </c:pt>
                <c:pt idx="1" formatCode="0.00">
                  <c:v>41.02574921</c:v>
                </c:pt>
                <c:pt idx="2" formatCode="0.00">
                  <c:v>37.52341</c:v>
                </c:pt>
                <c:pt idx="3" formatCode="0.00">
                  <c:v>40.35414</c:v>
                </c:pt>
                <c:pt idx="4" formatCode="0.00">
                  <c:v>45.61665</c:v>
                </c:pt>
                <c:pt idx="5" formatCode="0.00">
                  <c:v>53.45603</c:v>
                </c:pt>
                <c:pt idx="6" formatCode="0.00">
                  <c:v>56.20983</c:v>
                </c:pt>
                <c:pt idx="7" formatCode="0.00">
                  <c:v>58.58114</c:v>
                </c:pt>
                <c:pt idx="8" formatCode="0.00">
                  <c:v>62.9</c:v>
                </c:pt>
                <c:pt idx="9" formatCode="0.00">
                  <c:v>64.78807068</c:v>
                </c:pt>
              </c:numCache>
            </c:numRef>
          </c:val>
          <c:smooth val="0"/>
        </c:ser>
        <c:ser>
          <c:idx val="1"/>
          <c:order val="1"/>
          <c:tx>
            <c:strRef>
              <c:f>Исходные!$A$753</c:f>
              <c:strCache>
                <c:ptCount val="1"/>
                <c:pt idx="0">
                  <c:v>Процент окончивших неполную среднюю школу, женщины (% соответствующей возрастной группы)</c:v>
                </c:pt>
              </c:strCache>
            </c:strRef>
          </c:tx>
          <c:spPr>
            <a:ln w="28575" cap="rnd">
              <a:solidFill>
                <a:schemeClr val="tx1"/>
              </a:solidFill>
              <a:round/>
            </a:ln>
            <a:effectLst/>
          </c:spPr>
          <c:marker>
            <c:symbol val="none"/>
          </c:marker>
          <c:cat>
            <c:numRef>
              <c:f>Исходные!$B$1:$K$1</c:f>
              <c:numCache>
                <c:formatCode>0</c:formatCode>
                <c:ptCount val="10"/>
                <c:pt idx="0" formatCode="0">
                  <c:v>2012</c:v>
                </c:pt>
                <c:pt idx="1" formatCode="0">
                  <c:v>2013</c:v>
                </c:pt>
                <c:pt idx="2" formatCode="0">
                  <c:v>2014</c:v>
                </c:pt>
                <c:pt idx="3" formatCode="0">
                  <c:v>2015</c:v>
                </c:pt>
                <c:pt idx="4" formatCode="0">
                  <c:v>2016</c:v>
                </c:pt>
                <c:pt idx="5" formatCode="0">
                  <c:v>2017</c:v>
                </c:pt>
                <c:pt idx="6" formatCode="0">
                  <c:v>2018</c:v>
                </c:pt>
                <c:pt idx="7" formatCode="0">
                  <c:v>2019</c:v>
                </c:pt>
                <c:pt idx="8" formatCode="0">
                  <c:v>2020</c:v>
                </c:pt>
                <c:pt idx="9" formatCode="0">
                  <c:v>2021</c:v>
                </c:pt>
              </c:numCache>
            </c:numRef>
          </c:cat>
          <c:val>
            <c:numRef>
              <c:f>Исходные!$B$753:$K$753</c:f>
              <c:numCache>
                <c:formatCode>0.00</c:formatCode>
                <c:ptCount val="10"/>
                <c:pt idx="0" formatCode="0.00">
                  <c:v>31.02109909</c:v>
                </c:pt>
                <c:pt idx="1" formatCode="0.00">
                  <c:v>34.12900162</c:v>
                </c:pt>
                <c:pt idx="2" formatCode="0.00">
                  <c:v>31.68722</c:v>
                </c:pt>
                <c:pt idx="3" formatCode="0.00">
                  <c:v>33.99787</c:v>
                </c:pt>
                <c:pt idx="4" formatCode="0.00">
                  <c:v>38.63139</c:v>
                </c:pt>
                <c:pt idx="5" formatCode="0.00">
                  <c:v>45.81292</c:v>
                </c:pt>
                <c:pt idx="6" formatCode="0.00">
                  <c:v>49.3576</c:v>
                </c:pt>
                <c:pt idx="7" formatCode="0.00">
                  <c:v>52.5844</c:v>
                </c:pt>
                <c:pt idx="8" formatCode="0.00">
                  <c:v>57.30815887</c:v>
                </c:pt>
                <c:pt idx="9" formatCode="0.00">
                  <c:v>58.76232147</c:v>
                </c:pt>
              </c:numCache>
            </c:numRef>
          </c:val>
          <c:smooth val="0"/>
        </c:ser>
        <c:dLbls>
          <c:showLegendKey val="0"/>
          <c:showVal val="0"/>
          <c:showCatName val="0"/>
          <c:showSerName val="0"/>
          <c:showPercent val="0"/>
          <c:showBubbleSize val="0"/>
        </c:dLbls>
        <c:marker val="1"/>
        <c:smooth val="0"/>
        <c:axId val="1"/>
        <c:axId val="2"/>
      </c:lineChart>
      <c:catAx>
        <c:axId val="1"/>
        <c:scaling>
          <c:orientation val="minMax"/>
        </c:scaling>
        <c:delete val="0"/>
        <c:axPos val="b"/>
        <c:numFmt formatCode="0" sourceLinked="1"/>
        <c:majorTickMark val="none"/>
        <c:minorTickMark val="none"/>
        <c:tickLblPos val="nextTo"/>
        <c:spPr>
          <a:noFill/>
          <a:ln w="9525"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ysClr val="windowText"/>
                </a:solidFill>
                <a:latin typeface="Times New Roman" panose="02020603050405020304" pitchFamily="18" charset="0"/>
                <a:ea typeface="+mn-ea"/>
                <a:cs typeface="Times New Roman" panose="02020603050405020304" pitchFamily="18" charset="0"/>
              </a:defRPr>
            </a:pPr>
            <a:endParaRPr lang="ru-RU"/>
          </a:p>
        </c:txPr>
        <c:crossAx val="2"/>
        <c:crosses val="autoZero"/>
        <c:auto val="1"/>
        <c:lblAlgn val="ctr"/>
        <c:lblOffset val="100"/>
        <c:noMultiLvlLbl val="0"/>
      </c:catAx>
      <c:valAx>
        <c:axId val="2"/>
        <c:scaling>
          <c:orientation val="minMax"/>
          <c:min val="20"/>
        </c:scaling>
        <c:delete val="0"/>
        <c:axPos val="l"/>
        <c:majorGridlines>
          <c:spPr>
            <a:ln w="9525"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a:solidFill>
                <a:latin typeface="Times New Roman" panose="02020603050405020304" pitchFamily="18" charset="0"/>
                <a:ea typeface="+mn-ea"/>
                <a:cs typeface="Times New Roman" panose="02020603050405020304" pitchFamily="18" charset="0"/>
              </a:defRPr>
            </a:pPr>
            <a:endParaRPr lang="ru-RU"/>
          </a:p>
        </c:txPr>
        <c:crossAx val="1"/>
        <c:crosses val="autoZero"/>
        <c:crossBetween val="between"/>
      </c:valAx>
      <c:spPr>
        <a:noFill/>
        <a:ln>
          <a:noFill/>
        </a:ln>
        <a:effectLst/>
      </c:spPr>
    </c:plotArea>
    <c:legend>
      <c:legendPos val="b"/>
      <c:layout>
        <c:manualLayout>
          <c:xMode val="edge"/>
          <c:yMode val="edge"/>
          <c:x val="0.0225854702293873"/>
          <c:y val="0.766838312149048"/>
          <c:w val="0.946282029151917"/>
          <c:h val="0.202812656760216"/>
        </c:manualLayout>
      </c:layout>
      <c:overlay val="0"/>
      <c:spPr>
        <a:noFill/>
        <a:ln>
          <a:noFill/>
        </a:ln>
        <a:effectLst/>
      </c:spPr>
      <c:txPr>
        <a:bodyPr rot="0" spcFirstLastPara="1" vertOverflow="ellipsis" vert="horz" wrap="square" anchor="ctr" anchorCtr="1"/>
        <a:lstStyle/>
        <a:p>
          <a:pPr>
            <a:defRPr sz="900" b="0" i="0" u="none" strike="noStrike" kern="1200" baseline="0">
              <a:solidFill>
                <a:sysClr val="windowText"/>
              </a:solidFill>
              <a:latin typeface="Times New Roman" panose="02020603050405020304" pitchFamily="18" charset="0"/>
              <a:ea typeface="+mn-ea"/>
              <a:cs typeface="Times New Roman" panose="02020603050405020304" pitchFamily="18" charset="0"/>
            </a:defRPr>
          </a:pPr>
          <a:endParaRPr lang="ru-RU"/>
        </a:p>
      </c:txPr>
    </c:legend>
    <c:plotVisOnly val="1"/>
    <c:dispBlanksAs val="gap"/>
    <c:showDLblsOverMax val="0"/>
  </c:chart>
  <c:spPr>
    <a:solidFill>
      <a:schemeClr val="bg1"/>
    </a:solidFill>
    <a:ln w="9525" cmpd="sng" algn="ctr">
      <a:solidFill>
        <a:schemeClr val="tx1">
          <a:lumMod val="15000"/>
          <a:lumOff val="85000"/>
        </a:schemeClr>
      </a:solidFill>
      <a:round/>
    </a:ln>
    <a:effectLst/>
  </c:spPr>
  <c:txPr>
    <a:bodyPr/>
    <a:lstStyle/>
    <a:p>
      <a:pPr>
        <a:defRPr>
          <a:solidFill>
            <a:sysClr val="windowText"/>
          </a:solidFill>
          <a:latin typeface="Times New Roman" panose="02020603050405020304" pitchFamily="18" charset="0"/>
          <a:cs typeface="Times New Roman" panose="02020603050405020304" pitchFamily="18" charset="0"/>
        </a:defRPr>
      </a:pPr>
      <a:endParaRPr lang="ru-RU"/>
    </a:p>
  </c:txPr>
  <c:externalData r:id="RelChartData11">
    <c:autoUpdate val="0"/>
  </c:externalData>
</c:chartSpace>
</file>

<file path=word/charts/chart12.xml><?xml version="1.0" encoding="utf-8"?>
<c:chartSpace xmlns:c="http://schemas.openxmlformats.org/drawingml/2006/chart" xmlns:r="http://schemas.openxmlformats.org/officeDocument/2006/relationships" xmlns:a="http://schemas.openxmlformats.org/drawingml/2006/main">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Рисунки!$A$31</c:f>
              <c:strCache>
                <c:ptCount val="1"/>
                <c:pt idx="0">
                  <c:v>Уровень грамотности, взрослая женщина (% женщин в возрасте 15 лет и старше)</c:v>
                </c:pt>
              </c:strCache>
            </c:strRef>
          </c:tx>
          <c:spPr>
            <a:solidFill>
              <a:schemeClr val="accent1"/>
            </a:solidFill>
            <a:ln>
              <a:noFill/>
            </a:ln>
            <a:effectLst/>
          </c:spPr>
          <c:invertIfNegative val="0"/>
          <c:cat>
            <c:numRef>
              <c:f>Рисунки!$B$30:$D$30</c:f>
              <c:numCache>
                <c:formatCode>0</c:formatCode>
                <c:ptCount val="3"/>
                <c:pt idx="0" formatCode="0">
                  <c:v>2012</c:v>
                </c:pt>
                <c:pt idx="1" formatCode="0">
                  <c:v>2017</c:v>
                </c:pt>
                <c:pt idx="2" formatCode="0">
                  <c:v>2021</c:v>
                </c:pt>
              </c:numCache>
            </c:numRef>
          </c:cat>
          <c:val>
            <c:numRef>
              <c:f>Рисунки!$B$31:$D$31</c:f>
              <c:numCache>
                <c:formatCode>0.00</c:formatCode>
                <c:ptCount val="3"/>
                <c:pt idx="0" formatCode="0.00">
                  <c:v>30.46171951</c:v>
                </c:pt>
                <c:pt idx="1" formatCode="0.00">
                  <c:v>36.78425</c:v>
                </c:pt>
                <c:pt idx="2" formatCode="0.00">
                  <c:v>86.74125</c:v>
                </c:pt>
              </c:numCache>
            </c:numRef>
          </c:val>
        </c:ser>
        <c:ser>
          <c:idx val="1"/>
          <c:order val="1"/>
          <c:tx>
            <c:strRef>
              <c:f>Рисунки!$A$32</c:f>
              <c:strCache>
                <c:ptCount val="1"/>
                <c:pt idx="0">
                  <c:v>Уровень грамотности, взрослые мужчины (% мужчин в возрасте 15 лет и старше)</c:v>
                </c:pt>
              </c:strCache>
            </c:strRef>
          </c:tx>
          <c:spPr>
            <a:solidFill>
              <a:schemeClr val="accent2"/>
            </a:solidFill>
            <a:ln>
              <a:noFill/>
            </a:ln>
            <a:effectLst/>
          </c:spPr>
          <c:invertIfNegative val="0"/>
          <c:cat>
            <c:numRef>
              <c:f>Рисунки!$B$30:$D$30</c:f>
              <c:numCache>
                <c:formatCode>0</c:formatCode>
                <c:ptCount val="3"/>
                <c:pt idx="0" formatCode="0">
                  <c:v>2012</c:v>
                </c:pt>
                <c:pt idx="1" formatCode="0">
                  <c:v>2017</c:v>
                </c:pt>
                <c:pt idx="2" formatCode="0">
                  <c:v>2021</c:v>
                </c:pt>
              </c:numCache>
            </c:numRef>
          </c:cat>
          <c:val>
            <c:numRef>
              <c:f>Рисунки!$B$32:$D$32</c:f>
              <c:numCache>
                <c:formatCode>0.00</c:formatCode>
                <c:ptCount val="3"/>
                <c:pt idx="0" formatCode="0.00">
                  <c:v>51.59267044</c:v>
                </c:pt>
                <c:pt idx="1" formatCode="0.00">
                  <c:v>50.7019</c:v>
                </c:pt>
                <c:pt idx="2" formatCode="0.00">
                  <c:v>93.14135</c:v>
                </c:pt>
              </c:numCache>
            </c:numRef>
          </c:val>
        </c:ser>
        <c:ser>
          <c:idx val="2"/>
          <c:order val="2"/>
          <c:tx>
            <c:strRef>
              <c:f>Рисунки!$A$33</c:f>
              <c:strCache>
                <c:ptCount val="1"/>
                <c:pt idx="0">
                  <c:v>Уровень грамотности, всего взрослого населения (% людей в возрасте 15 лет и старше)</c:v>
                </c:pt>
              </c:strCache>
            </c:strRef>
          </c:tx>
          <c:spPr>
            <a:solidFill>
              <a:schemeClr val="accent3"/>
            </a:solidFill>
            <a:ln>
              <a:noFill/>
            </a:ln>
            <a:effectLst/>
          </c:spPr>
          <c:invertIfNegative val="0"/>
          <c:cat>
            <c:numRef>
              <c:f>Рисунки!$B$30:$D$30</c:f>
              <c:numCache>
                <c:formatCode>0</c:formatCode>
                <c:ptCount val="3"/>
                <c:pt idx="0" formatCode="0">
                  <c:v>2012</c:v>
                </c:pt>
                <c:pt idx="1" formatCode="0">
                  <c:v>2017</c:v>
                </c:pt>
                <c:pt idx="2" formatCode="0">
                  <c:v>2021</c:v>
                </c:pt>
              </c:numCache>
            </c:numRef>
          </c:cat>
          <c:val>
            <c:numRef>
              <c:f>Рисунки!$B$33:$D$33</c:f>
              <c:numCache>
                <c:formatCode>0.00</c:formatCode>
                <c:ptCount val="3"/>
                <c:pt idx="0" formatCode="0.00">
                  <c:v>40.98162842</c:v>
                </c:pt>
                <c:pt idx="1" formatCode="0.00">
                  <c:v>43.90842</c:v>
                </c:pt>
                <c:pt idx="2" formatCode="0.00">
                  <c:v>89.89342</c:v>
                </c:pt>
              </c:numCache>
            </c:numRef>
          </c:val>
        </c:ser>
        <c:dLbls>
          <c:showLegendKey val="0"/>
          <c:showVal val="0"/>
          <c:showCatName val="0"/>
          <c:showSerName val="0"/>
          <c:showPercent val="0"/>
          <c:showBubbleSize val="0"/>
        </c:dLbls>
        <c:gapWidth val="219"/>
        <c:overlap val="-27"/>
        <c:axId val="1"/>
        <c:axId val="2"/>
      </c:barChart>
      <c:catAx>
        <c:axId val="1"/>
        <c:scaling>
          <c:orientation val="minMax"/>
        </c:scaling>
        <c:delete val="0"/>
        <c:axPos val="b"/>
        <c:numFmt formatCode="0" sourceLinked="1"/>
        <c:majorTickMark val="none"/>
        <c:minorTickMark val="none"/>
        <c:tickLblPos val="nextTo"/>
        <c:spPr>
          <a:noFill/>
          <a:ln w="9525"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ysClr val="windowText"/>
                </a:solidFill>
                <a:latin typeface="Times New Roman" panose="02020603050405020304" pitchFamily="18" charset="0"/>
                <a:ea typeface="+mn-ea"/>
                <a:cs typeface="Times New Roman" panose="02020603050405020304" pitchFamily="18" charset="0"/>
              </a:defRPr>
            </a:pPr>
            <a:endParaRPr lang="ru-RU"/>
          </a:p>
        </c:txPr>
        <c:crossAx val="2"/>
        <c:crosses val="autoZero"/>
        <c:auto val="1"/>
        <c:lblAlgn val="ctr"/>
        <c:lblOffset val="100"/>
        <c:noMultiLvlLbl val="0"/>
      </c:catAx>
      <c:valAx>
        <c:axId val="2"/>
        <c:scaling>
          <c:orientation val="minMax"/>
        </c:scaling>
        <c:delete val="0"/>
        <c:axPos val="l"/>
        <c:majorGridlines>
          <c:spPr>
            <a:ln w="9525"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a:solidFill>
                <a:latin typeface="Times New Roman" panose="02020603050405020304" pitchFamily="18" charset="0"/>
                <a:ea typeface="+mn-ea"/>
                <a:cs typeface="Times New Roman" panose="02020603050405020304" pitchFamily="18" charset="0"/>
              </a:defRPr>
            </a:pPr>
            <a:endParaRPr lang="ru-RU"/>
          </a:p>
        </c:txPr>
        <c:crossAx val="1"/>
        <c:crosses val="autoZero"/>
        <c:crossBetween val="between"/>
      </c:valAx>
      <c:spPr>
        <a:noFill/>
        <a:ln>
          <a:noFill/>
        </a:ln>
        <a:effectLst/>
      </c:spPr>
    </c:plotArea>
    <c:legend>
      <c:legendPos val="b"/>
      <c:layout/>
      <c:overlay val="0"/>
      <c:spPr>
        <a:noFill/>
        <a:ln>
          <a:noFill/>
        </a:ln>
        <a:effectLst/>
      </c:spPr>
      <c:txPr>
        <a:bodyPr rot="0" spcFirstLastPara="1" vertOverflow="ellipsis" vert="horz" wrap="square" anchor="ctr" anchorCtr="1"/>
        <a:lstStyle/>
        <a:p>
          <a:pPr>
            <a:defRPr sz="900" b="0" i="0" u="none" strike="noStrike" kern="1200" baseline="0">
              <a:solidFill>
                <a:sysClr val="windowText"/>
              </a:solidFill>
              <a:latin typeface="Times New Roman" panose="02020603050405020304" pitchFamily="18" charset="0"/>
              <a:ea typeface="+mn-ea"/>
              <a:cs typeface="Times New Roman" panose="02020603050405020304" pitchFamily="18" charset="0"/>
            </a:defRPr>
          </a:pPr>
          <a:endParaRPr lang="ru-RU"/>
        </a:p>
      </c:txPr>
    </c:legend>
    <c:plotVisOnly val="1"/>
    <c:dispBlanksAs val="gap"/>
    <c:showDLblsOverMax val="0"/>
  </c:chart>
  <c:spPr>
    <a:solidFill>
      <a:schemeClr val="bg1"/>
    </a:solidFill>
    <a:ln w="9525" cmpd="sng" algn="ctr">
      <a:solidFill>
        <a:schemeClr val="tx1">
          <a:lumMod val="15000"/>
          <a:lumOff val="85000"/>
        </a:schemeClr>
      </a:solidFill>
      <a:round/>
    </a:ln>
    <a:effectLst/>
  </c:spPr>
  <c:txPr>
    <a:bodyPr/>
    <a:lstStyle/>
    <a:p>
      <a:pPr>
        <a:defRPr>
          <a:solidFill>
            <a:sysClr val="windowText"/>
          </a:solidFill>
          <a:latin typeface="Times New Roman" panose="02020603050405020304" pitchFamily="18" charset="0"/>
          <a:cs typeface="Times New Roman" panose="02020603050405020304" pitchFamily="18" charset="0"/>
        </a:defRPr>
      </a:pPr>
      <a:endParaRPr lang="ru-RU"/>
    </a:p>
  </c:txPr>
  <c:externalData r:id="RelChartData12">
    <c:autoUpdate val="0"/>
  </c:externalData>
</c:chartSpace>
</file>

<file path=word/charts/chart13.xml><?xml version="1.0" encoding="utf-8"?>
<c:chartSpace xmlns:c="http://schemas.openxmlformats.org/drawingml/2006/chart" xmlns:r="http://schemas.openxmlformats.org/officeDocument/2006/relationships" xmlns:a="http://schemas.openxmlformats.org/drawingml/2006/main">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Исходные!$A$412</c:f>
              <c:strCache>
                <c:ptCount val="1"/>
                <c:pt idx="0">
                  <c:v>Занятость в сельском хозяйстве (% от общей занятости) (моделированная оценка МОТ)</c:v>
                </c:pt>
              </c:strCache>
            </c:strRef>
          </c:tx>
          <c:spPr>
            <a:solidFill>
              <a:schemeClr val="accent1"/>
            </a:solidFill>
            <a:ln>
              <a:noFill/>
            </a:ln>
            <a:effectLst/>
          </c:spPr>
          <c:invertIfNegative val="0"/>
          <c:cat>
            <c:numRef>
              <c:f>Исходные!$D$1:$K$1</c:f>
              <c:numCache>
                <c:formatCode>0</c:formatCode>
                <c:ptCount val="8"/>
                <c:pt idx="0" formatCode="0">
                  <c:v>2014</c:v>
                </c:pt>
                <c:pt idx="1" formatCode="0">
                  <c:v>2015</c:v>
                </c:pt>
                <c:pt idx="2" formatCode="0">
                  <c:v>2016</c:v>
                </c:pt>
                <c:pt idx="3" formatCode="0">
                  <c:v>2017</c:v>
                </c:pt>
                <c:pt idx="4" formatCode="0">
                  <c:v>2018</c:v>
                </c:pt>
                <c:pt idx="5" formatCode="0">
                  <c:v>2019</c:v>
                </c:pt>
                <c:pt idx="6" formatCode="0">
                  <c:v>2020</c:v>
                </c:pt>
                <c:pt idx="7" formatCode="0">
                  <c:v>2021</c:v>
                </c:pt>
              </c:numCache>
            </c:numRef>
          </c:cat>
          <c:val>
            <c:numRef>
              <c:f>Исходные!$B$412:$I$412</c:f>
              <c:numCache>
                <c:formatCode>0.00</c:formatCode>
                <c:ptCount val="8"/>
                <c:pt idx="0" formatCode="0.00">
                  <c:v>46.22000122</c:v>
                </c:pt>
                <c:pt idx="1" formatCode="0.00">
                  <c:v>45.16999817</c:v>
                </c:pt>
                <c:pt idx="2" formatCode="0.00">
                  <c:v>44.33</c:v>
                </c:pt>
                <c:pt idx="3" formatCode="0.00">
                  <c:v>43.5</c:v>
                </c:pt>
                <c:pt idx="4" formatCode="0.00">
                  <c:v>42.75</c:v>
                </c:pt>
                <c:pt idx="5" formatCode="0.00">
                  <c:v>41.89</c:v>
                </c:pt>
                <c:pt idx="6" formatCode="0.00">
                  <c:v>41.01</c:v>
                </c:pt>
                <c:pt idx="7" formatCode="0.00">
                  <c:v>40.15</c:v>
                </c:pt>
              </c:numCache>
            </c:numRef>
          </c:val>
        </c:ser>
        <c:ser>
          <c:idx val="1"/>
          <c:order val="1"/>
          <c:tx>
            <c:strRef>
              <c:f>Исходные!$A$413</c:f>
              <c:strCache>
                <c:ptCount val="1"/>
                <c:pt idx="0">
                  <c:v>Занятость женщин в сельском хозяйстве (% занятости женщин) (моделированная оценка МОТ)</c:v>
                </c:pt>
              </c:strCache>
            </c:strRef>
          </c:tx>
          <c:spPr>
            <a:solidFill>
              <a:schemeClr val="accent2"/>
            </a:solidFill>
            <a:ln>
              <a:noFill/>
            </a:ln>
            <a:effectLst/>
          </c:spPr>
          <c:invertIfNegative val="0"/>
          <c:cat>
            <c:numRef>
              <c:f>Исходные!$D$1:$K$1</c:f>
              <c:numCache>
                <c:formatCode>0</c:formatCode>
                <c:ptCount val="8"/>
                <c:pt idx="0" formatCode="0">
                  <c:v>2014</c:v>
                </c:pt>
                <c:pt idx="1" formatCode="0">
                  <c:v>2015</c:v>
                </c:pt>
                <c:pt idx="2" formatCode="0">
                  <c:v>2016</c:v>
                </c:pt>
                <c:pt idx="3" formatCode="0">
                  <c:v>2017</c:v>
                </c:pt>
                <c:pt idx="4" formatCode="0">
                  <c:v>2018</c:v>
                </c:pt>
                <c:pt idx="5" formatCode="0">
                  <c:v>2019</c:v>
                </c:pt>
                <c:pt idx="6" formatCode="0">
                  <c:v>2020</c:v>
                </c:pt>
                <c:pt idx="7" formatCode="0">
                  <c:v>2021</c:v>
                </c:pt>
              </c:numCache>
            </c:numRef>
          </c:cat>
          <c:val>
            <c:numRef>
              <c:f>Исходные!$B$413:$I$413</c:f>
              <c:numCache>
                <c:formatCode>0.00</c:formatCode>
                <c:ptCount val="8"/>
                <c:pt idx="0" formatCode="0.00">
                  <c:v>40.93999863</c:v>
                </c:pt>
                <c:pt idx="1" formatCode="0.00">
                  <c:v>39.97999954</c:v>
                </c:pt>
                <c:pt idx="2" formatCode="0.00">
                  <c:v>38.19</c:v>
                </c:pt>
                <c:pt idx="3" formatCode="0.00">
                  <c:v>36.38</c:v>
                </c:pt>
                <c:pt idx="4" formatCode="0.00">
                  <c:v>34.59</c:v>
                </c:pt>
                <c:pt idx="5" formatCode="0.00">
                  <c:v>32.69</c:v>
                </c:pt>
                <c:pt idx="6" formatCode="0.00">
                  <c:v>31.95</c:v>
                </c:pt>
                <c:pt idx="7" formatCode="0.00">
                  <c:v>31.04</c:v>
                </c:pt>
              </c:numCache>
            </c:numRef>
          </c:val>
        </c:ser>
        <c:ser>
          <c:idx val="2"/>
          <c:order val="2"/>
          <c:tx>
            <c:strRef>
              <c:f>Исходные!$A$414</c:f>
              <c:strCache>
                <c:ptCount val="1"/>
                <c:pt idx="0">
                  <c:v>Занятость в сельском хозяйстве, мужчины (% занятости мужчин) (моделированная оценка МОТ)</c:v>
                </c:pt>
              </c:strCache>
            </c:strRef>
          </c:tx>
          <c:spPr>
            <a:solidFill>
              <a:schemeClr val="accent3"/>
            </a:solidFill>
            <a:ln>
              <a:noFill/>
            </a:ln>
            <a:effectLst/>
          </c:spPr>
          <c:invertIfNegative val="0"/>
          <c:cat>
            <c:numRef>
              <c:f>Исходные!$D$1:$K$1</c:f>
              <c:numCache>
                <c:formatCode>0</c:formatCode>
                <c:ptCount val="8"/>
                <c:pt idx="0" formatCode="0">
                  <c:v>2014</c:v>
                </c:pt>
                <c:pt idx="1" formatCode="0">
                  <c:v>2015</c:v>
                </c:pt>
                <c:pt idx="2" formatCode="0">
                  <c:v>2016</c:v>
                </c:pt>
                <c:pt idx="3" formatCode="0">
                  <c:v>2017</c:v>
                </c:pt>
                <c:pt idx="4" formatCode="0">
                  <c:v>2018</c:v>
                </c:pt>
                <c:pt idx="5" formatCode="0">
                  <c:v>2019</c:v>
                </c:pt>
                <c:pt idx="6" formatCode="0">
                  <c:v>2020</c:v>
                </c:pt>
                <c:pt idx="7" formatCode="0">
                  <c:v>2021</c:v>
                </c:pt>
              </c:numCache>
            </c:numRef>
          </c:cat>
          <c:val>
            <c:numRef>
              <c:f>Исходные!$B$414:$I$414</c:f>
              <c:numCache>
                <c:formatCode>0.00</c:formatCode>
                <c:ptCount val="8"/>
                <c:pt idx="0" formatCode="0.00">
                  <c:v>49.63999939</c:v>
                </c:pt>
                <c:pt idx="1" formatCode="0.00">
                  <c:v>48.54999924</c:v>
                </c:pt>
                <c:pt idx="2" formatCode="0.00">
                  <c:v>48.4</c:v>
                </c:pt>
                <c:pt idx="3" formatCode="0.00">
                  <c:v>48.32</c:v>
                </c:pt>
                <c:pt idx="4" formatCode="0.00">
                  <c:v>48.37</c:v>
                </c:pt>
                <c:pt idx="5" formatCode="0.00">
                  <c:v>48.32</c:v>
                </c:pt>
                <c:pt idx="6" formatCode="0.00">
                  <c:v>47.41</c:v>
                </c:pt>
                <c:pt idx="7" formatCode="0.00">
                  <c:v>46.62</c:v>
                </c:pt>
              </c:numCache>
            </c:numRef>
          </c:val>
        </c:ser>
        <c:dLbls>
          <c:showLegendKey val="0"/>
          <c:showVal val="0"/>
          <c:showCatName val="0"/>
          <c:showSerName val="0"/>
          <c:showPercent val="0"/>
          <c:showBubbleSize val="0"/>
        </c:dLbls>
        <c:gapWidth val="219"/>
        <c:overlap val="-27"/>
        <c:axId val="1"/>
        <c:axId val="2"/>
      </c:barChart>
      <c:catAx>
        <c:axId val="1"/>
        <c:scaling>
          <c:orientation val="minMax"/>
        </c:scaling>
        <c:delete val="0"/>
        <c:axPos val="b"/>
        <c:numFmt formatCode="0" sourceLinked="1"/>
        <c:majorTickMark val="none"/>
        <c:minorTickMark val="none"/>
        <c:tickLblPos val="nextTo"/>
        <c:spPr>
          <a:noFill/>
          <a:ln w="9525"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ysClr val="windowText"/>
                </a:solidFill>
                <a:latin typeface="Times New Roman" panose="02020603050405020304" pitchFamily="18" charset="0"/>
                <a:ea typeface="+mn-ea"/>
                <a:cs typeface="Times New Roman" panose="02020603050405020304" pitchFamily="18" charset="0"/>
              </a:defRPr>
            </a:pPr>
            <a:endParaRPr lang="ru-RU"/>
          </a:p>
        </c:txPr>
        <c:crossAx val="2"/>
        <c:crosses val="autoZero"/>
        <c:auto val="1"/>
        <c:lblAlgn val="ctr"/>
        <c:lblOffset val="100"/>
        <c:noMultiLvlLbl val="0"/>
      </c:catAx>
      <c:valAx>
        <c:axId val="2"/>
        <c:scaling>
          <c:orientation val="minMax"/>
        </c:scaling>
        <c:delete val="0"/>
        <c:axPos val="l"/>
        <c:majorGridlines>
          <c:spPr>
            <a:ln w="9525"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a:solidFill>
                <a:latin typeface="Times New Roman" panose="02020603050405020304" pitchFamily="18" charset="0"/>
                <a:ea typeface="+mn-ea"/>
                <a:cs typeface="Times New Roman" panose="02020603050405020304" pitchFamily="18" charset="0"/>
              </a:defRPr>
            </a:pPr>
            <a:endParaRPr lang="ru-RU"/>
          </a:p>
        </c:txPr>
        <c:crossAx val="1"/>
        <c:crosses val="autoZero"/>
        <c:crossBetween val="between"/>
      </c:valAx>
      <c:spPr>
        <a:noFill/>
        <a:ln>
          <a:noFill/>
        </a:ln>
        <a:effectLst/>
      </c:spPr>
    </c:plotArea>
    <c:legend>
      <c:legendPos val="b"/>
      <c:layout/>
      <c:overlay val="0"/>
      <c:spPr>
        <a:noFill/>
        <a:ln>
          <a:noFill/>
        </a:ln>
        <a:effectLst/>
      </c:spPr>
      <c:txPr>
        <a:bodyPr rot="0" spcFirstLastPara="1" vertOverflow="ellipsis" vert="horz" wrap="square" anchor="ctr" anchorCtr="1"/>
        <a:lstStyle/>
        <a:p>
          <a:pPr>
            <a:defRPr sz="900" b="0" i="0" u="none" strike="noStrike" kern="1200" baseline="0">
              <a:solidFill>
                <a:sysClr val="windowText"/>
              </a:solidFill>
              <a:latin typeface="Times New Roman" panose="02020603050405020304" pitchFamily="18" charset="0"/>
              <a:ea typeface="+mn-ea"/>
              <a:cs typeface="Times New Roman" panose="02020603050405020304" pitchFamily="18" charset="0"/>
            </a:defRPr>
          </a:pPr>
          <a:endParaRPr lang="ru-RU"/>
        </a:p>
      </c:txPr>
    </c:legend>
    <c:plotVisOnly val="1"/>
    <c:dispBlanksAs val="gap"/>
    <c:showDLblsOverMax val="0"/>
  </c:chart>
  <c:spPr>
    <a:solidFill>
      <a:schemeClr val="bg1"/>
    </a:solidFill>
    <a:ln w="9525" cmpd="sng" algn="ctr">
      <a:solidFill>
        <a:schemeClr val="tx1">
          <a:lumMod val="15000"/>
          <a:lumOff val="85000"/>
        </a:schemeClr>
      </a:solidFill>
      <a:round/>
    </a:ln>
    <a:effectLst/>
  </c:spPr>
  <c:txPr>
    <a:bodyPr/>
    <a:lstStyle/>
    <a:p>
      <a:pPr>
        <a:defRPr>
          <a:solidFill>
            <a:sysClr val="windowText"/>
          </a:solidFill>
          <a:latin typeface="Times New Roman" panose="02020603050405020304" pitchFamily="18" charset="0"/>
          <a:cs typeface="Times New Roman" panose="02020603050405020304" pitchFamily="18" charset="0"/>
        </a:defRPr>
      </a:pPr>
      <a:endParaRPr lang="ru-RU"/>
    </a:p>
  </c:txPr>
  <c:externalData r:id="RelChartData13">
    <c:autoUpdate val="0"/>
  </c:externalData>
</c:chartSpace>
</file>

<file path=word/charts/chart14.xml><?xml version="1.0" encoding="utf-8"?>
<c:chartSpace xmlns:c="http://schemas.openxmlformats.org/drawingml/2006/chart" xmlns:r="http://schemas.openxmlformats.org/officeDocument/2006/relationships" xmlns:a="http://schemas.openxmlformats.org/drawingml/2006/main">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Исходные!$A$415</c:f>
              <c:strCache>
                <c:ptCount val="1"/>
                <c:pt idx="0">
                  <c:v>Занятость в промышленности (% от общей занятости) (моделированная оценка МОТ)</c:v>
                </c:pt>
              </c:strCache>
            </c:strRef>
          </c:tx>
          <c:spPr>
            <a:solidFill>
              <a:schemeClr val="accent1"/>
            </a:solidFill>
            <a:ln>
              <a:noFill/>
            </a:ln>
            <a:effectLst/>
          </c:spPr>
          <c:invertIfNegative val="0"/>
          <c:cat>
            <c:numRef>
              <c:f>Исходные!$D$1:$K$1</c:f>
              <c:numCache>
                <c:formatCode>0</c:formatCode>
                <c:ptCount val="8"/>
                <c:pt idx="0" formatCode="0">
                  <c:v>2014</c:v>
                </c:pt>
                <c:pt idx="1" formatCode="0">
                  <c:v>2015</c:v>
                </c:pt>
                <c:pt idx="2" formatCode="0">
                  <c:v>2016</c:v>
                </c:pt>
                <c:pt idx="3" formatCode="0">
                  <c:v>2017</c:v>
                </c:pt>
                <c:pt idx="4" formatCode="0">
                  <c:v>2018</c:v>
                </c:pt>
                <c:pt idx="5" formatCode="0">
                  <c:v>2019</c:v>
                </c:pt>
                <c:pt idx="6" formatCode="0">
                  <c:v>2020</c:v>
                </c:pt>
                <c:pt idx="7" formatCode="0">
                  <c:v>2021</c:v>
                </c:pt>
              </c:numCache>
            </c:numRef>
          </c:cat>
          <c:val>
            <c:numRef>
              <c:f>Исходные!$B$415:$I$415</c:f>
              <c:numCache>
                <c:formatCode>0.00</c:formatCode>
                <c:ptCount val="8"/>
                <c:pt idx="0" formatCode="0.00">
                  <c:v>11.52000046</c:v>
                </c:pt>
                <c:pt idx="1" formatCode="0.00">
                  <c:v>11.81999969</c:v>
                </c:pt>
                <c:pt idx="2" formatCode="0.00">
                  <c:v>11.98</c:v>
                </c:pt>
                <c:pt idx="3" formatCode="0.00">
                  <c:v>12.1</c:v>
                </c:pt>
                <c:pt idx="4" formatCode="0.00">
                  <c:v>12.26</c:v>
                </c:pt>
                <c:pt idx="5" formatCode="0.00">
                  <c:v>12.52</c:v>
                </c:pt>
                <c:pt idx="6" formatCode="0.00">
                  <c:v>12.73</c:v>
                </c:pt>
                <c:pt idx="7" formatCode="0.00">
                  <c:v>12.86</c:v>
                </c:pt>
              </c:numCache>
            </c:numRef>
          </c:val>
        </c:ser>
        <c:ser>
          <c:idx val="1"/>
          <c:order val="1"/>
          <c:tx>
            <c:strRef>
              <c:f>Исходные!$A$416</c:f>
              <c:strCache>
                <c:ptCount val="1"/>
                <c:pt idx="0">
                  <c:v>Занятость в промышленности, женщины (% занятости женщин) (моделированная оценка МОТ)</c:v>
                </c:pt>
              </c:strCache>
            </c:strRef>
          </c:tx>
          <c:spPr>
            <a:solidFill>
              <a:schemeClr val="accent2"/>
            </a:solidFill>
            <a:ln>
              <a:noFill/>
            </a:ln>
            <a:effectLst/>
          </c:spPr>
          <c:invertIfNegative val="0"/>
          <c:cat>
            <c:numRef>
              <c:f>Исходные!$D$1:$K$1</c:f>
              <c:numCache>
                <c:formatCode>0</c:formatCode>
                <c:ptCount val="8"/>
                <c:pt idx="0" formatCode="0">
                  <c:v>2014</c:v>
                </c:pt>
                <c:pt idx="1" formatCode="0">
                  <c:v>2015</c:v>
                </c:pt>
                <c:pt idx="2" formatCode="0">
                  <c:v>2016</c:v>
                </c:pt>
                <c:pt idx="3" formatCode="0">
                  <c:v>2017</c:v>
                </c:pt>
                <c:pt idx="4" formatCode="0">
                  <c:v>2018</c:v>
                </c:pt>
                <c:pt idx="5" formatCode="0">
                  <c:v>2019</c:v>
                </c:pt>
                <c:pt idx="6" formatCode="0">
                  <c:v>2020</c:v>
                </c:pt>
                <c:pt idx="7" formatCode="0">
                  <c:v>2021</c:v>
                </c:pt>
              </c:numCache>
            </c:numRef>
          </c:cat>
          <c:val>
            <c:numRef>
              <c:f>Исходные!$B$416:$I$416</c:f>
              <c:numCache>
                <c:formatCode>0.00</c:formatCode>
                <c:ptCount val="8"/>
                <c:pt idx="0" formatCode="0.00">
                  <c:v>11.06000042</c:v>
                </c:pt>
                <c:pt idx="1" formatCode="0.00">
                  <c:v>11.38000011</c:v>
                </c:pt>
                <c:pt idx="2" formatCode="0.00">
                  <c:v>10.95</c:v>
                </c:pt>
                <c:pt idx="3" formatCode="0.00">
                  <c:v>10.57</c:v>
                </c:pt>
                <c:pt idx="4" formatCode="0.00">
                  <c:v>10.35</c:v>
                </c:pt>
                <c:pt idx="5" formatCode="0.00">
                  <c:v>10.34</c:v>
                </c:pt>
                <c:pt idx="6" formatCode="0.00">
                  <c:v>10.43</c:v>
                </c:pt>
                <c:pt idx="7" formatCode="0.00">
                  <c:v>10.47</c:v>
                </c:pt>
              </c:numCache>
            </c:numRef>
          </c:val>
        </c:ser>
        <c:ser>
          <c:idx val="2"/>
          <c:order val="2"/>
          <c:tx>
            <c:strRef>
              <c:f>Исходные!$A$417</c:f>
              <c:strCache>
                <c:ptCount val="1"/>
                <c:pt idx="0">
                  <c:v>Занятость в промышленности, мужчины (% занятости мужчин) (моделированная оценка МОТ)</c:v>
                </c:pt>
              </c:strCache>
            </c:strRef>
          </c:tx>
          <c:spPr>
            <a:solidFill>
              <a:schemeClr val="accent3"/>
            </a:solidFill>
            <a:ln>
              <a:noFill/>
            </a:ln>
            <a:effectLst/>
          </c:spPr>
          <c:invertIfNegative val="0"/>
          <c:cat>
            <c:numRef>
              <c:f>Исходные!$D$1:$K$1</c:f>
              <c:numCache>
                <c:formatCode>0</c:formatCode>
                <c:ptCount val="8"/>
                <c:pt idx="0" formatCode="0">
                  <c:v>2014</c:v>
                </c:pt>
                <c:pt idx="1" formatCode="0">
                  <c:v>2015</c:v>
                </c:pt>
                <c:pt idx="2" formatCode="0">
                  <c:v>2016</c:v>
                </c:pt>
                <c:pt idx="3" formatCode="0">
                  <c:v>2017</c:v>
                </c:pt>
                <c:pt idx="4" formatCode="0">
                  <c:v>2018</c:v>
                </c:pt>
                <c:pt idx="5" formatCode="0">
                  <c:v>2019</c:v>
                </c:pt>
                <c:pt idx="6" formatCode="0">
                  <c:v>2020</c:v>
                </c:pt>
                <c:pt idx="7" formatCode="0">
                  <c:v>2021</c:v>
                </c:pt>
              </c:numCache>
            </c:numRef>
          </c:cat>
          <c:val>
            <c:numRef>
              <c:f>Исходные!$B$417:$I$417</c:f>
              <c:numCache>
                <c:formatCode>0.00</c:formatCode>
                <c:ptCount val="8"/>
                <c:pt idx="0" formatCode="0.00">
                  <c:v>11.82999992</c:v>
                </c:pt>
                <c:pt idx="1" formatCode="0.00">
                  <c:v>12.10000038</c:v>
                </c:pt>
                <c:pt idx="2" formatCode="0.00">
                  <c:v>12.66</c:v>
                </c:pt>
                <c:pt idx="3" formatCode="0.00">
                  <c:v>13.13</c:v>
                </c:pt>
                <c:pt idx="4" formatCode="0.00">
                  <c:v>13.58</c:v>
                </c:pt>
                <c:pt idx="5" formatCode="0.00">
                  <c:v>14.03</c:v>
                </c:pt>
                <c:pt idx="6" formatCode="0.00">
                  <c:v>14.35</c:v>
                </c:pt>
                <c:pt idx="7" formatCode="0.00">
                  <c:v>14.56</c:v>
                </c:pt>
              </c:numCache>
            </c:numRef>
          </c:val>
        </c:ser>
        <c:dLbls>
          <c:showLegendKey val="0"/>
          <c:showVal val="0"/>
          <c:showCatName val="0"/>
          <c:showSerName val="0"/>
          <c:showPercent val="0"/>
          <c:showBubbleSize val="0"/>
        </c:dLbls>
        <c:gapWidth val="219"/>
        <c:overlap val="-27"/>
        <c:axId val="1"/>
        <c:axId val="2"/>
      </c:barChart>
      <c:catAx>
        <c:axId val="1"/>
        <c:scaling>
          <c:orientation val="minMax"/>
        </c:scaling>
        <c:delete val="0"/>
        <c:axPos val="b"/>
        <c:numFmt formatCode="0" sourceLinked="1"/>
        <c:majorTickMark val="none"/>
        <c:minorTickMark val="none"/>
        <c:tickLblPos val="nextTo"/>
        <c:spPr>
          <a:noFill/>
          <a:ln w="9525"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ysClr val="windowText"/>
                </a:solidFill>
                <a:latin typeface="Times New Roman" panose="02020603050405020304" pitchFamily="18" charset="0"/>
                <a:ea typeface="+mn-ea"/>
                <a:cs typeface="Times New Roman" panose="02020603050405020304" pitchFamily="18" charset="0"/>
              </a:defRPr>
            </a:pPr>
            <a:endParaRPr lang="ru-RU"/>
          </a:p>
        </c:txPr>
        <c:crossAx val="2"/>
        <c:crosses val="autoZero"/>
        <c:auto val="1"/>
        <c:lblAlgn val="ctr"/>
        <c:lblOffset val="100"/>
        <c:noMultiLvlLbl val="0"/>
      </c:catAx>
      <c:valAx>
        <c:axId val="2"/>
        <c:scaling>
          <c:orientation val="minMax"/>
        </c:scaling>
        <c:delete val="0"/>
        <c:axPos val="l"/>
        <c:majorGridlines>
          <c:spPr>
            <a:ln w="9525"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a:solidFill>
                <a:latin typeface="Times New Roman" panose="02020603050405020304" pitchFamily="18" charset="0"/>
                <a:ea typeface="+mn-ea"/>
                <a:cs typeface="Times New Roman" panose="02020603050405020304" pitchFamily="18" charset="0"/>
              </a:defRPr>
            </a:pPr>
            <a:endParaRPr lang="ru-RU"/>
          </a:p>
        </c:txPr>
        <c:crossAx val="1"/>
        <c:crosses val="autoZero"/>
        <c:crossBetween val="between"/>
      </c:valAx>
      <c:spPr>
        <a:noFill/>
        <a:ln>
          <a:noFill/>
        </a:ln>
        <a:effectLst/>
      </c:spPr>
    </c:plotArea>
    <c:legend>
      <c:legendPos val="b"/>
      <c:layout/>
      <c:overlay val="0"/>
      <c:spPr>
        <a:noFill/>
        <a:ln>
          <a:noFill/>
        </a:ln>
        <a:effectLst/>
      </c:spPr>
      <c:txPr>
        <a:bodyPr rot="0" spcFirstLastPara="1" vertOverflow="ellipsis" vert="horz" wrap="square" anchor="ctr" anchorCtr="1"/>
        <a:lstStyle/>
        <a:p>
          <a:pPr>
            <a:defRPr sz="900" b="0" i="0" u="none" strike="noStrike" kern="1200" baseline="0">
              <a:solidFill>
                <a:sysClr val="windowText"/>
              </a:solidFill>
              <a:latin typeface="Times New Roman" panose="02020603050405020304" pitchFamily="18" charset="0"/>
              <a:ea typeface="+mn-ea"/>
              <a:cs typeface="Times New Roman" panose="02020603050405020304" pitchFamily="18" charset="0"/>
            </a:defRPr>
          </a:pPr>
          <a:endParaRPr lang="ru-RU"/>
        </a:p>
      </c:txPr>
    </c:legend>
    <c:plotVisOnly val="1"/>
    <c:dispBlanksAs val="gap"/>
    <c:showDLblsOverMax val="0"/>
  </c:chart>
  <c:spPr>
    <a:solidFill>
      <a:schemeClr val="bg1"/>
    </a:solidFill>
    <a:ln w="9525" cmpd="sng" algn="ctr">
      <a:solidFill>
        <a:schemeClr val="tx1">
          <a:lumMod val="15000"/>
          <a:lumOff val="85000"/>
        </a:schemeClr>
      </a:solidFill>
      <a:round/>
    </a:ln>
    <a:effectLst/>
  </c:spPr>
  <c:txPr>
    <a:bodyPr/>
    <a:lstStyle/>
    <a:p>
      <a:pPr>
        <a:defRPr>
          <a:solidFill>
            <a:sysClr val="windowText"/>
          </a:solidFill>
          <a:latin typeface="Times New Roman" panose="02020603050405020304" pitchFamily="18" charset="0"/>
          <a:cs typeface="Times New Roman" panose="02020603050405020304" pitchFamily="18" charset="0"/>
        </a:defRPr>
      </a:pPr>
      <a:endParaRPr lang="ru-RU"/>
    </a:p>
  </c:txPr>
  <c:externalData r:id="RelChartData14">
    <c:autoUpdate val="0"/>
  </c:externalData>
</c:chartSpace>
</file>

<file path=word/charts/chart15.xml><?xml version="1.0" encoding="utf-8"?>
<c:chartSpace xmlns:c="http://schemas.openxmlformats.org/drawingml/2006/chart" xmlns:r="http://schemas.openxmlformats.org/officeDocument/2006/relationships" xmlns:a="http://schemas.openxmlformats.org/drawingml/2006/main">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Исходные!$A$47</c:f>
              <c:strCache>
                <c:ptCount val="1"/>
                <c:pt idx="0">
                  <c:v>Абоненты мобильной сотовой связи (на 100 человек)</c:v>
                </c:pt>
              </c:strCache>
            </c:strRef>
          </c:tx>
          <c:spPr>
            <a:ln w="28575" cap="rnd">
              <a:solidFill>
                <a:schemeClr val="tx1"/>
              </a:solidFill>
              <a:round/>
            </a:ln>
            <a:effectLst/>
          </c:spPr>
          <c:marker>
            <c:symbol val="none"/>
          </c:marker>
          <c:cat>
            <c:numRef>
              <c:f>Исходные!$B$1:$K$1</c:f>
              <c:numCache>
                <c:formatCode>0</c:formatCode>
                <c:ptCount val="10"/>
                <c:pt idx="0" formatCode="0">
                  <c:v>2012</c:v>
                </c:pt>
                <c:pt idx="1" formatCode="0">
                  <c:v>2013</c:v>
                </c:pt>
                <c:pt idx="2" formatCode="0">
                  <c:v>2014</c:v>
                </c:pt>
                <c:pt idx="3" formatCode="0">
                  <c:v>2015</c:v>
                </c:pt>
                <c:pt idx="4" formatCode="0">
                  <c:v>2016</c:v>
                </c:pt>
                <c:pt idx="5" formatCode="0">
                  <c:v>2017</c:v>
                </c:pt>
                <c:pt idx="6" formatCode="0">
                  <c:v>2018</c:v>
                </c:pt>
                <c:pt idx="7" formatCode="0">
                  <c:v>2019</c:v>
                </c:pt>
                <c:pt idx="8" formatCode="0">
                  <c:v>2020</c:v>
                </c:pt>
                <c:pt idx="9" formatCode="0">
                  <c:v>2021</c:v>
                </c:pt>
              </c:numCache>
            </c:numRef>
          </c:cat>
          <c:val>
            <c:numRef>
              <c:f>Исходные!$B$47:$K$47</c:f>
              <c:numCache>
                <c:formatCode>0.00</c:formatCode>
                <c:ptCount val="10"/>
                <c:pt idx="0" formatCode="0.00">
                  <c:v>82.23056119</c:v>
                </c:pt>
                <c:pt idx="1" formatCode="0.00">
                  <c:v>86.2996605</c:v>
                </c:pt>
                <c:pt idx="2" formatCode="0.00">
                  <c:v>96.12543</c:v>
                </c:pt>
                <c:pt idx="3" formatCode="0.00">
                  <c:v>107.6742</c:v>
                </c:pt>
                <c:pt idx="4" formatCode="0.00">
                  <c:v>113.3711</c:v>
                </c:pt>
                <c:pt idx="5" formatCode="0.00">
                  <c:v>127.7657</c:v>
                </c:pt>
                <c:pt idx="6" formatCode="0.00">
                  <c:v>132.6111</c:v>
                </c:pt>
                <c:pt idx="7" formatCode="0.00">
                  <c:v>142.9449</c:v>
                </c:pt>
                <c:pt idx="8" formatCode="0.00">
                  <c:v>149.543339</c:v>
                </c:pt>
                <c:pt idx="9" formatCode="0.00">
                  <c:v>162.1701041</c:v>
                </c:pt>
              </c:numCache>
            </c:numRef>
          </c:val>
          <c:smooth val="0"/>
        </c:ser>
        <c:dLbls>
          <c:showLegendKey val="0"/>
          <c:showVal val="0"/>
          <c:showCatName val="0"/>
          <c:showSerName val="0"/>
          <c:showPercent val="0"/>
          <c:showBubbleSize val="0"/>
        </c:dLbls>
        <c:marker val="1"/>
        <c:smooth val="0"/>
        <c:axId val="1"/>
        <c:axId val="2"/>
      </c:lineChart>
      <c:catAx>
        <c:axId val="1"/>
        <c:scaling>
          <c:orientation val="minMax"/>
        </c:scaling>
        <c:delete val="0"/>
        <c:axPos val="b"/>
        <c:numFmt formatCode="0" sourceLinked="1"/>
        <c:majorTickMark val="none"/>
        <c:minorTickMark val="none"/>
        <c:tickLblPos val="nextTo"/>
        <c:spPr>
          <a:noFill/>
          <a:ln w="9525"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ysClr val="windowText"/>
                </a:solidFill>
                <a:latin typeface="Times New Roman" panose="02020603050405020304" pitchFamily="18" charset="0"/>
                <a:ea typeface="+mn-ea"/>
                <a:cs typeface="Times New Roman" panose="02020603050405020304" pitchFamily="18" charset="0"/>
              </a:defRPr>
            </a:pPr>
            <a:endParaRPr lang="ru-RU"/>
          </a:p>
        </c:txPr>
        <c:crossAx val="2"/>
        <c:crosses val="autoZero"/>
        <c:auto val="1"/>
        <c:lblAlgn val="ctr"/>
        <c:lblOffset val="100"/>
        <c:noMultiLvlLbl val="0"/>
      </c:catAx>
      <c:valAx>
        <c:axId val="2"/>
        <c:scaling>
          <c:orientation val="minMax"/>
          <c:min val="60"/>
        </c:scaling>
        <c:delete val="0"/>
        <c:axPos val="l"/>
        <c:majorGridlines>
          <c:spPr>
            <a:ln w="9525"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a:solidFill>
                <a:latin typeface="Times New Roman" panose="02020603050405020304" pitchFamily="18" charset="0"/>
                <a:ea typeface="+mn-ea"/>
                <a:cs typeface="Times New Roman" panose="02020603050405020304" pitchFamily="18" charset="0"/>
              </a:defRPr>
            </a:pPr>
            <a:endParaRPr lang="ru-RU"/>
          </a:p>
        </c:txPr>
        <c:crossAx val="1"/>
        <c:crosses val="autoZero"/>
        <c:crossBetween val="between"/>
      </c:valAx>
      <c:spPr>
        <a:noFill/>
        <a:ln>
          <a:noFill/>
        </a:ln>
        <a:effectLst/>
      </c:spPr>
    </c:plotArea>
    <c:plotVisOnly val="1"/>
    <c:dispBlanksAs val="gap"/>
    <c:showDLblsOverMax val="0"/>
  </c:chart>
  <c:spPr>
    <a:solidFill>
      <a:sysClr val="window"/>
    </a:solidFill>
    <a:ln w="9525" cmpd="sng" algn="ctr">
      <a:solidFill>
        <a:schemeClr val="tx1">
          <a:lumMod val="15000"/>
          <a:lumOff val="85000"/>
        </a:schemeClr>
      </a:solidFill>
      <a:round/>
    </a:ln>
    <a:effectLst/>
  </c:spPr>
  <c:txPr>
    <a:bodyPr/>
    <a:lstStyle/>
    <a:p>
      <a:pPr>
        <a:defRPr>
          <a:solidFill>
            <a:sysClr val="windowText"/>
          </a:solidFill>
          <a:latin typeface="Times New Roman" panose="02020603050405020304" pitchFamily="18" charset="0"/>
          <a:cs typeface="Times New Roman" panose="02020603050405020304" pitchFamily="18" charset="0"/>
        </a:defRPr>
      </a:pPr>
      <a:endParaRPr lang="ru-RU"/>
    </a:p>
  </c:txPr>
  <c:externalData r:id="RelChartData15">
    <c:autoUpdate val="0"/>
  </c:externalData>
</c:chartSpace>
</file>

<file path=word/charts/chart16.xml><?xml version="1.0" encoding="utf-8"?>
<c:chartSpace xmlns:c="http://schemas.openxmlformats.org/drawingml/2006/chart" xmlns:r="http://schemas.openxmlformats.org/officeDocument/2006/relationships" xmlns:a="http://schemas.openxmlformats.org/drawingml/2006/main">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Исходные!$A$494</c:f>
              <c:strCache>
                <c:ptCount val="1"/>
                <c:pt idx="0">
                  <c:v>Подписки на фиксированный широкополосный доступ (на 100 человек)</c:v>
                </c:pt>
              </c:strCache>
            </c:strRef>
          </c:tx>
          <c:spPr>
            <a:ln w="28575" cap="rnd">
              <a:solidFill>
                <a:schemeClr val="tx1"/>
              </a:solidFill>
              <a:round/>
            </a:ln>
            <a:effectLst/>
          </c:spPr>
          <c:marker>
            <c:symbol val="none"/>
          </c:marker>
          <c:cat>
            <c:numRef>
              <c:f>Исходные!$B$1:$K$1</c:f>
              <c:numCache>
                <c:formatCode>0</c:formatCode>
                <c:ptCount val="10"/>
                <c:pt idx="0" formatCode="0">
                  <c:v>2012</c:v>
                </c:pt>
                <c:pt idx="1" formatCode="0">
                  <c:v>2013</c:v>
                </c:pt>
                <c:pt idx="2" formatCode="0">
                  <c:v>2014</c:v>
                </c:pt>
                <c:pt idx="3" formatCode="0">
                  <c:v>2015</c:v>
                </c:pt>
                <c:pt idx="4" formatCode="0">
                  <c:v>2016</c:v>
                </c:pt>
                <c:pt idx="5" formatCode="0">
                  <c:v>2017</c:v>
                </c:pt>
                <c:pt idx="6" formatCode="0">
                  <c:v>2018</c:v>
                </c:pt>
                <c:pt idx="7" formatCode="0">
                  <c:v>2019</c:v>
                </c:pt>
                <c:pt idx="8" formatCode="0">
                  <c:v>2020</c:v>
                </c:pt>
                <c:pt idx="9" formatCode="0">
                  <c:v>2021</c:v>
                </c:pt>
              </c:numCache>
            </c:numRef>
          </c:cat>
          <c:val>
            <c:numRef>
              <c:f>Исходные!$B$494:$K$494</c:f>
              <c:numCache>
                <c:formatCode>0.00</c:formatCode>
                <c:ptCount val="10"/>
                <c:pt idx="0" formatCode="0.00">
                  <c:v>0.209747872</c:v>
                </c:pt>
                <c:pt idx="1" formatCode="0.00">
                  <c:v>0.2504799</c:v>
                </c:pt>
                <c:pt idx="2" formatCode="0.00">
                  <c:v>0.551659</c:v>
                </c:pt>
                <c:pt idx="3" formatCode="0.00">
                  <c:v>0.464924</c:v>
                </c:pt>
                <c:pt idx="4" formatCode="0.00">
                  <c:v>0.563237</c:v>
                </c:pt>
                <c:pt idx="5" formatCode="0.00">
                  <c:v>0.574794</c:v>
                </c:pt>
                <c:pt idx="6" formatCode="0.00">
                  <c:v>0.690037</c:v>
                </c:pt>
                <c:pt idx="7" formatCode="0.00">
                  <c:v>0.828846</c:v>
                </c:pt>
                <c:pt idx="8" formatCode="0.00">
                  <c:v>0.970084429</c:v>
                </c:pt>
                <c:pt idx="9" formatCode="0.00">
                  <c:v>1.219295305</c:v>
                </c:pt>
              </c:numCache>
            </c:numRef>
          </c:val>
          <c:smooth val="0"/>
        </c:ser>
        <c:dLbls>
          <c:showLegendKey val="0"/>
          <c:showVal val="0"/>
          <c:showCatName val="0"/>
          <c:showSerName val="0"/>
          <c:showPercent val="0"/>
          <c:showBubbleSize val="0"/>
        </c:dLbls>
        <c:marker val="1"/>
        <c:smooth val="0"/>
        <c:axId val="1"/>
        <c:axId val="2"/>
      </c:lineChart>
      <c:catAx>
        <c:axId val="1"/>
        <c:scaling>
          <c:orientation val="minMax"/>
        </c:scaling>
        <c:delete val="0"/>
        <c:axPos val="b"/>
        <c:numFmt formatCode="0" sourceLinked="1"/>
        <c:majorTickMark val="none"/>
        <c:minorTickMark val="none"/>
        <c:tickLblPos val="nextTo"/>
        <c:spPr>
          <a:noFill/>
          <a:ln w="9525"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ysClr val="windowText"/>
                </a:solidFill>
                <a:latin typeface="Times New Roman" panose="02020603050405020304" pitchFamily="18" charset="0"/>
                <a:ea typeface="+mn-ea"/>
                <a:cs typeface="Times New Roman" panose="02020603050405020304" pitchFamily="18" charset="0"/>
              </a:defRPr>
            </a:pPr>
            <a:endParaRPr lang="ru-RU"/>
          </a:p>
        </c:txPr>
        <c:crossAx val="2"/>
        <c:crosses val="autoZero"/>
        <c:auto val="1"/>
        <c:lblAlgn val="ctr"/>
        <c:lblOffset val="100"/>
        <c:noMultiLvlLbl val="0"/>
      </c:catAx>
      <c:valAx>
        <c:axId val="2"/>
        <c:scaling>
          <c:orientation val="minMax"/>
        </c:scaling>
        <c:delete val="0"/>
        <c:axPos val="l"/>
        <c:majorGridlines>
          <c:spPr>
            <a:ln w="9525"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a:solidFill>
                <a:latin typeface="Times New Roman" panose="02020603050405020304" pitchFamily="18" charset="0"/>
                <a:ea typeface="+mn-ea"/>
                <a:cs typeface="Times New Roman" panose="02020603050405020304" pitchFamily="18" charset="0"/>
              </a:defRPr>
            </a:pPr>
            <a:endParaRPr lang="ru-RU"/>
          </a:p>
        </c:txPr>
        <c:crossAx val="1"/>
        <c:crosses val="autoZero"/>
        <c:crossBetween val="between"/>
      </c:valAx>
      <c:spPr>
        <a:noFill/>
        <a:ln>
          <a:noFill/>
        </a:ln>
        <a:effectLst/>
      </c:spPr>
    </c:plotArea>
    <c:plotVisOnly val="1"/>
    <c:dispBlanksAs val="gap"/>
    <c:showDLblsOverMax val="0"/>
  </c:chart>
  <c:spPr>
    <a:solidFill>
      <a:schemeClr val="bg1"/>
    </a:solidFill>
    <a:ln w="9525" cmpd="sng" algn="ctr">
      <a:solidFill>
        <a:schemeClr val="tx1">
          <a:lumMod val="15000"/>
          <a:lumOff val="85000"/>
        </a:schemeClr>
      </a:solidFill>
      <a:round/>
    </a:ln>
    <a:effectLst/>
  </c:spPr>
  <c:txPr>
    <a:bodyPr/>
    <a:lstStyle/>
    <a:p>
      <a:pPr>
        <a:defRPr>
          <a:solidFill>
            <a:sysClr val="windowText"/>
          </a:solidFill>
          <a:latin typeface="Times New Roman" panose="02020603050405020304" pitchFamily="18" charset="0"/>
          <a:cs typeface="Times New Roman" panose="02020603050405020304" pitchFamily="18" charset="0"/>
        </a:defRPr>
      </a:pPr>
      <a:endParaRPr lang="ru-RU"/>
    </a:p>
  </c:txPr>
  <c:externalData r:id="RelChartData16">
    <c:autoUpdate val="0"/>
  </c:externalData>
</c:chartSpace>
</file>

<file path=word/charts/chart17.xml><?xml version="1.0" encoding="utf-8"?>
<c:chartSpace xmlns:c="http://schemas.openxmlformats.org/drawingml/2006/chart" xmlns:r="http://schemas.openxmlformats.org/officeDocument/2006/relationships" xmlns:a="http://schemas.openxmlformats.org/drawingml/2006/main">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Исходные!$A$652</c:f>
              <c:strCache>
                <c:ptCount val="1"/>
                <c:pt idx="0">
                  <c:v>Физические лица, пользующиеся Интернетом (% населения)</c:v>
                </c:pt>
              </c:strCache>
            </c:strRef>
          </c:tx>
          <c:spPr>
            <a:ln w="28575" cap="rnd">
              <a:solidFill>
                <a:schemeClr val="tx1"/>
              </a:solidFill>
              <a:round/>
            </a:ln>
            <a:effectLst/>
          </c:spPr>
          <c:marker>
            <c:symbol val="none"/>
          </c:marker>
          <c:cat>
            <c:numRef>
              <c:f>Исходные!$B$1:$K$1</c:f>
              <c:numCache>
                <c:formatCode>0</c:formatCode>
                <c:ptCount val="10"/>
                <c:pt idx="0" formatCode="0">
                  <c:v>2012</c:v>
                </c:pt>
                <c:pt idx="1" formatCode="0">
                  <c:v>2013</c:v>
                </c:pt>
                <c:pt idx="2" formatCode="0">
                  <c:v>2014</c:v>
                </c:pt>
                <c:pt idx="3" formatCode="0">
                  <c:v>2015</c:v>
                </c:pt>
                <c:pt idx="4" formatCode="0">
                  <c:v>2016</c:v>
                </c:pt>
                <c:pt idx="5" formatCode="0">
                  <c:v>2017</c:v>
                </c:pt>
                <c:pt idx="6" formatCode="0">
                  <c:v>2018</c:v>
                </c:pt>
                <c:pt idx="7" formatCode="0">
                  <c:v>2019</c:v>
                </c:pt>
                <c:pt idx="8" formatCode="0">
                  <c:v>2020</c:v>
                </c:pt>
                <c:pt idx="9" formatCode="0">
                  <c:v>2021</c:v>
                </c:pt>
              </c:numCache>
            </c:numRef>
          </c:cat>
          <c:val>
            <c:numRef>
              <c:f>Исходные!$B$652:$K$652</c:f>
              <c:numCache>
                <c:formatCode>0.00</c:formatCode>
                <c:ptCount val="10"/>
                <c:pt idx="0" formatCode="0.00">
                  <c:v>4.4</c:v>
                </c:pt>
                <c:pt idx="1" formatCode="0.00">
                  <c:v>6.6</c:v>
                </c:pt>
                <c:pt idx="2" formatCode="0.00">
                  <c:v>10</c:v>
                </c:pt>
                <c:pt idx="3" formatCode="0.00">
                  <c:v>16.7</c:v>
                </c:pt>
                <c:pt idx="4" formatCode="0.00">
                  <c:v>41.20781</c:v>
                </c:pt>
                <c:pt idx="5" formatCode="0.00">
                  <c:v>43.83992</c:v>
                </c:pt>
                <c:pt idx="6" formatCode="0.00">
                  <c:v>37.54654</c:v>
                </c:pt>
                <c:pt idx="7" formatCode="0.00">
                  <c:v>36.28895</c:v>
                </c:pt>
                <c:pt idx="8" formatCode="0.00">
                  <c:v>38.24</c:v>
                </c:pt>
                <c:pt idx="9" formatCode="0.00">
                  <c:v>35.14</c:v>
                </c:pt>
              </c:numCache>
            </c:numRef>
          </c:val>
          <c:smooth val="0"/>
        </c:ser>
        <c:dLbls>
          <c:showLegendKey val="0"/>
          <c:showVal val="0"/>
          <c:showCatName val="0"/>
          <c:showSerName val="0"/>
          <c:showPercent val="0"/>
          <c:showBubbleSize val="0"/>
        </c:dLbls>
        <c:marker val="1"/>
        <c:smooth val="0"/>
        <c:axId val="1"/>
        <c:axId val="2"/>
      </c:lineChart>
      <c:catAx>
        <c:axId val="1"/>
        <c:scaling>
          <c:orientation val="minMax"/>
        </c:scaling>
        <c:delete val="0"/>
        <c:axPos val="b"/>
        <c:numFmt formatCode="0" sourceLinked="1"/>
        <c:majorTickMark val="none"/>
        <c:minorTickMark val="none"/>
        <c:tickLblPos val="nextTo"/>
        <c:spPr>
          <a:noFill/>
          <a:ln w="9525"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ysClr val="windowText"/>
                </a:solidFill>
                <a:latin typeface="Times New Roman" panose="02020603050405020304" pitchFamily="18" charset="0"/>
                <a:ea typeface="+mn-ea"/>
                <a:cs typeface="Times New Roman" panose="02020603050405020304" pitchFamily="18" charset="0"/>
              </a:defRPr>
            </a:pPr>
            <a:endParaRPr lang="ru-RU"/>
          </a:p>
        </c:txPr>
        <c:crossAx val="2"/>
        <c:crosses val="autoZero"/>
        <c:auto val="1"/>
        <c:lblAlgn val="ctr"/>
        <c:lblOffset val="100"/>
        <c:noMultiLvlLbl val="0"/>
      </c:catAx>
      <c:valAx>
        <c:axId val="2"/>
        <c:scaling>
          <c:orientation val="minMax"/>
        </c:scaling>
        <c:delete val="0"/>
        <c:axPos val="l"/>
        <c:majorGridlines>
          <c:spPr>
            <a:ln w="9525"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a:solidFill>
                <a:latin typeface="Times New Roman" panose="02020603050405020304" pitchFamily="18" charset="0"/>
                <a:ea typeface="+mn-ea"/>
                <a:cs typeface="Times New Roman" panose="02020603050405020304" pitchFamily="18" charset="0"/>
              </a:defRPr>
            </a:pPr>
            <a:endParaRPr lang="ru-RU"/>
          </a:p>
        </c:txPr>
        <c:crossAx val="1"/>
        <c:crosses val="autoZero"/>
        <c:crossBetween val="between"/>
      </c:valAx>
      <c:spPr>
        <a:noFill/>
        <a:ln>
          <a:noFill/>
        </a:ln>
        <a:effectLst/>
      </c:spPr>
    </c:plotArea>
    <c:plotVisOnly val="1"/>
    <c:dispBlanksAs val="gap"/>
    <c:showDLblsOverMax val="0"/>
  </c:chart>
  <c:spPr>
    <a:solidFill>
      <a:schemeClr val="bg1"/>
    </a:solidFill>
    <a:ln w="9525" cmpd="sng" algn="ctr">
      <a:solidFill>
        <a:schemeClr val="tx1">
          <a:lumMod val="15000"/>
          <a:lumOff val="85000"/>
        </a:schemeClr>
      </a:solidFill>
      <a:round/>
    </a:ln>
    <a:effectLst/>
  </c:spPr>
  <c:txPr>
    <a:bodyPr/>
    <a:lstStyle/>
    <a:p>
      <a:pPr>
        <a:defRPr>
          <a:solidFill>
            <a:sysClr val="windowText"/>
          </a:solidFill>
          <a:latin typeface="Times New Roman" panose="02020603050405020304" pitchFamily="18" charset="0"/>
          <a:cs typeface="Times New Roman" panose="02020603050405020304" pitchFamily="18" charset="0"/>
        </a:defRPr>
      </a:pPr>
      <a:endParaRPr lang="ru-RU"/>
    </a:p>
  </c:txPr>
  <c:externalData r:id="RelChartData17">
    <c:autoUpdate val="0"/>
  </c:externalData>
</c:chartSpace>
</file>

<file path=word/charts/chart18.xml><?xml version="1.0" encoding="utf-8"?>
<c:chartSpace xmlns:c="http://schemas.openxmlformats.org/drawingml/2006/chart" xmlns:r="http://schemas.openxmlformats.org/officeDocument/2006/relationships" xmlns:a="http://schemas.openxmlformats.org/drawingml/2006/main">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Рисунки!$A$59</c:f>
              <c:strCache>
                <c:ptCount val="1"/>
                <c:pt idx="0">
                  <c:v>Коэффициент бедности на уровне 3,65 доллара в день (ППС 2017 г.) (% населения)</c:v>
                </c:pt>
              </c:strCache>
            </c:strRef>
          </c:tx>
          <c:spPr>
            <a:solidFill>
              <a:schemeClr val="accent1"/>
            </a:solidFill>
            <a:ln>
              <a:noFill/>
            </a:ln>
            <a:effectLst/>
          </c:spPr>
          <c:invertIfNegative val="0"/>
          <c:cat>
            <c:numRef>
              <c:f>Рисунки!$B$58:$C$58</c:f>
              <c:numCache>
                <c:formatCode>General</c:formatCode>
                <c:ptCount val="2"/>
                <c:pt idx="0">
                  <c:v>2015</c:v>
                </c:pt>
                <c:pt idx="1">
                  <c:v>2021</c:v>
                </c:pt>
              </c:numCache>
            </c:numRef>
          </c:cat>
          <c:val>
            <c:numRef>
              <c:f>Рисунки!$B$59:$C$59</c:f>
              <c:numCache>
                <c:formatCode>0.00</c:formatCode>
                <c:ptCount val="2"/>
                <c:pt idx="0" formatCode="0.00">
                  <c:v>63.2</c:v>
                </c:pt>
                <c:pt idx="1" formatCode="0.00">
                  <c:v>39.6</c:v>
                </c:pt>
              </c:numCache>
            </c:numRef>
          </c:val>
        </c:ser>
        <c:ser>
          <c:idx val="1"/>
          <c:order val="1"/>
          <c:tx>
            <c:strRef>
              <c:f>Рисунки!$A$60</c:f>
              <c:strCache>
                <c:ptCount val="1"/>
                <c:pt idx="0">
                  <c:v>Коэффициент бедности на уровне 6,85 долларов в день (ППС 2017 г.) (% населения)</c:v>
                </c:pt>
              </c:strCache>
            </c:strRef>
          </c:tx>
          <c:spPr>
            <a:solidFill>
              <a:schemeClr val="accent2"/>
            </a:solidFill>
            <a:ln>
              <a:noFill/>
            </a:ln>
            <a:effectLst/>
          </c:spPr>
          <c:invertIfNegative val="0"/>
          <c:cat>
            <c:numRef>
              <c:f>Рисунки!$B$58:$C$58</c:f>
              <c:numCache>
                <c:formatCode>General</c:formatCode>
                <c:ptCount val="2"/>
                <c:pt idx="0">
                  <c:v>2015</c:v>
                </c:pt>
                <c:pt idx="1">
                  <c:v>2021</c:v>
                </c:pt>
              </c:numCache>
            </c:numRef>
          </c:cat>
          <c:val>
            <c:numRef>
              <c:f>Рисунки!$B$60:$C$60</c:f>
              <c:numCache>
                <c:formatCode>0.00</c:formatCode>
                <c:ptCount val="2"/>
                <c:pt idx="0" formatCode="0.00">
                  <c:v>87.9</c:v>
                </c:pt>
                <c:pt idx="1" formatCode="0.00">
                  <c:v>75.4</c:v>
                </c:pt>
              </c:numCache>
            </c:numRef>
          </c:val>
        </c:ser>
        <c:dLbls>
          <c:showLegendKey val="0"/>
          <c:showVal val="0"/>
          <c:showCatName val="0"/>
          <c:showSerName val="0"/>
          <c:showPercent val="0"/>
          <c:showBubbleSize val="0"/>
        </c:dLbls>
        <c:gapWidth val="219"/>
        <c:overlap val="-27"/>
        <c:axId val="1"/>
        <c:axId val="2"/>
      </c:barChart>
      <c:catAx>
        <c:axId val="1"/>
        <c:scaling>
          <c:orientation val="minMax"/>
        </c:scaling>
        <c:delete val="0"/>
        <c:axPos val="b"/>
        <c:majorTickMark val="none"/>
        <c:minorTickMark val="none"/>
        <c:tickLblPos val="nextTo"/>
        <c:spPr>
          <a:noFill/>
          <a:ln w="9525"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ysClr val="windowText"/>
                </a:solidFill>
                <a:latin typeface="Times New Roman" panose="02020603050405020304" pitchFamily="18" charset="0"/>
                <a:ea typeface="+mn-ea"/>
                <a:cs typeface="Times New Roman" panose="02020603050405020304" pitchFamily="18" charset="0"/>
              </a:defRPr>
            </a:pPr>
            <a:endParaRPr lang="ru-RU"/>
          </a:p>
        </c:txPr>
        <c:crossAx val="2"/>
        <c:crosses val="autoZero"/>
        <c:auto val="1"/>
        <c:lblAlgn val="ctr"/>
        <c:lblOffset val="100"/>
        <c:noMultiLvlLbl val="0"/>
      </c:catAx>
      <c:valAx>
        <c:axId val="2"/>
        <c:scaling>
          <c:orientation val="minMax"/>
        </c:scaling>
        <c:delete val="0"/>
        <c:axPos val="l"/>
        <c:majorGridlines>
          <c:spPr>
            <a:ln w="9525"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a:solidFill>
                <a:latin typeface="Times New Roman" panose="02020603050405020304" pitchFamily="18" charset="0"/>
                <a:ea typeface="+mn-ea"/>
                <a:cs typeface="Times New Roman" panose="02020603050405020304" pitchFamily="18" charset="0"/>
              </a:defRPr>
            </a:pPr>
            <a:endParaRPr lang="ru-RU"/>
          </a:p>
        </c:txPr>
        <c:crossAx val="1"/>
        <c:crosses val="autoZero"/>
        <c:crossBetween val="between"/>
      </c:valAx>
      <c:spPr>
        <a:noFill/>
        <a:ln>
          <a:noFill/>
        </a:ln>
        <a:effectLst/>
      </c:spPr>
    </c:plotArea>
    <c:legend>
      <c:legendPos val="b"/>
      <c:layout/>
      <c:overlay val="0"/>
      <c:spPr>
        <a:noFill/>
        <a:ln>
          <a:noFill/>
        </a:ln>
        <a:effectLst/>
      </c:spPr>
      <c:txPr>
        <a:bodyPr rot="0" spcFirstLastPara="1" vertOverflow="ellipsis" vert="horz" wrap="square" anchor="ctr" anchorCtr="1"/>
        <a:lstStyle/>
        <a:p>
          <a:pPr>
            <a:defRPr sz="900" b="0" i="0" u="none" strike="noStrike" kern="1200" baseline="0">
              <a:solidFill>
                <a:sysClr val="windowText"/>
              </a:solidFill>
              <a:latin typeface="Times New Roman" panose="02020603050405020304" pitchFamily="18" charset="0"/>
              <a:ea typeface="+mn-ea"/>
              <a:cs typeface="Times New Roman" panose="02020603050405020304" pitchFamily="18" charset="0"/>
            </a:defRPr>
          </a:pPr>
          <a:endParaRPr lang="ru-RU"/>
        </a:p>
      </c:txPr>
    </c:legend>
    <c:plotVisOnly val="1"/>
    <c:dispBlanksAs val="gap"/>
    <c:showDLblsOverMax val="0"/>
  </c:chart>
  <c:spPr>
    <a:solidFill>
      <a:schemeClr val="bg1"/>
    </a:solidFill>
    <a:ln w="9525" cmpd="sng" algn="ctr">
      <a:solidFill>
        <a:schemeClr val="tx1">
          <a:lumMod val="15000"/>
          <a:lumOff val="85000"/>
        </a:schemeClr>
      </a:solidFill>
      <a:round/>
    </a:ln>
    <a:effectLst/>
  </c:spPr>
  <c:txPr>
    <a:bodyPr/>
    <a:lstStyle/>
    <a:p>
      <a:pPr>
        <a:defRPr>
          <a:solidFill>
            <a:sysClr val="windowText"/>
          </a:solidFill>
          <a:latin typeface="Times New Roman" panose="02020603050405020304" pitchFamily="18" charset="0"/>
          <a:cs typeface="Times New Roman" panose="02020603050405020304" pitchFamily="18" charset="0"/>
        </a:defRPr>
      </a:pPr>
      <a:endParaRPr lang="ru-RU"/>
    </a:p>
  </c:txPr>
  <c:externalData r:id="RelChartData18">
    <c:autoUpdate val="0"/>
  </c:externalData>
</c:chartSpace>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tileRect/>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tileRect/>
        </a:gradFill>
      </a:fillStyleLst>
      <a:lnStyleLst>
        <a:ln w="6350" cmpd="sng" algn="ctr">
          <a:solidFill>
            <a:schemeClr val="phClr"/>
          </a:solidFill>
          <a:prstDash val="solid"/>
          <a:miter lim="800000"/>
        </a:ln>
        <a:ln w="12700" cmpd="sng" algn="ctr">
          <a:solidFill>
            <a:schemeClr val="phClr"/>
          </a:solidFill>
          <a:prstDash val="solid"/>
          <a:miter lim="800000"/>
        </a:ln>
        <a:ln w="19050"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tileRect/>
        </a:gradFill>
      </a:bgFillStyleLst>
    </a:fmtScheme>
  </a:themeElements>
</a:theme>
</file>

<file path=customXml/_rels/item1.xml.rels>&#65279;<?xml version="1.0" encoding="utf-8"?><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082619-5260-4295-8ddd-8608b5899017}">
  <ds:schemaRefs>
    <ds:schemaRef ds:uri="http://schemas.microsoft.com/vsto/samples"/>
  </ds:schemaRefs>
</ds:datastoreItem>
</file>

<file path=docProps/app.xml><?xml version="1.0" encoding="utf-8"?>
<Properties xmlns="http://schemas.openxmlformats.org/officeDocument/2006/extended-properties">
  <Application>DevExpress Office File API/25.1.3.0</Application>
  <AppVersion>25.1</AppVersion>
  <Template>Normal</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Пользователь Windows</dc:creator>
  <dcterms:created xsi:type="dcterms:W3CDTF">2026-03-16T23:21:00Z</dcterms:created>
  <dcterms:modified xsi:type="dcterms:W3CDTF">2026-04-09T21:20:02Z</dcterms:modified>
  <cp:revision>38</cp:revision>
</cp:coreProperties>
</file>