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2. СОЦИАЛЬНО-ЭКОНОМИЧЕСКОЕ ПОЛОЖЕНИЕ РЕСПУБЛИКИ КОТ-Д'ИВУАР: АНАЛИЗ ЗА ПЕРИОД 2020–2024 ГГ.</w:t>
      </w:r>
    </w:p>
    <w:p>
      <w:pPr>
        <w:spacing w:before="300" w:after="18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Макроэкономическая динамика и структурные характеристики экономики Республики Кот-д'Ивуар в 2020–2024 гг.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Республика Кот-д'Ивуар (Côte d'Ivoire) является крупнейшей экономикой Западноафриканского экономического и валютного союза (ЗАЭВС/WAEMU) и одной из наиболее динамично развивающихся стран Африки южнее Сахары. В течение пятилетнего периода 2020–2024 гг. экономика страны прошла через последовательно сменявшие друг друга фазы: пандемический шок (2020), ускоренное восстановление (2021), инфляционное давление вследствие войны на Украине (2022), устойчивый рост в условиях монетарного ужесточения (2023) и стабилизацию с элементами диверсификации (2024). Указанные фазы формируют аналитическую рамку настоящего раздела, в котором все стоимостные показатели приводятся в долларах США по текущим рыночным ценам (USD, nominal).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Совокупный объём валового внутреннего продукта (ВВП) Кот-д'Ивуара по методологии Всемирного банка составил: $63,0 млрд в 2020 г., $72,8 млрд в 2021 г., $70,9 млрд в 2022 г., $79,6 млрд в 2023 г. и $86,5 млрд в 2024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Таким образом, за анализируемый пятилетний период совокупный ВВП вырос на 37,2%, что свидетельствует о высокой и устойчивой траектории номинального роста экономики. Снижение номинального ВВП в 2022 г. по отношению к 2021 г. ($70,9 млрд vs $72,8 млрд) объясняется не рецессией, а обесценением региональной валюты — западноафриканского франка КФА (XOF) относительно доллара США (среднегодовой обменный курс вырос с 554,5 XOF/USD в 2021 г. до 623,8 XOF/USD в 2022 г.).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 — Ключевые макроэкономические показатели Республики Кот-д'Ивуар, 2020–2024 гг.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ВВП (млрд USD, текущие цены)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72,8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70,9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79,6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86,5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Рост реального ВВП,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7,1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ВВП на душу нас. (USD)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2 180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2 456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2 333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2 555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2 728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Инфляция (ср. год.),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4,2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5,2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4,4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3,5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Бюджетный баланс, % ВВП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−5,4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−4,9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−6,7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−5,2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−4,0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Гос. долг, % ВВП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48,4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51,8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57,3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58,5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60,4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Счёт текущих операций, млрд USD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−1,97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−2,87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−5,39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−6,50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−3,94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ПИИ нетто, % ВВП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3,8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Обменный курс XOF/USD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575,6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554,5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623,8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606,6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606,4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 по данным World Bank Macro Poverty Outlook — Côte d'Ivoire, April 2025¹; IMF Article IV Consultation 2024².</w:t>
      </w:r>
    </w:p>
    <w:p>
      <w:pPr>
        <w:spacing w:before="0" w:after="0"/>
      </w:pPr>
      <w:r>
        <w:t xml:space="preserve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формализации зависимости между уровнем ВВП и ключевыми факторами его формирования применяется стандартная расходная модель национальных счетов (формула 1):</w:t>
      </w:r>
    </w:p>
    <w:p>
      <w:pPr>
        <w:spacing w:before="180" w:after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 = C + I + G + NX,   (1)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Y — ВВП в текущих ценах (USD); C — частное потребление; I — валовые инвестиции; G — государственные расходы; NX = X − M — чистый экспорт товаров и услуг (X — экспорт, M — импорт).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валового накопления в ВВП выросла с 20,3% в 2020 г. до 24,5% в 2024 г., что соответствует принятой правительством Национальной программе развития (НПР/PND) 2021–2025 гг., задекларировавшей приоритет наращивания производительных инвестиций.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Частное потребление демонстрировало устойчивый прирост в диапазоне 1,4–6,3% в год, подтверждая роль внутреннего спроса как главного мотора роста.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Темп роста реального ВВП в 2020 г. составил лишь 0,7% — наименьший показатель за десятилетие — вследствие пандемии COVID-19, сокративший экспортные поступления от какао и замедлившего деловую активность.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Однако уже в 2021 г. рост восстановился до 7,1%, в 2022–2023 гг. стабилизировался на уровне 6,4–6,5%, а в 2024 г. незначительно снизился до 6,0% вследствие неблагоприятных погодных условий, сократившие производство какао на 22,7%.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этом среднегодовой темп роста за пятилетие (2020–2024) составил около 5,3% в реальном выражении, что более чем вдвое превышает средний показатель по Западной Африке (2,1%) и существенно выше среднеафриканского значения (3,8%).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ВВП на душу населения вырос с $2 180 в 2020 г. до $2 728 в 2024 г. — прирост на 25,1% в номинальном выражении. Вместе с тем реальный рост подушевого ВВП в 2020 г. был отрицательным (−1,8%), что означало фактическое снижение жизненного уровня среднестатистического гражданина страны в разгар пандемии.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2.1.1. Структурная трансформация экономики: секторальный анализ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Отраслевая структура ВВП Кот-д'Ивуара отражает специфику аграрно-ориентированной экономики, последовательно движущейся к индустриализации. По данным Африканского банка развития (АфБР) за 2023 г., доля сельского хозяйства в ВВП составляет около 20–22%, промышленности и строительства — 26–29%, сектора услуг — около 50–53%.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Какао-сектор является структурообразующим: на него приходится около 40% экспортных доходов страны и 15–20% ВВП.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Стоимость экспорта какао и какао-продуктов (бобы, масло, порошок, паста) в денежном выражении составила $5,06 млрд в 2021 г. (пиковое значение за период), сократилась до $4,47 млрд в 2022 г. и резко возросла в 2024 г. на фоне роста мировых цен: совокупный товарный экспорт достиг $20,5 млрд, из которых какао-бобы составили 19,4% ($3,98 млрд), а переработанные какао-продукты — дополнительно около $2,7 млрд.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5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2.2 — Экспортная структура Кот-д'Ивуара, 2020–2024 гг. (млрд USD, % от ВВП)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Товарный экспорт, млрд USD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15,3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16,2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18,4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20,5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Товарный экспорт, % ВВП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19,8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23,0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24,8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Товарный импорт, % ВВП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15,1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16,9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19,3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Торговый профицит / дефицит (млрд USD)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+3,0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+3,0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+1,1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+1,7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+3,3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Экспорт какао (все продукты), млрд USD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5,06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4,47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~4,8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~6,2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Экспорт золота, млрд USD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~2,2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~3,1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Экспорт каучука, млрд USD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~0,9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~2,5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 по данным World Bank Macro Poverty Outlook¹; SEI/Trase Cocoa Supply Chain Data⁵; World's Top Exports 2024⁶.</w:t>
      </w:r>
    </w:p>
    <w:p>
      <w:pPr>
        <w:spacing w:before="0" w:after="0"/>
      </w:pPr>
      <w:r>
        <w:t xml:space="preserve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Принципиально важной тенденцией является диверсификация экспортной базы: в структуре товарного вывоза 2024 г. помимо какао значимые позиции заняли золото (15,3% совокупного экспорта, около $3,1 млрд), натуральный каучук (12%, около $2,5 млрд), нефтепродукты переработки (10%) и кешью (5,9%).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Доля сырьевых товаров (без первичной переработки) сократилась с примерно 46% в 2020 г. до около 44% в 2024 г., что является медленным, но статистически значимым сдвигом.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нефтегазового проекта Baleine (разведанный потенциал 2,5 млрд баррелей нефти и более 3 300 млрд куб. футов газа) с началом добычи в августе 2023 г. формирует новый структурный источник роста и рассматривается МВФ как ключевой фактор, способный поддержать темп роста на уровне 6–7% в 2025–2029 гг.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2.1.2. Фискальная политика и долговая устойчивость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Бюджетная политика правительства в 2020–2024 гг. прошла через фазу пандемического расширения и последующей консолидации. Дефицит государственного бюджета резко возрос до −5,4% ВВП в 2020 г. (против −2,2% в 2019 г.) вследствие антикризисных расходов, затем расширился до −6,7% в 2022 г. на фоне субсидирования топлива и продовольствия, и целенаправленно снизился до −5,2% в 2023 г. и −4,0% в 2024 г. в рамках программы поддержки МВФ EFF/ECF (одобрена в мае 2023 г., объём $3,5 млрд).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Государственный долг, выраженный в процентах от ВВП, вырос с 39,8% в 2019 г. до 60,4% в 2024 г., однако по-прежнему оценивается МВФ и Всемирным банком как соответствующий «умеренному уровню долговой нагрузки» (moderate risk of debt distress).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абсолютном выражении, применяя показатели ВВП и доли внешнего публичного долга (38,6% ВВП в 2024 г.), можно оценить объём внешнего долга примерно в $33,4 млрд.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январе 2024 г. страна разместила еврооблигации на $2,6 млрд со средней доходностью 6,61% — первое размещение страны Африки южнее Сахары на международных рынках после 2022 г., ставшее сигналом восстановления доверия инвесторов.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Налоговые доходы составили около 13% ВВП в 2024 г. — значительно ниже целевого ориентира ЗАЭВС в 20% ВВП. В мае 2024 г. правительство приняло Среднесрочную стратегию мобилизации доходов (MTRS), предусматривающую ежегодный прирост налоговой нагрузки на 0,5 п.п. ВВП до 2028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</w:p>
    <w:p>
      <w:pPr>
        <w:spacing w:before="300" w:after="18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Социальные показатели и человеческое развитие в 2020–2024 гг.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Экономический рост в Кот-д'Ивуаре сопровождается постепенным улучшением социальных условий жизни, однако его распределительные эффекты остаются выраженно неравномерными: прогресс в городских агломерациях контрастирует со стагнацией в сельских районах. Данный раздел систематизирует верифицированные данные из первичных источников — Всемирного банка, ПРООН, МВФ и АфБР.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2.2.1. Бедность и уровень жизни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Уровень бедности по нижней пороговой черте среднего дохода ($4,20 в день, паритет покупательной способности 2021 г.) снизился с 41,7% в 2021 г. до 40,8% в 2024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Тогда как международный показатель крайней бедности ($3,00/день, ППС 2021 г.) сократился с 20,9% (2021) до 19,7% (2023) и по прогнозу до 15,9% (2024), демонстрируя более значимый прогресс в нижней части распределения доходов.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Национальная черта бедности по последнему репрезентативному обследованию домохозяйств EHCVM 2018/19 составляла 39,5% населения.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оценке АфБР, к 2021 г. данный показатель снизился до 37,5%, однако неравномерность снижения бедности — её сохранение в сельских районах при сокращении в городах — остаётся структурной проблемой.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4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2.3 — Показатели бедности и социального развития Кот-д'Ивуара, 2020–2024 гг.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2020/21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2021/22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2022/23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Бедность &lt;$3,00/день (ППС-2021),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20,9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19,7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15,9*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Бедность &lt;$4,20/день (ППС-2021),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41,7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40,8*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Занятость, % раб. возраста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64,5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65,0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Уровень безработицы (МОТ),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23,0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13,1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13,1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Уровень грамотности взрослых,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~89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~90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~90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~91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Доступ к электричеству,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~69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~70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~72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~75**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ИЧР (ранг, 193 страны)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н.д.***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* — прогнозные оценки Всемирного банка (микросимуляционная методология); ** — оценка; *** — рейтинг 2024 г. будет опубликован в Докладе ПРООН 2026 г.
Источник: составлено автором по данным World Bank Macro Poverty Outlook¹; African Development Bank Country Strategy Paper 2023–2028⁴; UNDP Human Development Report 2025⁸.</w:t>
      </w:r>
    </w:p>
    <w:p>
      <w:pPr>
        <w:spacing w:before="0" w:after="0"/>
      </w:pPr>
      <w:r>
        <w:t xml:space="preserve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Занятость в стране выросла на 2 процентных пункта — с 63% до 65% трудоспособного населения в 2024 г. по сравнению с 2020 г. Однако характер занятости остаётся структурно уязвимым: доля наёмных работников с постоянным заработком стагнирует на уровне около 25% от общей занятости на протяжении всего десятилетия.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Неформальный сектор охватывает около 65,3% занятых (2024), составляя примерно 38,3% ВВП — значительно выше среднего показателя нижнесредних африканских стран.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9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2.2.2. Индекс человеческого развития и образование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данным Доклада ПРООН о человеческом развитии 2025 г., значение ИЧР Кот-д'Ивуара в 2023 г. составило 0,582 (166-е место среди 193 стран, средний уровень развития). Примечательно, что за период 2022–2023 гг. страна обеспечила прирост ИЧР на +0,017 (3%), заняв 1-е место в Африке южнее Сахары и 4-е место в мире по темпам улучшения ИЧР.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8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Компоненты ИЧР за 2023 г.: ожидаемая продолжительность жизни при рождении — 61,9 года (61,6 в 2022 г.); ожидаемые годы обучения — 11,4 года (10,2 в 2022 г.); средние годы обучения взрослых — 4,9 года; валовой национальный доход на душу населения по ППС — $6 735 (против $6 540 в 2022 г.).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8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охвата начальным образованием в 2020 г. достиг практически 100% для мальчиков, хотя в 2021 г. показатель несколько снизился. Доля населения в возрасте 15–24 лет, завершивших неполную среднюю школу, выросла до 65% (мужчины) и 58,5% (женщины) к 2021 г. Уровень грамотности взрослых достиг около 90–91% к 2024 г. при практически ликвидированном гендерном разрыве.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Средний уровень образования населения 15–24 лет по состоянию на 2024 г. составляет 7,2 года для обоих полов (8,2 года для мужчин и 6,2 года для женщин).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Расходы на НИОКР составляют лишь 0,1% ВВП, что более чем в восемь раз уступает уровню ЮАР (0,82%) и значительно ниже целевого показателя Повестки дня Африканского союза до 2063 г. (1% ВВП).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4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2.2.3. Здравоохранение и социальная защита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Ожидаемая продолжительность жизни при рождении устойчиво растёт и достигла 61,9 года в 2023 г. (по сравнению с 60,5 года в 2019–2020 гг.). Детская смертность до 5 лет демонстрирует положительную динамику: сокращение с 110,4 на 1 000 рождений для мальчиков в 2012 г. до менее 80 к 2021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 к чистым видам топлива для приготовления пищи составил 31,8% населения в 2021 г. при крайне выраженном городско-сельском неравенстве: 62,2% — городское и лишь 1,4% — сельское население. Электрификация в целом по стране составляет около 70–75% (2024), однако её распределение между городом (&gt;94%) и деревней (&lt;44%) остаётся принципиально различным.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Охват программами социального страхования остаётся крайне низким: среди лиц с высокими доходами — не более 15% в 2021 г., среди беднейших слоёв — около 5,6%. При этом удельный вес беднейших слоёв, охваченных программами социальной защиты, достигает 38,8%, что в значительной мере обусловлено адресной международной помощью, а не устойчивой национальной системой.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before="300" w:after="18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Цифровая трансформация и инновационная активность как факторы инклюзивного развития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Цифровая экономика Кот-д'Ивуара переживает этап интенсивного становления. За период 2020–2024 гг. были зафиксированы значительные изменения по ключевым индикаторам цифровизации и финансовой инклюзии, составляющих инструментальную основу инновационно-инклюзивного развития.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2.3.1. Интернетизация и мобильная связь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Проникновение мобильной сотовой связи к началу 2023 г. достигло 145,2% от населения (41,41 млн активных SIM-карт при численности населения 28,5 млн).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Покрытие сети операторов (Orange, MTN, Moov) составляет около 98% в стандарте 2G, 95% в 3G и 60–64% в 4G.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пользователей интернета выросло с примерно 9,6 млн (34% населения) в 2022 г. до 12,94 млн (45,4%) в январе 2023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Прогнозируется достижение уровня 67% к 2025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Вместе с тем уровень доступа к фиксированному широкополосному интернету остаётся низким (около 1,3% в 2021 г.), а стоимость мобильных данных составляла в среднем $1,18 за 1 ГБ в 2023 г. — что является барьером доступности для значительной части населения.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13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2.4 — Показатели цифровой инфраструктуры Кот-д'Ивуара, 2020–2023 гг.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Моб. SIM-карты, % нас.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~135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~138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~140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145,2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Пользователи интернета,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34,0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45,4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Фикс. широкополосный, % нас.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~1,8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Покрытие 4G, % территории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63,7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Абон. мобильного интернета, млн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Выручка телеком-сектора, млрд USD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~2,0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~2,2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 по данным DataReportal Digital 2023¹⁰; ARTCI / U.S. ITA Telecom Report¹¹; World Bank Digital Economy Diagnostic⁷⁵.</w:t>
      </w:r>
    </w:p>
    <w:p>
      <w:pPr>
        <w:spacing w:before="0" w:after="0"/>
      </w:pPr>
      <w:r>
        <w:t xml:space="preserve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расчётам МФК и Google (доклад «e-Conomy Africa 2020»), потенциал цифровой экономики Кот-д'Ивуара оценивается в $5,5 млрд к 2025 г. с перспективой роста до около 10% ВВП к 2050 г. Телекоммуникационный сектор в 2021 г. генерировал доходы около $1,8 млрд (3% ВВП), обеспечивая около 3 000 прямых и более 100 000 косвенных рабочих мест.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75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2.3.2. Финансовая инклюзия и мобильные платёжные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Мобильные деньги являются наиболее значимым инструментом финансовой инклюзии в Кот-д'Ивуаре. Доля взрослых, имеющих счёт мобильных денег, выросла с 24% в 2014 г. до 34% в 2017 г. и 40% в 2021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Уровень проникновения мобильного платёжного сервиса достиг 86% (2022–2023 гг.), обслуживаясь операторами Orange, MTN, Moov и Wave.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Объём транзакций мобильных денег вырос с 4,5 трлн XOF (около $7,7 млрд) в 2016 г. до 6,3 трлн XOF (около $10,8 млрд) в 2018 г. Уровень общей финансовой инклюзии (использование финансовых услуг) достиг 82,2% в 2021 г. — значительно выше среднего по ЗАЭВС (67,2%).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Кредитование частного сектора составляло 20,6–22,7% ВВП в 2020–2024 гг., главным образом — краткосрочными займами (62% от кредитного портфеля).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Индикатор финансовой инклюзии (ФИ) рассчитывается по формуле: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ФИ = (Naccount / Ntotal) × 100%,   (2)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Naccount — число взрослых лиц (18+), имеющих хотя бы один финансовый счёт (банковский или мобильный); Ntotal — общее число взрослых. По данному показателю Кот-д'Ивуар входит в верхнюю квартиль стран Африки южнее Сахары.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2.3.3. Инновационный потенциал и индексные оценки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Глобальный инновационный индекс (GII) Кот-д'Ивуара фиксирует постепенное, но непоследовательное улучшение позиций: страна занимала 118-е место из 132 государств в 2022 г. и поднялась на 114-е в 2023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Наиболее высокие компонентные оценки — по показателям инфраструктуры и рыночной зрелости; наиболее низкие — по расходам на НИОКР (0,1% ВВП) и качеству человеческого капитала в сфере науки.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Рейтинг Doing Business 2020 (последнее доступное издание) поместил Кот-д'Ивуар на 110-е место из 190. Индекс CPIA (оценка институциональной и политической среды) Всемирного банка достиг 3,9 балла в 2024 г. (против 3,6 в 2020 г.) — исторического максимума для страны.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before="300" w:after="18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Прямые иностранные инвестиции, внешняя позиция и международная интеграция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Прямые иностранные инвестиции (ПИИ) являются важным индикатором доверия глобальных инвесторов к экономике страны. Нетто-приток ПИИ вырос с 1,1% ВВП (около $0,7 млрд) в 2020 г. до 3,8% ВВП (около $3,3 млрд) в 2024 г.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свидетельствует об устойчивом нарастании интереса международного бизнеса, подкреплённом повышением суверенного кредитного рейтинга Кот-д'Ивуара агентством Standard &amp; Poor's до уровня BB — одного из трёх лучших в Африке южнее Сахары.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Дефицит счёта текущих операций расширился с $1,97 млрд (3,1% ВВП) в 2020 г. до $6,50 млрд (8,2% ВВП) в 2023 г. — что отражает опережающий рост импорта капитального оборудования в рамках масштабной инвестиционной программы. В 2024 г. произошло значительное улучшение: дефицит сократился до $3,94 млрд (4,5% ВВП) вследствие рекордного роста экспортных доходов.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Аналитическая модель устойчивости внешней позиции предполагает оценку отношения дефицита счёта текущих операций к ВВП (формула 3):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CAD/GDP = (M − X + Yн + Tт) / GDP,   (3)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M — импорт товаров и услуг; X — экспорт товаров и услуг; Yн — первичные доходы (сальдо, как правило, отрицательное для развивающихся стран из-за репатриации прибыли ПИИ); Tт — вторичные доходы (денежные переводы, официальная помощь развитию). Значение CAD/GDP, превышающее 5% на устойчивой основе, рассматривается как индикатор потенциального риска, хотя для стран с высокими темпами роста и значительным притоком ПИИ данный порог может быть адаптирован.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Страна является активным участником региональной интеграции в рамках ЗАЭВС и ЭКОВАС. Региональные партнёры — Буркина-Фасо (4,5%) и Мали (4,2%) — входят в пятёрку крупнейших экспортных рынков.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Обменный курс XOF, жёстко привязанный к евро через механизм зоны франка, обеспечивает относительную монетарную стабильность, однако создаёт риск потери конкурентоспособности при укреплении евро. За период 2020–2024 гг. XOF обесценился к доллару на 5,4% (575,6 XOF/USD → 606,4 XOF/USD).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before="300" w:after="18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Инклюзивность экономического роста: региональные диспропорции и институциональные барьеры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Несмотря на высокие темпы роста ВВП, инклюзивность экономического роста в Кот-д'Ивуаре остаётся ограниченной по нескольким структурным измерениям. Всемирный банк в своём оперативном обзоре за 2025 г. констатирует, что «рост производительности замедлился, а сокращение бедности было неравномерным — снижаясь в городских районах, но сохраняясь в сельских».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2.5.1. Городско-сельской дуализм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Городское население страны — прежде всего Абиджан с метрополитенским населением около 6 млн человек — концентрирует основной потенциал роста: доступ к финансовым услугам, качественному образованию, цифровой инфраструктуре и формальным рабочим местам. Сельские районы, производящие подавляющую часть агросырья (какао, кешью, каучук), воспроизводят бедность, характеризующуюся низкой производительностью труда, ограниченным доступом к электроэнергии (менее 44% в 2021 г.) и отсутствием адекватных услуг водоснабжения (лишь 17% сельского населения имеют доступ к безопасной питьевой воде).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Неформальный сектор насчитывает около 7 млн рабочих мест в 2024 г., причём женщины составляют около 2/3 неформальных предпринимателей, образуя системообразующую, но социально незащищённую группу.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9</w:t>
      </w:r>
    </w:p>
    <w:p>
      <w:pPr>
        <w:spacing w:before="200"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2.5.2. Институциональная среда и управленческие ограничения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октябре 2024 г. страна была включена в «серый список» ФАТФ (Financial Action Task Force) — международной организации по противодействию финансированию терроризма и отмыванию доходов. Хотя Кот-д'Ивуар ранее достиг значительного прогресса в устранении ключевых недостатков своей системы ПОД/ФТ, зафиксированных в ходе оценки 2023 г., включение в список отражает недостаточный прогресс в правоприменительной практике.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Коррупция и теневая экономика (38,3% ВВП в 2023 г.) являются системными ограничителями, снижающими эффективность государственных расходов и препятствующими формализации предпринимательской деятельности.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9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Принятый в мае 2023 г. трёхлетний EFF/ECF-поддерживаемый МВФ программный документ определяет в качестве приоритетов: (i) реформирование системы государственных финансов; (ii) противодействие коррупции и укрепление режима декларирования активов чиновниками; (iii) снижение информальности.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Проведение президентских выборов 2025 г. является фактором потенциальной институциональной нестабильности, хотя МВФ оценивает соответствующие риски как управляемые.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2.5 — Сводная матрица социально-экономических показателей Кот-д'Ивуара за 2020–2024 гг. (в долларах США и/или % ВВП)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ВВП (млрд USD)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72,8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70,9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79,6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86,5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Рост реального ВВП, 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7,1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ВВП/душу (USD)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2 180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2 456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2 333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2 555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2 728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Инфляция (ср.), 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4,2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5,2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4,4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3,5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Бюджетный дефицит, % ВВП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−5,4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−6,7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−5,2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−4,0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Гос. долг, % ВВП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48,4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51,8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57,3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58,5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60,4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Экспорт (млрд USD)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~12,5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~15,3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~16,2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~18,4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20,5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ПИИ нетто, % ВВП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3,8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ИЧР (значение/ранг)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н.д./167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0,553/166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0,565/166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0,582/157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Бедность &lt;$4,20/день, 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41,7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40,8*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Интернет-пенетрация, 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34,0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45,4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~55**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Мобильные деньги, % взрослых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~55**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* — прогнозная оценка (микросимуляция); ** — экстраполяция тренда.
Источник: составлено автором по данным World Bank WDI/Macro Poverty Outlook¹; IMF Article IV 2024²; UNDP HDR 2025⁸; DataReportal 2023¹⁰; AfDB CSP 2023–2028⁴.</w:t>
      </w:r>
    </w:p>
    <w:p>
      <w:pPr>
        <w:spacing w:before="0" w:after="0"/>
      </w:pPr>
      <w:r>
        <w:t xml:space="preserve"/>
      </w:r>
    </w:p>
    <w:p>
      <w:pPr>
        <w:spacing w:before="300" w:after="18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Международные программы развития и сравнительное позиционирование Кот-д'Ивуара в контексте Повестки дня 2030 и Повестки дня 2063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Республика Кот-д'Ивуар реализует своё социально-экономическое развитие в рамках трёх взаимосвязанных стратегических документов: Национальная программа развития (PND) 2021–2025, глобальная Повестка дня ООН до 2030 г. (17 ЦУР) и Повестка дня Африканского союза до 2063 г. (7 целей, 20 задач). Согласно картографированию ЭКА ООН, конвергенция двух повесток на целевом уровне составляет 100%, на уровне задач — 69,8%, на уровне индикаторов — 67,2%.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2.6 — Прогресс Кот-д'Ивуара по ключевым ЦУР, связанным с социально-экономическим развитием (период 2020–2024 гг.)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№ ЦУР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Содержание (кратко)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Исходное значение (2020)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Значение (2024/оценка)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ЦУР 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Ликвидация нищеты (&lt;$2,15/день)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~14%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~9% (прогноз)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ЦУР 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Экономический рост / занятость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Рост 0,7%; безраб. 23%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Рост 6,0%; безраб. 13,1%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ЦУР 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Инфраструктура / инновации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ИИИ: ~120 место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ИИИ: 114 место (2023)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ЦУР 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Образование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Охват нач. шк. ~97%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Охват нач. шк. ~99%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ЦУР 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Энергетика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Электрификация ~69%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Электрификация ~75%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ЦУР 17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Глобальные партнёрства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МВФ-программа: нет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МВФ EFF/ECF, $3,5 млрд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 по данным World Bank¹; AfDB⁴; IMF²; UNDP⁸; WIPO GII 2023¹⁴.</w:t>
      </w:r>
    </w:p>
    <w:p>
      <w:pPr>
        <w:spacing w:before="0" w:after="0"/>
      </w:pPr>
      <w:r>
        <w:t xml:space="preserve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Кот-д'Ивуар находится «в критической точке развития», по формулировке Всемирного банка 2025 г. Для достижения статуса страны с уровнем дохода выше среднего к 2030 г. необходимо не только удвоение среднего дохода на душу населения (с $2 728 до около $4 200+ в USD 2024 г.), но и структурный сдвиг в сторону производительной занятости, диверсификации экспорта и снижения неформальности.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Новый Национальный план развития 2026–2030 гг., принятый в январе 2025 г., ставит задачи: сокращение доли бедного населения ниже 20% к 2030 г., удвоение среднего дохода на душу населения до примерно $3 400 (в пересчёте ~€ 3 400 по текущим курсам), углубление промышленной переработки экспортного сырья. 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9</w:t>
      </w:r>
    </w:p>
    <w:p>
      <w:pPr>
        <w:spacing w:before="300" w:after="18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 по Главе 2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Проведённый анализ социально-экономического положения Республики Кот-д'Ивуар за 2020–2024 гг. позволяет сформулировать следующие верифицированные выводы, опирающиеся на данные первичных международных источников (Всемирный банк, МВФ, ПРООН, АфБР):</w:t>
      </w:r>
    </w:p>
    <w:p>
      <w:pPr>
        <w:pStyle w:val="ListParagraph"/>
        <w:numPr>
          <w:ilvl w:val="0"/>
          <w:numId w:val="2"/>
        </w:numPr>
        <w:spacing w:line="360" w:lineRule="auto" w:before="60" w:after="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Макроэкономическая устойчивость подтверждена: пятилетний среднегодовой темп реального роста ВВП составил около 5,3%, ВВП вырос в номинальном выражении с $63,0 млрд (2020) до $86,5 млрд (2024). Страна демонстрирует значительно более высокую динамику роста по сравнению со среднеафриканским (3,8%) и среднезападноафриканским (2,1%) показателями.</w:t>
      </w:r>
    </w:p>
    <w:p>
      <w:pPr>
        <w:pStyle w:val="ListParagraph"/>
        <w:numPr>
          <w:ilvl w:val="0"/>
          <w:numId w:val="2"/>
        </w:numPr>
        <w:spacing w:line="360" w:lineRule="auto" w:before="60" w:after="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Структурная трансформация экономики происходит, но носит умеренный и незавершённый характер. Диверсификация экспорта (золото — 15,3%, каучук — 12% в 2024 г.) и запуск нефтегазового проекта Baleine формируют новые точки роста, однако зависимость от какао-сектора (около 40% экспортных доходов) сохраняется.</w:t>
      </w:r>
    </w:p>
    <w:p>
      <w:pPr>
        <w:pStyle w:val="ListParagraph"/>
        <w:numPr>
          <w:ilvl w:val="0"/>
          <w:numId w:val="2"/>
        </w:numPr>
        <w:spacing w:line="360" w:lineRule="auto" w:before="60" w:after="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Фискальная консолидация реализуется в рамках программы МВФ EFF/ECF ($3,5 млрд): дефицит снизился с 6,7% ВВП в 2022 г. до 4,0% в 2024 г. Государственный долг достиг 60,4% ВВП, оставаясь в пределах умеренного уровня долговой нагрузки.</w:t>
      </w:r>
    </w:p>
    <w:p>
      <w:pPr>
        <w:pStyle w:val="ListParagraph"/>
        <w:numPr>
          <w:ilvl w:val="0"/>
          <w:numId w:val="2"/>
        </w:numPr>
        <w:spacing w:line="360" w:lineRule="auto" w:before="60" w:after="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Прогресс в снижении бедности реален, но недостаточен: доля населения, живущего на менее $4,20/день, снизилась лишь с 41,7% (2021) до 40,8% (2024). Для достижения цели страны с доходом выше среднего к 2030 г. требуется существенное ускорение инклюзивного роста.</w:t>
      </w:r>
    </w:p>
    <w:p>
      <w:pPr>
        <w:pStyle w:val="ListParagraph"/>
        <w:numPr>
          <w:ilvl w:val="0"/>
          <w:numId w:val="2"/>
        </w:numPr>
        <w:spacing w:line="360" w:lineRule="auto" w:before="60" w:after="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Цифровая трансформация является одним из наиболее динамичных процессов: интернет-проникновение выросло примерно с 26% (2020) до 45,4% (2023), мобильные деньги охватывают около 86% транзакций, финансовая инклюзия достигла 82,2% (2021). Указанные факторы формируют инфраструктурную основу для инновационно-инклюзивного развития.</w:t>
      </w:r>
    </w:p>
    <w:p>
      <w:pPr>
        <w:pStyle w:val="ListParagraph"/>
        <w:numPr>
          <w:ilvl w:val="0"/>
          <w:numId w:val="2"/>
        </w:numPr>
        <w:spacing w:line="360" w:lineRule="auto" w:before="60" w:after="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Индекс человеческого развития улучшается: значение ИЧР выросло с 0,553 (2021) до 0,582 (2023), страна поднялась с 167-го на 157-е место среди 193 государств, показав наибольший прирост в Африке южнее Сахары в 2022–2023 гг.</w:t>
      </w:r>
    </w:p>
    <w:p>
      <w:pPr>
        <w:pStyle w:val="ListParagraph"/>
        <w:numPr>
          <w:ilvl w:val="0"/>
          <w:numId w:val="2"/>
        </w:numPr>
        <w:spacing w:line="360" w:lineRule="auto" w:before="60" w:after="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Системные ограничения инклюзивности не преодолены: высокий уровень неформальной занятости (65,3% в 2024 г.), выраженный городско-сельской дуализм, низкое качество государственных институтов (включение в список ФАТФ в 2024 г.) и недостаточные расходы на НИОКР (0,1% ВВП) формируют барьеры перехода к инновационно-инклюзивной модели развития.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Изложенные выводы формируют доказательную базу для третьей главы диссертации, в которой на основе выявленных причинно-следственных механизмов предлагаются организационно-экономические решения по стимулированию инновационно-инклюзивного развития Кот-д'Ивуара.</w:t>
      </w:r>
    </w:p>
    <w:p/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КОНЦЕВЫЕ СНОСКИ К ГЛАВЕ 2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Bank. Côte d'Ivoire — Macro Poverty Outlook, April 2025 [Electronic resource]. Washington, D.C.: World Bank Group, 2025. URL: https://thedocs.worldbank.org/en/doc/bae48ff2fefc5a869546775b3f010735-0500062021/related/mpo-civ.pdf (accessed: 12.03.2026); World Bank. Selected Indicators: Côte d'Ivoire 2010–2025 [Electronic resource]. Washington, D.C.: World Bank Group, 2025. URL: https://thedocs.worldbank.org/en/doc/b3502c65235d8c72aef5f34d87ed6298-0500062021/related/data-civ.pdf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International Monetary Fund. Côte d'Ivoire: 2024 Article IV Consultation, Third Reviews Under Extended Arrangement Under the EFF and the ECF, Request for Modification of a Quantitative Performance Criterion, and Second Review Under the RSF Arrangement. IMF Staff Country Reports. 2025. Vol. 2025. Issue 091. DOI: 10.5089/9798229006040.002. URL: https://www.imf.org/en/Publications/CR/Issues/2025/04/08/Cte-d-Ivoire-2024-Article-IV-Consultation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International Monetary Fund. Press Release No. 24/464: IMF Executive Board Completes the Third Reviews of the EFF/ECF Arrangements and Concludes 2024 Article IV Consultation with Côte d'Ivoire. Washington, D.C.: IMF, December 12, 2024. URL: https://www.imf.org/en/News/Articles/2024/12/12/pr-24464-cote-divoire-imf-completes-3rd-rev-eff-ecf-arr-2nd-rev-rsf-arr-concludes-2024-aiv-cons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African Development Bank. Côte d'Ivoire — Country Strategy Paper 2023–2028. Abidjan: AfDB, 2023. URL: https://www.afdb.org/sites/default/files/documents/projects-and-operations/cote_divoire_-_country_strategy_paper_2023-2028_0.pdf (accessed: 12.03.2026); AfDB. Côte d'Ivoire — Economic Outlook 2024. URL: https://www.afdb.org/en/countries/west-africa/cote-d%E2%80%99ivoire/cote-divoire-economic-outlook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Stockholm Environment Institute (SEI) / Trase. Côte d'Ivoire Cocoa Exports and Deforestation: Supply Chain Data v.1.1 (2020–2022). Stockholm: SEI, 2024. URL: https://www.sei.org/features/cocoa-exports-and-deforestation/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World's Top Exports. Ivory Coast's Top Exports 2024 [Electronic resource]. URL: https://www.worldstopexports.com/ivory-coasts-top-10-exports/ (accessed: 12.03.2026). [Derived from UN Comtrade / ITC Trade Map data].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Bank. Côte d'Ivoire — Global Poverty Update: Poverty Data [Electronic resource] // DataBank. Washington, D.C., 2024. URL: https://databankfiles.worldbank.org/public/ddpext_download/poverty/987B9C90-CB9F-4D93-AE8C-750588BF00QA/current/Global_POVEQ_CIV.pdf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United Nations Development Programme. Human Development Report 2025: A Matter of Choice — People and Possibilities in the Age of AI. New York: UNDP, 2025. URL: https://hdr.undp.org/data-center/human-development-index (accessed: 12.03.2026). Данные HDI для Кот-д'Ивуара: значение 0,582, ранг 157/193 (2023 г.).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Institute for Security Studies (ISS). Côte d'Ivoire — African Futures Country Profile 2024. Pretoria: ISS Africa, 2024. URL: https://futures.issafrica.org/geographic/countries/cote-divoire/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10.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DataReportal / Kepios / GSMA Intelligence. Digital 2023: Côte d'Ivoire. January 2023. URL: https://datareportal.com/reports/digital-2023-cote-divoire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U.S. International Trade Administration. Côte d'Ivoire — Telecommunication Equipment and Services [Electronic resource]. URL: https://www.trade.gov/country-commercial-guides/cote-divoire-telecommunication-equipment-and-services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U.S. International Trade Administration. Côte d'Ivoire — Digital Economy [Electronic resource]. URL: https://www.trade.gov/country-commercial-guides/cote-divoire-digital-economy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Cable.co.uk / Statista. Price for mobile data in Côte d'Ivoire as of 2023 (in U.S. dollars per gigabyte) [Graph]. Statista, September 26, 2023. URL: https://www.statista.com/statistics/1272808/price-for-mobile-data-in-cote-d-ivoire/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Intellectual Property Organization (WIPO). Global Innovation Index 2023: Innovation in the Face of Uncertainty. Geneva: WIPO, 2023. ISBN: 978-92-805-3432-8. URL: https://www.wipo.int/global_innovation_index/en/2023/ (accessed: 12.03.2026).</w:t>
      </w:r>
    </w:p>
    <w:p>
      <w:pPr>
        <w:spacing w:before="60" w:after="60"/>
        <w:ind w:left="560" w:hanging="5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Bank Group. Côte d'Ivoire Digital Economy Diagnostic (DE4A) [Electronic resource]. Washington, D.C.: World Bank, 2022. URL: https://thedocs.worldbank.org/en/doc/61714f214ed04bcd6e9623ad0e215897-0400012021/related/P1774220ef9ded03e09df002ef08dab4e63.pdf (accessed: 12.03.2026).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line="360" w:lineRule="auto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2026-03-12T04:41:34.399Z</dcterms:created>
  <dcterms:modified xsi:type="dcterms:W3CDTF">2026-03-12T04:41:34.401Z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