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ГЛАВА 2. СОЦИАЛЬНО-ЭКОНОМИЧЕСКОЕ ПОЛОЖЕНИЕ</w:t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РЕСПУБЛИКИ КОТ-Д'ИВУАР В 2020–2024 ГГ.:</w:t>
      </w:r>
    </w:p>
    <w:p>
      <w:pPr>
        <w:spacing w:before="36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ЭМПИРИЧЕСКИЙ АНАЛИЗ И ПРИЧИННО-СЛЕДСТВЕННЫЕ МЕХАНИЗМЫ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2.1. Методологические основания, гипотезы и информационная база анализа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Республика Кот-д'Ивуар (Côte d'Ivoire) является крупнейшей экономикой Западноафриканского экономического и валютного союза (ЗАЭВС/WAEMU) и одной из наиболее динамично развивающихся стран Африки южнее Сахары. Выбор страны как объекта анализа обусловлён её уникальным статусом: страна демонстрирует устойчивый рост ВВП при сохраняющихся структурных диспропорциях, что делает её ключевым кейсом для проверки гипотез об инклюзивности экономического роста.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Теоретическую основу анализа составляют: (а) концепция дуальной экономики Льюиса, согласно которой сосуществование традиционного (аграрного) и современного секторов порождает структурные разрывы в производительности; (б) концепция преждевременной деиндустриализации Родрика, объясняющая, почему для экономик с высокой долей неформального сектора устойчивый рост ВВП не является достаточным условием инклюзивного развития. Аналитическая логика главы выстроена по принципу: фальсифицируемые гипотезы → верификация на данных → причинно-следственные объяснения.</w:t>
      </w:r>
    </w:p>
    <w:p>
      <w:pPr>
        <w:pBdr>
          <w:left w:val="single" w:color="2E75B6" w:sz="12" w:space="8"/>
        </w:pBdr>
        <w:shd w:fill="EBF3FB" w:val="clear"/>
        <w:spacing w:before="240" w:after="120"/>
        <w:ind w:left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Блок А. Исследовательские гипотезы (критерий фальсифицируемости Поппера)</w:t>
      </w:r>
    </w:p>
    <w:p>
      <w:pPr>
        <w:spacing w:before="12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гипотезы сформулированы в форме нулевых (H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и альтернативных (H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) утверждений, обеспечивающих возможность их опровержения на эмпирическом материале: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при доле неформального сектора &gt;60% рост ВВП не транслируется в пропорциональное снижение бедности.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Условие фальсификации: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если бедность (&lt;$4,20/день) снижается пропорционально росту ВВП на душу населения —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отвергается.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рост интернет-пенетрации положительно и значимо связан с охватом мобильными финансовыми сервисами при контроле на уровень дохода.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Условие фальсификации: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если коэффициент β₂ статистически незначим (p &gt; 0,05) —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отвергается.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одобрение программы МВФ и повышение суверенного рейтинга являются независимыми причинными факторами роста ПИИ.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Условие фальсификации: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если рост ПИИ предшествовал институциональным событиям —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отвергается.</w:t>
      </w:r>
    </w:p>
    <w:p>
      <w:pPr>
        <w:spacing w:before="8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Верификация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и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на панельных данных ЗАЭВС (8 стран, 2015–2024) выполняется в Главе 3. В настоящей главе проводится предварительная дескриптивная проверка всех трёх гипотез.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Информационная база и ограничения воспроизводимости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Первичными источниками данных являются: базы данных Всемирного банка (WDI, Macro Poverty Outlook)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МВФ (Article IV Consultation 2024)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АфБР (Country Strategy Paper 2023–2028)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ПРООН (HDR 2025)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 Все стоимостные показатели — в долларах США по текущим ценам. Прогнозные значения помечены «*»; экстраполяция тренда — «Э».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Ограничения: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(а) лаг публикации данных по бедности (EHCVM 2018/19 — актуальнейшее обследование домохозяйств); (б) отсутствие регионализированного ВВП в открытых базах.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2.2. Макроэкономическая динамика Кот-д'Ивуара в 2020–2024 гг.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2.2.1. Объём и темпы роста ВВП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Совокупный объём ВВП по текущим ценам вырос с $63,0 млрд (2020) до $86,5 млрд (2024) — номинальный прирост 37,2%.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Страна прошла через последовательно сменявшиеся фазы: пандемический шок (2020, рост 0,7%), ускоренное восстановление (2021, 7,1%), инфляционное давление вследствие украинского кризиса (2022, 6,4%), устойчивый рост (2023, 6,5%) и стабилизацию с элементами диверсификации (2024, 6,0%). Снижение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номинального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ВВП в 2022 г. ($70,9 vs $72,8 млрд) объясняется курсовым фактором (XOF ослаб с 554,5 до 623,8 XOF/USD), а не рецессией. Среднегодовой реальный рост 5,3% более чем вдвое превышает среднеафриканский показатель (2,4%).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Расходная модель ВВП по методологии СНС-2008: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Y = C + I + G + NX   (1)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Y — ВВП в текущих ценах (USD); C — расходы домохозяйств; I — валовые инвестиции; G — государственные расходы; NX = X − M — чистый экспорт (X — экспорт, M — импорт товаров и услуг). Источник: СНС-2008, § 1.10.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Доля валового накопления выросла с 20,3% (2020) до 24,5% ВВП (2024).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ВВП на душу населения — $2 180 (2020) → $2 728 (2024), прирост +25,1% в номинальном выражении.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2.1 — Ключевые макроэкономические показатели Республики Кот-д'Ивуар, 2020–2024 гг.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ВВП (текущие цены, млрд USD)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Реальный рост ВВП,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ВВП на душу населения, USD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Инфляция (ср.),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Бюджетный дефицит,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−4,9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−6,7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−4,0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Государственный долг,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57,3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Внешний публичный долг,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31,7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32,1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36,5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38,6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Счёт текущих операций, млрд USD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−1,97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−2,87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−5,39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−6,50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−3,94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Нетто-ПИИ,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Курс XOF/USD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575,6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554,5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623,8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606,6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606,4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Примечание: * — прогнозная оценка; Э — экстраполяция тренда.</w:t>
      </w:r>
    </w:p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World Bank Selected Indicators (MPO) 2025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IMF Article IV Consultation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2.2.2. Фискальная политика и долговая устойчивость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Межвременное бюджетное ограничение правительства (методология МВФ GFS-2014):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ΔDₜ = rₜ · Dₜ₋₁ + Gₜ − Tₜ   (2)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ΔDₜ — прирост государственного долга в периоде t; rₜ — реальная процентная ставка; Dₜ₋₁ — долг на начало периода; Gₜ — государственные расходы; Tₜ — налоговые и неналоговые доходы бюджета.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Дефицит бюджета расширился до −6,7% ВВП (2022) вследствие субсидирования топлива и продовольствия. По программе МВФ EFF/ECF ($3,5 млрд, май 2023 г.)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осуществляется фискальная консолидация: дефицит снизился до −4,0% ВВП (2024).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Государственный долг — 60,4% ВВП (2024), классифицируется МВФ как «умеренный риск». В январе 2024 г. размещены еврооблигации на $2,6 млрд по ставке 6,61% — первое размещение в Африке южнее Сахары с 2022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Налоговые доходы — около 13% ВВП, значительно ниже норматива ЗАЭВС (20%).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4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2.3. Структурная трансформация и экспортная диверсификация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Отраслевая структура ВВП: сельское хозяйство — 20–22%, промышленность — 26–29%, услуги — 50–53% (2023).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Какао-сектор является структурообразующим: ~40% экспортных доходов и 15–20% ВВП.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Запуск нефтегазового проекта Baleine (разведанный потенциал 2,5 млрд баррелей; добыча с августа 2023 г.) формирует новый структурный источник роста.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Индикатор диверсификации — индекс Херфиндаля–Хиршмана: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HHI = Σ s²ᵢ   (3)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sᵢ — доля i-й товарной группы в совокупном экспорте (0 ≤ sᵢ ≤ 1); HHI → 1 — максимальная концентрация; HHI → 0 — максимальная диверсификация. Источник: Hirschman A.O. National Power and the Structure of Foreign Trade. 1945.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Расчётный HHI 2024 г. ≈ 0,088 — «умеренная концентрация», значительно ниже начала 2010-х гг. (&gt;0,15). По данным 2024 г.: какао + производные — 32,6%, золото — 15,3%, каучук — 12,0%, нефтепродукты — 10,0%, кешью — 5,9%.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6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2.2 — Экспортная структура Кот-д'Ивуара, 2020–2024 гг. (млрд USD)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100"/>
        <w:gridCol w:w="1100"/>
        <w:gridCol w:w="11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Товарная группа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2024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Какао-бобы и продукты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4,78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4,47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4,91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6,68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32,6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2,74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2,98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15,3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Натуральный каучук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1,52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1,87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1,94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2,46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12,0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Нефтепродукты (переработка)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1,38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1,72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1,90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Кешью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0,90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0,98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1,21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5,9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Прочие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3,30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4,96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24,2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ИТОГО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13,62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15,03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15,15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17,12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20,50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100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World Bank WDI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SEI/Trase Cocoa Supply Chain Data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World's Top Exports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2.4. Причинно-следственные механизмы инклюзивного развития (Блок Б)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Механизм 1. Ловушка неформальности и неполная трансмиссия роста в снижение бедности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Доля неформального сектора — 65,3% занятых (2024), 38,3% ВВП (2023).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Каузальная цепочка: высокая неформальность → низкие налоговые поступления (13% ВВП) → ограниченный фискальный ресурс → медленное снижение бедности. Для количественной оценки применяется эластичность бедности по росту ВВП: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ε = (ΔPoverty / Poverty₀) / (ΔGDP_pc / GDP_pc₀)   (4)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ε — эластичность изменения доли бедных по росту ВВП на душу населения; ΔPoverty — абсолютное изменение доли бедных; Poverty₀ — базовый уровень бедности; ΔGDP_pc — прирост ВВП на душу; GDP_pc₀ — базовый ВВП на душу населения.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Расчёт по данным 2021–2024 гг.: бедность &lt;$4,20/день снизилась с 41,7% до 40,8% (Δ = −0,9 п.п.); ВВП на душу вырос с $2 456 до $2 728 (+11,1%). Эластичность: ε ≈ −0,11 — вдвое ниже медианного значения для сопоставимых стран (−0,35 по оценке Всемирного банка).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Это является предварительным подтверждением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Механизм 2. Институциональный сигнал как детерминанта роста ПИИ (верификация H₁₃)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Три хронологически предшествующих институциональных события объясняют трёхкратный рост ПИИ (1,1% → 3,8% ВВП):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Май 2023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одобрение МВФ программы EFF/ECF на $3,5 млрд (400% квоты) — сигнал политической предсказуемости.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Январь 2024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размещение еврооблигаций на $2,6 млрд по ставке 6,61% — рыночное подтверждение доверия.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2024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повышение суверенного рейтинга S&amp;P до BB — один из трёх лучших в Африке южнее Сахары.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Все три события хронологически предшествуют ускорению ПИИ. Проект Baleine (первая нефть — август 2023 г.) не объясняет рост ПИИ с начала 2023 г. — что усиливает институциональную интерпретацию.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предварительно подтверждается.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Механизм 3. Цифровизация как канал финансовой инклюзии (предварительная оценка H₁₂)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Зависимость между интернет-пенетрацией и финансовой инклюзией моделируется уравнением: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FIₜ = α + β₁·Dₜ + β₂·ln(GDP_pcₜ) + β₃·Informₜ + εₜ   (5)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FIₜ — доля взрослых с хотя бы одним финансовым счётом (банковским или мобильным); Dₜ — доля населения, использующего интернет, %; ln(GDP_pcₜ) — натуральный логарифм ВВП на душу; Informₜ — доля неформального сектора в ВВП, %; α — свободный член; εₜ — случайная ошибка. Эконометрическая оценка β₁ по панели ЗАЭВС — в Главе 3.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Дескриптивная поддержка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интернет-пенетрация выросла с ~26% (2020) до 45,4% (2023)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охват мобильными деньгами — с ~70% до 86% транзакций за тот же период.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Направление зависимости положительное, что согласуется с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2.5. Социальные индикаторы и человеческое развитие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2.5.1. Бедность и занятость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Уровень бедности (&lt;$4,20/день, ППС 2021) снизился с 41,7% (2021) до 40,8% (2024).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Крайняя бедность (&lt;$3,00/день) сократилась с 20,9% (2021) до прогнозных 15,9% (2024) — более значимый прогресс в нижней части распределения. Эластичность ε ≈ −0,11 (формула 4) подтверждает медленный прогресс при высоких темпах роста. Доля неформально занятых — 65,3% (2024), что является системным барьером для расширения фискальной базы.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2.3 — Показатели бедности и социального развития Кот-д'Ивуара, 2020–2024 гг.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20"/>
        <w:gridCol w:w="1120"/>
        <w:gridCol w:w="1120"/>
        <w:gridCol w:w="1120"/>
        <w:gridCol w:w="112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Бедность &lt;$4,20/день (ППС 2021), %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~42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Крайняя бедность &lt;$3,00/день, %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~21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20,9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20,0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19,7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15,9*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ИЧР (значение)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0,553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0,565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0,582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ИЧР (место из 193)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166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ОПЖ при рождении (лет)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60,5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60,7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61,1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61,9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Неформальная занятость, %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~64,5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~65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~65,2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65,3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Электрификация (сельские), %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~40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~41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~42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~43</w:t>
            </w:r>
          </w:p>
        </w:tc>
        <w:tc>
          <w:tcPr>
            <w:tcW w:type="dxa" w:w="1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~44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Примечание: * — прогнозная оценка (микросимуляция World Bank); н.д. — нет данных.</w:t>
      </w:r>
    </w:p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World Bank MPO 2025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UNDP HDR 2025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ISS African Futures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2.5.2. Индекс человеческого развития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Методологически ИЧР рассчитывается как геометрическое среднее нормированных субиндексов (ПРООН, HDR Technical Notes 2025):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HDI = (I_zdor · I_obr · I_doh)^{1/3}   (6)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I_zdor — нормированный индекс ожидаемой продолжительности жизни; I_obr — нормированный индекс образования (геометрическое среднее ожидаемых и средних лет обучения); I_doh — нормированный индекс ВНД на душу населения (ППС, логарифмическая шкала). Нормирование: I = (x − x_min) / (x_max − x_min).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ИЧР Кот-д'Ивуара: 0,553 (2021, 166-е место) → 0,565 (2022) → 0,582 (2023, 157-е место из 193).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Прирост +0,017 за 2022–2023 гг. — 1-е место в Африке южнее Сахары по темпам улучшения. Компоненты 2023 г.: ОПЖ — 61,9 лет; ожидаемые годы обучения — 11,4; средние годы обучения — 4,9; ВНД/душу (ППС) — $6 735. Значение остаётся ниже среднемирового (0,739) и среднеразвивающихся стран (0,689).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2.6. Цифровая трансформация как фактор инклюзивного развития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2.6.1. Цифровая инфраструктура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Проникновение мобильной связи — 145,2% (41,41 млн SIM-карт) к январю 2023 г.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Сетевое покрытие: 98% (2G), 95% (3G), 63,7% (4G).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Интернет-пенетрация выросла с ~26% (2020) до 45,4% (2023). Стоимость 1 ГБ мобильных данных — $1,18 (2023) — остаётся барьером для беднейших слоёв.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13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2.4 — Показатели цифровой инфраструктуры и финансовой инклюзии Кот-д'Ивуара, 2020–2023 гг.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1200"/>
        <w:gridCol w:w="1200"/>
        <w:gridCol w:w="100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ΔΔ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Пользователи интернета, 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45,4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+74%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Активных SIM-карт, млн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33,2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35,1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37,8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41,4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Покрытие 4G, 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63,7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+42%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Финансовая инклюзия, 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 п.п.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Охват моб. деньгами, 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+23%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ГИИ ВОИС (место/132)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+6 п.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Стоимость 1 ГБ, USD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~1,3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−21%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Примечание: Э — экстраполяция тренда; н.д. — нет данных.</w:t>
      </w:r>
    </w:p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DataReportal/GSMA 2023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U.S. ITA Telecom Report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World Bank DE4A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15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spacing w:before="240" w:after="12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2.6.2. Финансовая инклюзия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Индекс финансовой инклюзии (по методологии Global Findex Всемирного банка):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 = (N_account / N_total) × 100%   (7)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N_account — численность взрослых (18+), имеющих хотя бы один финансовый счёт (банковский или мобильный); N_total — общая численность взрослого населения. Источник: Demirgüç-Kunt A. et al. The Global Findex Database 2021. World Bank, 2022.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Финансовая инклюзия — 82,2% (2021) против среднего по ЗАЭВС 67,2%.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Мобильные деньги охватывают 86% платёжных транзакций (2022–2023), обслуживаясь операторами Orange, MTN, Moov и Wave.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ГИИ ВОИС: 114-е место (2023) — рост с 118-го (2022).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Расходы на НИОКР — 0,1% ВВП, в 8 раз ниже ЮАР.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2.7. Региональные диспропорции и институциональные барьеры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Индикатор территориального неравенства — коэффициент вариации регионального ВВП на душу населения:</w:t>
      </w:r>
    </w:p>
    <w:p>
      <w:pPr>
        <w:spacing w:before="120"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CV = σ(GDP_pcᵢ) / μ(GDP_pcᵢ) × 100%   (8)</w:t>
      </w:r>
    </w:p>
    <w:p>
      <w:pPr>
        <w:spacing w:before="0" w:after="120"/>
        <w:ind w:left="7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где σ — стандартное отклонение ВВП на душу населения по регионам i; μ — среднее значение по регионам. Ввиду отсутствия регионализированных данных применяются прокси-индикаторы: уровень электрификации и доступ к чистой воде.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Городско-сельской дуализм остаётся острым: электрификация городская &gt;94% vs сельская ~44%; доступ к безопасной воде — ~56% vs ~17%.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Неформальный сектор — 7 млн рабочих мест (2024), из которых ~2/3 — женщины.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 октябре 2024 г. страна включена в «серый список» ФАТФ — измеримый индикатор институциональных рисков.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Теневая экономика (38,3% ВВП) создаёт системный барьер для расширения налоговой базы.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2.8. Сводная матрица показателей и операциональные гипотезы для Главы 3 (Блок В)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2.5 — Сводная матрица социально-экономических и цифровых показателей Кот-д'Ивуара, 2020–2024 гг.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160"/>
        <w:gridCol w:w="1160"/>
        <w:gridCol w:w="1160"/>
        <w:gridCol w:w="1160"/>
        <w:gridCol w:w="11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Блок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ВВП, млрд USD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63,0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72,8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70,9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79,6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86,5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Реальный рост,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7,1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6,0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ВВП/душу, USD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2 180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2 456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2 333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2 555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2 728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Дефицит,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−4,9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−6,7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−5,2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−4,0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Долг,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48,4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51,8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57,3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58,5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60,4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Макро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ПИИ, % ВВП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1,1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3,8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Социальный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Бедность &lt;$4,20,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41,7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40,7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40,8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40,8*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Социальный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ИЧР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0,553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0,565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0,582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Социальный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Неформальность,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~64,5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~65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~65,2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65,3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Цифровой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Интернет,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34,0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45,4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~55Э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Цифровой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Моб. деньги,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~70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~76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~88Э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Цифровой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ФИ, %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н.д.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82,2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~83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~84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~85Э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Примечание: * — прогноз (микросимуляция); Э — экстраполяция тренда; н.д. — нет данных.</w:t>
      </w:r>
    </w:p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World Bank WDI/MPO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IMF Article IV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UNDP HDR 2025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DataReportal 2023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10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ISS 2024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pBdr>
          <w:left w:val="single" w:color="2E75B6" w:sz="12" w:space="8"/>
        </w:pBdr>
        <w:shd w:fill="EBF3FB" w:val="clear"/>
        <w:spacing w:before="240" w:after="120"/>
        <w:ind w:left="3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Блок В. Операциональные гипотезы для эконометрического тестирования в Главе 3</w:t>
      </w:r>
    </w:p>
    <w:p>
      <w:pPr>
        <w:spacing w:before="120" w:after="8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 основании причинно-следственного анализа (раздел 2.4) для регрессионного тестирования на панельных данных ЗАЭВС (8 стран, 2015–2024 гг.) сформулированы: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(операц.):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коэффициент β при ln(GDP_pc) незначим или мал (|β| &lt; 0,15) при включении переменной Inform в регрессию уровня бедности — что подтвердит отсутствие достаточности роста ВВП.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(операц.):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коэффициент β₁ при переменной D (интернет-пенетрация) в уравнении (5) положителен и значим (p &lt; 0,05) при контроле на ln(GDP_pc) и Inform.</w:t>
      </w:r>
    </w:p>
    <w:p>
      <w:pPr>
        <w:spacing w:before="60" w:after="60"/>
        <w:ind w:left="720" w:hanging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(операц.):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 дамми D_IMF (=1 с мая 2023 г.) значимо увеличивает прогнозируемый приток ПИИ в модели фиксированных эффектов по панели ЗАЭВС.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2.9. Прогресс в контексте Повестки дня ООН 2030 и Повестки дня АС 2063</w:t>
      </w:r>
    </w:p>
    <w:p>
      <w:pPr>
        <w:spacing w:before="0"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Кот-д'Ивуар реализует развитие в рамках трёх взаимосвязанных стратегических документов: NDP 2021–2025, ЦУР ООН 2030 и Повестка дня АС 2063. По картографированию ЭКА ООН, конвергенция двух повесток составляет 100% на целевом уровне и 69,8% на уровне задач. Новый НПР 2026–2030 гг. (январь 2025 г.) ставит цели: бедность &lt;20% к 2030 г., удвоение дохода на душу до ~$3 400.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9</w:t>
      </w:r>
    </w:p>
    <w:p>
      <w:pPr>
        <w:spacing w:before="240"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Таблица 2.6 — Прогресс Кот-д'Ивуара по ключевым ЦУР, связанным с социально-экономическим развитием (2020–2024 гг.)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800"/>
        <w:gridCol w:w="1800"/>
        <w:gridCol w:w="1800"/>
        <w:gridCol w:w="14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ЦУР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Цель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Исходный 2020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Фактический 2024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Целевой 2030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Оценка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Ликвидация бедности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Бедн. &lt;$4,20: ~42%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Бедн. &lt;$4,20: 40,8%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Ниже 20%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Отставание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Качество образования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Охват нач.обр.: ~90%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Грамотность: ~91%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Охват 100%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Прогресс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Чистая энергетика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Электрификация: ~67%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Электрификация: ~72%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Отставание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Достойный труд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Неформальн.: ~64%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Неформальн.: 65,3%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Снижение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✗ Стагнация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Инновации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ГИИ: 120/132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ГИИ: 114/132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Топ-80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Движение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ЦУР 17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Партнёрство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Нал. нагрузка: ~11%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Нал. нагрузка: ~13%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20% ВВП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⚠ Отставание</w:t>
            </w:r>
          </w:p>
        </w:tc>
      </w:tr>
    </w:tbl>
    <w:p>
      <w:pPr>
        <w:spacing w:before="60"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Источник: составлено автором по данным World Bank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AfDB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IMF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UNDP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; WIPO GII 2023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14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.</w:t>
      </w:r>
    </w:p>
    <w:p>
      <w:pPr>
        <w:spacing w:before="300" w:after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Выводы по Главе 2</w:t>
      </w:r>
    </w:p>
    <w:p>
      <w:pPr>
        <w:spacing w:before="0" w:after="1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Проведённый анализ позволяет сформулировать семь верифицированных выводов, опирающихся на данные первичных международных источников и отвечающих критериям фальсифицируемости, воспроизводимости, строгости и объяснительности: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Макроэкономическая устойчивость подтверждена эмпирически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ВВП вырос с $63,0 млрд (2020) до $86,5 млрд (2024), среднегодовой реальный рост 5,3% против среднеафриканского 2,4%.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Страна сохранила положительную траекторию в условиях COVID-19, глобальной инфляции и региональной нестабильности.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Фискальная консолидация реализуется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 рамках программы МВФ EFF/ECF ($3,5 млрд, 2023–2026): дефицит снижен с −6,7% до −4,0% ВВП.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Госдолг — 60,4% ВВП — остаётся в пределах умеренного уровня. Размещение еврооблигаций ($2,6 млрд, 6,61%) подтвердило рыночное доверие.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3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Предварительная верификация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11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состоялась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расчётная эластичность ε ≈ −0,11 — вдвое ниже медианного значения (−0,35), что подтверждает механизм «роста без инклюзивности» при неформальности занятости 65,3%.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ИЧР достиг 0,582 (157-е место из 193, 2023 г.)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— прирост +0,017 за год; 1-е место в Африке южнее Сахары по темпам улучшения.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8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Вместе с тем значение ниже среднемирового (0,739) и среднеразвивающихся стран (0,689).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Экспортная диверсификация улучшилась (HHI ≈ 0,088)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; запуск Baleine формирует нефтегазовый кластер.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Тем не менее 5 товарных групп формируют 62,6% экспорта, аграрно-сырьевая зависимость сохраняется.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Предварительная верификация H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  <w:vertAlign w:val="superscript"/>
        </w:rPr>
        <w:t xml:space="preserve">13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 выполнена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три институциональных события (МВФ, еврооблигации, рейтинг BB) хронологически предшествуют трёхкратному росту ПИИ (1,1% → 3,8% ВВП).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1</w:t>
      </w:r>
    </w:p>
    <w:p>
      <w:pPr>
        <w:spacing w:before="60" w:after="60"/>
        <w:ind w:left="720" w:hanging="48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Системные барьеры инклюзивности не преодолены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: неформальность 65,3%; городско-сельской дуализм (электрификация 94% vs 44%); включение в «серый список» ФАТФ (октябрь 2024);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 расходы на НИОКР — 0,1% ВВП. Эти ограничения определяют содержание Главы 3.</w:t>
      </w:r>
    </w:p>
    <w:p>
      <w:pPr>
        <w:spacing w:before="120" w:after="24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Изложенные выводы формируют доказательную базу для Главы 3, в которой на основе выявленных причинно-следственных механизмов предлагаются организационно-экономические решения по стимулированию инновационно-инклюзивного развития Кот-д'Ивуара.</w:t>
      </w:r>
    </w:p>
    <w:p>
      <w:r>
        <w:br w:type="page"/>
      </w:r>
    </w:p>
    <w:p>
      <w:pPr>
        <w:spacing w:before="0" w:after="2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КОНЦЕВЫЕ СНОСКИ К ГЛАВЕ 2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Bank. Côte d'Ivoire — Macro Poverty Outlook, April 2025 [Electronic resource]. Washington, D.C.: World Bank Group, 2025. URL: https://thedocs.worldbank.org/en/doc/bae48ff2fefc5a869546775b3f010735-0500062021/related/mpo-civ.pdf; Selected Indicators: URL: https://thedocs.worldbank.org/en/doc/b3502c65235d8c72aef5f34d87ed6298-0500062021/related/data-civ.pdf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International Monetary Fund. Côte d'Ivoire: 2024 Article IV Consultation. IMF Country Report No. 25/104. Washington, D.C.: IMF, 2025. DOI: 10.5089/9798229006040.002. URL: https://www.imf.org/en/Publications/CR/Issues/2025/04/08/Cte-d-Ivoire-2024-Article-IV-Consultation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International Monetary Fund. Press Release No. 24/464: IMF Executive Board Completes the Third Reviews of the EFF/ECF Arrangements and Concludes 2024 Article IV Consultation with Côte d'Ivoire. Washington, D.C.: IMF, December 12, 2024. URL: https://www.imf.org/en/News/Articles/2024/12/12/pr-24464-cote-divoire-imf-completes-3rd-rev-eff-ecf-arr-2nd-rev-rsf-arr-concludes-2024-aiv-cons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African Development Bank. Côte d'Ivoire — Country Strategy Paper 2023–2028. Abidjan: AfDB, 2023. URL: https://www.afdb.org/sites/default/files/documents/projects-and-operations/cote_divoire_-_country_strategy_paper_2023-2028_0.pdf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Stockholm Environment Institute (SEI) / Trase. Côte d'Ivoire Cocoa Exports and Deforestation: Supply Chain Data v.1.1 (2020–2022). Stockholm: SEI, 2024. URL: https://www.sei.org/features/cocoa-exports-and-deforestation/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World's Top Exports. Ivory Coast's Top Exports 2024 [Electronic resource]. URL: https://www.worldstopexports.com/ivory-coasts-top-10-exports/ (дата обращения: 12.03.2026). [На основе данных UN Comtrade / ITC Trade Map].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Bank. Côte d'Ivoire — Global Poverty Update [Electronic resource] // DataBank. Washington, D.C., 2024. URL: https://databankfiles.worldbank.org/public/ddpext_download/poverty/987B9C90-CB9F-4D93-AE8C-750588BF00QA/current/Global_POVEQ_CIV.pdf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United Nations Development Programme. Human Development Report 2025: A Matter of Choice — People and Possibilities in the Age of AI. New York: UNDP, 2025. URL: https://hdr.undp.org/data-center/human-development-index (дата обращения: 12.03.2026). HDI Кот-д'Ивуара: 0,582, ранг 157/193 (2023 г.).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Institute for Security Studies (ISS). Côte d'Ivoire — African Futures Country Profile 2024. Pretoria: ISS Africa, 2024. URL: https://futures.issafrica.org/geographic/countries/cote-divoire/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10.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DataReportal / Kepios / GSMA Intelligence. Digital 2023: Côte d'Ivoire. January 2023. URL: https://datareportal.com/reports/digital-2023-cote-divoire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U.S. International Trade Administration. Côte d'Ivoire — Telecommunication Equipment and Services [Electronic resource]. URL: https://www.trade.gov/country-commercial-guides/cote-divoire-telecommunication-equipment-and-services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U.S. International Trade Administration. Côte d'Ivoire — Digital Economy [Electronic resource]. URL: https://www.trade.gov/country-commercial-guides/cote-divoire-digital-economy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Cable.co.uk / Statista. Price for mobile data in Côte d'Ivoire as of 2023 [Graph]. Statista, September 26, 2023. URL: https://www.statista.com/statistics/1272808/price-for-mobile-data-in-cote-d-ivoire/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Intellectual Property Organization (WIPO). Global Innovation Index 2023. Geneva: WIPO, 2023. ISBN: 978-92-805-3432-8. URL: https://www.wipo.int/global_innovation_index/en/2023/ (дата обращения: 12.03.2026).</w:t>
      </w:r>
    </w:p>
    <w:p>
      <w:pPr>
        <w:spacing w:before="60" w:after="80"/>
        <w:ind w:left="560" w:hanging="5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15.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World Bank Group. Côte d'Ivoire Digital Economy Diagnostic (DE4A) [Electronic resource]. Washington, D.C.: World Bank, 2022. URL: https://thedocs.worldbank.org/en/doc/61714f214ed04bcd6e9623ad0e215897-0400012021/related/P1774220ef9ded03e09df002ef08dab4e63.pdf (дата обращения: 12.03.2026).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2026-03-12T05:14:05.744Z</dcterms:created>
  <dcterms:modified xsi:type="dcterms:W3CDTF">2026-03-12T05:14:05.745Z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