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0" w:after="120" w:beforeAutospacing="0" w:afterAutospacing="0"/>
        <w:jc w:val="center"/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2"/>
          <w:szCs w:val="22"/>
        </w:rPr>
        <w:t xml:space="preserve">Таблица </w:t>
      </w: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2"/>
          <w:szCs w:val="22"/>
          <w:rtl w:val="0"/>
          <w:lang w:val="ru-RU" w:bidi="ru-RU" w:eastAsia="ru-RU"/>
        </w:rPr>
        <w:t xml:space="preserve"> </w:t>
      </w: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2"/>
          <w:szCs w:val="22"/>
        </w:rPr>
        <w:t>3.11 – Динамика показателей, характеризующих институциональные условия для субъектов МСБ в Республике Кот-д'Ивуар</w:t>
      </w:r>
    </w:p>
    <w:tbl>
      <w:tblPr>
        <w:tblW w:w="10000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3305"/>
        <w:gridCol w:w="1101"/>
        <w:gridCol w:w="1102"/>
        <w:gridCol w:w="1102"/>
        <w:gridCol w:w="1102"/>
        <w:gridCol w:w="1102"/>
        <w:gridCol w:w="1186"/>
      </w:tblGrid>
      <w:tr>
        <w:trPr>
          <w:tblHeader/>
        </w:trP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Показатель</w:t>
            </w:r>
          </w:p>
        </w:tc>
        <w:tc>
          <w:tcPr>
            <w:tcW w:w="6000" w:type="dxa"/>
            <w:gridSpan w:val="6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Год</w:t>
            </w:r>
          </w:p>
        </w:tc>
      </w:tr>
      <w:tr>
        <w:trPr>
          <w:tblHeader/>
        </w:trP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2019 (DB 2020)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2021¹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2022¹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2023¹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1"/>
                <w:i w:val="0"/>
                <w:bCs w:val="1"/>
                <w:iCs w:val="0"/>
                <w:color w:val="000000"/>
                <w:sz w:val="20"/>
                <w:szCs w:val="20"/>
              </w:rPr>
              <w:t>2024 (B-READY)²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Время, необходимое для строительства склада (дней)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163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Срок исполнения контракта (дней)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525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525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Время, необходимое для получения электроэнергии (дней)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1"/>
                <w:bCs w:val="0"/>
                <w:iCs w:val="1"/>
                <w:color w:val="000000"/>
                <w:sz w:val="20"/>
                <w:szCs w:val="20"/>
              </w:rPr>
              <w:t>~50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Время, необходимое для регистрации собственности (дней)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1"/>
                <w:bCs w:val="0"/>
                <w:iCs w:val="1"/>
                <w:color w:val="000000"/>
                <w:sz w:val="20"/>
                <w:szCs w:val="20"/>
              </w:rPr>
              <w:t>~35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Время, необходимое для открытия бизнеса (дней)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4–6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4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Время на подготовку и уплату налогов (часов/год)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1"/>
                <w:bCs w:val="0"/>
                <w:iCs w:val="1"/>
                <w:color w:val="000000"/>
                <w:sz w:val="20"/>
                <w:szCs w:val="20"/>
              </w:rPr>
              <w:t>~180</w:t>
            </w:r>
          </w:p>
        </w:tc>
      </w:tr>
      <w:tr>
        <w:tc>
          <w:tcPr>
            <w:tcW w:w="3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Срок рассмотрения дела о неплатёжеспособности (лет)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shd w:val="clear" w:color="auto" w:fill="F5F8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bCs w:val="0"/>
                <w:iCs w:val="0"/>
                <w:color w:val="000000"/>
                <w:sz w:val="20"/>
                <w:szCs w:val="20"/>
              </w:rPr>
              <w:t>2,2</w:t>
            </w:r>
          </w:p>
        </w:tc>
      </w:tr>
    </w:tbl>
    <w:p>
      <w:pPr>
        <w:spacing w:before="60" w:after="60" w:beforeAutospacing="0" w:afterAutospacing="0"/>
        <w:jc w:val="left"/>
      </w:pPr>
      <w:r>
        <w:rPr>
          <w:rFonts w:ascii="Times New Roman" w:hAnsi="Times New Roman" w:cs="Times New Roman" w:eastAsia="Times New Roman"/>
          <w:b w:val="1"/>
          <w:i w:val="1"/>
          <w:bCs w:val="1"/>
          <w:iCs w:val="1"/>
          <w:color w:val="000000"/>
          <w:sz w:val="20"/>
          <w:szCs w:val="20"/>
        </w:rPr>
        <w:t xml:space="preserve">Источник: </w:t>
      </w:r>
      <w:r>
        <w:rPr>
          <w:rFonts w:ascii="Times New Roman" w:hAnsi="Times New Roman" w:cs="Times New Roman" w:eastAsia="Times New Roman"/>
          <w:b w:val="0"/>
          <w:i w:val="1"/>
          <w:bCs w:val="0"/>
          <w:iCs w:val="1"/>
          <w:color w:val="000000"/>
          <w:sz w:val="20"/>
          <w:szCs w:val="20"/>
        </w:rPr>
        <w:t>составлено автором по данным: Doing Business 2020, Economy Profile: Côte d'Ivoire [Electronic resource]. Washington, D.C.: World Bank Group, 2020. URL: https://www.doingbusiness.org/content/dam/doingBusiness/country/c/cote-divoire/CIV.pdf (дата обращения: 12.03.2026); World Bank B-READY 2024 [Electronic resource]. URL: https://www.worldbank.org/en/programs/business-enabling-environment (дата обращения: 12.03.2026).</w:t>
      </w:r>
    </w:p>
    <w:p>
      <w:pPr>
        <w:spacing w:before="120" w:after="40" w:beforeAutospacing="0" w:afterAutospacing="0"/>
        <w:jc w:val="left"/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0"/>
          <w:szCs w:val="20"/>
        </w:rPr>
        <w:t>Примечания:</w:t>
      </w:r>
    </w:p>
    <w:p>
      <w:pPr>
        <w:spacing w:before="0" w:after="60" w:beforeAutospacing="0" w:afterAutospacing="0"/>
        <w:ind w:left="300"/>
        <w:jc w:val="left"/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0"/>
          <w:szCs w:val="20"/>
        </w:rPr>
        <w:t xml:space="preserve">¹ 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olor w:val="000000"/>
          <w:sz w:val="20"/>
          <w:szCs w:val="20"/>
        </w:rPr>
        <w:t>Проект Doing Business был официально прекращён Всемирным банком в сентябре 2021 г. в связи с выявленными нарушениями методологии сбора данных; выпуск DB 2021 так и не был опубликован. В 2021–2023 гг. новые данные по методологии Doing Business не публиковались. Значения за 2021–2023 гг. воспроизводятся из последней верифицированной оценки DB 2020 при отсутствии задокументированных административных реформ по соответствующим показателям.</w:t>
      </w:r>
    </w:p>
    <w:p>
      <w:pPr>
        <w:spacing w:before="0" w:after="60" w:beforeAutospacing="0" w:afterAutospacing="0"/>
        <w:ind w:left="300"/>
        <w:jc w:val="left"/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0"/>
          <w:szCs w:val="20"/>
        </w:rPr>
        <w:t xml:space="preserve">² 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olor w:val="000000"/>
          <w:sz w:val="20"/>
          <w:szCs w:val="20"/>
        </w:rPr>
        <w:t>С 2024 г. Всемирный банк перешёл на платформу B-READY (Business Ready), методология которой кардинально отличается от Doing Business и не обеспечивает прямой сопоставимости показателей. Значения за 2024 г., помеченные знаком «~», представляют собой оценки автора на основе аналитических материалов Всемирного банка (Country Strategy Paper, IMF Article IV 2024) и данных CEPICI Côte d'Ivoire.</w:t>
      </w:r>
    </w:p>
    <w:p>
      <w:pPr>
        <w:spacing w:before="0" w:after="120" w:beforeAutospacing="0" w:afterAutospacing="0"/>
        <w:ind w:left="300"/>
        <w:jc w:val="left"/>
      </w:pPr>
      <w:r>
        <w:rPr>
          <w:rFonts w:ascii="Times New Roman" w:hAnsi="Times New Roman" w:cs="Times New Roman" w:eastAsia="Times New Roman"/>
          <w:b w:val="1"/>
          <w:i w:val="0"/>
          <w:bCs w:val="1"/>
          <w:iCs w:val="0"/>
          <w:color w:val="000000"/>
          <w:sz w:val="20"/>
          <w:szCs w:val="20"/>
        </w:rPr>
        <w:t xml:space="preserve">«~» </w:t>
      </w:r>
      <w:r>
        <w:rPr>
          <w:rFonts w:ascii="Times New Roman" w:hAnsi="Times New Roman" w:cs="Times New Roman" w:eastAsia="Times New Roman"/>
          <w:b w:val="0"/>
          <w:i w:val="0"/>
          <w:bCs w:val="0"/>
          <w:iCs w:val="0"/>
          <w:color w:val="000000"/>
          <w:sz w:val="20"/>
          <w:szCs w:val="20"/>
        </w:rPr>
        <w:t>— оценка автора; данные официальных международных источников за соответствующий период отсутствуют.</w:t>
      </w:r>
    </w:p>
    <w:sectPr>
      <w:type w:val="nextPage"/>
      <w:pgSz w:w="11906" w:h="16838" w:code="0"/>
      <w:pgMar w:left="1701" w:right="850" w:top="1134" w:bottom="1134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1C234596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outlineLvl w:val="0"/>
    </w:pPr>
    <w:rPr>
      <w:color w:val="2E74B5"/>
      <w:sz w:val="32"/>
      <w:szCs w:val="32"/>
    </w:rPr>
  </w:style>
  <w:style w:type="paragraph" w:styleId="P3">
    <w:name w:val="Heading 2"/>
    <w:qFormat/>
    <w:pPr>
      <w:outlineLvl w:val="1"/>
    </w:pPr>
    <w:rPr>
      <w:color w:val="2E74B5"/>
      <w:sz w:val="26"/>
      <w:szCs w:val="26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2026-03-12T22:09:53Z</dcterms:created>
  <dcterms:modified xsi:type="dcterms:W3CDTF">2026-03-12T22:11:33Z</dcterms:modified>
  <cp:revision>2</cp:revision>
</cp:coreProperties>
</file>