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framePr w:w="2390" w:h="1142" w:hSpace="2515" w:wrap="notBeside" w:vAnchor="text" w:hAnchor="text" w:y="1"/>
        <w:widowControl w:val="0"/>
        <w:rPr>
          <w:sz w:val="2"/>
          <w:szCs w:val="2"/>
        </w:rPr>
      </w:pPr>
      <w:r>
        <w:drawing>
          <wp:inline>
            <wp:extent cx="1517650" cy="72517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517650" cy="7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4660265" simplePos="0" relativeHeight="125829378" behindDoc="0" locked="0" layoutInCell="1" allowOverlap="1">
                <wp:simplePos x="0" y="0"/>
                <wp:positionH relativeFrom="column">
                  <wp:posOffset>1548130</wp:posOffset>
                </wp:positionH>
                <wp:positionV relativeFrom="paragraph">
                  <wp:posOffset>182880</wp:posOffset>
                </wp:positionV>
                <wp:extent cx="1566545" cy="313690"/>
                <wp:wrapTopAndBottom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66545" cy="3136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7C4025"/>
                                <w:left w:val="single" w:sz="0" w:space="0" w:color="7C4025"/>
                                <w:bottom w:val="single" w:sz="0" w:space="0" w:color="7C4025"/>
                                <w:right w:val="single" w:sz="0" w:space="0" w:color="7C4025"/>
                              </w:pBdr>
                              <w:shd w:val="clear" w:color="auto" w:fill="7C4025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AFRICAN DEVELOPMENT BANK GROUP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7C4025"/>
                                <w:left w:val="single" w:sz="0" w:space="0" w:color="7C4025"/>
                                <w:bottom w:val="single" w:sz="0" w:space="0" w:color="7C4025"/>
                                <w:right w:val="single" w:sz="0" w:space="0" w:color="7C4025"/>
                              </w:pBdr>
                              <w:shd w:val="clear" w:color="auto" w:fill="7C4025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GROUPE DE LA BANQUE AFRICAINE</w:t>
                              <w:br/>
                              <w:t>DE DÉVELOPPEMENT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21.90000000000001pt;margin-top:14.4pt;width:123.35000000000001pt;height:24.699999999999999pt;z-index:-125829375;mso-wrap-distance-left:0;mso-wrap-distance-right:366.94999999999999pt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pBdr>
                          <w:top w:val="single" w:sz="0" w:space="0" w:color="7C4025"/>
                          <w:left w:val="single" w:sz="0" w:space="0" w:color="7C4025"/>
                          <w:bottom w:val="single" w:sz="0" w:space="0" w:color="7C4025"/>
                          <w:right w:val="single" w:sz="0" w:space="0" w:color="7C4025"/>
                        </w:pBdr>
                        <w:shd w:val="clear" w:color="auto" w:fill="7C4025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AFRICAN DEVELOPMENT BANK GROUP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pBdr>
                          <w:top w:val="single" w:sz="0" w:space="0" w:color="7C4025"/>
                          <w:left w:val="single" w:sz="0" w:space="0" w:color="7C4025"/>
                          <w:bottom w:val="single" w:sz="0" w:space="0" w:color="7C4025"/>
                          <w:right w:val="single" w:sz="0" w:space="0" w:color="7C4025"/>
                        </w:pBdr>
                        <w:shd w:val="clear" w:color="auto" w:fill="7C4025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GROUPE DE LA BANQUE AFRICAINE</w:t>
                        <w:br/>
                        <w:t>DE DÉVELOPPEMENT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pBdr>
          <w:top w:val="single" w:sz="0" w:space="0" w:color="513D15"/>
          <w:left w:val="single" w:sz="0" w:space="0" w:color="513D15"/>
          <w:bottom w:val="single" w:sz="0" w:space="0" w:color="513D15"/>
          <w:right w:val="single" w:sz="0" w:space="0" w:color="513D15"/>
        </w:pBdr>
        <w:shd w:val="clear" w:color="auto" w:fill="513D15"/>
        <w:bidi w:val="0"/>
        <w:spacing w:before="0" w:after="160" w:line="240" w:lineRule="auto"/>
        <w:ind w:left="0" w:right="0" w:firstLine="0"/>
        <w:jc w:val="right"/>
        <w:rPr>
          <w:sz w:val="54"/>
          <w:szCs w:val="54"/>
        </w:rPr>
      </w:pPr>
      <w:r>
        <w:rPr>
          <w:rStyle w:val="CharStyle5"/>
          <w:rFonts w:ascii="Tahoma" w:eastAsia="Tahoma" w:hAnsi="Tahoma" w:cs="Tahoma"/>
          <w:b/>
          <w:bCs/>
          <w:color w:val="FFFFFF"/>
          <w:sz w:val="54"/>
          <w:szCs w:val="54"/>
        </w:rPr>
        <w:t>Rapport Pays 2025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320" w:firstLine="0"/>
        <w:jc w:val="right"/>
        <w:rPr>
          <w:sz w:val="54"/>
          <w:szCs w:val="54"/>
        </w:rPr>
      </w:pPr>
      <w:r>
        <w:rPr>
          <w:rStyle w:val="CharStyle5"/>
          <w:rFonts w:ascii="Tahoma" w:eastAsia="Tahoma" w:hAnsi="Tahoma" w:cs="Tahoma"/>
          <w:b/>
          <w:bCs/>
          <w:color w:val="654320"/>
          <w:sz w:val="54"/>
          <w:szCs w:val="54"/>
        </w:rPr>
        <w:t>Côte d'Ivoire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7565390" cy="477329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7565390" cy="4773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779" w:line="1" w:lineRule="exact"/>
      </w:pPr>
    </w:p>
    <w:p>
      <w:pPr>
        <w:pStyle w:val="Style4"/>
        <w:keepNext w:val="0"/>
        <w:keepLines w:val="0"/>
        <w:widowControl w:val="0"/>
        <w:pBdr>
          <w:top w:val="single" w:sz="0" w:space="0" w:color="4C2812"/>
          <w:left w:val="single" w:sz="0" w:space="0" w:color="4C2812"/>
          <w:bottom w:val="single" w:sz="0" w:space="0" w:color="4C2812"/>
          <w:right w:val="single" w:sz="0" w:space="0" w:color="4C2812"/>
        </w:pBdr>
        <w:shd w:val="clear" w:color="auto" w:fill="4C2812"/>
        <w:bidi w:val="0"/>
        <w:spacing w:before="0" w:after="680" w:line="259" w:lineRule="auto"/>
        <w:ind w:left="0" w:right="0" w:firstLine="0"/>
        <w:jc w:val="left"/>
        <w:rPr>
          <w:sz w:val="42"/>
          <w:szCs w:val="42"/>
        </w:rPr>
      </w:pPr>
      <w:r>
        <w:rPr>
          <w:rStyle w:val="CharStyle5"/>
          <w:rFonts w:ascii="Tahoma" w:eastAsia="Tahoma" w:hAnsi="Tahoma" w:cs="Tahoma"/>
          <w:color w:val="FFFFFF"/>
          <w:sz w:val="42"/>
          <w:szCs w:val="42"/>
        </w:rPr>
        <w:t>Tirer le meilleur parti du capital de la Côte</w:t>
        <w:br/>
        <w:t>d'Ivoire pour favoriser son développement</w:t>
      </w:r>
      <w:r>
        <w:br w:type="page"/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440" w:line="259" w:lineRule="auto"/>
        <w:ind w:left="3460" w:right="720" w:firstLine="0"/>
        <w:jc w:val="right"/>
        <w:rPr>
          <w:sz w:val="60"/>
          <w:szCs w:val="60"/>
        </w:rPr>
      </w:pPr>
      <w:bookmarkStart w:id="0" w:name="bookmark0"/>
      <w:r>
        <w:rPr>
          <w:rStyle w:val="CharStyle10"/>
          <w:b/>
          <w:bCs/>
          <w:color w:val="715646"/>
          <w:sz w:val="60"/>
          <w:szCs w:val="60"/>
        </w:rPr>
        <w:t>Rapport Pays 2025</w:t>
        <w:br/>
        <w:t>Côte d’Ivoire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700" w:line="240" w:lineRule="auto"/>
        <w:ind w:left="3460" w:right="720" w:firstLine="0"/>
        <w:jc w:val="right"/>
        <w:rPr>
          <w:sz w:val="42"/>
          <w:szCs w:val="42"/>
        </w:rPr>
      </w:pPr>
      <w:r>
        <w:rPr>
          <w:rStyle w:val="CharStyle5"/>
          <w:rFonts w:ascii="Tahoma" w:eastAsia="Tahoma" w:hAnsi="Tahoma" w:cs="Tahoma"/>
          <w:sz w:val="42"/>
          <w:szCs w:val="42"/>
        </w:rPr>
        <w:t>Tirer le meilleur parti du capital de la Côte</w:t>
        <w:br/>
        <w:t>d’Ivoire pour favoriser son développement</w:t>
      </w:r>
    </w:p>
    <w:p>
      <w:pPr>
        <w:framePr w:w="2285" w:h="1181" w:hSpace="2371" w:vSpace="10" w:wrap="notBeside" w:vAnchor="text" w:hAnchor="text" w:x="4422" w:y="11"/>
        <w:widowControl w:val="0"/>
        <w:rPr>
          <w:sz w:val="2"/>
          <w:szCs w:val="2"/>
        </w:rPr>
      </w:pPr>
      <w:r>
        <w:drawing>
          <wp:inline>
            <wp:extent cx="1450975" cy="749935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450975" cy="74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38" w:h="23810"/>
          <w:pgMar w:top="5123" w:right="3515" w:bottom="4726" w:left="3515" w:header="4695" w:footer="4298" w:gutter="0"/>
          <w:pgNumType w:start="1"/>
          <w:cols w:space="720"/>
          <w:noEndnote/>
          <w:rtlGutter/>
          <w:docGrid w:linePitch="360"/>
        </w:sectPr>
      </w:pPr>
      <w:r>
        <mc:AlternateContent>
          <mc:Choice Requires="wps">
            <w:drawing>
              <wp:anchor distT="0" distB="0" distL="2807335" distR="463550" simplePos="0" relativeHeight="125829380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204470</wp:posOffset>
                </wp:positionV>
                <wp:extent cx="1484630" cy="97790"/>
                <wp:wrapTopAndBottom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84630" cy="977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color w:val="000000"/>
                              </w:rPr>
                              <w:t>AFRICAN DEVELOPMENT BANK GROUP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336.94999999999999pt;margin-top:16.100000000000001pt;width:116.90000000000001pt;height:7.7000000000000002pt;z-index:-125829373;mso-wrap-distance-left:221.05000000000001pt;mso-wrap-distance-right:36.5pt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color w:val="000000"/>
                        </w:rPr>
                        <w:t>AFRICAN DEVELOPMENT BANK GROUP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807335" distR="463550" simplePos="0" relativeHeight="12582938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646430</wp:posOffset>
                </wp:positionV>
                <wp:extent cx="393065" cy="115570"/>
                <wp:wrapTopAndBottom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3065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  <w:color w:val="000000"/>
                                <w:sz w:val="8"/>
                                <w:szCs w:val="8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color w:val="000000"/>
                                <w:sz w:val="8"/>
                                <w:szCs w:val="8"/>
                              </w:rPr>
                              <w:t xml:space="preserve">4lN </w:t>
                            </w:r>
                            <w:r>
                              <w:rPr>
                                <w:rStyle w:val="CharStyle3"/>
                                <w:smallCaps/>
                                <w:color w:val="000000"/>
                                <w:sz w:val="10"/>
                                <w:szCs w:val="10"/>
                              </w:rPr>
                              <w:t>de</w:t>
                            </w:r>
                            <w:r>
                              <w:rPr>
                                <w:rStyle w:val="CharStyle3"/>
                                <w:color w:val="000000"/>
                                <w:sz w:val="8"/>
                                <w:szCs w:val="8"/>
                              </w:rPr>
                              <w:t xml:space="preserve"> 0^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margin-left:294.pt;margin-top:50.899999999999999pt;width:30.949999999999999pt;height:9.0999999999999996pt;z-index:-125829371;mso-wrap-distance-left:221.05000000000001pt;mso-wrap-distance-right:36.5pt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3"/>
                          <w:i/>
                          <w:iCs/>
                          <w:color w:val="000000"/>
                          <w:sz w:val="8"/>
                          <w:szCs w:val="8"/>
                          <w:vertAlign w:val="superscript"/>
                        </w:rPr>
                        <w:t>C</w:t>
                      </w:r>
                      <w:r>
                        <w:rPr>
                          <w:rStyle w:val="CharStyle3"/>
                          <w:i/>
                          <w:iCs/>
                          <w:color w:val="000000"/>
                          <w:sz w:val="8"/>
                          <w:szCs w:val="8"/>
                        </w:rPr>
                        <w:t xml:space="preserve">4lN </w:t>
                      </w:r>
                      <w:r>
                        <w:rPr>
                          <w:rStyle w:val="CharStyle3"/>
                          <w:smallCaps/>
                          <w:color w:val="000000"/>
                          <w:sz w:val="10"/>
                          <w:szCs w:val="10"/>
                        </w:rPr>
                        <w:t>de</w:t>
                      </w:r>
                      <w:r>
                        <w:rPr>
                          <w:rStyle w:val="CharStyle3"/>
                          <w:color w:val="000000"/>
                          <w:sz w:val="8"/>
                          <w:szCs w:val="8"/>
                        </w:rPr>
                        <w:t xml:space="preserve"> 0^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807335" distR="463550" simplePos="0" relativeHeight="125829384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0</wp:posOffset>
                </wp:positionV>
                <wp:extent cx="313690" cy="97790"/>
                <wp:wrapTopAndBottom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3690" cy="977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CharStyle3"/>
                                <w:rFonts w:ascii="Courier New" w:eastAsia="Courier New" w:hAnsi="Courier New" w:cs="Courier New"/>
                                <w:color w:val="000000"/>
                                <w:sz w:val="10"/>
                                <w:szCs w:val="10"/>
                              </w:rPr>
                              <w:t>^VELOP#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296.65000000000003pt;margin-top:0;width:24.699999999999999pt;height:7.7000000000000002pt;z-index:-125829369;mso-wrap-distance-left:221.05000000000001pt;mso-wrap-distance-right:36.5pt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CharStyle3"/>
                          <w:rFonts w:ascii="Courier New" w:eastAsia="Courier New" w:hAnsi="Courier New" w:cs="Courier New"/>
                          <w:color w:val="000000"/>
                          <w:sz w:val="10"/>
                          <w:szCs w:val="10"/>
                        </w:rPr>
                        <w:t>^VELOP#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807335" distR="463550" simplePos="0" relativeHeight="125829386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326390</wp:posOffset>
                </wp:positionV>
                <wp:extent cx="1475105" cy="186055"/>
                <wp:wrapTopAndBottom/>
                <wp:docPr id="12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5105" cy="186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color w:val="000000"/>
                              </w:rPr>
                              <w:t>GROUPE DE LA BANQUE AFRICAINE</w:t>
                              <w:br/>
                              <w:t>DE DÉVELOPPEMENT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337.19999999999999pt;margin-top:25.699999999999999pt;width:116.15000000000001pt;height:14.65pt;z-index:-125829367;mso-wrap-distance-left:221.05000000000001pt;mso-wrap-distance-right:36.5pt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color w:val="000000"/>
                        </w:rPr>
                        <w:t>GROUPE DE LA BANQUE AFRICAINE</w:t>
                        <w:br/>
                        <w:t>DE DÉVELOPPEMENT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5260" w:after="280" w:line="360" w:lineRule="auto"/>
        <w:ind w:left="1180" w:right="0" w:firstLine="0"/>
        <w:jc w:val="left"/>
      </w:pPr>
      <w:r>
        <w:rPr>
          <w:rStyle w:val="CharStyle19"/>
        </w:rPr>
        <w:t>© 2025 Banque africaine de développement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180" w:right="0" w:firstLine="0"/>
        <w:jc w:val="left"/>
      </w:pPr>
      <w:r>
        <w:rPr>
          <w:rStyle w:val="CharStyle19"/>
        </w:rPr>
        <w:t>Groupe de la Banque africaine de développement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180" w:right="0" w:firstLine="0"/>
        <w:jc w:val="left"/>
      </w:pPr>
      <w:r>
        <w:rPr>
          <w:rStyle w:val="CharStyle19"/>
        </w:rPr>
        <w:t>Avenue Joseph Anoma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180" w:right="0" w:firstLine="0"/>
        <w:jc w:val="left"/>
      </w:pPr>
      <w:r>
        <w:rPr>
          <w:rStyle w:val="CharStyle19"/>
        </w:rPr>
        <w:t>01 BP 1387 Abidjan 01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180" w:right="0" w:firstLine="0"/>
        <w:jc w:val="left"/>
      </w:pPr>
      <w:r>
        <w:rPr>
          <w:rStyle w:val="CharStyle19"/>
        </w:rPr>
        <w:t>Côte d’Ivoire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 w:line="360" w:lineRule="auto"/>
        <w:ind w:left="1180" w:right="0" w:firstLine="0"/>
        <w:jc w:val="left"/>
      </w:pPr>
      <w:r>
        <w:fldChar w:fldCharType="begin"/>
      </w:r>
      <w:r>
        <w:rPr/>
        <w:instrText> HYPERLINK "http://www.afdb.org" </w:instrText>
      </w:r>
      <w:r>
        <w:fldChar w:fldCharType="separate"/>
      </w:r>
      <w:r>
        <w:rPr>
          <w:rStyle w:val="CharStyle19"/>
        </w:rPr>
        <w:t>www.afdb.org</w:t>
      </w:r>
      <w:r>
        <w:fldChar w:fldCharType="end"/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 w:line="360" w:lineRule="auto"/>
        <w:ind w:left="1180" w:right="0" w:firstLine="0"/>
        <w:jc w:val="both"/>
      </w:pPr>
      <w:r>
        <w:rPr>
          <w:rStyle w:val="CharStyle19"/>
        </w:rPr>
        <w:t>Les opinions et les arguments exprimés ici ne reflètent pas nécessairement les vues officielles de la Banque</w:t>
        <w:br/>
        <w:t>de développement, de son Conseil d’administration ou des pays qu’il représente. Ce document, ainsi que les</w:t>
        <w:br/>
        <w:t>données et cartes qu’il peut comprendre, sont sans préjudice du statut de tout territoire, de la souveraineté</w:t>
        <w:br/>
        <w:t>s’exerçant sur ce dernier, du tracé des frontières et limites internationales, et du nom de tout territoire, ville ou</w:t>
        <w:br/>
        <w:t>région.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 w:line="360" w:lineRule="auto"/>
        <w:ind w:left="1180" w:right="0" w:firstLine="0"/>
        <w:jc w:val="both"/>
      </w:pPr>
      <w:r>
        <w:rPr>
          <w:rStyle w:val="CharStyle19"/>
        </w:rPr>
        <w:t>Vous êtes autorisés à copier, télécharger ou imprimer ce matériau pour votre propre usage, et inclure les extraits</w:t>
        <w:br/>
        <w:t>de cette publication dans vos propres documents, présentations, blogs, sites web et matériaux pédagogiques,</w:t>
        <w:br/>
        <w:t>pour autant que la Banque africaine de développement soit mentionnée comme étant la source et le titulaire du</w:t>
        <w:br/>
        <w:t>droit d’auteur.</w:t>
      </w:r>
      <w:r>
        <w:br w:type="page"/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bookmarkStart w:id="2" w:name="bookmark2"/>
      <w:r>
        <w:rPr>
          <w:rStyle w:val="CharStyle10"/>
          <w:b/>
          <w:bCs/>
        </w:rPr>
        <w:t>REMERCIEMENTS</w:t>
      </w:r>
      <w:bookmarkEnd w:id="2"/>
    </w:p>
    <w:p>
      <w:pPr>
        <w:pStyle w:val="Style18"/>
        <w:keepNext w:val="0"/>
        <w:framePr w:dropCap="drop" w:hAnchor="text" w:lines="2" w:vAnchor="text" w:hSpace="19" w:vSpace="19"/>
        <w:widowControl w:val="0"/>
        <w:shd w:val="clear" w:color="auto" w:fill="auto"/>
        <w:spacing w:before="0" w:line="392" w:lineRule="exact"/>
        <w:ind w:left="0" w:firstLine="0"/>
      </w:pPr>
      <w:r>
        <w:rPr>
          <w:rStyle w:val="CharStyle19"/>
          <w:color w:val="000000"/>
          <w:position w:val="-8"/>
          <w:sz w:val="56"/>
          <w:szCs w:val="56"/>
        </w:rPr>
        <w:t>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left"/>
      </w:pPr>
      <w:r>
        <w:rPr>
          <w:rStyle w:val="CharStyle19"/>
        </w:rPr>
        <w:t>e Rapport-pays 2025 sur la Côte d’Ivoire a été préparé au sein du Complexe de l’Économiste en chef et Vice-</w:t>
        <w:br/>
        <w:t>Président chargé de la gouvernance économique et de la gestion des connaissances, sous la direction et</w:t>
        <w:br/>
        <w:t>la supervision générales du Professeur Kevin C. Urama, Économiste en Chef et Vice-Président, avec le soutien</w:t>
        <w:br/>
        <w:t>d’Adamon Mukasa (Economiste de recherche Principal) et d’Amah Marie-Aude Ezanin Koffi (Assistante Exécutive).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La préparation de ce rapport a été dirigée par Désiré Vencatachellum (Directeur principal, Département économies</w:t>
        <w:br/>
        <w:t>pays - ECCE), avec Marcellin Ndong Ntah (Lead Economiste, ECCE) comme Coordonnateur technique du</w:t>
        <w:br/>
        <w:t>processus, Abir Bdioui (Consultante, ECCE) pour le soutien informatique, Aminata Kouma-Moulod (Specialiste de la</w:t>
        <w:br/>
        <w:t>gestion des produits, ECCE) pour le suivi de l’édition, et Eugenia Grant (Assistante d’équipe, ECCE) pour le soutien</w:t>
        <w:br/>
        <w:t>administratif. Le Rapport-pays 2025 sur la Côte d’Ivoire a été rédigé par Kadio Arthur Lionel Kouao (Economiste</w:t>
        <w:br/>
        <w:t>pays national supérieur), sous la direction de Marcellin Ndong Ntah (Lead Economiste, ECCE).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Nos remerciements vont à l’endroit de : (i) Linguère Mbaye (Cheffe de Division, ECCE 1), (ii) l’équipe pays de la</w:t>
        <w:br/>
        <w:t>Côte d’Ivoire dirigée par Lamin Barrow (Directeur Général, RDGW), avec le soutien de Joseph Ribeiro (Directeur</w:t>
        <w:br/>
        <w:t>Général Adjoint, RDGW, et Responsable Pays, Côte d’Ivoire) ; (iii) le Département Politique, prévision et recherche</w:t>
        <w:br/>
        <w:t>macroéconomiques (ECMR) dirigé par Anthony Simpasa (Directeur) ; (iii) le Département des États en transition</w:t>
        <w:br/>
        <w:t>(RDTS) dirigé par Yero Baldeh (Directeur) ; (iv) le Centre africain de ressources naturelles (ECNR) dirigé par Solomane</w:t>
        <w:br/>
        <w:t>Koné (Directeur) ; et le Consortium de la Recherche Economique en Afrique (CREA) dirigé par Prof. Victor Murinde</w:t>
        <w:br/>
        <w:t>(Directeur Exécutif) pour leurs contributions.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La Banque tient à remercier les responsables des entités gouvernementales pour l’accueil, et l’organisation de la</w:t>
        <w:br/>
        <w:t>mission de la préparation du Rapport pays 2025 de la Côte d’Ivoire et la qualité des discussions. Elle remercie aussi</w:t>
        <w:br/>
        <w:t>les représentants des organisations de la société civile, du secteur privé, et des partenaires techniques et financiers,</w:t>
        <w:br/>
        <w:t>pour leur disponibilité et la qualité des échanges lors des réunions tenues avec la mission.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Les données figurant dans ce Rapport ont été compilées par le Département des statistiques - ECST dirigé</w:t>
        <w:br/>
        <w:t>par Samson Babatunde Omotosho (Directeur) avec la participation de Koua Louis Kouakou, Chef de la division</w:t>
        <w:br/>
        <w:t>des statistiques économiques et sociales, et Anouar Chaouch (Statisticien supérieur, Division des statistiques</w:t>
        <w:br/>
        <w:t>économiques et sociales, ECST) et Beejaye Kokil (Consultant, ECST).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6" w:lineRule="auto"/>
        <w:ind w:left="0" w:right="0" w:firstLine="0"/>
        <w:jc w:val="both"/>
      </w:pPr>
      <w:r>
        <w:rPr>
          <w:rStyle w:val="CharStyle19"/>
        </w:rPr>
        <w:t>Les commentaires formulés dans le cadre de l’examen par les pairs ont été reçus de : Aliya Noura Diawara</w:t>
        <w:br/>
        <w:t>(Consultante, RDTS) et Kan David N’Dri (Consultant, ECCE). Le Professeur Sylvain Eloi Dessy, Département</w:t>
        <w:br/>
        <w:t>d’économie, Université Laval – Canada a contribué, à titre d’évaluateur externe.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1" w:lineRule="auto"/>
        <w:ind w:left="0" w:right="0" w:firstLine="0"/>
        <w:jc w:val="both"/>
        <w:sectPr>
          <w:footerReference w:type="default" r:id="rId11"/>
          <w:footerReference w:type="even" r:id="rId12"/>
          <w:footerReference w:type="first" r:id="rId13"/>
          <w:footnotePr>
            <w:pos w:val="pageBottom"/>
            <w:numFmt w:val="decimal"/>
            <w:numRestart w:val="continuous"/>
          </w:footnotePr>
          <w:pgSz w:w="16838" w:h="23810"/>
          <w:pgMar w:top="6061" w:right="3515" w:bottom="5712" w:left="3515" w:header="0" w:footer="3" w:gutter="0"/>
          <w:cols w:space="720"/>
          <w:noEndnote/>
          <w:titlePg/>
          <w:rtlGutter/>
          <w:docGrid w:linePitch="360"/>
        </w:sectPr>
      </w:pPr>
      <w:r>
        <w:rPr>
          <w:rStyle w:val="CharStyle19"/>
        </w:rPr>
        <w:t>La couverture du Rapport s’inspire d’une maquette générale réalisée par de Laetitia Yattien-Amiguet et de Justin</w:t>
        <w:br/>
        <w:t>Kabasele, du service des relations extérieures et de la communication de la Banque. La révision a été effectuée par</w:t>
        <w:br/>
        <w:t>Mr. Mba Bizo et la mise en page par Ancre Consulting.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960" w:line="240" w:lineRule="auto"/>
        <w:ind w:left="0" w:right="0" w:firstLine="700"/>
        <w:jc w:val="left"/>
      </w:pPr>
      <w:bookmarkStart w:id="4" w:name="bookmark4"/>
      <w:r>
        <w:rPr>
          <w:rStyle w:val="CharStyle10"/>
          <w:b/>
          <w:bCs/>
        </w:rPr>
        <w:t>TABLE DES MATIÈRES</w:t>
      </w:r>
      <w:bookmarkEnd w:id="4"/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r>
        <w:fldChar w:fldCharType="begin"/>
        <w:instrText xml:space="preserve"> TOC \o "1-5" \h \z </w:instrText>
        <w:fldChar w:fldCharType="separate"/>
      </w:r>
      <w:hyperlink w:anchor="bookmark2" w:tooltip="Current Document">
        <w:r>
          <w:rPr>
            <w:rStyle w:val="CharStyle25"/>
            <w:b/>
            <w:bCs/>
            <w:sz w:val="18"/>
            <w:szCs w:val="18"/>
          </w:rPr>
          <w:t>REMERCIEMENTS</w:t>
          <w:tab/>
          <w:t>III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hyperlink w:anchor="bookmark8" w:tooltip="Current Document">
        <w:r>
          <w:rPr>
            <w:rStyle w:val="CharStyle25"/>
            <w:b/>
            <w:bCs/>
            <w:sz w:val="18"/>
            <w:szCs w:val="18"/>
          </w:rPr>
          <w:t>RÉSUMÉ EXÉCUTIF</w:t>
          <w:tab/>
          <w:t>XIII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hyperlink w:anchor="bookmark10" w:tooltip="Current Document">
        <w:r>
          <w:rPr>
            <w:rStyle w:val="CharStyle25"/>
            <w:b/>
            <w:bCs/>
            <w:sz w:val="18"/>
            <w:szCs w:val="18"/>
          </w:rPr>
          <w:t>INTRODUCTION GÉNÉRALE</w:t>
          <w:tab/>
          <w:t>IX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hyperlink w:anchor="bookmark12" w:tooltip="Current Document">
        <w:r>
          <w:rPr>
            <w:rStyle w:val="CharStyle25"/>
            <w:b/>
            <w:bCs/>
            <w:sz w:val="18"/>
            <w:szCs w:val="18"/>
          </w:rPr>
          <w:t>CHAPITRE I : PERFORMANCES ET PERSPECTIVES MACROÉCONOMIQUES</w:t>
          <w:tab/>
          <w:t>1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/>
        <w:ind w:right="0" w:firstLine="0"/>
        <w:jc w:val="both"/>
      </w:pPr>
      <w:hyperlink w:anchor="bookmark16" w:tooltip="Current Document">
        <w:r>
          <w:rPr>
            <w:rStyle w:val="CharStyle25"/>
          </w:rPr>
          <w:t>Messages clés</w:t>
          <w:tab/>
          <w:t>1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097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18" w:tooltip="Current Document">
        <w:r>
          <w:rPr>
            <w:rStyle w:val="CharStyle25"/>
          </w:rPr>
          <w:t>Introduction</w:t>
          <w:tab/>
          <w:t>1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121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20" w:tooltip="Current Document">
        <w:r>
          <w:rPr>
            <w:rStyle w:val="CharStyle25"/>
          </w:rPr>
          <w:t>Performance en matière de croissance</w:t>
          <w:tab/>
          <w:t>1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121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22" w:tooltip="Current Document">
        <w:r>
          <w:rPr>
            <w:rStyle w:val="CharStyle25"/>
          </w:rPr>
          <w:t>Autres évolutions macroéconomiques et sociales récentes</w:t>
          <w:tab/>
          <w:t>2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121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32" w:tooltip="Current Document">
        <w:r>
          <w:rPr>
            <w:rStyle w:val="CharStyle25"/>
          </w:rPr>
          <w:t>Perspectives et risques macroéconomiques</w:t>
          <w:tab/>
          <w:t>4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1121" w:val="left"/>
          <w:tab w:pos="9294" w:val="left"/>
        </w:tabs>
        <w:bidi w:val="0"/>
        <w:spacing w:before="0" w:after="0"/>
        <w:ind w:right="0" w:firstLine="0"/>
        <w:jc w:val="both"/>
      </w:pPr>
      <w:hyperlink w:anchor="bookmark38" w:tooltip="Current Document">
        <w:r>
          <w:rPr>
            <w:rStyle w:val="CharStyle25"/>
          </w:rPr>
          <w:t>Politiques à envisager pour accélérer le développement économique de la Côte d’Ivoire</w:t>
          <w:tab/>
          <w:t>4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r>
        <w:rPr>
          <w:rStyle w:val="CharStyle25"/>
          <w:b/>
          <w:bCs/>
          <w:sz w:val="18"/>
          <w:szCs w:val="18"/>
        </w:rPr>
        <w:t>CHAPITRE II : STIMULER LA MOBILISATION ET L’UTILISATION EFFICIENTE DU CAPITAL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r>
        <w:rPr>
          <w:rStyle w:val="CharStyle25"/>
          <w:b/>
          <w:bCs/>
          <w:sz w:val="18"/>
          <w:szCs w:val="18"/>
        </w:rPr>
        <w:t>INTÉRIEUR</w:t>
        <w:tab/>
        <w:t>7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/>
        <w:ind w:right="0" w:firstLine="0"/>
        <w:jc w:val="both"/>
      </w:pPr>
      <w:hyperlink w:anchor="bookmark40" w:tooltip="Current Document">
        <w:r>
          <w:rPr>
            <w:rStyle w:val="CharStyle25"/>
          </w:rPr>
          <w:t>Messages clés</w:t>
          <w:tab/>
          <w:t>7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11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42" w:tooltip="Current Document">
        <w:r>
          <w:rPr>
            <w:rStyle w:val="CharStyle25"/>
          </w:rPr>
          <w:t>Introduction</w:t>
          <w:tab/>
          <w:t>8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44" w:tooltip="Current Document">
        <w:r>
          <w:rPr>
            <w:rStyle w:val="CharStyle25"/>
          </w:rPr>
          <w:t>Mobilisation des ressources budgétaires</w:t>
          <w:tab/>
          <w:t>8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54" w:tooltip="Current Document">
        <w:r>
          <w:rPr>
            <w:rStyle w:val="CharStyle25"/>
          </w:rPr>
          <w:t>Capital naturel</w:t>
          <w:tab/>
          <w:t>9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64" w:tooltip="Current Document">
        <w:r>
          <w:rPr>
            <w:rStyle w:val="CharStyle25"/>
          </w:rPr>
          <w:t>Capital entrepreneurial</w:t>
          <w:tab/>
          <w:t>10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72" w:tooltip="Current Document">
        <w:r>
          <w:rPr>
            <w:rStyle w:val="CharStyle25"/>
          </w:rPr>
          <w:t>Capital humain</w:t>
          <w:tab/>
          <w:t>11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82" w:tooltip="Current Document">
        <w:r>
          <w:rPr>
            <w:rStyle w:val="CharStyle25"/>
          </w:rPr>
          <w:t>Capital financier</w:t>
          <w:tab/>
          <w:t>13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94" w:tooltip="Current Document">
        <w:r>
          <w:rPr>
            <w:rStyle w:val="CharStyle25"/>
          </w:rPr>
          <w:t>Recommandations politiques</w:t>
          <w:tab/>
          <w:t>15</w:t>
        </w:r>
      </w:hyperlink>
    </w:p>
    <w:p>
      <w:pPr>
        <w:pStyle w:val="Style24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r>
        <w:rPr>
          <w:rStyle w:val="CharStyle25"/>
          <w:b/>
          <w:bCs/>
          <w:sz w:val="18"/>
          <w:szCs w:val="18"/>
        </w:rPr>
        <w:t>CHAPITRE III : EXPLOITER LE POTENTIEL DU CAPITAL ET DES RESSOURCES DE LA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2438" w:val="center"/>
          <w:tab w:pos="2806" w:val="center"/>
          <w:tab w:pos="9475" w:val="righ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</w:pPr>
      <w:r>
        <w:rPr>
          <w:rStyle w:val="CharStyle25"/>
          <w:b/>
          <w:bCs/>
          <w:sz w:val="18"/>
          <w:szCs w:val="18"/>
        </w:rPr>
        <w:t>CÔTE D’IVOIRE</w:t>
        <w:tab/>
        <w:t>POUR</w:t>
        <w:tab/>
        <w:t>SON DÉVELOPPEMENT</w:t>
        <w:tab/>
        <w:t>17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9475" w:val="right"/>
        </w:tabs>
        <w:bidi w:val="0"/>
        <w:spacing w:before="0" w:after="0"/>
        <w:ind w:right="0" w:firstLine="0"/>
        <w:jc w:val="both"/>
      </w:pPr>
      <w:hyperlink w:anchor="bookmark96" w:tooltip="Current Document">
        <w:r>
          <w:rPr>
            <w:rStyle w:val="CharStyle25"/>
          </w:rPr>
          <w:t>Messages clés</w:t>
          <w:tab/>
          <w:t>17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11" w:val="left"/>
          <w:tab w:pos="9475" w:val="right"/>
        </w:tabs>
        <w:bidi w:val="0"/>
        <w:spacing w:before="0" w:after="0"/>
        <w:ind w:right="0" w:firstLine="0"/>
        <w:jc w:val="both"/>
      </w:pPr>
      <w:hyperlink w:anchor="bookmark98" w:tooltip="Current Document">
        <w:r>
          <w:rPr>
            <w:rStyle w:val="CharStyle25"/>
          </w:rPr>
          <w:t>Introduction</w:t>
          <w:tab/>
          <w:t>18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35" w:val="left"/>
          <w:tab w:pos="9294" w:val="left"/>
        </w:tabs>
        <w:bidi w:val="0"/>
        <w:spacing w:before="0" w:after="0"/>
        <w:ind w:right="0" w:firstLine="0"/>
        <w:jc w:val="both"/>
      </w:pPr>
      <w:hyperlink w:anchor="bookmark100" w:tooltip="Current Document">
        <w:r>
          <w:rPr>
            <w:rStyle w:val="CharStyle25"/>
          </w:rPr>
          <w:t>Dispositif institutionnel pour la gestion et l’utilisation des différentes formes de capital</w:t>
          <w:tab/>
          <w:t>18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35" w:val="left"/>
          <w:tab w:pos="9475" w:val="right"/>
        </w:tabs>
        <w:bidi w:val="0"/>
        <w:spacing w:before="0" w:after="0"/>
        <w:ind w:right="0" w:firstLine="0"/>
        <w:jc w:val="both"/>
      </w:pPr>
      <w:r>
        <w:rPr>
          <w:rStyle w:val="CharStyle25"/>
        </w:rPr>
        <w:t>Défis de gouvernance dans la gestion et l’utilisation des différentes formes de capital pour la</w:t>
        <w:br/>
        <w:t>mobilisation des ressources</w:t>
        <w:tab/>
        <w:t>19</w:t>
      </w:r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35" w:val="left"/>
          <w:tab w:pos="9294" w:val="left"/>
        </w:tabs>
        <w:bidi w:val="0"/>
        <w:spacing w:before="0" w:after="0"/>
        <w:ind w:right="0" w:firstLine="0"/>
        <w:jc w:val="both"/>
      </w:pPr>
      <w:hyperlink w:anchor="bookmark102" w:tooltip="Current Document">
        <w:r>
          <w:rPr>
            <w:rStyle w:val="CharStyle25"/>
          </w:rPr>
          <w:t>L’État de droit, la gestion et l’utilisation des différentes formes de capital</w:t>
          <w:tab/>
          <w:t>20</w:t>
        </w:r>
      </w:hyperlink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35" w:val="left"/>
        </w:tabs>
        <w:bidi w:val="0"/>
        <w:spacing w:before="0" w:after="0"/>
        <w:ind w:right="0" w:firstLine="0"/>
        <w:jc w:val="both"/>
      </w:pPr>
      <w:r>
        <w:rPr>
          <w:rStyle w:val="CharStyle25"/>
        </w:rPr>
        <w:t>Une approche panafricaine pour renforcer l’État de droit, les institutions et la gouvernance afin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9294" w:val="left"/>
        </w:tabs>
        <w:bidi w:val="0"/>
        <w:spacing w:before="0" w:after="0"/>
        <w:ind w:right="0" w:firstLine="0"/>
        <w:jc w:val="both"/>
      </w:pPr>
      <w:r>
        <w:rPr>
          <w:rStyle w:val="CharStyle25"/>
        </w:rPr>
        <w:t>d’exploiter le capital de la Côte d’Ivoire</w:t>
        <w:tab/>
        <w:t>21</w:t>
      </w:r>
    </w:p>
    <w:p>
      <w:pPr>
        <w:pStyle w:val="Style24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1135" w:val="left"/>
          <w:tab w:pos="9294" w:val="left"/>
        </w:tabs>
        <w:bidi w:val="0"/>
        <w:spacing w:before="0" w:after="0"/>
        <w:ind w:right="0" w:firstLine="0"/>
        <w:jc w:val="both"/>
      </w:pPr>
      <w:r>
        <w:rPr>
          <w:rStyle w:val="CharStyle25"/>
        </w:rPr>
        <w:t>Conclusion et recommandations politiques</w:t>
        <w:tab/>
        <w:t>21</w:t>
      </w:r>
    </w:p>
    <w:p>
      <w:pPr>
        <w:pStyle w:val="Style24"/>
        <w:keepNext w:val="0"/>
        <w:keepLines w:val="0"/>
        <w:widowControl w:val="0"/>
        <w:shd w:val="clear" w:color="auto" w:fill="auto"/>
        <w:tabs>
          <w:tab w:pos="9294" w:val="left"/>
        </w:tabs>
        <w:bidi w:val="0"/>
        <w:spacing w:before="0" w:after="0" w:line="374" w:lineRule="auto"/>
        <w:ind w:right="0" w:firstLine="0"/>
        <w:jc w:val="both"/>
        <w:rPr>
          <w:sz w:val="18"/>
          <w:szCs w:val="18"/>
        </w:rPr>
        <w:sectPr>
          <w:footerReference w:type="default" r:id="rId14"/>
          <w:footerReference w:type="even" r:id="rId15"/>
          <w:footnotePr>
            <w:pos w:val="pageBottom"/>
            <w:numFmt w:val="decimal"/>
            <w:numRestart w:val="continuous"/>
          </w:footnotePr>
          <w:pgSz w:w="16838" w:h="23810"/>
          <w:pgMar w:top="6061" w:right="3515" w:bottom="5712" w:left="3515" w:header="5633" w:footer="3" w:gutter="0"/>
          <w:pgNumType w:start="4" w:fmt="lowerRoman"/>
          <w:cols w:space="720"/>
          <w:noEndnote/>
          <w:rtlGutter/>
          <w:docGrid w:linePitch="360"/>
        </w:sectPr>
      </w:pPr>
      <w:hyperlink w:anchor="bookmark104" w:tooltip="Current Document">
        <w:r>
          <w:rPr>
            <w:rStyle w:val="CharStyle25"/>
            <w:b/>
            <w:bCs/>
            <w:sz w:val="18"/>
            <w:szCs w:val="18"/>
          </w:rPr>
          <w:t>RÉFÉRENCES BIBLIOGRAPHIQUES</w:t>
          <w:tab/>
          <w:t>23</w:t>
        </w:r>
      </w:hyperlink>
      <w:r>
        <w:fldChar w:fldCharType="end"/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26"/>
          <w:szCs w:val="26"/>
        </w:rPr>
      </w:pPr>
      <w:r>
        <w:rPr>
          <w:rStyle w:val="CharStyle29"/>
          <w:b/>
          <w:bCs/>
          <w:color w:val="231F20"/>
          <w:sz w:val="26"/>
          <w:szCs w:val="26"/>
        </w:rPr>
        <w:t>LISTE DES FIGURES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8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Figure 1:</w:t>
        <w:tab/>
      </w:r>
      <w:r>
        <w:rPr>
          <w:rStyle w:val="CharStyle19"/>
        </w:rPr>
        <w:t>Évolution du solde budgétaire et de la dette publique de la Côte d’Ivoire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26"/>
          <w:szCs w:val="26"/>
        </w:rPr>
      </w:pPr>
      <w:r>
        <w:rPr>
          <w:rStyle w:val="CharStyle29"/>
          <w:b/>
          <w:bCs/>
          <w:color w:val="231F20"/>
          <w:sz w:val="26"/>
          <w:szCs w:val="26"/>
        </w:rPr>
        <w:t>LISTE DES ENCADRÉS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Encadré 1:</w:t>
        <w:tab/>
      </w:r>
      <w:r>
        <w:rPr>
          <w:rStyle w:val="CharStyle19"/>
        </w:rPr>
        <w:t>Activités de mobilisation des ressources intérieures et déficit de financement du développement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Encadré 2:</w:t>
        <w:tab/>
      </w:r>
      <w:r>
        <w:rPr>
          <w:rStyle w:val="CharStyle19"/>
        </w:rPr>
        <w:t>Effets de la politique de droits de douane réciproques sur la Côte d’Ivoire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8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Encadré 3:</w:t>
        <w:tab/>
      </w:r>
      <w:r>
        <w:rPr>
          <w:rStyle w:val="CharStyle19"/>
        </w:rPr>
        <w:t>Réformes et investissements à succès dans l’éducation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26"/>
          <w:szCs w:val="26"/>
        </w:rPr>
      </w:pPr>
      <w:r>
        <w:rPr>
          <w:rStyle w:val="CharStyle29"/>
          <w:b/>
          <w:bCs/>
          <w:color w:val="231F20"/>
          <w:sz w:val="26"/>
          <w:szCs w:val="26"/>
        </w:rPr>
        <w:t>LISTE DES TABLEAUX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Tableau 1:</w:t>
        <w:tab/>
      </w:r>
      <w:r>
        <w:rPr>
          <w:rStyle w:val="CharStyle19"/>
        </w:rPr>
        <w:t>Principaux indicateurs macroéconomiques et sociaux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4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Tableau 2:</w:t>
        <w:tab/>
      </w:r>
      <w:r>
        <w:rPr>
          <w:rStyle w:val="CharStyle19"/>
        </w:rPr>
        <w:t>Décomposition du capital naturel de la Côte d’Ivoire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22" w:val="left"/>
        </w:tabs>
        <w:bidi w:val="0"/>
        <w:spacing w:before="0" w:after="8740" w:line="240" w:lineRule="auto"/>
        <w:ind w:left="0" w:right="0" w:firstLine="0"/>
        <w:jc w:val="left"/>
      </w:pPr>
      <w:r>
        <w:rPr>
          <w:rStyle w:val="CharStyle19"/>
          <w:b/>
          <w:bCs/>
          <w:color w:val="715646"/>
          <w:sz w:val="18"/>
          <w:szCs w:val="18"/>
        </w:rPr>
        <w:t>Tableau 3:</w:t>
        <w:tab/>
      </w:r>
      <w:r>
        <w:rPr>
          <w:rStyle w:val="CharStyle19"/>
        </w:rPr>
        <w:t>Indicateurs clés de l’éducation, de la santé et de la main-d’œuvre de la Côte d’Ivoire</w:t>
      </w:r>
    </w:p>
    <w:p>
      <w:pPr>
        <w:widowControl w:val="0"/>
        <w:jc w:val="center"/>
        <w:rPr>
          <w:sz w:val="2"/>
          <w:szCs w:val="2"/>
        </w:rPr>
        <w:sectPr>
          <w:footerReference w:type="default" r:id="rId16"/>
          <w:footerReference w:type="even" r:id="rId17"/>
          <w:footnotePr>
            <w:pos w:val="pageBottom"/>
            <w:numFmt w:val="decimal"/>
            <w:numRestart w:val="continuous"/>
          </w:footnotePr>
          <w:pgSz w:w="16838" w:h="23810"/>
          <w:pgMar w:top="5391" w:right="3514" w:bottom="4592" w:left="3514" w:header="4963" w:footer="3" w:gutter="3"/>
          <w:pgNumType w:start="6"/>
          <w:cols w:space="720"/>
          <w:noEndnote/>
          <w:rtlGutter w:val="0"/>
          <w:docGrid w:linePitch="360"/>
        </w:sectPr>
      </w:pPr>
      <w:r>
        <w:drawing>
          <wp:inline>
            <wp:extent cx="890270" cy="560705"/>
            <wp:docPr id="28" name="Picut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1180" w:line="230" w:lineRule="auto"/>
        <w:ind w:left="680" w:right="0" w:firstLine="20"/>
        <w:jc w:val="left"/>
      </w:pPr>
      <w:bookmarkStart w:id="6" w:name="bookmark6"/>
      <w:r>
        <w:rPr>
          <w:rStyle w:val="CharStyle10"/>
          <w:b/>
          <w:bCs/>
        </w:rPr>
        <w:t>LISTE DES</w:t>
        <w:br/>
        <w:t>ABRÉVIATIONS</w:t>
      </w:r>
      <w:bookmarkEnd w:id="6"/>
    </w:p>
    <w:tbl>
      <w:tblPr>
        <w:tblOverlap w:val="never"/>
        <w:jc w:val="center"/>
        <w:tblLayout w:type="fixed"/>
      </w:tblPr>
      <w:tblGrid>
        <w:gridCol w:w="1459"/>
        <w:gridCol w:w="6379"/>
      </w:tblGrid>
      <w:tr>
        <w:trPr>
          <w:trHeight w:val="3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AGOA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African Growth and Opportunity Act</w:t>
            </w:r>
          </w:p>
        </w:tc>
      </w:tr>
      <w:tr>
        <w:trPr>
          <w:trHeight w:val="29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ANRMP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Autorité Nationale de Régulation des Marchés Publics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ANSTAT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Agence Nationale de la Statistique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APD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Aide Publique au Développement</w:t>
            </w:r>
          </w:p>
        </w:tc>
      </w:tr>
      <w:tr>
        <w:trPr>
          <w:trHeight w:val="2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AVD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Analyse de Viabilité de la Dette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BCEAO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Banque Centrale des États de l'Afrique de l'Ouest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CAN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Coupe d'Afrique des Nations de Football</w:t>
            </w:r>
          </w:p>
        </w:tc>
      </w:tr>
      <w:tr>
        <w:trPr>
          <w:trHeight w:val="2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CCI-CI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Chambre de Commerce et d'Industrie de Côte d'Ivoire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CDN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Contributions Déterminées au niveau National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CMU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Couverture Maladie Universelle</w:t>
            </w:r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472813"/>
                <w:sz w:val="18"/>
                <w:szCs w:val="18"/>
              </w:rPr>
              <w:t>COP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Conférences des Parties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DGPE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Direction Générale du Portefeuille de l’Etat</w:t>
            </w: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DUS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Droit Unique de Sortie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ECCE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Département des économies pays</w:t>
            </w:r>
          </w:p>
        </w:tc>
      </w:tr>
      <w:tr>
        <w:trPr>
          <w:trHeight w:val="29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ECVP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Vice-Présidence de la Gouvernance-économique et de la gestion du Savoir</w:t>
            </w:r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EHCVM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Enquête Harmonisée sur les Conditions de Vie des Ménages</w:t>
            </w:r>
          </w:p>
        </w:tc>
      </w:tr>
      <w:tr>
        <w:trPr>
          <w:trHeight w:val="30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EME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Établissements de Monnaie Électronique</w:t>
            </w:r>
          </w:p>
        </w:tc>
      </w:tr>
      <w:tr>
        <w:trPr>
          <w:trHeight w:val="30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FEC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Facilité Elargie de Crédit</w:t>
            </w:r>
          </w:p>
        </w:tc>
      </w:tr>
      <w:tr>
        <w:trPr>
          <w:trHeight w:val="2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FCFA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Franc de la Communauté Financière Africaine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FMI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Fonds Monétaire International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FRD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Facilité pour la Résilience et la Durabilité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GAB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Guichets Automatiques Bancaires</w:t>
            </w:r>
          </w:p>
        </w:tc>
      </w:tr>
      <w:tr>
        <w:trPr>
          <w:trHeight w:val="29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GAFI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Groupe d’Action Financière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GUDE PME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Guichet Unique de Développement des Entreprises PME</w:t>
            </w:r>
          </w:p>
        </w:tc>
      </w:tr>
      <w:tr>
        <w:trPr>
          <w:trHeight w:val="2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HABG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Haute Autorité pour la Bonne Gouvernance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IDH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Indice de Développement Humain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IDE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Investissements Directs Étrangers</w:t>
            </w:r>
          </w:p>
        </w:tc>
      </w:tr>
      <w:tr>
        <w:trPr>
          <w:trHeight w:val="2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PIB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Produit Intérieur Brut</w:t>
            </w:r>
          </w:p>
        </w:tc>
      </w:tr>
      <w:tr>
        <w:trPr>
          <w:trHeight w:val="32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PNUD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Programme des Nations Unies pour le Développement</w:t>
            </w:r>
          </w:p>
        </w:tc>
      </w:tr>
      <w:tr>
        <w:trPr>
          <w:trHeight w:val="2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PEA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Perspectives Économiques Africaines de la BAD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PME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Petites et Moyennes Entreprises</w:t>
            </w:r>
          </w:p>
        </w:tc>
      </w:tr>
      <w:tr>
        <w:trPr>
          <w:trHeight w:val="33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715646"/>
                <w:sz w:val="18"/>
                <w:szCs w:val="18"/>
              </w:rPr>
              <w:t>MPME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5"/>
              </w:rPr>
              <w:t>Micro, Petites et Moyennes Entreprises</w:t>
            </w:r>
          </w:p>
        </w:tc>
      </w:tr>
    </w:tbl>
    <w:p>
      <w:pPr>
        <w:sectPr>
          <w:footerReference w:type="default" r:id="rId20"/>
          <w:footerReference w:type="even" r:id="rId21"/>
          <w:footnotePr>
            <w:pos w:val="pageBottom"/>
            <w:numFmt w:val="decimal"/>
            <w:numRestart w:val="continuous"/>
          </w:footnotePr>
          <w:pgSz w:w="16838" w:h="23810"/>
          <w:pgMar w:top="5391" w:right="3514" w:bottom="4592" w:left="3514" w:header="4963" w:footer="3" w:gutter="3"/>
          <w:pgNumType w:start="6" w:fmt="lowerRoman"/>
          <w:cols w:space="720"/>
          <w:noEndnote/>
          <w:rtlGutter/>
          <w:docGrid w:linePitch="360"/>
        </w:sectPr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88" behindDoc="0" locked="0" layoutInCell="1" allowOverlap="1">
                <wp:simplePos x="0" y="0"/>
                <wp:positionH relativeFrom="margin">
                  <wp:posOffset>54610</wp:posOffset>
                </wp:positionH>
                <wp:positionV relativeFrom="margin">
                  <wp:posOffset>1196340</wp:posOffset>
                </wp:positionV>
                <wp:extent cx="478790" cy="2505710"/>
                <wp:wrapSquare wrapText="right"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78790" cy="25057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5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19"/>
                                <w:b/>
                                <w:bCs/>
                                <w:color w:val="715646"/>
                                <w:sz w:val="18"/>
                                <w:szCs w:val="18"/>
                              </w:rPr>
                              <w:t>PPP</w:t>
                              <w:br/>
                              <w:t>PND</w:t>
                              <w:br/>
                              <w:t>SCN</w:t>
                              <w:br/>
                              <w:t>SG PME</w:t>
                              <w:br/>
                              <w:t>SNDECI</w:t>
                              <w:br/>
                              <w:t>SNLC</w:t>
                              <w:br/>
                              <w:t>SRMT</w:t>
                              <w:br/>
                              <w:t>TCER</w:t>
                              <w:br/>
                              <w:t>TVA</w:t>
                              <w:br/>
                              <w:t>UEMOA</w:t>
                              <w:br/>
                              <w:t>OIPR</w:t>
                              <w:br/>
                              <w:t>COP</w:t>
                              <w:br/>
                              <w:t>ODD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4.2999999999999998pt;margin-top:94.200000000000003pt;width:37.700000000000003pt;height:197.30000000000001pt;z-index:-125829365;mso-wrap-distance-left:9.pt;mso-wrap-distance-right:9.pt;mso-position-horizontal-relative:margin;mso-position-vertical-relative:margin" filled="f" stroked="f">
                <v:textbox inset="0,0,0,0">
                  <w:txbxContent>
                    <w:p>
                      <w:pPr>
                        <w:pStyle w:val="Style1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5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19"/>
                          <w:b/>
                          <w:bCs/>
                          <w:color w:val="715646"/>
                          <w:sz w:val="18"/>
                          <w:szCs w:val="18"/>
                        </w:rPr>
                        <w:t>PPP</w:t>
                        <w:br/>
                        <w:t>PND</w:t>
                        <w:br/>
                        <w:t>SCN</w:t>
                        <w:br/>
                        <w:t>SG PME</w:t>
                        <w:br/>
                        <w:t>SNDECI</w:t>
                        <w:br/>
                        <w:t>SNLC</w:t>
                        <w:br/>
                        <w:t>SRMT</w:t>
                        <w:br/>
                        <w:t>TCER</w:t>
                        <w:br/>
                        <w:t>TVA</w:t>
                        <w:br/>
                        <w:t>UEMOA</w:t>
                        <w:br/>
                        <w:t>OIPR</w:t>
                        <w:br/>
                        <w:t>COP</w:t>
                        <w:br/>
                        <w:t>ODD</w:t>
                      </w:r>
                    </w:p>
                  </w:txbxContent>
                </v:textbox>
                <w10:wrap type="square" side="right" anchorx="margin" anchory="margin"/>
              </v:shape>
            </w:pict>
          </mc:Fallback>
        </mc:AlternateContent>
      </w:r>
      <w:r>
        <w:rPr>
          <w:rStyle w:val="CharStyle19"/>
        </w:rPr>
        <w:t>Partenariats Publics-Privés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Plan National de Développement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Système de Comptabilité Nationale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Société de Garantie de Crédit des PME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Stratégie Nationale de la Digitalisation de l'Éducation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Stratégie nationale de lutte contre la corruption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Stratégie de Mobilisation des Recettes à Moyen Terme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Taux de Change Effectif Réel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Taxe sur la Valeur Ajoutée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Union Économique et Monétaire Ouest-Africaine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Office Ivoirien des Parcs et Réserves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</w:pPr>
      <w:r>
        <w:rPr>
          <w:rStyle w:val="CharStyle19"/>
        </w:rPr>
        <w:t>Conférence des Parties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1060" w:right="0" w:firstLine="0"/>
        <w:jc w:val="both"/>
        <w:sectPr>
          <w:footerReference w:type="default" r:id="rId22"/>
          <w:footerReference w:type="even" r:id="rId23"/>
          <w:footnotePr>
            <w:pos w:val="pageBottom"/>
            <w:numFmt w:val="decimal"/>
            <w:numRestart w:val="continuous"/>
          </w:footnotePr>
          <w:pgSz w:w="16838" w:h="23810"/>
          <w:pgMar w:top="5391" w:right="3514" w:bottom="4592" w:left="3514" w:header="4963" w:footer="3" w:gutter="3"/>
          <w:pgNumType w:start="8"/>
          <w:cols w:space="720"/>
          <w:noEndnote/>
          <w:rtlGutter w:val="0"/>
          <w:docGrid w:linePitch="360"/>
        </w:sectPr>
      </w:pPr>
      <w:r>
        <w:rPr>
          <w:rStyle w:val="CharStyle19"/>
        </w:rPr>
        <w:t>Objectifs de Développement Durable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1200" w:line="240" w:lineRule="auto"/>
        <w:ind w:left="0" w:right="0" w:firstLine="640"/>
        <w:jc w:val="both"/>
      </w:pPr>
      <w:bookmarkStart w:id="8" w:name="bookmark8"/>
      <w:r>
        <w:rPr>
          <w:rStyle w:val="CharStyle10"/>
          <w:b/>
          <w:bCs/>
        </w:rPr>
        <w:t>RÉSUMÉ EXÉCUTIF</w:t>
      </w:r>
      <w:bookmarkEnd w:id="8"/>
    </w:p>
    <w:p>
      <w:pPr>
        <w:pStyle w:val="Style18"/>
        <w:keepNext w:val="0"/>
        <w:framePr w:dropCap="drop" w:hAnchor="text" w:lines="2" w:vAnchor="text" w:hSpace="19" w:vSpace="19"/>
        <w:widowControl w:val="0"/>
        <w:shd w:val="clear" w:color="auto" w:fill="auto"/>
        <w:spacing w:before="0" w:line="392" w:lineRule="exact"/>
        <w:ind w:left="0" w:firstLine="0"/>
      </w:pPr>
      <w:r>
        <w:rPr>
          <w:rStyle w:val="CharStyle19"/>
          <w:color w:val="000000"/>
          <w:position w:val="-8"/>
          <w:sz w:val="56"/>
          <w:szCs w:val="56"/>
        </w:rPr>
        <w:t>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46" w:lineRule="auto"/>
        <w:ind w:left="640" w:right="0" w:firstLine="0"/>
        <w:jc w:val="left"/>
      </w:pPr>
      <w:r>
        <w:rPr>
          <w:rStyle w:val="CharStyle19"/>
        </w:rPr>
        <w:t>a Côte d’Ivoire figure parmi les économies les plus dynamiques d’Afrique, avec une croissance du PIB réel estimée</w:t>
        <w:br/>
        <w:t>à 6,1% en 2024. Les perspectives sont prometteuses avec une croissance de 6,3% en moyenne sur 2025-2026.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6" w:lineRule="auto"/>
        <w:ind w:left="640" w:right="0" w:firstLine="40"/>
        <w:jc w:val="both"/>
      </w:pPr>
      <w:r>
        <w:rPr>
          <w:rStyle w:val="CharStyle19"/>
        </w:rPr>
        <w:t>Cependant, des incertitudes demeurent notamment en raison des tensions tarifaires à l’échelle mondiale et de la</w:t>
        <w:br/>
        <w:t>réduction éventuelle de l’aide publique au développement.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640" w:right="0" w:firstLine="40"/>
        <w:jc w:val="both"/>
      </w:pPr>
      <w:r>
        <w:rPr>
          <w:rStyle w:val="CharStyle19"/>
        </w:rPr>
        <w:t>Le pays dispose d’un capital important et diversifié, marqué par plusieurs défis notamment la sous-exploitation du</w:t>
        <w:br/>
        <w:t>capital entrepreneurial. Le développement du capital humain et de la productivité est confronté à des disparités dans</w:t>
        <w:br/>
        <w:t>l’accès aux services sociaux de base, et à une inadéquation des compétences professionnelles aux besoins du marché</w:t>
        <w:br/>
        <w:t>du travail. L’espace budgétaire du pays demeure réduit, en raison d’une mobilisation insuffisante des ressources</w:t>
        <w:br/>
        <w:t>domestiques. Par ailleurs, la valorisation du capital naturel de la Côte d’Ivoire reste limitée.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640" w:right="0" w:firstLine="40"/>
        <w:jc w:val="both"/>
        <w:sectPr>
          <w:footerReference w:type="default" r:id="rId24"/>
          <w:footerReference w:type="even" r:id="rId25"/>
          <w:footnotePr>
            <w:pos w:val="pageBottom"/>
            <w:numFmt w:val="decimal"/>
            <w:numRestart w:val="continuous"/>
          </w:footnotePr>
          <w:pgSz w:w="16838" w:h="23810"/>
          <w:pgMar w:top="7052" w:right="3510" w:bottom="7052" w:left="3510" w:header="6624" w:footer="3" w:gutter="10"/>
          <w:cols w:space="720"/>
          <w:noEndnote/>
          <w:rtlGutter/>
          <w:docGrid w:linePitch="360"/>
        </w:sectPr>
      </w:pPr>
      <w:r>
        <w:rPr>
          <w:rStyle w:val="CharStyle19"/>
        </w:rPr>
        <w:t>Pour tirer le meilleur parti de son capital, la Côte d’Ivoire doit renforcer la gouvernance et la lutte contre la corruption. La</w:t>
        <w:br/>
        <w:t>formalisation du secteur informel, l’exploitation du potentiel de l’impôt foncier, ainsi que le renforcement de la fiscalité</w:t>
        <w:br/>
        <w:t>sur le commerce électronique sont essentielles pour accroître les recettes domestiques. Il est également nécessaire de</w:t>
        <w:br/>
        <w:t>valoriser le capital naturel via un système de comptabilité environnementale. Enfin, renforcer les investissements dans</w:t>
        <w:br/>
        <w:t>la formation professionnelle et la santé est primordial pour améliorer le capital humain et la productivité.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1020" w:line="240" w:lineRule="auto"/>
        <w:ind w:left="0" w:right="0" w:firstLine="640"/>
        <w:jc w:val="both"/>
      </w:pPr>
      <w:bookmarkStart w:id="10" w:name="bookmark10"/>
      <w:r>
        <w:rPr>
          <w:rStyle w:val="CharStyle10"/>
          <w:b/>
          <w:bCs/>
        </w:rPr>
        <w:t>INTRODUCTION GÉNÉRALE</w:t>
      </w:r>
      <w:bookmarkEnd w:id="10"/>
    </w:p>
    <w:p>
      <w:pPr>
        <w:pStyle w:val="Style18"/>
        <w:keepNext w:val="0"/>
        <w:framePr w:dropCap="drop" w:hAnchor="text" w:lines="2" w:vAnchor="text" w:hSpace="14" w:vSpace="14"/>
        <w:widowControl w:val="0"/>
        <w:shd w:val="clear" w:color="auto" w:fill="auto"/>
        <w:spacing w:before="0" w:line="388" w:lineRule="exact"/>
        <w:ind w:left="0" w:firstLine="0"/>
      </w:pPr>
      <w:r>
        <w:rPr>
          <w:rStyle w:val="CharStyle19"/>
          <w:color w:val="000000"/>
          <w:position w:val="-8"/>
          <w:sz w:val="56"/>
          <w:szCs w:val="56"/>
        </w:rPr>
        <w:t>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640" w:right="0" w:firstLine="0"/>
        <w:jc w:val="both"/>
      </w:pPr>
      <w:r>
        <w:rPr>
          <w:rStyle w:val="CharStyle19"/>
        </w:rPr>
        <w:t>e présent rapport pays a pour objectif de décliner, au niveau national, les analyses réalisées à l’échelle continentale</w:t>
        <w:br/>
        <w:t>dans le rapport de la Banque africaine de développement sur les perspectives économiques en Afrique (PEA). Ce</w:t>
        <w:br/>
        <w:t>rapport 2025 met en lumière les mesures essentielles à mettre en place pour exploiter pleinement le capital de la Côte</w:t>
        <w:br/>
        <w:t>d’Ivoire afin de favoriser son développement. Après une analyse approfondie des progrès réalisés, il souligne le rôle</w:t>
        <w:br/>
        <w:t>déterminant des différentes formes de capital dans le développement durable et inclusif de la Côte d’Ivoire.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640"/>
        <w:jc w:val="both"/>
      </w:pPr>
      <w:r>
        <w:rPr>
          <w:rStyle w:val="CharStyle19"/>
        </w:rPr>
        <w:t>Le rapport se divise en trois chapitres :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225" w:val="left"/>
        </w:tabs>
        <w:bidi w:val="0"/>
        <w:spacing w:before="0" w:after="220" w:line="346" w:lineRule="auto"/>
        <w:ind w:left="1220" w:right="0" w:hanging="360"/>
        <w:jc w:val="both"/>
      </w:pPr>
      <w:r>
        <w:rPr>
          <w:rStyle w:val="CharStyle19"/>
          <w:b/>
          <w:bCs/>
        </w:rPr>
        <w:t xml:space="preserve">Le Chapitre 1 </w:t>
      </w:r>
      <w:r>
        <w:rPr>
          <w:rStyle w:val="CharStyle19"/>
        </w:rPr>
        <w:t>évalue les performances macroéconomiques récentes et les perspectives, en analysant les</w:t>
        <w:br/>
        <w:t>politiques, réformes et défis auxquels le pays est confronté, tout en identifiant les solutions pour assurer une</w:t>
        <w:br/>
        <w:t>croissance soutenue.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225" w:val="left"/>
        </w:tabs>
        <w:bidi w:val="0"/>
        <w:spacing w:before="0" w:after="220" w:line="346" w:lineRule="auto"/>
        <w:ind w:left="1220" w:right="0" w:hanging="360"/>
        <w:jc w:val="both"/>
      </w:pPr>
      <w:r>
        <w:rPr>
          <w:rStyle w:val="CharStyle19"/>
          <w:b/>
          <w:bCs/>
        </w:rPr>
        <w:t xml:space="preserve">Le Chapitre 2 </w:t>
      </w:r>
      <w:r>
        <w:rPr>
          <w:rStyle w:val="CharStyle19"/>
        </w:rPr>
        <w:t>se concentre sur la stimulation de la mobilisation et de l’utilisation efficace des capitaux nationaux.</w:t>
        <w:br/>
        <w:t>Il examine l’efficacité des ressources financières internes et propose des mesures concrètes pour combler le</w:t>
        <w:br/>
        <w:t>déficit de financement nécessaire à la transformation structurelle de l’économie.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225" w:val="left"/>
        </w:tabs>
        <w:bidi w:val="0"/>
        <w:spacing w:before="0" w:after="220"/>
        <w:ind w:left="1220" w:right="0" w:hanging="360"/>
        <w:jc w:val="both"/>
        <w:sectPr>
          <w:footerReference w:type="default" r:id="rId26"/>
          <w:footerReference w:type="even" r:id="rId27"/>
          <w:footnotePr>
            <w:pos w:val="pageBottom"/>
            <w:numFmt w:val="decimal"/>
            <w:numRestart w:val="continuous"/>
          </w:footnotePr>
          <w:pgSz w:w="16838" w:h="23810"/>
          <w:pgMar w:top="7052" w:right="2834" w:bottom="7052" w:left="2834" w:header="6624" w:footer="3" w:gutter="1368"/>
          <w:pgNumType w:start="9" w:fmt="lowerRoman"/>
          <w:cols w:space="720"/>
          <w:noEndnote/>
          <w:rtlGutter/>
          <w:docGrid w:linePitch="360"/>
        </w:sectPr>
      </w:pPr>
      <w:r>
        <w:rPr>
          <w:rStyle w:val="CharStyle19"/>
          <w:b/>
          <w:bCs/>
        </w:rPr>
        <w:t xml:space="preserve">Le Chapitre 3 </w:t>
      </w:r>
      <w:r>
        <w:rPr>
          <w:rStyle w:val="CharStyle19"/>
        </w:rPr>
        <w:t>explore l’exploitation du potentiel des différentes ressources en capital de la Côte d’Ivoire pour le</w:t>
        <w:br/>
        <w:t>développement. Il met en avant les leviers institutionnels, la politique macroéconomique, ainsi que l’état de droit</w:t>
        <w:br/>
        <w:t>et la protection des droits de propriété privée comme éléments essentiels pour améliorer la gestion du capital et</w:t>
        <w:br/>
        <w:t>favoriser un développement durable.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90" behindDoc="0" locked="0" layoutInCell="1" allowOverlap="1">
                <wp:simplePos x="0" y="0"/>
                <wp:positionH relativeFrom="margin">
                  <wp:posOffset>4913630</wp:posOffset>
                </wp:positionH>
                <wp:positionV relativeFrom="paragraph">
                  <wp:posOffset>12700</wp:posOffset>
                </wp:positionV>
                <wp:extent cx="749935" cy="1499870"/>
                <wp:wrapSquare wrapText="left"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49935" cy="14998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CharStyle5"/>
                                <w:color w:val="472813"/>
                                <w:sz w:val="238"/>
                                <w:szCs w:val="238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386.90000000000003pt;margin-top:1.pt;width:59.050000000000004pt;height:118.10000000000001pt;z-index:-125829363;mso-wrap-distance-left:9.pt;mso-wrap-distance-right:9.pt;mso-position-horizontal-relative:margin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CharStyle5"/>
                          <w:color w:val="472813"/>
                          <w:sz w:val="238"/>
                          <w:szCs w:val="238"/>
                        </w:rPr>
                        <w:t>1</w:t>
                      </w:r>
                    </w:p>
                  </w:txbxContent>
                </v:textbox>
                <w10:wrap type="square" side="left" anchorx="margin"/>
              </v:shape>
            </w:pict>
          </mc:Fallback>
        </mc:AlternateConten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60"/>
          <w:szCs w:val="60"/>
        </w:rPr>
      </w:pPr>
      <w:bookmarkStart w:id="12" w:name="bookmark12"/>
      <w:r>
        <w:rPr>
          <w:rStyle w:val="CharStyle10"/>
          <w:b/>
          <w:bCs/>
          <w:sz w:val="60"/>
          <w:szCs w:val="60"/>
        </w:rPr>
        <w:t>PERFORMANCES</w:t>
      </w:r>
      <w:bookmarkEnd w:id="12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left"/>
        <w:rPr>
          <w:sz w:val="60"/>
          <w:szCs w:val="60"/>
        </w:rPr>
      </w:pPr>
      <w:r>
        <w:rPr>
          <w:rStyle w:val="CharStyle10"/>
          <w:b/>
          <w:bCs/>
          <w:sz w:val="60"/>
          <w:szCs w:val="60"/>
        </w:rPr>
        <w:t>ET PERSPECTIVES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1040" w:line="221" w:lineRule="auto"/>
        <w:ind w:left="0" w:right="0" w:firstLine="0"/>
        <w:jc w:val="left"/>
        <w:rPr>
          <w:sz w:val="60"/>
          <w:szCs w:val="60"/>
        </w:rPr>
      </w:pPr>
      <w:r>
        <w:rPr>
          <w:rStyle w:val="CharStyle10"/>
          <w:b/>
          <w:bCs/>
          <w:sz w:val="60"/>
          <w:szCs w:val="60"/>
        </w:rPr>
        <w:t>MACROÉCONOMIQUES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6" w:name="bookmark16"/>
      <w:r>
        <w:rPr>
          <w:rStyle w:val="CharStyle37"/>
          <w:b/>
          <w:bCs/>
        </w:rPr>
        <w:t>Messages-clés</w:t>
      </w:r>
      <w:bookmarkEnd w:id="16"/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65" w:val="left"/>
        </w:tabs>
        <w:bidi w:val="0"/>
        <w:spacing w:before="0" w:after="260" w:line="346" w:lineRule="auto"/>
        <w:ind w:left="560" w:right="0" w:hanging="360"/>
        <w:jc w:val="left"/>
      </w:pPr>
      <w:r>
        <w:rPr>
          <w:rStyle w:val="CharStyle19"/>
        </w:rPr>
        <w:t>L’économie est restée robuste en 2024 avec un taux de croissance du PIB réel estimé à 6,1% contre 6,5% en</w:t>
        <w:br/>
        <w:t>2023. L’inflation s’est repliée passant de 4,4% en 2023 à 3,5% en 2024. Le déficit budgétaire s’est amélioré</w:t>
        <w:br/>
        <w:t>sur la période, passant de 5,2% à 4% du PIB.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65" w:val="left"/>
        </w:tabs>
        <w:bidi w:val="0"/>
        <w:spacing w:before="0" w:after="260" w:line="341" w:lineRule="auto"/>
        <w:ind w:left="560" w:right="0" w:hanging="360"/>
        <w:jc w:val="left"/>
      </w:pPr>
      <w:r>
        <w:rPr>
          <w:rStyle w:val="CharStyle19"/>
        </w:rPr>
        <w:t>Les efforts de mobilisation des recettes domestiques doivent se poursuivre pour accroitre le taux de pression</w:t>
        <w:br/>
        <w:t>fiscale estimé à 13,8% du PIB en 2024, en légère hausse par rapport à 2023 (13,5%).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65" w:val="left"/>
        </w:tabs>
        <w:bidi w:val="0"/>
        <w:spacing w:before="0" w:after="0" w:line="341" w:lineRule="auto"/>
        <w:ind w:left="560" w:right="0" w:hanging="360"/>
        <w:jc w:val="left"/>
        <w:sectPr>
          <w:footerReference w:type="default" r:id="rId28"/>
          <w:footerReference w:type="even" r:id="rId29"/>
          <w:footnotePr>
            <w:pos w:val="pageBottom"/>
            <w:numFmt w:val="decimal"/>
            <w:numRestart w:val="continuous"/>
          </w:footnotePr>
          <w:pgSz w:w="16838" w:h="23810"/>
          <w:pgMar w:top="4158" w:right="3516" w:bottom="4822" w:left="3516" w:header="0" w:footer="3" w:gutter="830"/>
          <w:pgNumType w:start="1"/>
          <w:cols w:space="720"/>
          <w:noEndnote/>
          <w:rtlGutter/>
          <w:docGrid w:linePitch="360"/>
        </w:sectPr>
      </w:pPr>
      <w:r>
        <w:rPr>
          <w:rStyle w:val="CharStyle19"/>
        </w:rPr>
        <w:t>Les tensions tarifaires mondiales pourraient peser sur les perspectives économiques, entraînant une révision</w:t>
        <w:br/>
        <w:t>à la baisse du solde du compte courant de 0,8 point en moyenne sur 2025-2026 par rapport aux prévisions</w:t>
        <w:br/>
        <w:t>antérieures.</w:t>
      </w:r>
    </w:p>
    <w:p>
      <w:pPr>
        <w:widowControl w:val="0"/>
        <w:spacing w:before="37" w:after="3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4158" w:right="0" w:bottom="479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6"/>
        <w:keepNext/>
        <w:keepLines/>
        <w:widowControl w:val="0"/>
        <w:numPr>
          <w:ilvl w:val="1"/>
          <w:numId w:val="11"/>
        </w:numPr>
        <w:shd w:val="clear" w:color="auto" w:fill="auto"/>
        <w:tabs>
          <w:tab w:pos="414" w:val="left"/>
        </w:tabs>
        <w:bidi w:val="0"/>
        <w:spacing w:before="0" w:line="240" w:lineRule="auto"/>
        <w:ind w:left="0" w:right="0" w:firstLine="0"/>
        <w:jc w:val="left"/>
      </w:pPr>
      <w:bookmarkStart w:id="18" w:name="bookmark18"/>
      <w:r>
        <w:rPr>
          <w:rStyle w:val="CharStyle37"/>
          <w:b/>
          <w:bCs/>
        </w:rPr>
        <w:t>Introduction</w:t>
      </w:r>
      <w:bookmarkEnd w:id="1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Ce chapitre présente les performances économiques</w:t>
        <w:br/>
        <w:t>récentes de la Côte d’Ivoire à fin 2024 et propose des</w:t>
        <w:br/>
        <w:t>projections de croissance actualisées pour la période</w:t>
        <w:br/>
        <w:t>2025-2026. Il examine les principaux facteurs de risque</w:t>
        <w:br/>
        <w:t>de détérioration et d’amélioration des perspectives.</w:t>
        <w:br/>
        <w:t>Ce chapitre évalue les tendances macroéconomiques,</w:t>
        <w:br/>
        <w:t>les politiques budgétaires, l’inflation, la dette publique</w:t>
        <w:br/>
        <w:t>et les flux financiers tels que les envois de fonds, les</w:t>
        <w:br/>
        <w:t>investissements directs étrangers (IDE) et l’aide publique</w:t>
        <w:br/>
        <w:t>au développement (APD). Il propose les politiques</w:t>
        <w:br/>
        <w:t>à envisager pour favoriser une croissance forte et</w:t>
        <w:br/>
        <w:t>résiliente et soutenir la stabilité macroéconomique et la</w:t>
        <w:br/>
        <w:t>transformation économique et sociale, et faire face aux</w:t>
        <w:br/>
        <w:t>chocs affectant l’économie du pays.</w:t>
      </w:r>
    </w:p>
    <w:p>
      <w:pPr>
        <w:pStyle w:val="Style36"/>
        <w:keepNext/>
        <w:keepLines/>
        <w:widowControl w:val="0"/>
        <w:numPr>
          <w:ilvl w:val="1"/>
          <w:numId w:val="11"/>
        </w:numPr>
        <w:shd w:val="clear" w:color="auto" w:fill="auto"/>
        <w:tabs>
          <w:tab w:pos="457" w:val="left"/>
        </w:tabs>
        <w:bidi w:val="0"/>
        <w:spacing w:before="0" w:line="240" w:lineRule="auto"/>
        <w:ind w:left="0" w:right="0" w:firstLine="0"/>
        <w:jc w:val="both"/>
      </w:pPr>
      <w:bookmarkStart w:id="20" w:name="bookmark20"/>
      <w:r>
        <w:rPr>
          <w:rStyle w:val="CharStyle37"/>
          <w:b/>
          <w:bCs/>
        </w:rPr>
        <w:t>Performance en matière de</w:t>
        <w:br/>
        <w:t>croissance</w:t>
      </w:r>
      <w:bookmarkEnd w:id="2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320" w:line="341" w:lineRule="auto"/>
        <w:ind w:left="0" w:right="0" w:firstLine="0"/>
        <w:jc w:val="both"/>
      </w:pPr>
      <w:r>
        <w:rPr>
          <w:rStyle w:val="CharStyle19"/>
        </w:rPr>
        <w:t>En dépit de la persistance de chocs multiples, l’activité</w:t>
        <w:br/>
        <w:t>économique en Côte d’Ivoire est restée robuste en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4158" w:right="3516" w:bottom="4792" w:left="3516" w:header="0" w:footer="3" w:gutter="830"/>
          <w:cols w:num="2" w:space="108"/>
          <w:noEndnote/>
          <w:rtlGutter/>
          <w:docGrid w:linePitch="360"/>
        </w:sectPr>
      </w:pPr>
      <w:r>
        <w:rPr>
          <w:rStyle w:val="CharStyle19"/>
        </w:rPr>
        <w:t>2024 avec un taux de croissance du PIB réel estimé à</w:t>
        <w:br/>
        <w:t>6,1%, contre 6,5% en 2023. L’activité économique s’est</w:t>
        <w:br/>
        <w:t>déroulée dans un climat sociopolitique apaisé, renforcé</w:t>
        <w:br/>
        <w:t>par la victoire en février 2024 des Éléphants lors de</w:t>
        <w:br/>
        <w:t>la 34 édition de la Coupe d’Afrique des Nations (CAN</w:t>
        <w:br/>
        <w:t>2023), organisée par la Côte d’Ivoire. En mars 2024, le</w:t>
        <w:br/>
        <w:t>Gouvernement a conclu un accord de 1,3 milliards de</w:t>
        <w:br/>
        <w:t>dollars avec le FMI au titre de la Facilité pour la résilience</w:t>
        <w:br/>
        <w:t>et la durabilité (FRD). Cette facilité climatique, adossée</w:t>
        <w:br/>
        <w:t>au Programme économique et financier couvrant la</w:t>
        <w:br/>
        <w:t>période 2023-2026 au titre de la Facilité élargie de crédit</w:t>
        <w:br/>
        <w:t>(FEC) et le Mécanisme élargi de crédit (MEDC), comporte</w:t>
        <w:br/>
        <w:t>une série de 16 mesures de reformes et 28 actions</w:t>
        <w:br/>
        <w:t>spécifiques d’adaptation et d’atténuation à implémenter</w:t>
        <w:br/>
        <w:t>de fin mars 2024 à fin décembre 2025. Au niveau de</w:t>
        <w:br/>
        <w:t>l’offre, l’activité économique a bénéficié d’une hausse</w:t>
        <w:br/>
        <w:t>de 3,7% de la production cacaoyère marqué par de</w:t>
        <w:br/>
        <w:t>meilleures conditions climatiques, du renforcement de</w:t>
        <w:br/>
        <w:t>l’exploitation du champ d’hydrocarbure Baleine et d’une</w:t>
        <w:br/>
        <w:t>hausse de la production de l’or non monétaire, d’une</w:t>
        <w:br/>
        <w:t>croissance des activités de commerce, de transport et</w:t>
        <w:br/>
        <w:t>de télécommunications. Sous l’angle de la demande,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4158" w:right="3516" w:bottom="4792" w:left="4346" w:header="0" w:footer="3" w:gutter="0"/>
          <w:cols w:num="2" w:space="108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341" w:lineRule="auto"/>
        <w:ind w:left="0" w:right="0" w:firstLine="0"/>
        <w:jc w:val="both"/>
      </w:pPr>
      <w:r>
        <w:rPr>
          <w:rStyle w:val="CharStyle19"/>
        </w:rPr>
        <w:t>les principaux moteurs de la croissance ont été la</w:t>
        <w:br/>
        <w:t>consommation et l’investissement privés.</w:t>
      </w:r>
    </w:p>
    <w:p>
      <w:pPr>
        <w:pStyle w:val="Style36"/>
        <w:keepNext/>
        <w:keepLines/>
        <w:widowControl w:val="0"/>
        <w:numPr>
          <w:ilvl w:val="1"/>
          <w:numId w:val="11"/>
        </w:numPr>
        <w:shd w:val="clear" w:color="auto" w:fill="auto"/>
        <w:tabs>
          <w:tab w:pos="491" w:val="left"/>
        </w:tabs>
        <w:bidi w:val="0"/>
        <w:spacing w:before="0" w:after="280" w:line="240" w:lineRule="auto"/>
        <w:ind w:left="0" w:right="0" w:firstLine="0"/>
        <w:jc w:val="both"/>
      </w:pPr>
      <w:bookmarkStart w:id="22" w:name="bookmark22"/>
      <w:r>
        <w:rPr>
          <w:rStyle w:val="CharStyle37"/>
          <w:b/>
          <w:bCs/>
        </w:rPr>
        <w:t>Autres évolutions</w:t>
        <w:br/>
        <w:t>macroéconomiques et sociales</w:t>
        <w:br/>
        <w:t>récentes</w:t>
      </w:r>
      <w:bookmarkEnd w:id="22"/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48" w:val="left"/>
        </w:tabs>
        <w:bidi w:val="0"/>
        <w:spacing w:before="0" w:line="312" w:lineRule="auto"/>
        <w:ind w:left="0" w:right="0" w:firstLine="0"/>
        <w:jc w:val="both"/>
      </w:pPr>
      <w:bookmarkStart w:id="24" w:name="bookmark24"/>
      <w:r>
        <w:rPr>
          <w:rStyle w:val="CharStyle39"/>
          <w:b/>
          <w:bCs/>
        </w:rPr>
        <w:t>Politique monétaire, inflation, taux</w:t>
        <w:br/>
        <w:t>de change</w:t>
      </w:r>
      <w:bookmarkEnd w:id="2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En 2024, la Banque Centrale des États de l’Afrique</w:t>
        <w:br/>
        <w:t>de l’Ouest (BCEAO) a choisi de maintenir son</w:t>
        <w:br/>
        <w:t>taux directeur (taux de soumission aux opérations</w:t>
        <w:br/>
        <w:t>d’adjudication) à 3,5%, poursuivant ainsi la</w:t>
        <w:br/>
        <w:t>politique initiée en décembre 2023. Cette stabilité</w:t>
        <w:br/>
        <w:t>fait suite à trois relèvements successifs du taux en</w:t>
        <w:br/>
        <w:t>2023, de 2,75% à 3% en mars, puis à 3,25% en</w:t>
        <w:br/>
        <w:t>septembre, avant d’atteindre 3,5% en décembre.</w:t>
        <w:br/>
        <w:t>Cette mesure couplée aux actions prises par le</w:t>
        <w:br/>
        <w:t>Gouvernement pour lutter contre le coût de la vie,</w:t>
        <w:br/>
        <w:t>ont permis de faire baisser l’inflation, dont le taux</w:t>
        <w:br/>
        <w:t>est passé de 4,4% en 2023 à 3,5% en 2024. Par</w:t>
        <w:br/>
        <w:t>ailleurs, le taux de change économique réel (TCER)</w:t>
        <w:br/>
        <w:t>a augmenté de 9,6% en 2024, reflétant une perte</w:t>
        <w:br/>
        <w:t>de compétitivité de l’Union liée à l’appréciation</w:t>
        <w:br/>
        <w:t>du franc CFA, malgré un différentiel d’inflation</w:t>
        <w:br/>
        <w:t>favorable de 3,9 points.</w:t>
      </w:r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67" w:val="left"/>
        </w:tabs>
        <w:bidi w:val="0"/>
        <w:spacing w:before="0" w:line="312" w:lineRule="auto"/>
        <w:ind w:left="0" w:right="0" w:firstLine="0"/>
        <w:jc w:val="both"/>
      </w:pPr>
      <w:bookmarkStart w:id="26" w:name="bookmark26"/>
      <w:r>
        <w:rPr>
          <w:rStyle w:val="CharStyle39"/>
          <w:b/>
          <w:bCs/>
        </w:rPr>
        <w:t>Secteur financier</w:t>
      </w:r>
      <w:bookmarkEnd w:id="2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rStyle w:val="CharStyle19"/>
        </w:rPr>
        <w:t>La performance du secteur financier reste</w:t>
        <w:br/>
        <w:t>satisfaisante, avec une hausse des créances à</w:t>
        <w:br/>
        <w:t>l’économie de 11,5% entre 2023 et 2024. Le</w:t>
        <w:br/>
        <w:t>taux de conformité des établissements de crédits</w:t>
        <w:br/>
        <w:t>aux normes prudentielles de la BCEAO s’est</w:t>
        <w:br/>
        <w:t>globalement amélioré. Les prêts non performants</w:t>
        <w:br/>
        <w:t>(en pourcentage des prêts totaux) s’établissent à</w:t>
        <w:br/>
        <w:t>7% à juin 2024 contre 7,2% à juin 2023. Le ratio de</w:t>
        <w:br/>
        <w:t>fonds propres sur le total des actifs s’est amélioré</w:t>
        <w:br/>
        <w:t>passant de 7,66 à 7,85 entre juin 2023 et juin 2024.</w:t>
        <w:br/>
        <w:t>Le taux net de dégradation du portefeuille a replié</w:t>
        <w:br/>
        <w:t>de 1,2 points de pourcentage passant de 2,8%</w:t>
        <w:br/>
        <w:t>en 2023 à 1,6% en 2024. Le ratio de solvabilité</w:t>
        <w:br/>
        <w:t>s’est établi à 13,8% à fin décembre 2024 contre</w:t>
        <w:br/>
        <w:t>13,7% en moyenne pour l’UEMOA, la norme étant</w:t>
        <w:br/>
        <w:t>de 11,5%.</w:t>
      </w:r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72" w:val="left"/>
        </w:tabs>
        <w:bidi w:val="0"/>
        <w:spacing w:before="0" w:after="260" w:line="312" w:lineRule="auto"/>
        <w:ind w:left="0" w:right="0" w:firstLine="0"/>
        <w:jc w:val="both"/>
      </w:pPr>
      <w:bookmarkStart w:id="28" w:name="bookmark28"/>
      <w:r>
        <w:rPr>
          <w:rStyle w:val="CharStyle39"/>
          <w:b/>
          <w:bCs/>
        </w:rPr>
        <w:t>Politique budgétaire et dette</w:t>
        <w:br/>
        <w:t>publique</w:t>
      </w:r>
      <w:bookmarkEnd w:id="2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La mise en œuvre des réformes en cours pour</w:t>
        <w:br/>
        <w:t>accroître les recettes internes et optimiser</w:t>
        <w:br/>
        <w:t>les dépenses, soutenues par le programme</w:t>
        <w:br/>
        <w:t>économique et financier 2023-2026 du</w:t>
        <w:br/>
        <w:t>gouvernement a contribué à réduire le déficit</w:t>
        <w:br/>
        <w:t>budgétaire de 5,2% à 4% du PIB entre 2023 et</w:t>
        <w:br/>
        <w:t>2024. L’exécution des opérations financières</w:t>
        <w:br/>
        <w:t>de l’État révèle un accroissement des recettes</w:t>
        <w:br/>
        <w:t>(y compris les dons) de 11,1% entre 2023 et</w:t>
        <w:br/>
        <w:t>2024, contre une hausse modérée de 4,4% des</w:t>
        <w:br/>
        <w:t>dépenses totales (y compris les prêts). La pression</w:t>
        <w:br/>
        <w:t>fiscale s’est légèrement améliorée passant de</w:t>
        <w:br/>
        <w:t>13,5% à 13,8% du PIB entre 2023 et 2024. Des</w:t>
        <w:br/>
        <w:t>efforts supplémentaires sont nécessaires pour</w:t>
        <w:br/>
        <w:t>accroître la mobilisation des recettes fiscales afin</w:t>
        <w:br/>
        <w:t>d’améliorer la viabilité des finances publiques et la</w:t>
        <w:br/>
        <w:t>soutenabilité de la dette publique, dont les intérêts</w:t>
        <w:br/>
        <w:t>dus ont connu une hausse de 13,4% entre 2023</w:t>
        <w:br/>
        <w:t>de 2024. Toutefois, l’Analyse de la viabilité de la</w:t>
        <w:br/>
        <w:t>dette (AVD), réalisée conjointement par la Banque</w:t>
        <w:br/>
        <w:t>Mondiale et le FMI en décembre 2024 indique</w:t>
        <w:br/>
        <w:t>que la Côte d’Ivoire présente un risque modéré</w:t>
        <w:br/>
        <w:t>de surendettement, tant pour la dette extérieure</w:t>
        <w:br/>
        <w:t>que pour la dette publique totale. Cette analyse du</w:t>
        <w:br/>
        <w:t>risque de surendettement a mis en évidence des</w:t>
        <w:br/>
        <w:t>marges de manœuvres limitées pour l’absorption</w:t>
        <w:br/>
        <w:t>des chocs. L’AVD a également souligné la</w:t>
        <w:br/>
        <w:t>nécessité de renforcer la mobilisation des recettes</w:t>
        <w:br/>
        <w:t>internes et la diversification des exportations.</w:t>
      </w:r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77" w:val="left"/>
        </w:tabs>
        <w:bidi w:val="0"/>
        <w:spacing w:before="0" w:after="260" w:line="312" w:lineRule="auto"/>
        <w:ind w:left="0" w:right="0" w:firstLine="0"/>
        <w:jc w:val="both"/>
      </w:pPr>
      <w:bookmarkStart w:id="30" w:name="bookmark30"/>
      <w:r>
        <w:rPr>
          <w:rStyle w:val="CharStyle39"/>
          <w:b/>
          <w:bCs/>
        </w:rPr>
        <w:t>Position extérieure – Flux financiers</w:t>
        <w:br/>
        <w:t>extérieurs</w:t>
      </w:r>
      <w:bookmarkEnd w:id="3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16838" w:h="23810"/>
          <w:pgMar w:top="5641" w:right="3520" w:bottom="5004" w:left="3520" w:header="0" w:footer="3" w:gutter="1642"/>
          <w:cols w:num="2" w:space="307"/>
          <w:noEndnote/>
          <w:rtlGutter/>
          <w:docGrid w:linePitch="360"/>
        </w:sectPr>
      </w:pPr>
      <w:r>
        <w:rPr>
          <w:rStyle w:val="CharStyle19"/>
        </w:rPr>
        <w:t>Les échanges extérieurs se sont traduits par un</w:t>
        <w:br/>
        <w:t>déficit du solde courant qui s’est apprécié de -8,3%</w:t>
        <w:br/>
        <w:t>à -4,2% du PIB entre 2023 et 2024, en lien avec</w:t>
        <w:br/>
        <w:t>l’amélioration significative de la balance des biens</w:t>
        <w:br/>
        <w:t>ayant doublé sur la période. Le secteur extérieur</w:t>
        <w:br/>
        <w:t>a tiré avantage d’une performance favorable des</w:t>
        <w:br/>
        <w:t>exportations de café (65%), du pétrole brut (48%),</w:t>
        <w:br/>
        <w:t>du cacao transformé (44%), du coton (35%), de</w:t>
        <w:br/>
        <w:t>l’or non monétaire (34%), du caoutchouc (23%) et</w:t>
        <w:br/>
        <w:t>du cacao fèves (20%). Néanmoins, il a enregistré</w:t>
      </w:r>
    </w:p>
    <w:p>
      <w:pPr>
        <w:pStyle w:val="Style2"/>
        <w:keepNext w:val="0"/>
        <w:keepLines w:val="0"/>
        <w:framePr w:w="6931" w:h="322" w:wrap="none" w:hAnchor="page" w:x="3660" w:y="92"/>
        <w:widowControl w:val="0"/>
        <w:pBdr>
          <w:top w:val="single" w:sz="0" w:space="6" w:color="D7CFCA"/>
          <w:left w:val="single" w:sz="0" w:space="5" w:color="D7CFCA"/>
          <w:bottom w:val="single" w:sz="0" w:space="0" w:color="D7CFCA"/>
          <w:right w:val="single" w:sz="0" w:space="5" w:color="D7CFCA"/>
        </w:pBdr>
        <w:shd w:val="clear" w:color="auto" w:fill="D7CFCA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3"/>
          <w:b/>
          <w:bCs/>
          <w:color w:val="472813"/>
          <w:sz w:val="16"/>
          <w:szCs w:val="16"/>
        </w:rPr>
        <w:t xml:space="preserve">Figure 1: </w:t>
      </w:r>
      <w:r>
        <w:rPr>
          <w:rStyle w:val="CharStyle3"/>
          <w:b/>
          <w:bCs/>
          <w:color w:val="231F20"/>
          <w:sz w:val="16"/>
          <w:szCs w:val="16"/>
        </w:rPr>
        <w:t>Évolution du solde budgétaire et de la dette publique de la Côte d’Ivoire</w:t>
      </w:r>
    </w:p>
    <w:p>
      <w:pPr>
        <w:widowControl w:val="0"/>
        <w:spacing w:line="360" w:lineRule="exact"/>
      </w:pPr>
      <w:r>
        <w:drawing>
          <wp:anchor distT="387350" distB="0" distL="389890" distR="0" simplePos="0" relativeHeight="62914724" behindDoc="1" locked="0" layoutInCell="1" allowOverlap="1">
            <wp:simplePos x="0" y="0"/>
            <wp:positionH relativeFrom="page">
              <wp:posOffset>2713355</wp:posOffset>
            </wp:positionH>
            <wp:positionV relativeFrom="margin">
              <wp:posOffset>445135</wp:posOffset>
            </wp:positionV>
            <wp:extent cx="4126865" cy="1913890"/>
            <wp:wrapNone/>
            <wp:docPr id="53" name="Shap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box 54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ext cx="4126865" cy="191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78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38" w:h="23810"/>
          <w:pgMar w:top="5670" w:right="2483" w:bottom="4692" w:left="2483" w:header="0" w:footer="3" w:gutter="1032"/>
          <w:cols w:space="720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761" w:right="3515" w:bottom="5182" w:left="3515" w:header="0" w:footer="3" w:gutter="1642"/>
          <w:cols w:space="720"/>
          <w:noEndnote/>
          <w:rtlGutter/>
          <w:docGrid w:linePitch="360"/>
        </w:sectPr>
      </w:pPr>
      <w:r>
        <w:rPr>
          <w:rStyle w:val="CharStyle19"/>
          <w:i/>
          <w:iCs/>
          <w:sz w:val="16"/>
          <w:szCs w:val="16"/>
        </w:rPr>
        <w:t>Source : Données des autorités nationales et du FMI, calculs des auteurs</w:t>
      </w:r>
    </w:p>
    <w:p>
      <w:pPr>
        <w:widowControl w:val="0"/>
        <w:spacing w:line="112" w:lineRule="exact"/>
        <w:rPr>
          <w:sz w:val="9"/>
          <w:szCs w:val="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761" w:right="0" w:bottom="518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une contraction de 24% des exportations</w:t>
        <w:br/>
        <w:t>d’anacarde En otre les inestissements directs</w:t>
        <w:br/>
        <w:t>étrangers (IDE) ont progressé de 65% entre 2023</w:t>
        <w:br/>
        <w:t>et 2024. Par ailleurs, les réserves de l'UEMOA se</w:t>
        <w:br/>
        <w:t>sont nettement améliorées. Le nombre de mois en</w:t>
        <w:br/>
        <w:t>pourcentage des importations s'est établi à 4,7</w:t>
        <w:br/>
        <w:t>en 2024 contre 3,4 en 2023. Cette amélioration</w:t>
        <w:br/>
        <w:t>est attribuable à la bonne tenue des exportations,</w:t>
        <w:br/>
        <w:t>notamment de l'or non monétaire dans la zone et</w:t>
        <w:br/>
        <w:t>une forte mobilisation des ressources extérieures</w:t>
        <w:br/>
        <w:t>notamment par les émissions d'eurobonds</w:t>
        <w:br/>
        <w:t>réalisées par la Côte d'Ivoire.</w:t>
      </w:r>
    </w:p>
    <w:p>
      <w:pPr>
        <w:pStyle w:val="Style4"/>
        <w:keepNext w:val="0"/>
        <w:keepLines w:val="0"/>
        <w:widowControl w:val="0"/>
        <w:numPr>
          <w:ilvl w:val="2"/>
          <w:numId w:val="11"/>
        </w:numPr>
        <w:shd w:val="clear" w:color="auto" w:fill="auto"/>
        <w:tabs>
          <w:tab w:pos="562" w:val="left"/>
        </w:tabs>
        <w:bidi w:val="0"/>
        <w:spacing w:before="0" w:after="280" w:line="307" w:lineRule="auto"/>
        <w:ind w:left="0" w:right="0" w:firstLine="0"/>
        <w:jc w:val="both"/>
        <w:rPr>
          <w:sz w:val="19"/>
          <w:szCs w:val="19"/>
        </w:rPr>
      </w:pPr>
      <w:r>
        <w:rPr>
          <w:rStyle w:val="CharStyle5"/>
          <w:b/>
          <w:bCs/>
          <w:sz w:val="19"/>
          <w:szCs w:val="19"/>
        </w:rPr>
        <w:t>Évolutions sociales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41" w:lineRule="auto"/>
        <w:ind w:left="0" w:right="0" w:firstLine="0"/>
        <w:jc w:val="both"/>
      </w:pPr>
      <w:r>
        <w:rPr>
          <w:rStyle w:val="CharStyle19"/>
        </w:rPr>
        <w:t>La Côte d'Ivoire a rejoint la catégorie des pays à</w:t>
        <w:br/>
        <w:t>Indice de développement humain (IDH) moyen,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761" w:right="3525" w:bottom="5182" w:left="3525" w:header="0" w:footer="3" w:gutter="1632"/>
          <w:cols w:num="2" w:space="312"/>
          <w:noEndnote/>
          <w:rtlGutter/>
          <w:docGrid w:linePitch="360"/>
        </w:sectPr>
      </w:pPr>
      <w:r>
        <w:rPr>
          <w:rStyle w:val="CharStyle19"/>
        </w:rPr>
        <w:t>atteignant un score de 0,582 en 2023, en nette</w:t>
        <w:br/>
        <w:t>roression ar raort à 2022 0565 Le as</w:t>
        <w:br/>
        <w:t>a ainsi progressé de 5 places, passant de la</w:t>
        <w:br/>
        <w:t>162e à la 157e position sur 191 pays. Le taux</w:t>
        <w:br/>
        <w:t>de pauvreté monétaire a été réduit de 39,4%</w:t>
        <w:br/>
        <w:t>à 37,5% entre 2018 et 2021 (EHCVM II). Les</w:t>
        <w:br/>
        <w:t>inégalités se résorbent progressivement, avec</w:t>
        <w:br/>
        <w:t>un indice de Gini de 0,3 en 2022, contre 0,4</w:t>
        <w:br/>
        <w:t>en 2019. En lien avec son programme social,</w:t>
        <w:br/>
        <w:t>le gouvernement doit poursuivre les efforts</w:t>
        <w:br/>
        <w:t>de réduction des inégalités dans l'accès aux</w:t>
        <w:br/>
        <w:t>services sociaux de base, les infrastructures et</w:t>
        <w:br/>
        <w:t>les opportunités économiques afin d'assurer</w:t>
        <w:br/>
        <w:t>une meilleure équité sur l'ensemble du territoire</w:t>
        <w:br/>
        <w:t>national.</w:t>
      </w:r>
    </w:p>
    <w:p>
      <w:pPr>
        <w:widowControl w:val="0"/>
        <w:spacing w:before="3" w:after="3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706" w:right="0" w:bottom="521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pBdr>
          <w:top w:val="single" w:sz="0" w:space="5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220" w:line="377" w:lineRule="auto"/>
        <w:ind w:left="160" w:right="0" w:firstLine="0"/>
        <w:jc w:val="left"/>
        <w:rPr>
          <w:sz w:val="16"/>
          <w:szCs w:val="16"/>
        </w:rPr>
      </w:pPr>
      <w:r>
        <w:rPr>
          <w:rStyle w:val="CharStyle19"/>
          <w:b/>
          <w:bCs/>
          <w:color w:val="472813"/>
          <w:sz w:val="16"/>
          <w:szCs w:val="16"/>
        </w:rPr>
        <w:t xml:space="preserve">Encadré 1: </w:t>
      </w:r>
      <w:r>
        <w:rPr>
          <w:rStyle w:val="CharStyle19"/>
          <w:b/>
          <w:bCs/>
          <w:sz w:val="16"/>
          <w:szCs w:val="16"/>
        </w:rPr>
        <w:t>Activités de mobilisation des ressources intérieures et déficit de financement du</w:t>
        <w:br/>
        <w:t>développement</w:t>
      </w:r>
    </w:p>
    <w:p>
      <w:pPr>
        <w:pStyle w:val="Style18"/>
        <w:keepNext w:val="0"/>
        <w:keepLines w:val="0"/>
        <w:widowControl w:val="0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0"/>
        <w:ind w:left="220" w:right="0" w:firstLine="0"/>
        <w:jc w:val="both"/>
      </w:pPr>
      <w:r>
        <w:rPr>
          <w:rStyle w:val="CharStyle19"/>
        </w:rPr>
        <w:t>Selon la Banque (PEA, 2024), le déficit de financement annuel pour accélérer la transformation</w:t>
        <w:br/>
        <w:t>structurelle en Côte d’Ivoire est estimé à 3,2 milliards de dollars (environ 3,5% du PIB en 2024) dans</w:t>
        <w:br/>
        <w:t>le cadre des Objectifs de Développement Durable (ODD) à l’échéance 2030. En 2024, les recettes</w:t>
        <w:br/>
        <w:t>fiscales mobilisées sont estimées à 13,8% du PIB, en deçà de la norme communautaire de 20%,</w:t>
        <w:br/>
        <w:t>révélant des progrès à réaliser pour exploiter le potentiel et mobiliser les ressources du capital pour</w:t>
        <w:br/>
        <w:t>financer durablement le développement du pays. La stratégie quinquennale de mobilisation des</w:t>
        <w:br/>
        <w:t>recettes à moyen terme (SRMT) adoptée en mai 2024 devrait permettre de progresser en matière de</w:t>
        <w:br/>
        <w:t>mobilisation des ressources domestiques.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3000"/>
        <w:gridCol w:w="667"/>
        <w:gridCol w:w="677"/>
        <w:gridCol w:w="691"/>
        <w:gridCol w:w="629"/>
        <w:gridCol w:w="792"/>
        <w:gridCol w:w="806"/>
        <w:gridCol w:w="859"/>
      </w:tblGrid>
      <w:tr>
        <w:trPr>
          <w:trHeight w:val="629" w:hRule="exact"/>
        </w:trPr>
        <w:tc>
          <w:tcPr>
            <w:gridSpan w:val="8"/>
            <w:tcBorders/>
            <w:shd w:val="clear" w:color="auto" w:fill="D7CFCA"/>
            <w:vAlign w:val="top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5"/>
                <w:b/>
                <w:bCs/>
                <w:color w:val="472813"/>
                <w:sz w:val="16"/>
                <w:szCs w:val="16"/>
              </w:rPr>
              <w:t xml:space="preserve">Tableau </w:t>
            </w:r>
            <w:r>
              <w:rPr>
                <w:rStyle w:val="CharStyle5"/>
                <w:b/>
                <w:bCs/>
                <w:color w:val="715646"/>
                <w:sz w:val="16"/>
                <w:szCs w:val="16"/>
              </w:rPr>
              <w:t xml:space="preserve">1: </w:t>
            </w:r>
            <w:r>
              <w:rPr>
                <w:rStyle w:val="CharStyle5"/>
                <w:b/>
                <w:bCs/>
                <w:sz w:val="16"/>
                <w:szCs w:val="16"/>
              </w:rPr>
              <w:t>Principaux indicateurs macroéconomiques et sociaux</w:t>
            </w:r>
          </w:p>
        </w:tc>
      </w:tr>
      <w:tr>
        <w:trPr>
          <w:trHeight w:val="446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Indicateurs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2020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2021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2022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2024(e)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2025(p)</w:t>
            </w:r>
          </w:p>
        </w:tc>
        <w:tc>
          <w:tcPr>
            <w:tcBorders/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color w:val="FFFFFF"/>
                <w:sz w:val="18"/>
                <w:szCs w:val="18"/>
              </w:rPr>
              <w:t>2026(p)</w:t>
            </w:r>
          </w:p>
        </w:tc>
      </w:tr>
      <w:tr>
        <w:trPr>
          <w:trHeight w:val="355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Croissance du PIB réel (%)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0,7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7,1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6,2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6,5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rStyle w:val="CharStyle5"/>
              </w:rPr>
              <w:t>6,1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5"/>
              </w:rPr>
              <w:t>6,3</w:t>
            </w:r>
          </w:p>
        </w:tc>
        <w:tc>
          <w:tcPr>
            <w:tcBorders/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5"/>
              </w:rPr>
              <w:t>6,3</w:t>
            </w:r>
          </w:p>
        </w:tc>
      </w:tr>
      <w:tr>
        <w:trPr>
          <w:trHeight w:val="538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Croissance du PIB réel par habi</w:t>
              <w:t>-</w:t>
              <w:br/>
              <w:t>tant (%)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-1,8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4,4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3,6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3,9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rStyle w:val="CharStyle5"/>
              </w:rPr>
              <w:t>3,5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5"/>
              </w:rPr>
              <w:t>3,8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5"/>
              </w:rPr>
              <w:t>3,8</w:t>
            </w:r>
          </w:p>
        </w:tc>
      </w:tr>
      <w:tr>
        <w:trPr>
          <w:trHeight w:val="350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Inflation (%)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2,4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4,2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5,2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4,4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rStyle w:val="CharStyle5"/>
              </w:rPr>
              <w:t>3,5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5"/>
              </w:rPr>
              <w:t>2,8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5"/>
              </w:rPr>
              <w:t>2,4</w:t>
            </w:r>
          </w:p>
        </w:tc>
      </w:tr>
      <w:tr>
        <w:trPr>
          <w:trHeight w:val="542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Solde budgétaire global, y com</w:t>
              <w:t>-</w:t>
              <w:br/>
              <w:t>pris les dons (% du PIB)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-5,4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5"/>
              </w:rPr>
              <w:t>-4,9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-6,8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-5,2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5"/>
              </w:rPr>
              <w:t>-4,0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5"/>
              </w:rPr>
              <w:t>-3,0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5"/>
              </w:rPr>
              <w:t>-3,0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Style w:val="CharStyle5"/>
                <w:b/>
                <w:bCs/>
                <w:sz w:val="18"/>
                <w:szCs w:val="18"/>
              </w:rPr>
              <w:t>Compte courant (% PIB)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-3,1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5"/>
              </w:rPr>
              <w:t>-3,9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5"/>
              </w:rPr>
              <w:t>-7,7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-8,3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5"/>
              </w:rPr>
              <w:t>-4,2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5"/>
              </w:rPr>
              <w:t>-2,6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5"/>
              </w:rPr>
              <w:t>-3,0</w:t>
            </w:r>
          </w:p>
        </w:tc>
      </w:tr>
    </w:tbl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38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706" w:right="3517" w:bottom="5213" w:left="3517" w:header="0" w:footer="3" w:gutter="1639"/>
          <w:cols w:space="720"/>
          <w:noEndnote/>
          <w:rtlGutter/>
          <w:docGrid w:linePitch="360"/>
        </w:sectPr>
      </w:pPr>
      <w:r>
        <w:rPr>
          <w:rStyle w:val="CharStyle47"/>
          <w:i/>
          <w:iCs/>
        </w:rPr>
        <w:t>Source : Données des autorités nationales, du département des statistiques de la BAD, Mai 2025 ; estimations</w:t>
        <w:br/>
        <w:t>(e) et prévisions (p) basées sur les calculs des auteurs.</w:t>
      </w:r>
    </w:p>
    <w:p>
      <w:pPr>
        <w:widowControl w:val="0"/>
        <w:spacing w:before="75" w:after="7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75" w:right="0" w:bottom="524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6"/>
        <w:keepNext/>
        <w:keepLines/>
        <w:widowControl w:val="0"/>
        <w:numPr>
          <w:ilvl w:val="1"/>
          <w:numId w:val="11"/>
        </w:numPr>
        <w:shd w:val="clear" w:color="auto" w:fill="auto"/>
        <w:tabs>
          <w:tab w:pos="457" w:val="left"/>
        </w:tabs>
        <w:bidi w:val="0"/>
        <w:spacing w:before="0" w:after="260" w:line="240" w:lineRule="auto"/>
        <w:ind w:left="0" w:right="0" w:firstLine="0"/>
        <w:jc w:val="both"/>
      </w:pPr>
      <w:bookmarkStart w:id="32" w:name="bookmark32"/>
      <w:r>
        <w:rPr>
          <w:rStyle w:val="CharStyle37"/>
          <w:b/>
          <w:bCs/>
        </w:rPr>
        <w:t>Perspectives et risques</w:t>
        <w:br/>
        <w:t>macroéconomiques</w:t>
      </w:r>
      <w:bookmarkEnd w:id="32"/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34" w:val="left"/>
        </w:tabs>
        <w:bidi w:val="0"/>
        <w:spacing w:before="0" w:after="340" w:line="240" w:lineRule="auto"/>
        <w:ind w:left="0" w:right="0" w:firstLine="0"/>
        <w:jc w:val="both"/>
      </w:pPr>
      <w:bookmarkStart w:id="34" w:name="bookmark34"/>
      <w:r>
        <w:rPr>
          <w:rStyle w:val="CharStyle39"/>
          <w:b/>
          <w:bCs/>
        </w:rPr>
        <w:t>Perspectives</w:t>
      </w:r>
      <w:bookmarkEnd w:id="3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19"/>
        </w:rPr>
        <w:t>Les perspectives économiques demeurent</w:t>
        <w:br/>
        <w:t>favorables avec une croissance du PIB réel</w:t>
        <w:br/>
        <w:t>projetée à 6,3% en moyenne sur 2025-2026.</w:t>
        <w:br/>
        <w:t>L’activité économique devrait bénéficier des</w:t>
        <w:br/>
        <w:t>investissements programmés avant la fin de la</w:t>
        <w:br/>
        <w:t>mise en œuvre du PND 2021-2025 et de l’entrée</w:t>
        <w:br/>
        <w:t>en production de la phase 2 du gisement Baleine.</w:t>
        <w:br/>
        <w:t>L’inflation devrait décélérer pour atteindre 2,8% en</w:t>
        <w:br/>
        <w:t>2025 et 2,4% en 2026. Le déficit budgétaire est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projeté à 3% du PIB en 2025 et 2026. Eu égard</w:t>
        <w:br/>
        <w:t>aux tensions tarifaires internationales, le solde</w:t>
        <w:br/>
        <w:t>du compte courant se dégraderait de 0,8 point</w:t>
        <w:br/>
        <w:t>de pourcentage en moyenne sur 2025-2026 par</w:t>
        <w:br/>
        <w:t>rapport aux prévisions antérieures, portant le</w:t>
        <w:br/>
        <w:t>déficit à 2,6% du PIB en 2025 et 3% en 2026.</w:t>
      </w:r>
    </w:p>
    <w:p>
      <w:pPr>
        <w:pStyle w:val="Style38"/>
        <w:keepNext/>
        <w:keepLines/>
        <w:widowControl w:val="0"/>
        <w:numPr>
          <w:ilvl w:val="2"/>
          <w:numId w:val="11"/>
        </w:numPr>
        <w:shd w:val="clear" w:color="auto" w:fill="auto"/>
        <w:tabs>
          <w:tab w:pos="562" w:val="left"/>
        </w:tabs>
        <w:bidi w:val="0"/>
        <w:spacing w:before="0" w:after="340" w:line="240" w:lineRule="auto"/>
        <w:ind w:left="0" w:right="0" w:firstLine="0"/>
        <w:jc w:val="both"/>
      </w:pPr>
      <w:bookmarkStart w:id="36" w:name="bookmark36"/>
      <w:r>
        <w:rPr>
          <w:rStyle w:val="CharStyle39"/>
          <w:b/>
          <w:bCs/>
        </w:rPr>
        <w:t>Risques</w:t>
      </w:r>
      <w:bookmarkEnd w:id="3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46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75" w:right="3525" w:bottom="5245" w:left="3525" w:header="0" w:footer="3" w:gutter="1632"/>
          <w:cols w:num="2" w:space="322"/>
          <w:noEndnote/>
          <w:rtlGutter/>
          <w:docGrid w:linePitch="360"/>
        </w:sectPr>
      </w:pPr>
      <w:r>
        <w:rPr>
          <w:rStyle w:val="CharStyle19"/>
        </w:rPr>
        <w:t>Malgré des perspectives macroéconomiques</w:t>
        <w:br/>
        <w:t>prometteuses, la Côte d’Ivoire reste exposée à</w:t>
        <w:br/>
        <w:t>plusieurs risques. L’instauration éventuelle des</w:t>
        <w:br/>
        <w:t>droits de douane réciproques pourrait affecter</w:t>
        <w:br/>
        <w:t>les exportations de produits phares tels que le</w:t>
      </w:r>
    </w:p>
    <w:p>
      <w:pPr>
        <w:widowControl w:val="0"/>
        <w:spacing w:before="55" w:after="5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75" w:right="0" w:bottom="524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pBdr>
          <w:top w:val="single" w:sz="0" w:space="5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300" w:line="360" w:lineRule="auto"/>
        <w:ind w:left="0" w:right="0" w:firstLine="160"/>
        <w:jc w:val="left"/>
        <w:rPr>
          <w:sz w:val="16"/>
          <w:szCs w:val="16"/>
        </w:rPr>
      </w:pPr>
      <w:r>
        <w:rPr>
          <w:rStyle w:val="CharStyle19"/>
          <w:b/>
          <w:bCs/>
          <w:color w:val="472813"/>
          <w:sz w:val="16"/>
          <w:szCs w:val="16"/>
        </w:rPr>
        <w:t xml:space="preserve">Encadré 2: </w:t>
      </w:r>
      <w:r>
        <w:rPr>
          <w:rStyle w:val="CharStyle19"/>
          <w:b/>
          <w:bCs/>
          <w:sz w:val="16"/>
          <w:szCs w:val="16"/>
        </w:rPr>
        <w:t>Effets de la politique de droits de douane réciproques sur la Côte d’Ivoire</w:t>
      </w:r>
    </w:p>
    <w:p>
      <w:pPr>
        <w:pStyle w:val="Style18"/>
        <w:keepNext w:val="0"/>
        <w:keepLines w:val="0"/>
        <w:widowControl w:val="0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0"/>
        <w:ind w:left="160" w:right="0" w:firstLine="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75" w:right="3520" w:bottom="5245" w:left="3520" w:header="0" w:footer="3" w:gutter="1637"/>
          <w:cols w:space="720"/>
          <w:noEndnote/>
          <w:rtlGutter/>
          <w:docGrid w:linePitch="360"/>
        </w:sectPr>
      </w:pPr>
      <w:r>
        <w:rPr>
          <w:rStyle w:val="CharStyle19"/>
        </w:rPr>
        <w:t>L’impact de la politique des droits de douane réciproques sur l’économie ivoirienne pourrait être</w:t>
        <w:br/>
        <w:t>atténué si l’African Growth and Opportunity Act (AGOA) reste en vigueur et continue d’exempter les</w:t>
        <w:br/>
        <w:t>matières premières africaines de droits d’importation. Cependant, la tarification envisagée de 21%</w:t>
        <w:br/>
        <w:t>sur les exportations de la Côte d’Ivoire risquerait d’affecter la compétitivité des principaux produits</w:t>
        <w:br/>
        <w:t>exportés vers le marché américain, notamment les fèves de cacao, les produits dérivés du cacao et</w:t>
        <w:br/>
        <w:t>le caoutchouc naturel. Cette vulnérabilité est accentuée par les taxes actuellement appliquées par</w:t>
        <w:br/>
        <w:t>la Côte d’Ivoire, à savoir un Droit unique de sortie (DUS) de 14,6% sur les produits du cacao et une</w:t>
        <w:br/>
        <w:t>taxe de 1,5% sur le caoutchouc naturel. Cette montée du protectionnisme pourrait entrainer une</w:t>
        <w:br/>
        <w:t>dégradation du solde du compte courant de la Côte d’Ivoire de l’ordre de 0,8 point de pourcentage</w:t>
        <w:br/>
        <w:t>en moyenne sur la période 2025-2026. Cela met en lumière la nécessité pour la Côte d’Ivoire de</w:t>
        <w:br/>
        <w:t>poursuivre les efforts de diversification des exportations, de renforcer la transformation locale des</w:t>
        <w:br/>
        <w:t>matières premières et de développer de nouveaux débouchés commerciaux.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cacao et le caoutchouc naturel à destination du</w:t>
        <w:br/>
        <w:t>marché américain. A cela s’ajoutent les risques de</w:t>
        <w:br/>
        <w:t>détérioration de la situation sécuritaire au Sahel</w:t>
        <w:br/>
        <w:t>et les aléas climatiques. La concentration de</w:t>
        <w:br/>
        <w:t>l’activité économique dans des secteurs sensibles</w:t>
        <w:br/>
        <w:t>comme l’agriculture et les hydrocarbures accroît</w:t>
        <w:br/>
        <w:t>la vulnérabilité de l’économie face aux chocs</w:t>
        <w:br/>
        <w:t>climatiques. Les efforts d’apaisement du climat</w:t>
        <w:br/>
        <w:t>politique à l’approche des élections présidentielles</w:t>
        <w:br/>
        <w:t>de 2025 devraient également se poursuivre. Le</w:t>
        <w:br/>
        <w:t>renforcement de la stabilité macroéconomique,</w:t>
        <w:br/>
        <w:t>sécuritaire et institutionnelle reste primordiale pour</w:t>
        <w:br/>
        <w:t>limiter les risques.</w:t>
      </w:r>
    </w:p>
    <w:p>
      <w:pPr>
        <w:pStyle w:val="Style36"/>
        <w:keepNext/>
        <w:keepLines/>
        <w:widowControl w:val="0"/>
        <w:numPr>
          <w:ilvl w:val="1"/>
          <w:numId w:val="11"/>
        </w:numPr>
        <w:shd w:val="clear" w:color="auto" w:fill="auto"/>
        <w:tabs>
          <w:tab w:pos="466" w:val="left"/>
        </w:tabs>
        <w:bidi w:val="0"/>
        <w:spacing w:before="0" w:after="280" w:line="240" w:lineRule="auto"/>
        <w:ind w:left="0" w:right="0" w:firstLine="0"/>
        <w:jc w:val="both"/>
      </w:pPr>
      <w:bookmarkStart w:id="38" w:name="bookmark38"/>
      <w:r>
        <w:rPr>
          <w:rStyle w:val="CharStyle37"/>
          <w:b/>
          <w:bCs/>
        </w:rPr>
        <w:t>Politiques à envisager pour</w:t>
        <w:br/>
        <w:t>accélérer le développement</w:t>
        <w:br/>
        <w:t>économique de la Côte d’Ivoire</w:t>
      </w:r>
      <w:bookmarkEnd w:id="3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rStyle w:val="CharStyle19"/>
          <w:b/>
          <w:bCs/>
        </w:rPr>
        <w:t>A court terme :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60"/>
        <w:ind w:left="560" w:right="0" w:hanging="360"/>
        <w:jc w:val="both"/>
      </w:pPr>
      <w:r>
        <w:rPr>
          <w:rStyle w:val="CharStyle19"/>
        </w:rPr>
        <w:t>Accélérer la mise en œuvre de la Stratégie</w:t>
        <w:br/>
        <w:t>nationale de lutte contre la corruption</w:t>
        <w:br/>
        <w:t>(SNLC 2024-2028) pour renforcer le cadre</w:t>
        <w:br/>
        <w:t>de gouvernance.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60"/>
        <w:ind w:left="560" w:right="0" w:hanging="360"/>
        <w:jc w:val="both"/>
      </w:pPr>
      <w:r>
        <w:rPr>
          <w:rStyle w:val="CharStyle19"/>
        </w:rPr>
        <w:t>Appliquer les recommandations du GAFI en</w:t>
        <w:br/>
        <w:t>matière de lutte contre le blanchiment de</w:t>
        <w:br/>
        <w:t>capitaux et le financement du terrorisme</w:t>
        <w:br/>
        <w:t>afin de permettre la sortie rapide de la liste</w:t>
        <w:br/>
        <w:t>grise d’ici 2026.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0" w:line="348" w:lineRule="auto"/>
        <w:ind w:left="560" w:right="0" w:hanging="360"/>
        <w:jc w:val="both"/>
      </w:pPr>
      <w:r>
        <w:rPr>
          <w:rStyle w:val="CharStyle19"/>
        </w:rPr>
        <w:t>Poursuivre la mise en œuvre de la Stratégie</w:t>
        <w:br/>
        <w:t>de mobilisation des recettes à moyen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60"/>
        <w:ind w:left="560" w:right="0" w:firstLine="0"/>
        <w:jc w:val="both"/>
      </w:pPr>
      <w:r>
        <w:rPr>
          <w:rStyle w:val="CharStyle19"/>
        </w:rPr>
        <w:t>terme (SRMT 2024-2028) en vue d’élargir</w:t>
        <w:br/>
        <w:t>l’assiette fiscale, à travers une meilleure</w:t>
        <w:br/>
        <w:t>exploitation du potentiel de l’impôt foncier,</w:t>
        <w:br/>
        <w:t>le renforcement de la fiscalité sur le</w:t>
        <w:br/>
        <w:t>commerce électronique et la réduction du</w:t>
        <w:br/>
        <w:t>poids du secteur informel.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240"/>
        <w:ind w:left="560" w:right="0" w:hanging="360"/>
        <w:jc w:val="both"/>
      </w:pPr>
      <w:r>
        <w:rPr>
          <w:rStyle w:val="CharStyle19"/>
        </w:rPr>
        <w:t>Poursuivre la mise en œuvre de la stratégie</w:t>
        <w:br/>
        <w:t>de gestion de la dette à moyen terme</w:t>
        <w:br/>
        <w:t>afin d’assurer la soutenabilité de la dette</w:t>
        <w:br/>
        <w:t>publique.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À moyen et long terme :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60"/>
        <w:ind w:left="560" w:right="0" w:hanging="360"/>
        <w:jc w:val="both"/>
      </w:pPr>
      <w:r>
        <w:rPr>
          <w:rStyle w:val="CharStyle19"/>
        </w:rPr>
        <w:t>Améliorer le capital humain et la productivité</w:t>
        <w:br/>
        <w:t>en intensifiant les projets de renforcement</w:t>
        <w:br/>
        <w:t>des chaînes de valeur dans l’agriculture et</w:t>
        <w:br/>
        <w:t>les services.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60" w:line="346" w:lineRule="auto"/>
        <w:ind w:left="560" w:right="0" w:hanging="360"/>
        <w:jc w:val="both"/>
      </w:pPr>
      <w:r>
        <w:rPr>
          <w:rStyle w:val="CharStyle19"/>
        </w:rPr>
        <w:t>Renforcer les programmes de filets sociaux</w:t>
        <w:br/>
        <w:t>productifs et d’insertion professionnelle</w:t>
        <w:br/>
        <w:t>des jeunes afin de réduire les inégalités</w:t>
        <w:br/>
        <w:t>et de favoriser une inclusion sociale plus</w:t>
        <w:br/>
        <w:t>équitable et durable.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50" w:val="left"/>
        </w:tabs>
        <w:bidi w:val="0"/>
        <w:spacing w:before="0" w:after="0"/>
        <w:ind w:left="560" w:right="0" w:hanging="360"/>
        <w:jc w:val="both"/>
        <w:sectPr>
          <w:footerReference w:type="default" r:id="rId32"/>
          <w:footerReference w:type="even" r:id="rId33"/>
          <w:footnotePr>
            <w:pos w:val="pageBottom"/>
            <w:numFmt w:val="decimal"/>
            <w:numRestart w:val="continuous"/>
          </w:footnotePr>
          <w:pgSz w:w="16838" w:h="23810"/>
          <w:pgMar w:top="5641" w:right="3516" w:bottom="4591" w:left="3516" w:header="5213" w:footer="3" w:gutter="1646"/>
          <w:pgNumType w:start="16"/>
          <w:cols w:num="2" w:space="302"/>
          <w:noEndnote/>
          <w:rtlGutter w:val="0"/>
          <w:docGrid w:linePitch="360"/>
        </w:sectPr>
      </w:pPr>
      <w:r>
        <w:rPr>
          <w:rStyle w:val="CharStyle19"/>
        </w:rPr>
        <w:t>Poursuivre les réformes d’adaptation et</w:t>
        <w:br/>
        <w:t>de mitigation aux effets du changement</w:t>
        <w:br/>
        <w:t>climatique, notamment par la mise en</w:t>
        <w:br/>
        <w:t>œuvre des engagements pris dans le</w:t>
        <w:br/>
        <w:t>cadre de la Facilité pour la Résilience et</w:t>
        <w:br/>
        <w:t>la Durabilité (FRD) conclue avec le FMI en</w:t>
        <w:br/>
        <w:t>2024.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9" w:after="1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41" w:right="0" w:bottom="4691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after="261" w:line="1" w:lineRule="exact"/>
      </w:pPr>
      <w:r>
        <w:drawing>
          <wp:anchor distT="0" distB="0" distL="0" distR="0" simplePos="0" relativeHeight="62914729" behindDoc="1" locked="0" layoutInCell="1" allowOverlap="1">
            <wp:simplePos x="0" y="0"/>
            <wp:positionH relativeFrom="page">
              <wp:posOffset>8236585</wp:posOffset>
            </wp:positionH>
            <wp:positionV relativeFrom="paragraph">
              <wp:posOffset>12700</wp:posOffset>
            </wp:positionV>
            <wp:extent cx="890270" cy="560705"/>
            <wp:wrapNone/>
            <wp:docPr id="59" name="Shape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box 60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38" w:h="23810"/>
          <w:pgMar w:top="5641" w:right="2464" w:bottom="4691" w:left="2464" w:header="0" w:footer="3" w:gutter="1051"/>
          <w:cols w:space="720"/>
          <w:noEndnote/>
          <w:rtlGutter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92" behindDoc="0" locked="0" layoutInCell="1" allowOverlap="1">
                <wp:simplePos x="0" y="0"/>
                <wp:positionH relativeFrom="margin">
                  <wp:posOffset>4904105</wp:posOffset>
                </wp:positionH>
                <wp:positionV relativeFrom="paragraph">
                  <wp:posOffset>12700</wp:posOffset>
                </wp:positionV>
                <wp:extent cx="856615" cy="1499870"/>
                <wp:wrapSquare wrapText="bothSides"/>
                <wp:docPr id="61" name="Shape 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6615" cy="14998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CharStyle5"/>
                                <w:color w:val="472813"/>
                                <w:sz w:val="238"/>
                                <w:szCs w:val="238"/>
                              </w:rPr>
                              <w:t>2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7" type="#_x0000_t202" style="position:absolute;margin-left:386.15000000000003pt;margin-top:1.pt;width:67.450000000000003pt;height:118.10000000000001pt;z-index:-125829361;mso-wrap-distance-left:9.pt;mso-wrap-distance-right:9.pt;mso-position-horizontal-relative:margin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CharStyle5"/>
                          <w:color w:val="472813"/>
                          <w:sz w:val="238"/>
                          <w:szCs w:val="238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pStyle w:val="Style5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4"/>
          <w:b/>
          <w:bCs/>
        </w:rPr>
        <w:t>STIMULER LA</w:t>
      </w:r>
    </w:p>
    <w:p>
      <w:pPr>
        <w:pStyle w:val="Style5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4"/>
          <w:b/>
          <w:bCs/>
        </w:rPr>
        <w:t>MOBILISATION ET</w:t>
      </w:r>
    </w:p>
    <w:p>
      <w:pPr>
        <w:pStyle w:val="Style5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54"/>
          <w:b/>
          <w:bCs/>
        </w:rPr>
        <w:t>L’UTILISATION EFFICIENTE</w:t>
        <w:br/>
        <w:t>DU CAPITAL INTÉRIEUR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40" w:name="bookmark40"/>
      <w:r>
        <w:rPr>
          <w:rStyle w:val="CharStyle37"/>
          <w:b/>
          <w:bCs/>
        </w:rPr>
        <w:t>Messages-clés</w:t>
      </w:r>
      <w:bookmarkEnd w:id="40"/>
    </w:p>
    <w:p>
      <w:pPr>
        <w:pStyle w:val="Style18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30" w:val="left"/>
        </w:tabs>
        <w:bidi w:val="0"/>
        <w:spacing w:before="0" w:after="260"/>
        <w:ind w:left="540" w:right="0" w:hanging="360"/>
        <w:jc w:val="both"/>
      </w:pPr>
      <w:r>
        <w:rPr>
          <w:rStyle w:val="CharStyle19"/>
        </w:rPr>
        <w:t>Afin de rejoindre le rang des pays à revenu intermédiaire de la tranche supérieure d’ici 2030, la Côte</w:t>
        <w:br/>
        <w:t>d’Ivoire doit surmonter plusieurs défis liés à la mobilisation et à l’utilisation efficace de son capital.</w:t>
        <w:br/>
        <w:t>Selon la Banque (PEA, 2024), le déficit de financement annuel pour accélérer la transformation</w:t>
        <w:br/>
        <w:t>structurelle de la Côte d’Ivoire est estimé à 3,2 milliards de dollars USD (soit environ 3,5% du PIB</w:t>
        <w:br/>
        <w:t>en 2024), dans le cadre des ODD à l’horizon 2030.</w:t>
      </w:r>
    </w:p>
    <w:p>
      <w:pPr>
        <w:pStyle w:val="Style18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30" w:val="left"/>
        </w:tabs>
        <w:bidi w:val="0"/>
        <w:spacing w:before="0" w:after="260" w:line="346" w:lineRule="auto"/>
        <w:ind w:left="540" w:right="0" w:hanging="360"/>
        <w:jc w:val="both"/>
      </w:pPr>
      <w:r>
        <w:rPr>
          <w:rStyle w:val="CharStyle19"/>
        </w:rPr>
        <w:t>L’espace budgétaire du pays demeure restreint, en raison d’une mobilisation insuffisante des</w:t>
        <w:br/>
        <w:t>ressources domestiques. En 2024, les recettes fiscales sont estimées à 13,8% du PIB contre</w:t>
        <w:br/>
        <w:t>13,5% en 2023, en deçà de la norme communautaire (20%).</w:t>
      </w:r>
    </w:p>
    <w:p>
      <w:pPr>
        <w:pStyle w:val="Style18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30" w:val="left"/>
        </w:tabs>
        <w:bidi w:val="0"/>
        <w:spacing w:before="0" w:after="260" w:line="346" w:lineRule="auto"/>
        <w:ind w:left="540" w:right="0" w:hanging="360"/>
        <w:jc w:val="both"/>
      </w:pPr>
      <w:r>
        <w:rPr>
          <w:rStyle w:val="CharStyle19"/>
        </w:rPr>
        <w:t>Le pays dispose d’un capital naturel important et diversifié, constitué à 95% des ressources</w:t>
        <w:br/>
        <w:t>naturelles renouvelables. Par ailleurs, la valorisation de ce capital à des fins de mobilisation des</w:t>
        <w:br/>
        <w:t>financements innovants pour le développement, reste limitée.</w:t>
      </w:r>
    </w:p>
    <w:p>
      <w:pPr>
        <w:pStyle w:val="Style18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30" w:val="left"/>
        </w:tabs>
        <w:bidi w:val="0"/>
        <w:spacing w:before="0" w:after="260" w:line="341" w:lineRule="auto"/>
        <w:ind w:left="540" w:right="0" w:hanging="360"/>
        <w:jc w:val="both"/>
      </w:pPr>
      <w:r>
        <w:rPr>
          <w:rStyle w:val="CharStyle19"/>
        </w:rPr>
        <w:t>Le développement du capital humain et de la productivité est confronté à des disparités dans</w:t>
        <w:br/>
        <w:t>l’accès aux services sociaux de base, et à une inadéquation des compétences professionnelles aux</w:t>
        <w:br/>
        <w:t>besoins du marché du travail.</w:t>
      </w:r>
    </w:p>
    <w:p>
      <w:pPr>
        <w:pStyle w:val="Style18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30" w:val="left"/>
        </w:tabs>
        <w:bidi w:val="0"/>
        <w:spacing w:before="0" w:after="260" w:line="346" w:lineRule="auto"/>
        <w:ind w:left="540" w:right="0" w:hanging="360"/>
        <w:jc w:val="both"/>
        <w:sectPr>
          <w:footerReference w:type="default" r:id="rId36"/>
          <w:footerReference w:type="even" r:id="rId37"/>
          <w:footnotePr>
            <w:pos w:val="pageBottom"/>
            <w:numFmt w:val="decimal"/>
            <w:numRestart w:val="continuous"/>
          </w:footnotePr>
          <w:pgSz w:w="16838" w:h="23810"/>
          <w:pgMar w:top="4158" w:right="3530" w:bottom="4792" w:left="3530" w:header="3730" w:footer="3" w:gutter="1632"/>
          <w:pgNumType w:start="7"/>
          <w:cols w:space="720"/>
          <w:noEndnote/>
          <w:rtlGutter/>
          <w:docGrid w:linePitch="360"/>
        </w:sectPr>
      </w:pPr>
      <w:r>
        <w:rPr>
          <w:rStyle w:val="CharStyle19"/>
        </w:rPr>
        <w:t>Des efforts sont nécessaires pour accroître la mobilisation des ressources fiscales, réduire le poids</w:t>
        <w:br/>
        <w:t>important du secteur informel, lutter contre la corruption, les flux financiers illicites et l’exploitation</w:t>
        <w:br/>
        <w:t>illégale des ressources naturelles.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66" w:val="left"/>
        </w:tabs>
        <w:bidi w:val="0"/>
        <w:spacing w:before="0" w:line="240" w:lineRule="auto"/>
        <w:ind w:left="0" w:right="0" w:firstLine="0"/>
        <w:jc w:val="left"/>
      </w:pPr>
      <w:bookmarkStart w:id="42" w:name="bookmark42"/>
      <w:r>
        <w:rPr>
          <w:rStyle w:val="CharStyle37"/>
          <w:b/>
          <w:bCs/>
        </w:rPr>
        <w:t>Introduction</w:t>
      </w:r>
      <w:bookmarkEnd w:id="42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19"/>
        </w:rPr>
        <w:t>Ce chapitre explore les principales formes de</w:t>
        <w:br/>
        <w:t>capital national pertinentes pour la Côte d’Ivoire, à</w:t>
        <w:br/>
        <w:t>savoir les ressources budgétaires, les ressources</w:t>
        <w:br/>
        <w:t>naturelles, les ressources commerciales, les</w:t>
        <w:br/>
        <w:t>ressources humaines et les ressources financières.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Il identifie leur statut, leurs inefficacités et les</w:t>
        <w:br/>
        <w:t>stratégies de mobilisation et d’utilisation pour</w:t>
        <w:br/>
        <w:t>favoriser le développement inclusif de la Côte</w:t>
        <w:br/>
        <w:t>d’Ivoire.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66" w:val="left"/>
        </w:tabs>
        <w:bidi w:val="0"/>
        <w:spacing w:before="0" w:after="280" w:line="240" w:lineRule="auto"/>
        <w:ind w:left="0" w:right="0" w:firstLine="0"/>
        <w:jc w:val="both"/>
      </w:pPr>
      <w:bookmarkStart w:id="44" w:name="bookmark44"/>
      <w:r>
        <w:rPr>
          <w:rStyle w:val="CharStyle37"/>
          <w:b/>
          <w:bCs/>
        </w:rPr>
        <w:t>Mobilisation des ressources</w:t>
        <w:br/>
        <w:t>budgétaires</w:t>
      </w:r>
      <w:bookmarkEnd w:id="44"/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48" w:val="left"/>
        </w:tabs>
        <w:bidi w:val="0"/>
        <w:spacing w:before="0"/>
        <w:ind w:left="0" w:right="0" w:firstLine="0"/>
        <w:jc w:val="both"/>
      </w:pPr>
      <w:bookmarkStart w:id="46" w:name="bookmark46"/>
      <w:r>
        <w:rPr>
          <w:rStyle w:val="CharStyle39"/>
          <w:b/>
          <w:bCs/>
        </w:rPr>
        <w:t>Besoins de financement de la Côte</w:t>
        <w:br/>
        <w:t>d’Ivoire</w:t>
      </w:r>
      <w:bookmarkEnd w:id="4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Selon la Banque (PEA, 2024), des investissements</w:t>
        <w:br/>
        <w:t>supplémentaires sont nécessaires pour</w:t>
        <w:br/>
        <w:t>accélérer la transformation structurelle de</w:t>
        <w:br/>
        <w:t>la Côte d’Ivoire, notamment en matière de</w:t>
        <w:br/>
        <w:t>diversification économique et de modernisation</w:t>
        <w:br/>
        <w:t>des infrastructures. Toutefois, le pays a réalisé</w:t>
        <w:br/>
        <w:t>des progrès notables en matière de mobilisation</w:t>
        <w:br/>
        <w:t>des recettes domestiques. Grâce à la politique</w:t>
        <w:br/>
        <w:t>fiscale et aux mesures administratives en vigueur,</w:t>
        <w:br/>
        <w:t>la pression fiscale a augmenté de 1,1 point de</w:t>
        <w:br/>
        <w:t>pourcentage entre 2022 et 2024, passant de</w:t>
        <w:br/>
        <w:t>12,7% à 13,8% du PIB. Bien que cette progression</w:t>
        <w:br/>
        <w:t>soit positive, ce niveau reste inférieur à la norme</w:t>
        <w:br/>
        <w:t>communautaire de l’UEMOA (20%) ainsi qu’à celui</w:t>
        <w:br/>
        <w:t>de plusieurs pays comme le Cap-Vert (19,5%), le</w:t>
        <w:br/>
        <w:t>Burkina Faso (18,2%) et le Togo (14,6%).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left"/>
      </w:pPr>
      <w:bookmarkStart w:id="48" w:name="bookmark48"/>
      <w:r>
        <w:rPr>
          <w:rStyle w:val="CharStyle39"/>
          <w:b/>
          <w:bCs/>
        </w:rPr>
        <w:t>Recettes fiscales</w:t>
      </w:r>
      <w:bookmarkEnd w:id="4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rStyle w:val="CharStyle19"/>
        </w:rPr>
        <w:t>Les recettes fiscales en Côte d’Ivoire représentent</w:t>
        <w:br/>
        <w:t>une source essentielle de financement pour</w:t>
        <w:br/>
        <w:t>l’économie. En 2024, le ratio du service de la</w:t>
        <w:br/>
        <w:t>dette publique par rapport aux recettes fiscales</w:t>
        <w:br/>
        <w:t>est estimé à 61% (Banque mondiale, 2024). La</w:t>
        <w:br/>
        <w:t>pression fiscale a augmenté de 13,5% à 13,8% du</w:t>
        <w:br/>
        <w:t>PIB entre 2023 et 2024. Les efforts de mobilisation</w:t>
        <w:br/>
        <w:t>des recettes fiscales doivent se poursuivre en</w:t>
        <w:br/>
        <w:t>2025 afin améliorer l’espace budgétaire de la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Côte d’Ivoire. La structure des recettes fiscales</w:t>
        <w:br/>
        <w:t>est dominée par les impôts directs issus des</w:t>
        <w:br/>
        <w:t>bénéfices industriels et commerciaux (30%), les</w:t>
        <w:br/>
        <w:t>droits et taxes à l’importation (28%), les impôts sur</w:t>
        <w:br/>
        <w:t>les biens et services (25%) et les droits et taxes à</w:t>
        <w:br/>
        <w:t>l’exportation (7%).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both"/>
      </w:pPr>
      <w:bookmarkStart w:id="50" w:name="bookmark50"/>
      <w:r>
        <w:rPr>
          <w:rStyle w:val="CharStyle39"/>
          <w:b/>
          <w:bCs/>
        </w:rPr>
        <w:t>Recettes non fiscales</w:t>
      </w:r>
      <w:bookmarkEnd w:id="5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Les recettes non fiscales jouent un rôle essentiel</w:t>
        <w:br/>
        <w:t>dans l’économie de la Côte d’Ivoire, bien qu’elles</w:t>
        <w:br/>
        <w:t>représentent une part relativement modeste du</w:t>
        <w:br/>
        <w:t>PIB (environ 2%). Ces recettes, qui incluent les</w:t>
        <w:br/>
        <w:t>cotisations de sécurité sociale, contribuent à divers</w:t>
        <w:br/>
        <w:t>aspects du financement public. Elles permettent</w:t>
        <w:br/>
        <w:t>de soutenir des services sociaux importants,</w:t>
        <w:br/>
        <w:t>notamment les dépenses en santé et en sécurité</w:t>
        <w:br/>
        <w:t>sociale. Les cotisations de sécurité sociale,</w:t>
        <w:br/>
        <w:t>représentant 75% des recettes non fiscales, sont</w:t>
        <w:br/>
        <w:t>particulièrement utiles pour assurer la couverture</w:t>
        <w:br/>
        <w:t>des risques sociaux, notamment les pensions de</w:t>
        <w:br/>
        <w:t>retraite et les soins médicaux, bénéficiant ainsi</w:t>
        <w:br/>
        <w:t>directement aux populations.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82" w:val="left"/>
        </w:tabs>
        <w:bidi w:val="0"/>
        <w:spacing w:before="0"/>
        <w:ind w:left="0" w:right="0" w:firstLine="0"/>
        <w:jc w:val="both"/>
      </w:pPr>
      <w:bookmarkStart w:id="52" w:name="bookmark52"/>
      <w:r>
        <w:rPr>
          <w:rStyle w:val="CharStyle39"/>
          <w:b/>
          <w:bCs/>
        </w:rPr>
        <w:t>Mobilisation des ressources</w:t>
        <w:br/>
        <w:t>fiscales domestiques et efficience des</w:t>
        <w:br/>
        <w:t>dépenses publiques</w:t>
      </w:r>
      <w:bookmarkEnd w:id="52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  <w:sectPr>
          <w:footerReference w:type="default" r:id="rId38"/>
          <w:footerReference w:type="even" r:id="rId39"/>
          <w:footnotePr>
            <w:pos w:val="pageBottom"/>
            <w:numFmt w:val="decimal"/>
            <w:numRestart w:val="continuous"/>
          </w:footnotePr>
          <w:pgSz w:w="16838" w:h="23810"/>
          <w:pgMar w:top="5617" w:right="3505" w:bottom="5119" w:left="3505" w:header="5189" w:footer="3" w:gutter="1657"/>
          <w:cols w:num="2" w:space="168"/>
          <w:noEndnote/>
          <w:rtlGutter/>
          <w:docGrid w:linePitch="360"/>
        </w:sectPr>
      </w:pPr>
      <w:r>
        <w:rPr>
          <w:rStyle w:val="CharStyle19"/>
        </w:rPr>
        <w:t>Afin d’accroître les ressources publiques et assurer</w:t>
        <w:br/>
        <w:t>un financement pérenne du développement,</w:t>
        <w:br/>
        <w:t>le gouvernement de Côte d’Ivoire a adopté</w:t>
        <w:br/>
        <w:t>en mai 2024 la Stratégie de mobilisation des</w:t>
        <w:br/>
        <w:t>recettes à moyen terme (SRMT) 2024-2028.</w:t>
        <w:br/>
        <w:t>Cette stratégie vise à élargir l’assiette fiscale, à</w:t>
        <w:br/>
        <w:t>digitaliser les procédures et à renforcer l’efficacité</w:t>
        <w:br/>
        <w:t>des administrations fiscales et douanières. Les</w:t>
        <w:br/>
        <w:t>principaux défis incluent la lutte contre la fraude</w:t>
        <w:br/>
        <w:t>et l’évasion fiscales, le renforcement du civisme</w:t>
        <w:br/>
        <w:t>fiscal et la réduction de l’informalité économique.</w:t>
        <w:br/>
        <w:t>Par ailleurs, fin 2023, le gouvernement a procédé à</w:t>
        <w:br/>
        <w:t>un second ajustement à la hausse (10%) des tarifs</w:t>
        <w:br/>
        <w:t>de l’électricité pour améliorer la viabilité du secteur</w:t>
        <w:br/>
        <w:t>et alléger le poids des subventions sur les finances</w:t>
        <w:br/>
        <w:t>publiques.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68" w:val="left"/>
        </w:tabs>
        <w:bidi w:val="0"/>
        <w:spacing w:before="0" w:after="280" w:line="240" w:lineRule="auto"/>
        <w:ind w:left="0" w:right="0" w:firstLine="0"/>
        <w:jc w:val="both"/>
      </w:pPr>
      <w:bookmarkStart w:id="54" w:name="bookmark54"/>
      <w:r>
        <w:rPr>
          <w:rStyle w:val="CharStyle37"/>
          <w:b/>
          <w:bCs/>
        </w:rPr>
        <w:t>Capital naturel</w:t>
      </w:r>
      <w:bookmarkEnd w:id="54"/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48" w:val="left"/>
        </w:tabs>
        <w:bidi w:val="0"/>
        <w:spacing w:before="0"/>
        <w:ind w:left="0" w:right="0" w:firstLine="0"/>
        <w:jc w:val="both"/>
      </w:pPr>
      <w:bookmarkStart w:id="56" w:name="bookmark56"/>
      <w:r>
        <w:rPr>
          <w:rStyle w:val="CharStyle39"/>
          <w:b/>
          <w:bCs/>
        </w:rPr>
        <w:t>Aperçu du capital naturel en Côte</w:t>
        <w:br/>
        <w:t>d’Ivoire</w:t>
      </w:r>
      <w:bookmarkEnd w:id="5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rStyle w:val="CharStyle19"/>
        </w:rPr>
        <w:t>La Côte d’Ivoire dispose d’un capital naturel</w:t>
        <w:br/>
        <w:t>important et diversifié, comprenant les</w:t>
        <w:br/>
        <w:t>ressources agricoles, forestières et minières</w:t>
        <w:br/>
        <w:t>(Tableau 2). Une gouvernance environnementale</w:t>
        <w:br/>
        <w:t>renforcée et une valorisation durable du capital</w:t>
        <w:br/>
        <w:t>naturel sont essentielles pour maintenir une</w:t>
        <w:br/>
        <w:t>trajectoire de croissance inclusive. Lors de</w:t>
        <w:br/>
        <w:t>la COP29 tenue en 2024, le pays a annoncé</w:t>
        <w:br/>
        <w:t>des initiatives pour mobiliser davantage de</w:t>
        <w:br/>
        <w:t>financements d’ici 2030 pour atteindre ses</w:t>
        <w:br/>
        <w:t>objectifs climatiques, renforçant ainsi le rôle</w:t>
        <w:br/>
        <w:t>du capital naturel dans son développement</w:t>
        <w:br/>
        <w:t>économique et sa résilience aux changements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climatiques. À cette occasion, le pays a mobilisé</w:t>
        <w:br/>
        <w:t>35 millions de dollars de la Banque mondiale</w:t>
        <w:br/>
        <w:t>pour réduire 7 millions de tonnes d’émissions</w:t>
        <w:br/>
        <w:t>de carbone, reflétant son engagement envers la</w:t>
        <w:br/>
        <w:t>durabilité environementale.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 w:after="240"/>
        <w:ind w:left="0" w:right="0" w:firstLine="0"/>
        <w:jc w:val="both"/>
      </w:pPr>
      <w:bookmarkStart w:id="58" w:name="bookmark58"/>
      <w:r>
        <w:rPr>
          <w:rStyle w:val="CharStyle39"/>
          <w:b/>
          <w:bCs/>
        </w:rPr>
        <w:t>Contribution économique du capital</w:t>
        <w:br/>
        <w:t>naturel de la Côte d’Ivoire</w:t>
      </w:r>
      <w:bookmarkEnd w:id="5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0"/>
        <w:jc w:val="both"/>
        <w:sectPr>
          <w:footerReference w:type="default" r:id="rId40"/>
          <w:footerReference w:type="even" r:id="rId41"/>
          <w:footnotePr>
            <w:pos w:val="pageBottom"/>
            <w:numFmt w:val="decimal"/>
            <w:numRestart w:val="continuous"/>
          </w:footnotePr>
          <w:pgSz w:w="16838" w:h="23810"/>
          <w:pgMar w:top="5617" w:right="3505" w:bottom="5119" w:left="3505" w:header="5189" w:footer="3" w:gutter="1657"/>
          <w:pgNumType w:start="20"/>
          <w:cols w:num="2" w:space="168"/>
          <w:noEndnote/>
          <w:rtlGutter w:val="0"/>
          <w:docGrid w:linePitch="360"/>
        </w:sectPr>
      </w:pPr>
      <w:r>
        <mc:AlternateContent>
          <mc:Choice Requires="wps">
            <w:drawing>
              <wp:anchor distT="139700" distB="614680" distL="114300" distR="114300" simplePos="0" relativeHeight="125829394" behindDoc="0" locked="0" layoutInCell="1" allowOverlap="1">
                <wp:simplePos x="0" y="0"/>
                <wp:positionH relativeFrom="margin">
                  <wp:posOffset>12065</wp:posOffset>
                </wp:positionH>
                <wp:positionV relativeFrom="margin">
                  <wp:posOffset>3474720</wp:posOffset>
                </wp:positionV>
                <wp:extent cx="6010910" cy="4441190"/>
                <wp:wrapTopAndBottom/>
                <wp:docPr id="75" name="Shape 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010910" cy="444119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2678"/>
                              <w:gridCol w:w="994"/>
                              <w:gridCol w:w="1042"/>
                              <w:gridCol w:w="979"/>
                              <w:gridCol w:w="960"/>
                              <w:gridCol w:w="926"/>
                              <w:gridCol w:w="854"/>
                              <w:gridCol w:w="1032"/>
                            </w:tblGrid>
                            <w:tr>
                              <w:trPr>
                                <w:tblHeader/>
                                <w:trHeight w:val="470" w:hRule="exact"/>
                              </w:trPr>
                              <w:tc>
                                <w:tcPr>
                                  <w:gridSpan w:val="8"/>
                                  <w:tcBorders/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6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color w:val="472813"/>
                                      <w:sz w:val="16"/>
                                      <w:szCs w:val="16"/>
                                    </w:rPr>
                                    <w:t xml:space="preserve">Tableau </w:t>
                                  </w: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color w:val="715646"/>
                                      <w:sz w:val="16"/>
                                      <w:szCs w:val="16"/>
                                    </w:rPr>
                                    <w:t xml:space="preserve">2: </w:t>
                                  </w: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Décomposition du capital naturel de la Côte d’Ivoire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1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66" w:lineRule="auto"/>
                                    <w:ind w:left="0" w:right="0" w:firstLine="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Côte d’Ivoire (millions de dollars,</w:t>
                                    <w:br/>
                                    <w:t>2019)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1995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66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Taux de</w:t>
                                    <w:br/>
                                    <w:t>croissance</w:t>
                                    <w:br/>
                                    <w:t>(1995/2020)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6"/>
                                      <w:szCs w:val="16"/>
                                    </w:rPr>
                                    <w:t>Capital naturel renouvelable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251 939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6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245 049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245 835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248 139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251 047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252 315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Forêts, bois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18 504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18 600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18 738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18 735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18 731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18 728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360" w:lineRule="auto"/>
                                    <w:ind w:left="340" w:right="0" w:firstLine="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Forêts, services de loisirs, chasse</w:t>
                                    <w:br/>
                                    <w:t>et pêche (es1)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699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6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622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544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467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389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3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360" w:lineRule="auto"/>
                                    <w:ind w:left="340" w:right="0" w:firstLine="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Forêts, produits forestiers non</w:t>
                                    <w:br/>
                                    <w:t>ligneux (es2)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4 377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3 445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3 064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2 682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2 300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1 918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7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360" w:lineRule="auto"/>
                                    <w:ind w:left="340" w:right="0" w:firstLine="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Forêts, services de rétention</w:t>
                                    <w:br/>
                                    <w:t>d’eau (es3)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25 517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20 084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17 859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15 633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13 408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11 183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Mangroves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6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264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257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-7%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Pêcheries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6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813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704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682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-30%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Terres agricoles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198 485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196 480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202 495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206 504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212 519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212 519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Énergie hydroélectrique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3 403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3 476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2 823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3 188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2 664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6 652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95%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Capital naturel non renouvelable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28 287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27 416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25 376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20 970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18 063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14 440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-49%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Pétrole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2 539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2 428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2 281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1 8091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1 524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1 196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5"/>
                                      <w:szCs w:val="15"/>
                                    </w:rPr>
                                    <w:t>-53%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Gaz naturel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2 793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2 696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2 504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2 250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1 999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1 698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-39%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Charbon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0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Métaux et minéraux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00"/>
                                    <w:jc w:val="left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right w:val="single" w:sz="4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Style w:val="CharStyle5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6"/>
                                      <w:szCs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4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280 226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872 465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217 212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269 109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269 110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266 755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>
                                  <w:pPr>
                                    <w:pStyle w:val="Style4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CharStyle5"/>
                                      <w:sz w:val="18"/>
                                      <w:szCs w:val="18"/>
                                    </w:rPr>
                                    <w:t>-5%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1" type="#_x0000_t202" style="position:absolute;margin-left:0.95000000000000007pt;margin-top:273.60000000000002pt;width:473.30000000000001pt;height:349.69999999999999pt;z-index:-125829359;mso-wrap-distance-left:9.pt;mso-wrap-distance-top:11.pt;mso-wrap-distance-right:9.pt;mso-wrap-distance-bottom:48.399999999999999pt;mso-position-horizontal-relative:margin;mso-position-vertical-relative:margin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2678"/>
                        <w:gridCol w:w="994"/>
                        <w:gridCol w:w="1042"/>
                        <w:gridCol w:w="979"/>
                        <w:gridCol w:w="960"/>
                        <w:gridCol w:w="926"/>
                        <w:gridCol w:w="854"/>
                        <w:gridCol w:w="1032"/>
                      </w:tblGrid>
                      <w:tr>
                        <w:trPr>
                          <w:tblHeader/>
                          <w:trHeight w:val="470" w:hRule="exact"/>
                        </w:trPr>
                        <w:tc>
                          <w:tcPr>
                            <w:gridSpan w:val="8"/>
                            <w:tcBorders/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6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color w:val="472813"/>
                                <w:sz w:val="16"/>
                                <w:szCs w:val="16"/>
                              </w:rPr>
                              <w:t xml:space="preserve">Tableau </w:t>
                            </w:r>
                            <w:r>
                              <w:rPr>
                                <w:rStyle w:val="CharStyle5"/>
                                <w:b/>
                                <w:bCs/>
                                <w:color w:val="715646"/>
                                <w:sz w:val="16"/>
                                <w:szCs w:val="16"/>
                              </w:rPr>
                              <w:t xml:space="preserve">2: </w:t>
                            </w:r>
                            <w:r>
                              <w:rPr>
                                <w:rStyle w:val="CharStyle5"/>
                                <w:b/>
                                <w:bCs/>
                                <w:sz w:val="16"/>
                                <w:szCs w:val="16"/>
                              </w:rPr>
                              <w:t>Décomposition du capital naturel de la Côte d’Ivoire</w:t>
                            </w:r>
                          </w:p>
                        </w:tc>
                      </w:tr>
                      <w:tr>
                        <w:trPr>
                          <w:trHeight w:val="691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66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Côte d’Ivoire (millions de dollars,</w:t>
                              <w:br/>
                              <w:t>2019)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1995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66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Taux de</w:t>
                              <w:br/>
                              <w:t>croissance</w:t>
                              <w:br/>
                              <w:t>(1995/2020)</w:t>
                            </w:r>
                          </w:p>
                        </w:tc>
                      </w:tr>
                      <w:tr>
                        <w:trPr>
                          <w:trHeight w:val="509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5"/>
                                <w:sz w:val="16"/>
                                <w:szCs w:val="16"/>
                              </w:rPr>
                              <w:t>Capital naturel renouvelable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251 939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245 049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245 835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248 139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251 047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252 315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15%</w:t>
                            </w:r>
                          </w:p>
                        </w:tc>
                      </w:tr>
                      <w:tr>
                        <w:trPr>
                          <w:trHeight w:val="32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Forêts, bois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18 504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18 600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18 738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18 735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18 731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18 728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1%</w:t>
                            </w:r>
                          </w:p>
                        </w:tc>
                      </w:tr>
                      <w:tr>
                        <w:trPr>
                          <w:trHeight w:val="562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34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Forêts, services de loisirs, chasse</w:t>
                              <w:br/>
                              <w:t>et pêche (es1)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699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6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622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544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467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389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>
                        <w:trPr>
                          <w:trHeight w:val="533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34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Forêts, produits forestiers non</w:t>
                              <w:br/>
                              <w:t>ligneux (es2)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4 377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3 445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3 064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2 682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2 300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1 918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>
                        <w:trPr>
                          <w:trHeight w:val="557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34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Forêts, services de rétention</w:t>
                              <w:br/>
                              <w:t>d’eau (es3)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25 517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20 084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17 859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15 633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13 408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11 183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>
                        <w:trPr>
                          <w:trHeight w:val="32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Mangroves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6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264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257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-7%</w:t>
                            </w:r>
                          </w:p>
                        </w:tc>
                      </w:tr>
                      <w:tr>
                        <w:trPr>
                          <w:trHeight w:val="355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Pêcheries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6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813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704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682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-30%</w:t>
                            </w:r>
                          </w:p>
                        </w:tc>
                      </w:tr>
                      <w:tr>
                        <w:trPr>
                          <w:trHeight w:val="269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Terres agricoles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198 485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196 480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202 495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206 504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212 519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212 519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7%</w:t>
                            </w:r>
                          </w:p>
                        </w:tc>
                      </w:tr>
                      <w:tr>
                        <w:trPr>
                          <w:trHeight w:val="355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Énergie hydroélectrique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3 403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3 476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2 823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3 188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2 664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6 652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95%</w:t>
                            </w:r>
                          </w:p>
                        </w:tc>
                      </w:tr>
                      <w:tr>
                        <w:trPr>
                          <w:trHeight w:val="32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Capital naturel non renouvelable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28 287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27 416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25 376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20 970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18 063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14 440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b/>
                                <w:bCs/>
                                <w:sz w:val="15"/>
                                <w:szCs w:val="15"/>
                              </w:rPr>
                              <w:t>-49%</w:t>
                            </w:r>
                          </w:p>
                        </w:tc>
                      </w:tr>
                      <w:tr>
                        <w:trPr>
                          <w:trHeight w:val="355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Pétrole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2 539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2 428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2 281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1 8091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1 524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1 196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5"/>
                                <w:sz w:val="15"/>
                                <w:szCs w:val="15"/>
                              </w:rPr>
                              <w:t>-53%</w:t>
                            </w:r>
                          </w:p>
                        </w:tc>
                      </w:tr>
                      <w:tr>
                        <w:trPr>
                          <w:trHeight w:val="32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Gaz naturel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2 793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2 696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2 504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2 250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1 999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1 698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bottom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-39%</w:t>
                            </w:r>
                          </w:p>
                        </w:tc>
                      </w:tr>
                      <w:tr>
                        <w:trPr>
                          <w:trHeight w:val="355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Charbon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0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..</w:t>
                            </w:r>
                          </w:p>
                        </w:tc>
                      </w:tr>
                      <w:tr>
                        <w:trPr>
                          <w:trHeight w:val="326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Métaux et minéraux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0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right w:val="single" w:sz="4"/>
                            </w:tcBorders>
                            <w:shd w:val="clear" w:color="auto" w:fill="948074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..</w:t>
                            </w:r>
                          </w:p>
                        </w:tc>
                      </w:tr>
                      <w:tr>
                        <w:trPr>
                          <w:trHeight w:val="350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5"/>
                                <w:sz w:val="16"/>
                                <w:szCs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4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280 226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872 465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217 212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269 109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269 110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266 755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D7CFCA"/>
                            <w:vAlign w:val="center"/>
                          </w:tcPr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"/>
                                <w:sz w:val="18"/>
                                <w:szCs w:val="18"/>
                              </w:rPr>
                              <w:t>-5%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margin">
                  <wp:posOffset>8001000</wp:posOffset>
                </wp:positionV>
                <wp:extent cx="1520825" cy="173990"/>
                <wp:wrapNone/>
                <wp:docPr id="77" name="Shape 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20825" cy="1739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7"/>
                                <w:i/>
                                <w:iCs/>
                              </w:rPr>
                              <w:t>Source : Banque Mondiale, 2024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3" type="#_x0000_t202" style="position:absolute;margin-left:2.3999999999999999pt;margin-top:630.pt;width:119.75pt;height:13.700000000000001pt;z-index:251657729;mso-wrap-distance-left:0;mso-wrap-distance-right:0;mso-position-horizontal-relative:margin;mso-position-vertical-relative:margin" filled="f" stroked="f">
                <v:textbox inset="0,0,0,0">
                  <w:txbxContent>
                    <w:p>
                      <w:pPr>
                        <w:pStyle w:val="Style4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7"/>
                          <w:i/>
                          <w:iCs/>
                        </w:rPr>
                        <w:t>Source : Banque Mondiale, 2024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drawing>
          <wp:anchor distT="0" distB="0" distL="114300" distR="114300" simplePos="0" relativeHeight="125829396" behindDoc="0" locked="0" layoutInCell="1" allowOverlap="1">
            <wp:simplePos x="0" y="0"/>
            <wp:positionH relativeFrom="margin">
              <wp:posOffset>6004560</wp:posOffset>
            </wp:positionH>
            <wp:positionV relativeFrom="margin">
              <wp:posOffset>8470265</wp:posOffset>
            </wp:positionV>
            <wp:extent cx="890270" cy="560705"/>
            <wp:wrapSquare wrapText="bothSides"/>
            <wp:docPr id="79" name="Shap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box 80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19"/>
          <w:b/>
          <w:bCs/>
        </w:rPr>
        <w:t>Le capital naturel constitue un facteur</w:t>
        <w:br/>
        <w:t>essentiel du développement économique de</w:t>
        <w:br/>
        <w:t xml:space="preserve">la Côte d’Ivoire. </w:t>
      </w:r>
      <w:r>
        <w:rPr>
          <w:rStyle w:val="CharStyle19"/>
        </w:rPr>
        <w:t>Le pays est le premier producteur</w:t>
        <w:br/>
        <w:t>mondial de cacao, représentant environ 40% de la</w:t>
        <w:br/>
        <w:t>production mondiale. Les revenus du café et cacao</w:t>
        <w:br/>
        <w:t>ont augmenté de 35%, passant de 545 à 734</w:t>
        <w:br/>
        <w:t>milliards de FCFA entre 2023 et 2024. Par ailleurs,</w:t>
        <w:br/>
        <w:t>l’exploitation minière et pétrolière, représentant</w:t>
        <w:br/>
        <w:t>6,5% du PIB, constitue également une source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importante de croissance. Les revenus du pétrole</w:t>
        <w:br/>
        <w:t>et du gaz ont atteint 250 milliards de FCFA en</w:t>
        <w:br/>
        <w:t>2024. Le gouvernement ambitionne d’atteindre</w:t>
        <w:br/>
        <w:t>une part de 45% d’énergies renouvelables dans</w:t>
        <w:br/>
        <w:t>le mix énergétique d’ici 2030, contre près de 34%</w:t>
        <w:br/>
        <w:t>en 2024.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both"/>
      </w:pPr>
      <w:bookmarkStart w:id="60" w:name="bookmark60"/>
      <w:r>
        <w:rPr>
          <w:rStyle w:val="CharStyle39"/>
          <w:b/>
          <w:bCs/>
        </w:rPr>
        <w:t>Estimations et dynamique du capital</w:t>
        <w:br/>
        <w:t>naturel de la Côte d’Ivoire</w:t>
      </w:r>
      <w:bookmarkEnd w:id="6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Selon la Banque mondiale (2024), la valeur du</w:t>
        <w:br/>
        <w:t>capital naturel de la Côte d’Ivoire a régressé de 5%,</w:t>
        <w:br/>
        <w:t>passant de 280 226 à 266 755 millions de dollars</w:t>
        <w:br/>
        <w:t>entre 1995 et 2020. Comme présenté dans le</w:t>
        <w:br/>
        <w:t>tableau 2, les ressources naturelles renouvelables</w:t>
        <w:br/>
        <w:t>sont estimées à 252 315 millions de dollars en</w:t>
        <w:br/>
        <w:t>2020 et les actifs du sous-sol représentent une</w:t>
        <w:br/>
        <w:t>part moins importante estimée à 14 440 millions</w:t>
        <w:br/>
        <w:t>de dollars. Toutefois, le capital naturel par habitant</w:t>
        <w:br/>
        <w:t>s’est réduit d’environ 49% entre 1995 et 2020, en</w:t>
        <w:br/>
        <w:t>partie en raison de la baisse de 47% des ressources</w:t>
        <w:br/>
        <w:t>naturelles renouvelables, principalement liée à la</w:t>
        <w:br/>
        <w:t>déforestation.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both"/>
      </w:pPr>
      <w:bookmarkStart w:id="62" w:name="bookmark62"/>
      <w:r>
        <w:rPr>
          <w:rStyle w:val="CharStyle39"/>
          <w:b/>
          <w:bCs/>
        </w:rPr>
        <w:t>Défis de valorisation du capital</w:t>
        <w:br/>
        <w:t>naturel de la Côte d’Ivoire</w:t>
      </w:r>
      <w:bookmarkEnd w:id="62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En 2020, la Côte d’Ivoire a procédé à la mise à</w:t>
        <w:br/>
        <w:t>jour de son Système de Comptabilité Nationale</w:t>
        <w:br/>
        <w:t>(SCN), en adoptant la norme SCN 2008 et en</w:t>
        <w:br/>
        <w:t>rebasant l’année de référence à 2015. Le pays</w:t>
        <w:br/>
        <w:t>envisage d’adopter la norme SCN 2025. Toutefois,</w:t>
        <w:br/>
        <w:t>la Côte d’Ivoire ne dispose pas encore d’un</w:t>
        <w:br/>
        <w:t>système de comptabilité environnementale. A ce</w:t>
        <w:br/>
        <w:t>défi majeur s’ajoutent la perte de richesse des</w:t>
        <w:br/>
        <w:t>forêts et terres cultivées, l’exploitation illégale</w:t>
        <w:br/>
        <w:t>des ressources minières et métallurgiques, les</w:t>
        <w:br/>
        <w:t>effets du changement climatique et la pression</w:t>
        <w:br/>
        <w:t>démographique. L’absence de méthodes</w:t>
        <w:br/>
        <w:t>d’évaluation normalisées et des lacunes en</w:t>
        <w:br/>
        <w:t>gouvernance limitent la contribution du capital</w:t>
        <w:br/>
        <w:t>naturel à la croissance économique pérenne.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74" w:val="left"/>
        </w:tabs>
        <w:bidi w:val="0"/>
        <w:spacing w:before="0" w:after="280" w:line="240" w:lineRule="auto"/>
        <w:ind w:left="0" w:right="0" w:firstLine="0"/>
        <w:jc w:val="both"/>
      </w:pPr>
      <w:bookmarkStart w:id="64" w:name="bookmark64"/>
      <w:r>
        <w:rPr>
          <w:rStyle w:val="CharStyle37"/>
          <w:b/>
          <w:bCs/>
        </w:rPr>
        <w:t>Capital entrepreneurial</w:t>
      </w:r>
      <w:bookmarkEnd w:id="64"/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48" w:val="left"/>
        </w:tabs>
        <w:bidi w:val="0"/>
        <w:spacing w:before="0"/>
        <w:ind w:left="0" w:right="0" w:firstLine="0"/>
        <w:jc w:val="both"/>
      </w:pPr>
      <w:bookmarkStart w:id="66" w:name="bookmark66"/>
      <w:r>
        <w:rPr>
          <w:rStyle w:val="CharStyle39"/>
          <w:b/>
          <w:bCs/>
        </w:rPr>
        <w:t>Cadre contextuel</w:t>
      </w:r>
      <w:bookmarkEnd w:id="6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Le capital entrepreneurial comprend l’ensemble</w:t>
        <w:br/>
        <w:t>des ressources financières, humaines, matérielles</w:t>
        <w:br/>
        <w:t>et immatérielles qu’elles déploient pour favoriser</w:t>
        <w:br/>
        <w:t>leur développement, leurs investissements,</w:t>
        <w:br/>
        <w:t>leur production et leur adaptation face à la</w:t>
        <w:br/>
        <w:t>concurrence. En Côte d’Ivoire, les Micro, petites</w:t>
        <w:br/>
        <w:t>et moyennes entreprises (MPME), les Petites</w:t>
        <w:br/>
        <w:t>et moyennes entreprises (PME) constituent le</w:t>
        <w:br/>
        <w:t>cœur du tissu économique, en particulier dans</w:t>
        <w:br/>
        <w:t>les secteurs du commerce, du transport, de</w:t>
        <w:br/>
        <w:t>l’artisanat, et de l’agriculture, créant des emplois</w:t>
        <w:br/>
        <w:t>et favorisant la consommation locale. Les grandes</w:t>
        <w:br/>
        <w:t>entreprises et les multinationales contribuent à</w:t>
        <w:br/>
        <w:t>l’exportation, à l’innovation et au développement</w:t>
        <w:br/>
        <w:t>des infrastructures. Enfin, les entreprises</w:t>
        <w:br/>
        <w:t>publiques jouent un rôle essentiel dans la gestion</w:t>
        <w:br/>
        <w:t>des ressources stratégiques du pays, telles que</w:t>
        <w:br/>
        <w:t>l’énergie et les transports, soutenant ainsi la</w:t>
        <w:br/>
        <w:t>stabilité et la croissance économique nationale.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both"/>
      </w:pPr>
      <w:bookmarkStart w:id="68" w:name="bookmark68"/>
      <w:r>
        <w:rPr>
          <w:rStyle w:val="CharStyle39"/>
          <w:b/>
          <w:bCs/>
        </w:rPr>
        <w:t>Indicateurs du capital</w:t>
        <w:br/>
        <w:t>entrepreneurial</w:t>
      </w:r>
      <w:bookmarkEnd w:id="6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  <w:sectPr>
          <w:footerReference w:type="default" r:id="rId44"/>
          <w:footerReference w:type="even" r:id="rId45"/>
          <w:footnotePr>
            <w:pos w:val="pageBottom"/>
            <w:numFmt w:val="decimal"/>
            <w:numRestart w:val="continuous"/>
          </w:footnotePr>
          <w:pgSz w:w="16838" w:h="23810"/>
          <w:pgMar w:top="5617" w:right="3505" w:bottom="5119" w:left="3505" w:header="5189" w:footer="3" w:gutter="1657"/>
          <w:pgNumType w:start="10"/>
          <w:cols w:num="2" w:space="168"/>
          <w:noEndnote/>
          <w:rtlGutter/>
          <w:docGrid w:linePitch="360"/>
        </w:sectPr>
      </w:pPr>
      <w:r>
        <w:rPr>
          <w:rStyle w:val="CharStyle19"/>
        </w:rPr>
        <w:t>La Côte d’Ivoire dispose d’un secteur privé</w:t>
        <w:br/>
        <w:t>dynamique, avec des investissements</w:t>
        <w:br/>
        <w:t>représentant en moyenne 66% du total sur</w:t>
        <w:br/>
        <w:t>2021-2024, contre un objectif de 74% prévu sur</w:t>
        <w:br/>
        <w:t>l’ensemble du PND 2021-2025. La Côte d’Ivoire</w:t>
        <w:br/>
        <w:t>compte plus de 82 500 entreprises formelles, dont</w:t>
        <w:br/>
        <w:t>95,4% sont des Petites et moyennes entreprises</w:t>
        <w:br/>
        <w:t>(PME). Près de 72% des entreprises du pays</w:t>
        <w:br/>
        <w:t>sont implantées dans la capitale économique,</w:t>
        <w:br/>
        <w:t>Abidjan, qui concentre ainsi une part importante</w:t>
        <w:br/>
        <w:t>de l’activité économique. La répartition sectorielle</w:t>
        <w:br/>
        <w:t>des entreprises indique une forte concentration</w:t>
        <w:br/>
        <w:t>dans le secteur du commerce (environ 44%),</w:t>
        <w:br/>
        <w:t>de l’industrie (9,3%) et des Bâtiments et travaux</w:t>
        <w:br/>
        <w:t>publics (9,5%). Le secteur privé ivoirien emploie</w:t>
        <w:br/>
        <w:t>environ 890 000 personnes (AnStat, 2024). Par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ailleurs, le portefeuille d’entreprises de l’Etat est</w:t>
        <w:br/>
        <w:t>constitué de 87 sociétés dont 28 sociétés d’Etat</w:t>
        <w:br/>
        <w:t>et 59 sociétés à participation financière publique</w:t>
        <w:br/>
        <w:t>(Rapport DGPE, 2023-24).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 w:after="260" w:line="310" w:lineRule="auto"/>
        <w:ind w:left="0" w:right="0" w:firstLine="0"/>
        <w:jc w:val="both"/>
      </w:pPr>
      <w:bookmarkStart w:id="70" w:name="bookmark70"/>
      <w:r>
        <w:rPr>
          <w:rStyle w:val="CharStyle39"/>
          <w:b/>
          <w:bCs/>
        </w:rPr>
        <w:t>Défis et opportunités pour</w:t>
        <w:br/>
        <w:t>l’amélioration du capital entrepreneurial</w:t>
        <w:br/>
        <w:t>en Côte d’Ivoire</w:t>
      </w:r>
      <w:bookmarkEnd w:id="7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19"/>
        </w:rPr>
        <w:t>L’amélioration du capital entrepreneurial en Côte</w:t>
        <w:br/>
        <w:t>d’Ivoire se heurte à plusieurs défis. L’accès</w:t>
        <w:br/>
        <w:t>restreint au financement demeure un obstacle,</w:t>
        <w:br/>
        <w:t>en particulier pour les PME, souvent confrontées</w:t>
        <w:br/>
        <w:t>à des conditions de crédit peu favorables et à</w:t>
        <w:br/>
        <w:t>des exigences de garanties strictes. Le déficit de</w:t>
        <w:br/>
        <w:t>formation et de compétences dans des secteurs</w:t>
        <w:br/>
        <w:t>stratégiques, tels que la technologie et l’innovation,</w:t>
        <w:br/>
        <w:t>limite également la productivité des entreprises.</w:t>
        <w:br/>
        <w:t>Enfin, le faible développement du marché financier</w:t>
        <w:br/>
        <w:t>et la faible capitalisation boursière représentent</w:t>
        <w:br/>
        <w:t>des freins à l’accès aux financements longs et</w:t>
        <w:br/>
        <w:t>diversifiés. Pour surmonter ces défis et renforcer</w:t>
        <w:br/>
        <w:t>le capital entrepreneurial, le gouvernement a</w:t>
        <w:br/>
        <w:t>entrepris plusieurs actions, notamment la création</w:t>
        <w:br/>
        <w:t>du Guichet Unique de Développement des</w:t>
        <w:br/>
        <w:t>Entreprises PME (GUDE PME), visant à simplifier les</w:t>
        <w:br/>
        <w:t>démarches des entrepreneurs et à faciliter l’accès</w:t>
        <w:br/>
        <w:t>des PME aux financements et aux opportunités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de marché. En parallèle, la mise en place de la</w:t>
        <w:br/>
        <w:t>Société de Garantie de Crédit des PME (SG PME),</w:t>
        <w:br/>
        <w:t>institution financière dédiée à l’accompagnement</w:t>
        <w:br/>
        <w:t>des petites et moyennes entreprises en Côte</w:t>
        <w:br/>
        <w:t>d’Ivoire, contribue également à améliorer l’accès</w:t>
        <w:br/>
        <w:t>au financement en offrant des garanties pour les</w:t>
        <w:br/>
        <w:t>prêts bancaires.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66" w:val="left"/>
        </w:tabs>
        <w:bidi w:val="0"/>
        <w:spacing w:before="0" w:after="280" w:line="240" w:lineRule="auto"/>
        <w:ind w:left="0" w:right="0" w:firstLine="0"/>
        <w:jc w:val="both"/>
      </w:pPr>
      <w:bookmarkStart w:id="72" w:name="bookmark72"/>
      <w:r>
        <w:rPr>
          <w:rStyle w:val="CharStyle37"/>
          <w:b/>
          <w:bCs/>
        </w:rPr>
        <w:t>Capital humain</w:t>
      </w:r>
      <w:bookmarkEnd w:id="72"/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62" w:val="left"/>
        </w:tabs>
        <w:bidi w:val="0"/>
        <w:spacing w:before="0"/>
        <w:ind w:left="0" w:right="0" w:firstLine="0"/>
        <w:jc w:val="both"/>
      </w:pPr>
      <w:bookmarkStart w:id="74" w:name="bookmark74"/>
      <w:r>
        <w:rPr>
          <w:rStyle w:val="CharStyle39"/>
          <w:b/>
          <w:bCs/>
        </w:rPr>
        <w:t>État actuel du capital humain en</w:t>
        <w:br/>
        <w:t>Côte d’Ivoire</w:t>
      </w:r>
      <w:bookmarkEnd w:id="7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footerReference w:type="default" r:id="rId46"/>
          <w:footerReference w:type="even" r:id="rId47"/>
          <w:footnotePr>
            <w:pos w:val="pageBottom"/>
            <w:numFmt w:val="decimal"/>
            <w:numRestart w:val="continuous"/>
          </w:footnotePr>
          <w:pgSz w:w="16838" w:h="23810"/>
          <w:pgMar w:top="5617" w:right="3505" w:bottom="5119" w:left="3505" w:header="5189" w:footer="3" w:gutter="1657"/>
          <w:pgNumType w:start="22"/>
          <w:cols w:num="2" w:space="168"/>
          <w:noEndnote/>
          <w:rtlGutter w:val="0"/>
          <w:docGrid w:linePitch="360"/>
        </w:sectPr>
      </w:pPr>
      <w:r>
        <w:rPr>
          <w:rStyle w:val="CharStyle19"/>
        </w:rPr>
        <w:t>Le développement du capital humain est essentiel</w:t>
        <w:br/>
        <w:t>pour améliorer la productivité et soutenir la</w:t>
        <w:br/>
        <w:t>croissance inclusive et durable. Selon les données</w:t>
        <w:br/>
        <w:t>de la Banque mondiale, l’indice du capital humain</w:t>
        <w:br/>
        <w:t>de la Côte d’Ivoire est faible avec un score estimé à</w:t>
        <w:br/>
        <w:t>0,38 en 2020, sur une échelle de 0 à 1, en deçà de</w:t>
        <w:br/>
        <w:t>la moyenne africaine de 0,41. Cela signifie qu’un</w:t>
        <w:br/>
        <w:t>enfant né en Côte d’Ivoire en 2020 ne pourra</w:t>
        <w:br/>
        <w:t>atteindre que 38% de son potentiel productif à</w:t>
        <w:br/>
        <w:t>l’âge adulte, si les conditions actuelles d’éducation</w:t>
        <w:br/>
        <w:t>et de santé restent inchangées. Ce niveau souligne</w:t>
        <w:br/>
        <w:t>l’importance de renforcer les investissements dans</w:t>
        <w:br/>
        <w:t>le capital humain et surtout d’améliorer l’efficience</w:t>
        <w:br/>
        <w:t>des dépenses dans les secteurs sociaux en Côte</w:t>
        <w:br/>
        <w:t>d’Ivoire. Cela pourrait s’expliquer notamment par</w:t>
      </w:r>
    </w:p>
    <w:p>
      <w:pPr>
        <w:widowControl w:val="0"/>
        <w:spacing w:before="88" w:after="8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46" w:right="0" w:bottom="5062" w:left="0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5462"/>
        <w:gridCol w:w="538"/>
        <w:gridCol w:w="1181"/>
        <w:gridCol w:w="917"/>
      </w:tblGrid>
      <w:tr>
        <w:trPr>
          <w:trHeight w:val="470" w:hRule="exact"/>
        </w:trPr>
        <w:tc>
          <w:tcPr>
            <w:gridSpan w:val="2"/>
            <w:tcBorders/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5"/>
                <w:b/>
                <w:bCs/>
                <w:color w:val="472813"/>
                <w:sz w:val="16"/>
                <w:szCs w:val="16"/>
              </w:rPr>
              <w:t xml:space="preserve">Tableau </w:t>
            </w:r>
            <w:r>
              <w:rPr>
                <w:rStyle w:val="CharStyle5"/>
                <w:b/>
                <w:bCs/>
                <w:color w:val="715646"/>
                <w:sz w:val="16"/>
                <w:szCs w:val="16"/>
              </w:rPr>
              <w:t xml:space="preserve">3: </w:t>
            </w:r>
            <w:r>
              <w:rPr>
                <w:rStyle w:val="CharStyle5"/>
                <w:b/>
                <w:bCs/>
                <w:sz w:val="16"/>
                <w:szCs w:val="16"/>
              </w:rPr>
              <w:t>Indicateurs clés de l’éducation, de la santé et de la main-d’œuvre</w:t>
            </w:r>
          </w:p>
        </w:tc>
        <w:tc>
          <w:tcPr>
            <w:gridSpan w:val="2"/>
            <w:tcBorders/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5"/>
                <w:b/>
                <w:bCs/>
                <w:sz w:val="16"/>
                <w:szCs w:val="16"/>
              </w:rPr>
              <w:t>de la Côte d’Ivoire</w:t>
            </w:r>
          </w:p>
        </w:tc>
      </w:tr>
      <w:tr>
        <w:trPr>
          <w:trHeight w:val="446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  <w:b/>
                <w:bCs/>
              </w:rPr>
              <w:t>Côte d'Ivoire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2021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rStyle w:val="CharStyle5"/>
              </w:rPr>
              <w:t>2022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5"/>
              </w:rPr>
              <w:t>2023</w:t>
            </w:r>
          </w:p>
        </w:tc>
      </w:tr>
      <w:tr>
        <w:trPr>
          <w:trHeight w:val="355" w:hRule="exact"/>
        </w:trPr>
        <w:tc>
          <w:tcPr>
            <w:gridSpan w:val="4"/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  <w:b/>
                <w:bCs/>
              </w:rPr>
              <w:t>Education</w:t>
            </w:r>
          </w:p>
        </w:tc>
      </w:tr>
      <w:tr>
        <w:trPr>
          <w:trHeight w:val="326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Dépenses publiques en éducation (% du PIB)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3,3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rStyle w:val="CharStyle5"/>
              </w:rPr>
              <w:t>3,5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5"/>
              </w:rPr>
              <w:t>3,4</w:t>
            </w:r>
          </w:p>
        </w:tc>
      </w:tr>
      <w:tr>
        <w:trPr>
          <w:trHeight w:val="576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9" w:lineRule="auto"/>
              <w:ind w:left="0" w:right="0" w:firstLine="0"/>
              <w:jc w:val="left"/>
            </w:pPr>
            <w:r>
              <w:rPr>
                <w:rStyle w:val="CharStyle5"/>
              </w:rPr>
              <w:t>Taux d’alphabétisation des jeunes (% des jeunes âgés de 15 à</w:t>
              <w:br/>
              <w:t>24 ans)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rStyle w:val="CharStyle5"/>
              </w:rPr>
              <w:t>66,8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0" w:hRule="exact"/>
        </w:trPr>
        <w:tc>
          <w:tcPr>
            <w:tcBorders>
              <w:top w:val="single" w:sz="4"/>
              <w:left w:val="single" w:sz="4"/>
            </w:tcBorders>
            <w:shd w:val="clear" w:color="auto" w:fill="948074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  <w:b/>
                <w:bCs/>
              </w:rPr>
              <w:t>Santé</w:t>
            </w:r>
          </w:p>
        </w:tc>
        <w:tc>
          <w:tcPr>
            <w:tcBorders>
              <w:top w:val="single" w:sz="4"/>
            </w:tcBorders>
            <w:shd w:val="clear" w:color="auto" w:fill="948074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948074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right w:val="single" w:sz="4"/>
            </w:tcBorders>
            <w:shd w:val="clear" w:color="auto" w:fill="948074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2" w:hRule="exact"/>
        </w:trPr>
        <w:tc>
          <w:tcPr>
            <w:tcBorders>
              <w:lef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Espérance de vie à la naissance</w:t>
            </w:r>
          </w:p>
        </w:tc>
        <w:tc>
          <w:tcPr>
            <w:tcBorders/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58,6</w:t>
            </w:r>
          </w:p>
        </w:tc>
        <w:tc>
          <w:tcPr>
            <w:tcBorders/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rStyle w:val="CharStyle5"/>
              </w:rPr>
              <w:t>58,9</w:t>
            </w:r>
          </w:p>
        </w:tc>
        <w:tc>
          <w:tcPr>
            <w:tcBorders>
              <w:righ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5"/>
              </w:rPr>
              <w:t>61,9</w:t>
            </w:r>
          </w:p>
        </w:tc>
      </w:tr>
      <w:tr>
        <w:trPr>
          <w:trHeight w:val="355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Taux de mortalité infantile (pour 1 000 naissances vivantes)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5"/>
              </w:rPr>
              <w:t>9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rStyle w:val="CharStyle5"/>
              </w:rPr>
              <w:t>8,8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26" w:hRule="exact"/>
        </w:trPr>
        <w:tc>
          <w:tcPr>
            <w:gridSpan w:val="4"/>
            <w:tcBorders>
              <w:top w:val="single" w:sz="4"/>
              <w:left w:val="single" w:sz="4"/>
              <w:right w:val="single" w:sz="4"/>
            </w:tcBorders>
            <w:shd w:val="clear" w:color="auto" w:fill="948074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  <w:b/>
                <w:bCs/>
              </w:rPr>
              <w:t>Main d’œuvre</w:t>
            </w:r>
          </w:p>
        </w:tc>
      </w:tr>
      <w:tr>
        <w:trPr>
          <w:trHeight w:val="576" w:hRule="exact"/>
        </w:trPr>
        <w:tc>
          <w:tcPr>
            <w:tcBorders>
              <w:top w:val="single" w:sz="4"/>
            </w:tcBorders>
            <w:shd w:val="clear" w:color="auto" w:fill="D7CFCA"/>
            <w:vAlign w:val="bottom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9" w:lineRule="auto"/>
              <w:ind w:left="0" w:right="0" w:firstLine="0"/>
              <w:jc w:val="left"/>
            </w:pPr>
            <w:r>
              <w:rPr>
                <w:rStyle w:val="CharStyle5"/>
              </w:rPr>
              <w:t>Taux de participation au marché du travail (% de la population</w:t>
              <w:br/>
              <w:t>totale âgée de 15 ans et plus)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5"/>
              </w:rPr>
              <w:t>66,5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rStyle w:val="CharStyle5"/>
              </w:rPr>
              <w:t>67</w:t>
            </w:r>
          </w:p>
        </w:tc>
        <w:tc>
          <w:tcPr>
            <w:tcBorders>
              <w:top w:val="single" w:sz="4"/>
            </w:tcBorders>
            <w:shd w:val="clear" w:color="auto" w:fill="D7CFCA"/>
            <w:vAlign w:val="center"/>
          </w:tcPr>
          <w:p>
            <w:pPr>
              <w:pStyle w:val="Style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5"/>
              </w:rPr>
              <w:t>66,7</w:t>
            </w:r>
          </w:p>
        </w:tc>
      </w:tr>
    </w:tbl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46" w:right="3509" w:bottom="5062" w:left="3509" w:header="0" w:footer="3" w:gutter="1663"/>
          <w:cols w:space="720"/>
          <w:noEndnote/>
          <w:rtlGutter w:val="0"/>
          <w:docGrid w:linePitch="360"/>
        </w:sectPr>
      </w:pPr>
      <w:r>
        <w:drawing>
          <wp:anchor distT="0" distB="0" distL="114300" distR="114300" simplePos="0" relativeHeight="125829397" behindDoc="0" locked="0" layoutInCell="1" allowOverlap="1">
            <wp:simplePos x="0" y="0"/>
            <wp:positionH relativeFrom="page">
              <wp:posOffset>8241030</wp:posOffset>
            </wp:positionH>
            <wp:positionV relativeFrom="margin">
              <wp:posOffset>8451850</wp:posOffset>
            </wp:positionV>
            <wp:extent cx="890270" cy="560705"/>
            <wp:wrapSquare wrapText="bothSides"/>
            <wp:docPr id="89" name="Shap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box 90"/>
                    <pic:cNvPicPr/>
                  </pic:nvPicPr>
                  <pic:blipFill>
                    <a:blip r:embed="rId48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47"/>
          <w:i/>
          <w:iCs/>
        </w:rPr>
        <w:t>Source : Banque mondiale, 2024 ; PNUD, 2025</w:t>
      </w:r>
    </w:p>
    <w:p>
      <w:pPr>
        <w:pStyle w:val="Style18"/>
        <w:keepNext w:val="0"/>
        <w:keepLines w:val="0"/>
        <w:widowControl w:val="0"/>
        <w:pBdr>
          <w:top w:val="single" w:sz="0" w:space="8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320" w:line="240" w:lineRule="auto"/>
        <w:ind w:left="0" w:right="0" w:firstLine="160"/>
        <w:jc w:val="both"/>
        <w:rPr>
          <w:sz w:val="16"/>
          <w:szCs w:val="16"/>
        </w:rPr>
      </w:pPr>
      <w:r>
        <w:rPr>
          <w:rStyle w:val="CharStyle19"/>
          <w:b/>
          <w:bCs/>
          <w:color w:val="472813"/>
          <w:sz w:val="16"/>
          <w:szCs w:val="16"/>
        </w:rPr>
        <w:t xml:space="preserve">Encadré 3: </w:t>
      </w:r>
      <w:r>
        <w:rPr>
          <w:rStyle w:val="CharStyle19"/>
          <w:b/>
          <w:bCs/>
          <w:sz w:val="16"/>
          <w:szCs w:val="16"/>
        </w:rPr>
        <w:t>Réformes et investissements à succès dans l’éducation</w:t>
      </w:r>
    </w:p>
    <w:p>
      <w:pPr>
        <w:pStyle w:val="Style18"/>
        <w:keepNext w:val="0"/>
        <w:keepLines w:val="0"/>
        <w:widowControl w:val="0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bidi w:val="0"/>
        <w:spacing w:before="0" w:after="0" w:line="346" w:lineRule="auto"/>
        <w:ind w:left="160" w:right="0" w:firstLine="60"/>
        <w:jc w:val="both"/>
        <w:sectPr>
          <w:footerReference w:type="default" r:id="rId50"/>
          <w:footerReference w:type="even" r:id="rId51"/>
          <w:footnotePr>
            <w:pos w:val="pageBottom"/>
            <w:numFmt w:val="decimal"/>
            <w:numRestart w:val="continuous"/>
          </w:footnotePr>
          <w:pgSz w:w="16838" w:h="23810"/>
          <w:pgMar w:top="5646" w:right="3509" w:bottom="5062" w:left="3509" w:header="0" w:footer="3" w:gutter="1663"/>
          <w:pgNumType w:start="12"/>
          <w:cols w:space="720"/>
          <w:noEndnote/>
          <w:rtlGutter/>
          <w:docGrid w:linePitch="360"/>
        </w:sectPr>
      </w:pPr>
      <w:r>
        <w:rPr>
          <w:rStyle w:val="CharStyle19"/>
          <w:b/>
          <w:bCs/>
        </w:rPr>
        <w:t>En conformité avec le Plan National de Développement (PND) 2021-2025, la Côte d’Ivoire</w:t>
        <w:br/>
        <w:t>ambitionne de créer un vivier de jeunes formés et dotés de compétences professionnelles</w:t>
        <w:br/>
        <w:t>solides</w:t>
      </w:r>
      <w:r>
        <w:rPr>
          <w:rStyle w:val="CharStyle19"/>
        </w:rPr>
        <w:t>. À cet effet, le Gouvernement a lancé deux initiatives stratégiques : l’Académie des talents</w:t>
        <w:br/>
        <w:t>et l’École de la seconde chance. La première initiative a pour objectifs d’accroitre la proportion des</w:t>
        <w:br/>
        <w:t>effectifs de l’Enseignement Technique et de la Formation Professionnelle dans le secondaire de 6%</w:t>
        <w:br/>
        <w:t>à 15% d’ici 2030 et d’atteindre un taux d’insertion de 70% d’ici 2030. La seconde initiative vise à</w:t>
        <w:br/>
        <w:t>faciliter l’insertion professionnelle durable avec pour objectif de former 1 million de personnes en</w:t>
        <w:br/>
        <w:t>2030.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14" w:after="11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12" w:right="0" w:bottom="504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le faible nombre moyen d’années de scolarisation</w:t>
        <w:br/>
        <w:t>qui est de 4 ans pour les filles et de 5,6 ans pour</w:t>
        <w:br/>
        <w:t>les hommes, inférieurs à la moyenne des pays à</w:t>
        <w:br/>
        <w:t>IDH moyen (PNUD, 2025). Par ailleurs, le pays a</w:t>
        <w:br/>
        <w:t>enregistré des progrès en matière d’espérance de</w:t>
        <w:br/>
        <w:t>vie, passée de 58,9 ans en 2022 à 61,9 ans en</w:t>
        <w:br/>
        <w:t>2023, mais légèrement en deçà de la moyenne</w:t>
        <w:br/>
        <w:t>des pays d’Afrique subsaharienne, estimée à 62,5</w:t>
        <w:br/>
        <w:t>ans. Pour répondre à ces défis, le gouvernement</w:t>
        <w:br/>
        <w:t>a lancé des réformes importantes, telles que</w:t>
        <w:br/>
        <w:t>l’extension de la Couverture Maladie Universelle</w:t>
        <w:br/>
        <w:t>(CMU) à 24 millions d’Ivoiriens d’ici 2025 et des</w:t>
        <w:br/>
        <w:t>programmes de prévention pour améliorer la</w:t>
        <w:br/>
        <w:t>couverture sanitaire, ainsi que la santé maternelle</w:t>
        <w:br/>
        <w:t>et infantile.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/>
        <w:ind w:left="0" w:right="0" w:firstLine="0"/>
        <w:jc w:val="both"/>
      </w:pPr>
      <w:bookmarkStart w:id="76" w:name="bookmark76"/>
      <w:r>
        <w:rPr>
          <w:rStyle w:val="CharStyle39"/>
          <w:b/>
          <w:bCs/>
        </w:rPr>
        <w:t>Principaux obstacles au</w:t>
        <w:br/>
        <w:t>développement du capital humain en</w:t>
        <w:br/>
        <w:t>Côte d’Ivoire</w:t>
      </w:r>
      <w:bookmarkEnd w:id="7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L’Indice de développement humain (IDH) de la</w:t>
        <w:br/>
        <w:t>Côte d’Ivoire s’est amélioré entre 2022 et 2023,</w:t>
        <w:br/>
        <w:t>passant de 0,565 à 0,582, permettant au pays</w:t>
        <w:br/>
        <w:t>d’intégrer la catégorie des pays à IDH moyen.</w:t>
        <w:br/>
        <w:t>Malgré ce progrès, plusieurs défis persistent</w:t>
        <w:br/>
        <w:t>notamment la faiblesse des investissements</w:t>
        <w:br/>
        <w:t>publics dans l’éducation et la santé (moins de</w:t>
        <w:br/>
        <w:t>5% du PIB), des disparités dans l’accès aux</w:t>
        <w:br/>
        <w:t>services sociaux de base et la faible adéquation</w:t>
        <w:br/>
        <w:t>de la formation professionnelle avec les besoins</w:t>
        <w:br/>
        <w:t>du marché. Le gouvernement de Côte d’Ivoire</w:t>
        <w:br/>
        <w:t>devra poursuivre les efforts en vue de renforcer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346" w:lineRule="auto"/>
        <w:ind w:left="160" w:right="0" w:firstLine="0"/>
        <w:jc w:val="both"/>
      </w:pPr>
      <w:r>
        <w:rPr>
          <w:rStyle w:val="CharStyle19"/>
        </w:rPr>
        <w:t>la qualité, l’équité et l’efficacité des systèmes</w:t>
        <w:br/>
        <w:t>éducatif et sanitaire, moteurs du développement</w:t>
        <w:br/>
        <w:t>du capital humain.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737" w:val="left"/>
        </w:tabs>
        <w:bidi w:val="0"/>
        <w:spacing w:before="0"/>
        <w:ind w:left="160" w:right="0" w:firstLine="0"/>
        <w:jc w:val="both"/>
      </w:pPr>
      <w:bookmarkStart w:id="78" w:name="bookmark78"/>
      <w:r>
        <w:rPr>
          <w:rStyle w:val="CharStyle39"/>
          <w:b/>
          <w:bCs/>
        </w:rPr>
        <w:t>Investir dans l’éducation et le</w:t>
        <w:br/>
        <w:t>développement des compétences</w:t>
      </w:r>
      <w:bookmarkEnd w:id="7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160" w:right="0" w:firstLine="0"/>
        <w:jc w:val="both"/>
      </w:pPr>
      <w:r>
        <w:rPr>
          <w:rStyle w:val="CharStyle19"/>
        </w:rPr>
        <w:t>La Côte d’Ivoire devrait privilégier l’investissement</w:t>
        <w:br/>
        <w:t>dans l’éducation et le développement des</w:t>
        <w:br/>
        <w:t>compétences afin d’assurer une croissance</w:t>
        <w:br/>
        <w:t>durable et pérenne. Le gouvernement met</w:t>
        <w:br/>
        <w:t>en œuvre des réformes pour moderniser le</w:t>
        <w:br/>
        <w:t>système éducatif, avec la Stratégie Nationale</w:t>
        <w:br/>
        <w:t>de Digitalisation de l’Éducation (SNDECI). Le</w:t>
        <w:br/>
        <w:t>gouvernement a égalementlancé un programme de</w:t>
        <w:br/>
        <w:t>réhabilitation et d’équipement des établissements</w:t>
        <w:br/>
        <w:t>de formation agricole, notamment à Dimbokro,</w:t>
        <w:br/>
        <w:t>Dabou, Agboville, pour renforcer le secteur et</w:t>
        <w:br/>
        <w:t>promouvoir une agriculture durable. Des efforts</w:t>
        <w:br/>
        <w:t>sont également déployés dans le domaine de la</w:t>
        <w:br/>
        <w:t>formation professionnelle, avec la construction de</w:t>
        <w:br/>
        <w:t>15 nouveaux centres d’enseignement technique</w:t>
        <w:br/>
        <w:t>et de formation professionnelle en fonction des</w:t>
        <w:br/>
        <w:t>potentialités économiques, s’ajoutant aux 66</w:t>
        <w:br/>
        <w:t>existants, renforçant ainsi l’offre de formation.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737" w:val="left"/>
        </w:tabs>
        <w:bidi w:val="0"/>
        <w:spacing w:before="0"/>
        <w:ind w:left="160" w:right="0" w:firstLine="0"/>
        <w:jc w:val="both"/>
      </w:pPr>
      <w:bookmarkStart w:id="80" w:name="bookmark80"/>
      <w:r>
        <w:rPr>
          <w:rStyle w:val="CharStyle39"/>
          <w:b/>
          <w:bCs/>
        </w:rPr>
        <w:t>La santé comme pilier du</w:t>
        <w:br/>
        <w:t>développement du capital humain</w:t>
      </w:r>
      <w:bookmarkEnd w:id="8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 w:line="346" w:lineRule="auto"/>
        <w:ind w:left="160" w:right="0" w:firstLine="0"/>
        <w:jc w:val="both"/>
      </w:pPr>
      <w:r>
        <w:rPr>
          <w:rStyle w:val="CharStyle19"/>
        </w:rPr>
        <w:t>La santé est un pilier essentiel du développement</w:t>
        <w:br/>
        <w:t>du capital humain en Côte d’Ivoire. En 2019,</w:t>
        <w:br/>
        <w:t>le gouvernement a lancé le programme de</w:t>
      </w:r>
      <w:r>
        <w:br w:type="page"/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Couverture Maladie Universelle (CMU) visant à</w:t>
        <w:br/>
        <w:t>offrir une protection contre le risque maladie à</w:t>
        <w:br/>
        <w:t>tous les résidents ivoiriens. L’objectif est d’assurer</w:t>
        <w:br/>
        <w:t>une couverture universelle d’ici 2030, contre 15</w:t>
        <w:br/>
        <w:t>millions en 2024. Le gouvernement a également</w:t>
        <w:br/>
        <w:t>mis en place une réforme hospitalière en 2020 pour</w:t>
        <w:br/>
        <w:t>améliorer l’accès et la qualité des soins. Toutefois,</w:t>
        <w:br/>
        <w:t>la réduction des financements externes demeure</w:t>
        <w:br/>
        <w:t>un défi majeur, nécessitant un renforcement des</w:t>
        <w:br/>
        <w:t>partenariats internes, l’implication du secteur</w:t>
        <w:br/>
        <w:t>privé et une mobilisation accrue des ressources</w:t>
        <w:br/>
        <w:t>nationales pour garantir une couverture sanitaire</w:t>
        <w:br/>
        <w:t>universelle et de qualité.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75" w:val="left"/>
        </w:tabs>
        <w:bidi w:val="0"/>
        <w:spacing w:before="0" w:after="260" w:line="240" w:lineRule="auto"/>
        <w:ind w:left="0" w:right="0" w:firstLine="0"/>
        <w:jc w:val="both"/>
      </w:pPr>
      <w:bookmarkStart w:id="82" w:name="bookmark82"/>
      <w:r>
        <w:rPr>
          <w:rStyle w:val="CharStyle37"/>
          <w:b/>
          <w:bCs/>
        </w:rPr>
        <w:t>Capital financier</w:t>
      </w:r>
      <w:bookmarkEnd w:id="82"/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48" w:val="left"/>
        </w:tabs>
        <w:bidi w:val="0"/>
        <w:spacing w:before="0" w:after="260"/>
        <w:ind w:left="0" w:right="0" w:firstLine="0"/>
        <w:jc w:val="both"/>
      </w:pPr>
      <w:bookmarkStart w:id="84" w:name="bookmark84"/>
      <w:r>
        <w:rPr>
          <w:rStyle w:val="CharStyle39"/>
          <w:b/>
          <w:bCs/>
        </w:rPr>
        <w:t>Marchés financiers et de capitaux</w:t>
        <w:br/>
        <w:t>nationaux</w:t>
      </w:r>
      <w:bookmarkEnd w:id="8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Les marchés financiers et de capitaux en Côte</w:t>
        <w:br/>
        <w:t>d’Ivoire sont essentiels pour le financement de</w:t>
        <w:br/>
        <w:t>l’économie. Le marché financier intérieur est</w:t>
        <w:br/>
        <w:t>composé de 32 établissements de crédits dont</w:t>
        <w:br/>
        <w:t>28 banques et 4 établissements financiers.</w:t>
        <w:br/>
        <w:t>Cependant, l’accès au financement par des</w:t>
        <w:br/>
        <w:t>mécanismes alternatifs, comme les fonds de</w:t>
        <w:br/>
        <w:t>pension, reste limité en raison de la faiblesse des</w:t>
        <w:br/>
        <w:t>rendements et de la structure du marché financier.</w:t>
        <w:br/>
        <w:t>A fin décembre 2024, les émissions souveraines</w:t>
        <w:br/>
        <w:t>réalisées sur le marché régional ont atteint 2 742</w:t>
        <w:br/>
        <w:t>milliards de FCFA.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En parallèle, la Côte d’Ivoire recourt au marché</w:t>
        <w:br/>
        <w:t>international pour diversifier ses sources de</w:t>
        <w:br/>
        <w:t>financement. En janvier 2024, le pays a réussi à</w:t>
        <w:br/>
        <w:t>lever 2,6 milliards de dollars via des eurobonds.</w:t>
        <w:br/>
        <w:t>En mars 2025, une nouvelle levée d’eurobonds</w:t>
        <w:br/>
        <w:t>a été réalisée pour un montant de 1,75 milliard</w:t>
        <w:br/>
        <w:t>de dollars, avec une maturité de 11 ans et une</w:t>
        <w:br/>
        <w:t>couverture de change euro-dollar pour limiter le</w:t>
        <w:br/>
        <w:t>risque. La Côte d’Ivoire a également procédé au</w:t>
        <w:br/>
        <w:t>rachat de ses Eurobonds 2028 et 2032 pour un</w:t>
        <w:br/>
        <w:t>total respectif de 300 et 400 millions de dollars,</w:t>
        <w:br/>
        <w:t>afin de réduire les risques associés à la dette. Ce</w:t>
        <w:br/>
        <w:t>même mois, une levée en monnaie locale de 220</w:t>
        <w:br/>
        <w:t>milliards de FCFA (environ 335 millions d’euros) a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341" w:lineRule="auto"/>
        <w:ind w:left="0" w:right="0" w:firstLine="0"/>
        <w:jc w:val="both"/>
      </w:pPr>
      <w:r>
        <w:rPr>
          <w:rStyle w:val="CharStyle19"/>
        </w:rPr>
        <w:t>été effectuée, avec une maturité de trois ans à un</w:t>
        <w:br/>
        <w:t>taux de 6,875%.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 w:after="260"/>
        <w:ind w:left="0" w:right="0" w:firstLine="0"/>
        <w:jc w:val="both"/>
      </w:pPr>
      <w:bookmarkStart w:id="86" w:name="bookmark86"/>
      <w:r>
        <w:rPr>
          <w:rStyle w:val="CharStyle39"/>
          <w:b/>
          <w:bCs/>
        </w:rPr>
        <w:t>État du développement financier de</w:t>
        <w:br/>
        <w:t>la Côte d’Ivoire</w:t>
      </w:r>
      <w:bookmarkEnd w:id="8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 xml:space="preserve">Selon les données de </w:t>
      </w:r>
      <w:r>
        <w:rPr>
          <w:rStyle w:val="CharStyle19"/>
          <w:i/>
          <w:iCs/>
        </w:rPr>
        <w:t>Global Financial</w:t>
        <w:br/>
        <w:t>Development Database</w:t>
      </w:r>
      <w:r>
        <w:rPr>
          <w:rStyle w:val="CharStyle19"/>
        </w:rPr>
        <w:t xml:space="preserve"> (2022), la Côte d’Ivoire a</w:t>
        <w:br/>
        <w:t>accompli des progrès notables entre 2021 et 2022</w:t>
        <w:br/>
        <w:t>concernant l’accès, la profondeur et l’efficacité de</w:t>
        <w:br/>
        <w:t>son système financier.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Sur le plan de l’accès, le nombre de déposants auprès</w:t>
        <w:br/>
        <w:t>des banques commerciales pour 1 000 adultes</w:t>
        <w:br/>
        <w:t>en Côte d’Ivoire a augmenté de 14,6%, passant</w:t>
        <w:br/>
        <w:t>de 260 à 298 entre 2018 et 2020. Par ailleurs, le</w:t>
        <w:br/>
        <w:t>nombre de guichets automatiques bancaires (GAB)</w:t>
        <w:br/>
        <w:t>pour 100000 adultes a progressé de 6,9 à 7,3 sur</w:t>
        <w:br/>
        <w:t>la même période. Ces améliorations illustrent une</w:t>
        <w:br/>
        <w:t>bonne dynamique dans le renforcement de l’accès</w:t>
        <w:br/>
        <w:t>aux services financiers en Côte d’Ivoire.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En ce qui concerne la profondeur, le crédit intérieur</w:t>
        <w:br/>
        <w:t>au secteur privé en pourcentage du PIB est passé</w:t>
        <w:br/>
        <w:t>de 19,44% à 21,14% entre 2018 et 2020, reflétant</w:t>
        <w:br/>
        <w:t>une hausse de 8,7%. En revanche, la capitalisation</w:t>
        <w:br/>
        <w:t>boursière en pourcentage du PIB a diminué,</w:t>
        <w:br/>
        <w:t>passant de 14,57% à 11,95% sur la même</w:t>
        <w:br/>
        <w:t>période. Ces évolutions reflètent des changements</w:t>
        <w:br/>
        <w:t>notables dans la structure financière du pays, avec</w:t>
        <w:br/>
        <w:t>une augmentation du financement du secteur</w:t>
        <w:br/>
        <w:t>privé, mais une légère contraction de l’importance</w:t>
        <w:br/>
        <w:t>relative du marché boursier.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Quant à l’efficience, le crédit accordé au</w:t>
        <w:br/>
        <w:t>gouvernement et aux entreprises publiques en</w:t>
        <w:br/>
        <w:t>pourcentage du PIB est passé de 9,32% à 12,8%</w:t>
        <w:br/>
        <w:t>entre 2018 et 2020, reflétant un renforcement des</w:t>
        <w:br/>
        <w:t>financements alloués à ces entités.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82" w:val="left"/>
        </w:tabs>
        <w:bidi w:val="0"/>
        <w:spacing w:before="0" w:after="260" w:line="310" w:lineRule="auto"/>
        <w:ind w:left="0" w:right="0" w:firstLine="0"/>
        <w:jc w:val="both"/>
      </w:pPr>
      <w:bookmarkStart w:id="88" w:name="bookmark88"/>
      <w:r>
        <w:rPr>
          <w:rStyle w:val="CharStyle39"/>
          <w:b/>
          <w:bCs/>
        </w:rPr>
        <w:t>Mobilisation des ressources</w:t>
        <w:br/>
        <w:t>financières pour le développement de la</w:t>
        <w:br/>
        <w:t>Côte d’Ivoire</w:t>
      </w:r>
      <w:bookmarkEnd w:id="8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8" w:lineRule="auto"/>
        <w:ind w:left="0" w:right="0" w:firstLine="0"/>
        <w:jc w:val="both"/>
      </w:pPr>
      <w:r>
        <w:rPr>
          <w:rStyle w:val="CharStyle19"/>
        </w:rPr>
        <w:t>Le financement du développement de la Côte</w:t>
        <w:br/>
        <w:t>d’Ivoire repose sur une synergie entre les</w:t>
      </w:r>
      <w:r>
        <w:br w:type="page"/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1" w:lineRule="auto"/>
        <w:ind w:left="0" w:right="0" w:firstLine="0"/>
        <w:jc w:val="both"/>
      </w:pPr>
      <w:r>
        <w:rPr>
          <w:rStyle w:val="CharStyle19"/>
        </w:rPr>
        <w:t>ressources issues des mécanismes financiers</w:t>
        <w:br/>
        <w:t>traditionnels et celles provenant de solutions</w:t>
        <w:br/>
        <w:t>alternatives innovantes.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La dynamique de la finance traditionnelle est</w:t>
        <w:br/>
        <w:t>marquée par une forte présence des banques</w:t>
        <w:br/>
        <w:t>commerciales, des assurances, des fonds</w:t>
        <w:br/>
        <w:t>de pension et des institutions financières de</w:t>
        <w:br/>
        <w:t>développement, qui jouent un rôle essentiel</w:t>
        <w:br/>
        <w:t>dans la mobilisation de capitaux pour soutenir le</w:t>
        <w:br/>
        <w:t>développement économique du pays. La Côte</w:t>
        <w:br/>
        <w:t>d’Ivoire compte 32 établissements de crédits dont</w:t>
        <w:br/>
        <w:t>28 banques et 4 établissements financiers, jouant</w:t>
        <w:br/>
        <w:t>un rôle clé dans l’accès au crédit et le financement</w:t>
        <w:br/>
        <w:t>des entreprises. Le pays compte également 45</w:t>
        <w:br/>
        <w:t>microfinances agréées et 3 Etablissements de</w:t>
        <w:br/>
        <w:t>monnaie électronique (EME) agréés en 2024. Les</w:t>
        <w:br/>
        <w:t>microfinances ainsi que les EME jouent un rôle clé</w:t>
        <w:br/>
        <w:t>dans l’inclusion financière, l’autonomisation des</w:t>
        <w:br/>
        <w:t>femmes et des petites entreprises.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Les solutions alternatives de financement se</w:t>
        <w:br/>
        <w:t>développent progressivement en Côte d’Ivoire,</w:t>
        <w:br/>
        <w:t>avec un accent sur les obligations vertes pour</w:t>
        <w:br/>
        <w:t>soutenir les projets écologiques. Les plateformes</w:t>
        <w:br/>
        <w:t>de crowdfunding émergent, mais sont freinées par</w:t>
        <w:br/>
        <w:t>la méconnaissance, la méfiance des investisseurs</w:t>
        <w:br/>
        <w:t>et un manque de régulation. Des mécanismes</w:t>
        <w:br/>
        <w:t>comme les microfinances et le financement</w:t>
        <w:br/>
        <w:t>participatif favorisent l’inclusion financière, en</w:t>
        <w:br/>
        <w:t>intégrant les populations vulnérables dans le</w:t>
        <w:br/>
        <w:t>développement économique. Les partenariats</w:t>
        <w:br/>
        <w:t>publics-privés (PPP), quant à eux, stimulent</w:t>
        <w:br/>
        <w:t>l’investissement dans des secteurs clés tels</w:t>
        <w:br/>
        <w:t>que l’agriculture, l’énergie renouvelable et les</w:t>
        <w:br/>
        <w:t>infrastructures durables.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 w:after="260"/>
        <w:ind w:left="0" w:right="0" w:firstLine="0"/>
        <w:jc w:val="both"/>
      </w:pPr>
      <w:bookmarkStart w:id="90" w:name="bookmark90"/>
      <w:r>
        <w:rPr>
          <w:rStyle w:val="CharStyle39"/>
          <w:b/>
          <w:bCs/>
        </w:rPr>
        <w:t>Ressources financières externes</w:t>
        <w:br/>
        <w:t>pour le développement de la Côte d’Ivoire</w:t>
      </w:r>
      <w:bookmarkEnd w:id="9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Les ressources financières externes jouent un rôle</w:t>
        <w:br/>
        <w:t>stratégique dans le développement économique</w:t>
        <w:br/>
        <w:t>de la Côte d’Ivoire, en permettant de financer des</w:t>
        <w:br/>
        <w:t>projets d’infrastructure et de développement. En</w:t>
        <w:br/>
        <w:t>2024, le pays a levé 2,6 milliards de dollars sur</w:t>
        <w:br/>
        <w:t>les marchés internationaux via des obligations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souveraines pour soutenir des secteurs clés de</w:t>
        <w:br/>
        <w:t>l’économie. En 2025, il a également mobilisé</w:t>
        <w:br/>
        <w:t>1,75 milliard de dollars d’eurobonds, renforçant</w:t>
        <w:br/>
        <w:t>ainsi ses capacités de financement. Par ailleurs,</w:t>
        <w:br/>
        <w:t>les Investissements Directs Étrangers (IDE) ont</w:t>
        <w:br/>
        <w:t>atteint environ 2000 milliards de FCFA en 2024,</w:t>
        <w:br/>
        <w:t>soit une augmentation de 65% par rapport à</w:t>
        <w:br/>
        <w:t>2023, avec des investissements concentrés</w:t>
        <w:br/>
        <w:t>dans l’agriculture, les infrastructures et les</w:t>
        <w:br/>
        <w:t>technologies, favorisant la création d’emplois et</w:t>
        <w:br/>
        <w:t>le transfert de compétences. Les investissements</w:t>
        <w:br/>
        <w:t>de portefeuille contribuent à la liquidité des</w:t>
        <w:br/>
        <w:t>marchés financiers ivoiriens. En outre, le</w:t>
        <w:br/>
        <w:t>financement climatique est un vecteur majeur</w:t>
        <w:br/>
        <w:t>de développement durable, avec des fonds</w:t>
        <w:br/>
        <w:t>internationaux pour des projets écologiques. En</w:t>
        <w:br/>
        <w:t>2021, la Côte d’Ivoire a reçu 500 millions de dollars</w:t>
        <w:br/>
        <w:t>pour des initiatives liées à la transition énergétique</w:t>
        <w:br/>
        <w:t>et à la gestion des ressources naturelles. Ainsi,</w:t>
        <w:br/>
        <w:t>ces diverses ressources externes, malgré les</w:t>
        <w:br/>
        <w:t>défis de régulation, représentent un levier pour</w:t>
        <w:br/>
        <w:t>le financement durable et le développement</w:t>
        <w:br/>
        <w:t>économique de la Côte d’Ivoire.</w:t>
      </w:r>
    </w:p>
    <w:p>
      <w:pPr>
        <w:pStyle w:val="Style38"/>
        <w:keepNext/>
        <w:keepLines/>
        <w:widowControl w:val="0"/>
        <w:numPr>
          <w:ilvl w:val="2"/>
          <w:numId w:val="17"/>
        </w:numPr>
        <w:shd w:val="clear" w:color="auto" w:fill="auto"/>
        <w:tabs>
          <w:tab w:pos="577" w:val="left"/>
        </w:tabs>
        <w:bidi w:val="0"/>
        <w:spacing w:before="0" w:after="340" w:line="240" w:lineRule="auto"/>
        <w:ind w:left="0" w:right="0" w:firstLine="0"/>
        <w:jc w:val="both"/>
      </w:pPr>
      <w:bookmarkStart w:id="92" w:name="bookmark92"/>
      <w:r>
        <w:rPr>
          <w:rStyle w:val="CharStyle39"/>
          <w:b/>
          <w:bCs/>
        </w:rPr>
        <w:t>Financements innovants</w:t>
      </w:r>
      <w:bookmarkEnd w:id="92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12" w:right="3514" w:bottom="5042" w:left="3514" w:header="0" w:footer="3" w:gutter="1644"/>
          <w:cols w:num="2" w:space="123"/>
          <w:noEndnote/>
          <w:rtlGutter/>
          <w:docGrid w:linePitch="360"/>
        </w:sectPr>
      </w:pPr>
      <w:r>
        <w:rPr>
          <w:rStyle w:val="CharStyle19"/>
        </w:rPr>
        <w:t>La Côte d’Ivoire entend développer des solutions</w:t>
        <w:br/>
        <w:t>climatiques innovantes, avec en perspectives</w:t>
        <w:br/>
        <w:t>l’ambition d’atteindre les objectifs énoncés dans</w:t>
        <w:br/>
        <w:t>les Contributions Déterminées au niveau National</w:t>
        <w:br/>
        <w:t>(CDN) de la Côte d’Ivoire, qui nécessiterait un</w:t>
        <w:br/>
        <w:t>montant estimé à 22 milliards de dollars d’ici</w:t>
        <w:br/>
        <w:t>2030. Afin de poursuivre les reformes sur le</w:t>
        <w:br/>
        <w:t>changement climatique, le Gouvernement de Côte</w:t>
        <w:br/>
        <w:t>d’Ivoire a conclu avec le FMI en mars 2024 une</w:t>
        <w:br/>
        <w:t>Facilité pour la Résilience et la Durabilité (FRD)</w:t>
        <w:br/>
        <w:t>pour une période de 30 mois et un montant total</w:t>
        <w:br/>
        <w:t>d’environ 793 milliards de FCFA. Le succès de</w:t>
        <w:br/>
        <w:t>ce programme implique la mise en œuvre de 16</w:t>
        <w:br/>
        <w:t>mesures de reformes et 28 actions spécifiques sur</w:t>
        <w:br/>
        <w:t>la période allant de fin mars 2024 à fin décembre</w:t>
        <w:br/>
        <w:t>2025. En 2024, la Côte d’Ivoire a bénéficié d’un</w:t>
        <w:br/>
        <w:t>décaissement de 246 milliards de FCFA au titre de</w:t>
        <w:br/>
        <w:t>la FRD.</w:t>
      </w:r>
    </w:p>
    <w:p>
      <w:pPr>
        <w:pStyle w:val="Style36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62" w:val="left"/>
        </w:tabs>
        <w:bidi w:val="0"/>
        <w:spacing w:before="0" w:line="240" w:lineRule="auto"/>
        <w:ind w:left="0" w:right="0" w:firstLine="0"/>
        <w:jc w:val="both"/>
      </w:pPr>
      <w:bookmarkStart w:id="94" w:name="bookmark94"/>
      <w:r>
        <w:rPr>
          <w:rStyle w:val="CharStyle37"/>
          <w:b/>
          <w:bCs/>
        </w:rPr>
        <w:t>Recommandations politiques</w:t>
      </w:r>
      <w:bookmarkEnd w:id="9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 w:line="346" w:lineRule="auto"/>
        <w:ind w:left="0" w:right="0" w:firstLine="0"/>
        <w:jc w:val="both"/>
      </w:pPr>
      <w:r>
        <w:rPr>
          <w:rStyle w:val="CharStyle19"/>
        </w:rPr>
        <w:t>Pour tirer meilleur parti du capital de la Côte</w:t>
        <w:br/>
        <w:t>d’Ivoire, des mesures ambitieuses doivent être</w:t>
        <w:br/>
        <w:t>adoptées, à savoir :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A court et moyen terme :</w:t>
      </w:r>
    </w:p>
    <w:p>
      <w:pPr>
        <w:pStyle w:val="Style18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54" w:val="left"/>
        </w:tabs>
        <w:bidi w:val="0"/>
        <w:spacing w:before="0" w:after="60"/>
        <w:ind w:left="560" w:right="0" w:hanging="280"/>
        <w:jc w:val="both"/>
      </w:pPr>
      <w:r>
        <w:rPr>
          <w:rStyle w:val="CharStyle19"/>
        </w:rPr>
        <w:t>Renforcer la transparence, la redevabilité</w:t>
        <w:br/>
        <w:t>et l’efficacité des institutions publiques,</w:t>
        <w:br/>
        <w:t>en s’appuyant sur la mise en œuvre de</w:t>
        <w:br/>
        <w:t>la Stratégie nationale de lutte contre la</w:t>
        <w:br/>
        <w:t>corruption (SNLC 2024–2028) et sur</w:t>
        <w:br/>
        <w:t>le rôle de la Haute autorité de la bonne</w:t>
        <w:br/>
        <w:t>gouvernance (HABG), afin de consolider</w:t>
        <w:br/>
        <w:t>un climat de confiance entre l’État, les</w:t>
        <w:br/>
        <w:t>populations et les investisseurs.</w:t>
      </w:r>
    </w:p>
    <w:p>
      <w:pPr>
        <w:pStyle w:val="Style18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54" w:val="left"/>
        </w:tabs>
        <w:bidi w:val="0"/>
        <w:spacing w:before="0" w:after="0"/>
        <w:ind w:left="560" w:right="0" w:hanging="280"/>
        <w:jc w:val="both"/>
      </w:pPr>
      <w:r>
        <w:rPr>
          <w:rStyle w:val="CharStyle19"/>
        </w:rPr>
        <w:t>Accélérer la formalisation du secteur</w:t>
        <w:br/>
        <w:t>informel en offrant des incitations fiscales et</w:t>
        <w:br/>
        <w:t>réglementaires via des dispositifs tels que</w:t>
        <w:br/>
        <w:t>le GUDE PME et la SG-PME, afin d’élargir</w:t>
        <w:br/>
        <w:t>l’assiette fiscale, renforcer la productivité et</w:t>
        <w:br/>
        <w:t>faciliter l’accès au financement.</w:t>
      </w:r>
    </w:p>
    <w:p>
      <w:pPr>
        <w:pStyle w:val="Style18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54" w:val="left"/>
        </w:tabs>
        <w:bidi w:val="0"/>
        <w:spacing w:before="0" w:after="240"/>
        <w:ind w:left="560" w:right="0" w:hanging="280"/>
        <w:jc w:val="both"/>
      </w:pPr>
      <w:r>
        <w:rPr>
          <w:rStyle w:val="CharStyle19"/>
        </w:rPr>
        <w:t>Valoriser le capital naturel en instaurant un</w:t>
        <w:br/>
        <w:t>système de comptabilité environnementale</w:t>
        <w:br/>
        <w:t>afin d’évaluer les ressources naturelles,</w:t>
        <w:br/>
        <w:t>orienter les financements de la transition</w:t>
        <w:br/>
        <w:t>écologique, préserver les écosystèmes</w:t>
        <w:br/>
        <w:t>et générer des retombées économiques</w:t>
        <w:br/>
        <w:t>durables.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A moyen et long terme :</w:t>
      </w:r>
    </w:p>
    <w:p>
      <w:pPr>
        <w:pStyle w:val="Style18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54" w:val="left"/>
        </w:tabs>
        <w:bidi w:val="0"/>
        <w:spacing w:before="0" w:after="60"/>
        <w:ind w:left="560" w:right="0" w:hanging="280"/>
        <w:jc w:val="both"/>
      </w:pPr>
      <w:r>
        <w:rPr>
          <w:rStyle w:val="CharStyle19"/>
        </w:rPr>
        <w:t>Accroître les investissements dans la</w:t>
        <w:br/>
        <w:t>formation technique et professionnelle,</w:t>
        <w:br/>
        <w:t>notamment l’école de la seconde chance,</w:t>
        <w:br/>
        <w:t>afin de soutenir les secteurs porteurs,</w:t>
        <w:br/>
        <w:t>développer une main-d’œuvre qualifiée et</w:t>
        <w:br/>
        <w:t>créer des emplois décents adaptés aux</w:t>
        <w:br/>
        <w:t>besoins du marché.</w:t>
      </w:r>
    </w:p>
    <w:p>
      <w:pPr>
        <w:pStyle w:val="Style18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54" w:val="left"/>
        </w:tabs>
        <w:bidi w:val="0"/>
        <w:spacing w:before="0" w:after="0"/>
        <w:ind w:left="560" w:right="0" w:hanging="280"/>
        <w:jc w:val="both"/>
        <w:sectPr>
          <w:footerReference w:type="default" r:id="rId52"/>
          <w:footerReference w:type="even" r:id="rId53"/>
          <w:footnotePr>
            <w:pos w:val="pageBottom"/>
            <w:numFmt w:val="decimal"/>
            <w:numRestart w:val="continuous"/>
          </w:footnotePr>
          <w:pgSz w:w="16838" w:h="23810"/>
          <w:pgMar w:top="5612" w:right="3514" w:bottom="5042" w:left="3514" w:header="5184" w:footer="3" w:gutter="1644"/>
          <w:pgNumType w:start="26"/>
          <w:cols w:num="2" w:space="123"/>
          <w:noEndnote/>
          <w:rtlGutter w:val="0"/>
          <w:docGrid w:linePitch="360"/>
        </w:sectPr>
      </w:pPr>
      <w:r>
        <w:rPr>
          <w:rStyle w:val="CharStyle19"/>
        </w:rPr>
        <w:t>Renforcer le système de santé en</w:t>
        <w:br/>
        <w:t>augmentant les investissements publics,</w:t>
        <w:br/>
        <w:t>améliorant l’accès aux soins de base</w:t>
        <w:br/>
        <w:t>et accélérant la mise en œuvre de la</w:t>
        <w:br/>
        <w:t>Couverture maladie universelle (CMU).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12" w:right="0" w:bottom="4691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after="0" w:line="1" w:lineRule="exact"/>
      </w:pPr>
      <w:r>
        <w:drawing>
          <wp:anchor distT="0" distB="0" distL="0" distR="0" simplePos="0" relativeHeight="62914758" behindDoc="1" locked="0" layoutInCell="1" allowOverlap="1">
            <wp:simplePos x="0" y="0"/>
            <wp:positionH relativeFrom="page">
              <wp:posOffset>8237855</wp:posOffset>
            </wp:positionH>
            <wp:positionV relativeFrom="paragraph">
              <wp:posOffset>12700</wp:posOffset>
            </wp:positionV>
            <wp:extent cx="890270" cy="560705"/>
            <wp:wrapNone/>
            <wp:docPr id="99" name="Shape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box 100"/>
                    <pic:cNvPicPr/>
                  </pic:nvPicPr>
                  <pic:blipFill>
                    <a:blip r:embed="rId54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38" w:h="23810"/>
          <w:pgMar w:top="5612" w:right="2464" w:bottom="4691" w:left="2464" w:header="0" w:footer="3" w:gutter="1051"/>
          <w:cols w:space="720"/>
          <w:noEndnote/>
          <w:rtlGutter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98" behindDoc="0" locked="0" layoutInCell="1" allowOverlap="1">
                <wp:simplePos x="0" y="0"/>
                <wp:positionH relativeFrom="margin">
                  <wp:posOffset>4913630</wp:posOffset>
                </wp:positionH>
                <wp:positionV relativeFrom="paragraph">
                  <wp:posOffset>12700</wp:posOffset>
                </wp:positionV>
                <wp:extent cx="856615" cy="1517650"/>
                <wp:wrapSquare wrapText="bothSides"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6615" cy="1517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CharStyle5"/>
                                <w:color w:val="472813"/>
                                <w:sz w:val="238"/>
                                <w:szCs w:val="238"/>
                              </w:rPr>
                              <w:t>3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386.90000000000003pt;margin-top:1.pt;width:67.450000000000003pt;height:119.5pt;z-index:-125829355;mso-wrap-distance-left:9.pt;mso-wrap-distance-right:9.pt;mso-position-horizontal-relative:margin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CharStyle5"/>
                          <w:color w:val="472813"/>
                          <w:sz w:val="238"/>
                          <w:szCs w:val="238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pStyle w:val="Style5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4"/>
          <w:b/>
          <w:bCs/>
        </w:rPr>
        <w:t>EXPLOITER LE POTENTIEL</w:t>
        <w:br/>
        <w:t>DU CAPITAL ET DES</w:t>
      </w:r>
    </w:p>
    <w:p>
      <w:pPr>
        <w:pStyle w:val="Style53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left"/>
      </w:pPr>
      <w:r>
        <w:rPr>
          <w:rStyle w:val="CharStyle54"/>
          <w:b/>
          <w:bCs/>
        </w:rPr>
        <w:t>RESSOURCES DE LA</w:t>
        <w:br/>
        <w:t>CÔTE D’IVOIRE POUR SON</w:t>
        <w:br/>
        <w:t>DÉVELOPPEMENT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96" w:name="bookmark96"/>
      <w:r>
        <w:rPr>
          <w:rStyle w:val="CharStyle37"/>
          <w:b/>
          <w:bCs/>
        </w:rPr>
        <w:t>Messages-clés</w:t>
      </w:r>
      <w:bookmarkEnd w:id="96"/>
    </w:p>
    <w:p>
      <w:pPr>
        <w:pStyle w:val="Style18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45" w:val="left"/>
        </w:tabs>
        <w:bidi w:val="0"/>
        <w:spacing w:before="0" w:after="260" w:line="346" w:lineRule="auto"/>
        <w:ind w:left="540" w:right="0" w:hanging="360"/>
        <w:jc w:val="both"/>
      </w:pPr>
      <w:r>
        <w:rPr>
          <w:rStyle w:val="CharStyle19"/>
        </w:rPr>
        <w:t>Bien que la Côte d’Ivoire ait réalisé des avancées, il demeure impératif de consolider l’État de droit,</w:t>
        <w:br/>
        <w:t>les institutions et la gouvernance, afin de favoriser la mobilisation des capitaux et de soutenir un</w:t>
        <w:br/>
        <w:t>développement durable à long terme.</w:t>
      </w:r>
    </w:p>
    <w:p>
      <w:pPr>
        <w:pStyle w:val="Style18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45" w:val="left"/>
        </w:tabs>
        <w:bidi w:val="0"/>
        <w:spacing w:before="0" w:after="260" w:line="341" w:lineRule="auto"/>
        <w:ind w:left="540" w:right="0" w:hanging="360"/>
        <w:jc w:val="both"/>
      </w:pPr>
      <w:r>
        <w:rPr>
          <w:rStyle w:val="CharStyle19"/>
        </w:rPr>
        <w:t>Il est nécessaire d’améliorer le climat des affaires en Côte d’Ivoire en réformant le système judiciaire</w:t>
        <w:br/>
        <w:t>commercial et en renforçant l’administration fiscale.</w:t>
      </w:r>
    </w:p>
    <w:p>
      <w:pPr>
        <w:pStyle w:val="Style18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45" w:val="left"/>
        </w:tabs>
        <w:bidi w:val="0"/>
        <w:spacing w:before="0" w:after="260" w:line="341" w:lineRule="auto"/>
        <w:ind w:left="540" w:right="0" w:hanging="360"/>
        <w:jc w:val="both"/>
      </w:pPr>
      <w:r>
        <w:rPr>
          <w:rStyle w:val="CharStyle19"/>
        </w:rPr>
        <w:t>La mise en place de mécanismes robustes pour garantir la sécurisation des titres fonciers apparaît</w:t>
        <w:br/>
        <w:t>indispensable pour attirer des investissements dans des secteurs clés tels que l’agriculture et les</w:t>
        <w:br/>
        <w:t>infrastructures en Côte d’Ivoire.</w:t>
      </w:r>
    </w:p>
    <w:p>
      <w:pPr>
        <w:pStyle w:val="Style18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45" w:val="left"/>
        </w:tabs>
        <w:bidi w:val="0"/>
        <w:spacing w:before="0" w:after="260" w:line="346" w:lineRule="auto"/>
        <w:ind w:left="540" w:right="0" w:hanging="360"/>
        <w:jc w:val="both"/>
      </w:pPr>
      <w:r>
        <w:rPr>
          <w:rStyle w:val="CharStyle19"/>
        </w:rPr>
        <w:t>L’instauration de mesures fermes contre la corruption et la promotion d’une gouvernance</w:t>
        <w:br/>
        <w:t>transparente renforceront la confiance des investisseurs et assureront un climat d’affaires plus</w:t>
        <w:br/>
        <w:t>stable en Côte d’Ivoire.</w:t>
      </w:r>
    </w:p>
    <w:p>
      <w:pPr>
        <w:pStyle w:val="Style18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45" w:val="left"/>
        </w:tabs>
        <w:bidi w:val="0"/>
        <w:spacing w:before="0" w:after="260"/>
        <w:ind w:left="540" w:right="0" w:hanging="360"/>
        <w:jc w:val="both"/>
        <w:sectPr>
          <w:footerReference w:type="default" r:id="rId56"/>
          <w:footerReference w:type="even" r:id="rId57"/>
          <w:footnotePr>
            <w:pos w:val="pageBottom"/>
            <w:numFmt w:val="decimal"/>
            <w:numRestart w:val="continuous"/>
          </w:footnotePr>
          <w:pgSz w:w="16838" w:h="23810"/>
          <w:pgMar w:top="4158" w:right="3515" w:bottom="4792" w:left="3515" w:header="0" w:footer="3" w:gutter="1661"/>
          <w:pgNumType w:start="17"/>
          <w:cols w:space="720"/>
          <w:noEndnote/>
          <w:rtlGutter/>
          <w:docGrid w:linePitch="360"/>
        </w:sectPr>
      </w:pPr>
      <w:r>
        <w:rPr>
          <w:rStyle w:val="CharStyle19"/>
        </w:rPr>
        <w:t>La prépondérance du secteur informel en Côte d’Ivoire entrave la mobilisation des ressources</w:t>
        <w:br/>
        <w:t>domestiques, limitant ainsi les investissements dans le capital humain. Formaliser ce secteur</w:t>
        <w:br/>
        <w:t>permettrait de libérer des financements pour l’éducation, la santé et la formation, favorisant ainsi un</w:t>
        <w:br/>
        <w:t>développement humain plus inclusif et durable.</w:t>
      </w:r>
    </w:p>
    <w:p>
      <w:pPr>
        <w:pStyle w:val="Style36"/>
        <w:keepNext/>
        <w:keepLines/>
        <w:widowControl w:val="0"/>
        <w:numPr>
          <w:ilvl w:val="1"/>
          <w:numId w:val="23"/>
        </w:numPr>
        <w:shd w:val="clear" w:color="auto" w:fill="auto"/>
        <w:tabs>
          <w:tab w:pos="428" w:val="left"/>
        </w:tabs>
        <w:bidi w:val="0"/>
        <w:spacing w:before="0" w:line="240" w:lineRule="auto"/>
        <w:ind w:left="0" w:right="0" w:firstLine="0"/>
        <w:jc w:val="left"/>
      </w:pPr>
      <w:bookmarkStart w:id="98" w:name="bookmark98"/>
      <w:r>
        <w:rPr>
          <w:rStyle w:val="CharStyle37"/>
          <w:b/>
          <w:bCs/>
        </w:rPr>
        <w:t>Introduction</w:t>
      </w:r>
      <w:bookmarkEnd w:id="9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Ce chapitre analyse l’impact des institutions, de la</w:t>
        <w:br/>
        <w:t>gouvernance et de l’État de droit sur la capacité de</w:t>
        <w:br/>
        <w:t>la Côte d’Ivoire à mobiliser des capitaux nationaux</w:t>
        <w:br/>
        <w:t>et à favoriser le développement durable. Il examine</w:t>
        <w:br/>
        <w:t>la dotation de la Côte d’Ivoire en ressources</w:t>
        <w:br/>
        <w:t>naturelles, en capital humain et en ressources</w:t>
        <w:br/>
        <w:t>financières, ainsi que son potentiel à stimuler une</w:t>
        <w:br/>
        <w:t>croissance économique durable et à favoriser la</w:t>
        <w:br/>
        <w:t>transformation structurelle. Il examine également</w:t>
        <w:br/>
        <w:t>le potentiel du pays à favoriser une croissance</w:t>
        <w:br/>
        <w:t>économique durable et une transformation</w:t>
        <w:br/>
        <w:t>structurelle. En outre, il aborde les défis liés aux</w:t>
        <w:br/>
        <w:t>capacités institutionnelles, à la gouvernance, à la</w:t>
        <w:br/>
        <w:t>corruption et la fuite des capitaux, et leur effet sur</w:t>
        <w:br/>
        <w:t>la mobilisation des ressources.</w:t>
      </w:r>
    </w:p>
    <w:p>
      <w:pPr>
        <w:pStyle w:val="Style36"/>
        <w:keepNext/>
        <w:keepLines/>
        <w:widowControl w:val="0"/>
        <w:numPr>
          <w:ilvl w:val="1"/>
          <w:numId w:val="23"/>
        </w:numPr>
        <w:shd w:val="clear" w:color="auto" w:fill="auto"/>
        <w:tabs>
          <w:tab w:pos="462" w:val="left"/>
        </w:tabs>
        <w:bidi w:val="0"/>
        <w:spacing w:before="0" w:line="240" w:lineRule="auto"/>
        <w:ind w:left="0" w:right="0" w:firstLine="0"/>
        <w:jc w:val="both"/>
      </w:pPr>
      <w:bookmarkStart w:id="100" w:name="bookmark100"/>
      <w:r>
        <w:rPr>
          <w:rStyle w:val="CharStyle37"/>
          <w:b/>
          <w:bCs/>
        </w:rPr>
        <w:t>Dispositif institutionnel pour</w:t>
        <w:br/>
        <w:t>la gestion et l’utilisation des</w:t>
        <w:br/>
        <w:t>différentes formes de capital</w:t>
      </w:r>
      <w:bookmarkEnd w:id="10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6" w:lineRule="auto"/>
        <w:ind w:left="0" w:right="0" w:firstLine="0"/>
        <w:jc w:val="both"/>
      </w:pPr>
      <w:r>
        <w:rPr>
          <w:rStyle w:val="CharStyle19"/>
        </w:rPr>
        <w:t>La gestion efficace des ressources budgétaires</w:t>
        <w:br/>
        <w:t>et financières, du capital naturel, humain et</w:t>
        <w:br/>
        <w:t>entrepreneurial en Côte d’Ivoire devrait reposer</w:t>
        <w:br/>
        <w:t>sur un dispositif institutionnel solide, garant de leur</w:t>
        <w:br/>
        <w:t>mobilisation et allocation optimale.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rStyle w:val="CharStyle19"/>
        </w:rPr>
        <w:t>Le capital budgétaire et financier en Côte</w:t>
        <w:br/>
        <w:t>d’Ivoire est géré au travers d’un dispositif</w:t>
        <w:br/>
        <w:t>institutionnel reposant sur plusieurs éléments clés.</w:t>
        <w:br/>
        <w:t>L’administration fiscale est chargée de la collecte</w:t>
        <w:br/>
        <w:t>des recettes publiques, soutenue par des réformes</w:t>
        <w:br/>
        <w:t>visant à élargir la base d’imposition et à améliorer</w:t>
        <w:br/>
        <w:t>l’efficacité des services fiscaux. Le Ministère</w:t>
        <w:br/>
        <w:t>des Finances et du Budget est responsable de</w:t>
        <w:br/>
        <w:t>l’élaboration et du suivi du budget national, tandis</w:t>
        <w:br/>
        <w:t>que la Cour des Comptes garantit la transparence</w:t>
        <w:br/>
        <w:t>et le contrôle de l’utilisation des fonds publics.</w:t>
        <w:br/>
        <w:t>Plusieurs décrets et lois régissent ce dispositif,</w:t>
        <w:br/>
        <w:t>notamment la loi organique n°2014-337 du 5</w:t>
        <w:br/>
        <w:t>juin 2014 portant code de transparence dans la</w:t>
        <w:br/>
        <w:t>gestion des finances publiques, le décret n°98-716</w:t>
        <w:br/>
        <w:t>du 16 décembre 1998 portant réforme des circuits</w:t>
        <w:br/>
        <w:t>et des procédures d’exécution des dépenses et</w:t>
        <w:br/>
        <w:t>recettes du Budget Général de l’État, le décret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160" w:right="0" w:firstLine="0"/>
        <w:jc w:val="both"/>
      </w:pPr>
      <w:r>
        <w:rPr>
          <w:rStyle w:val="CharStyle19"/>
        </w:rPr>
        <w:t>n°2014-419 du 9 juillet 2014 portant tableau</w:t>
        <w:br/>
        <w:t>des opérations financières de l’État, et le décret</w:t>
        <w:br/>
        <w:t>n°2019-81 du 23 janvier 2019 portant charte de</w:t>
        <w:br/>
        <w:t>gestion des programmes et des dotations.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160" w:right="0" w:firstLine="0"/>
        <w:jc w:val="both"/>
      </w:pPr>
      <w:r>
        <w:rPr>
          <w:rStyle w:val="CharStyle19"/>
        </w:rPr>
        <w:t>Le dispositif institutionnel relatif au capital naturel de</w:t>
        <w:br/>
        <w:t>la Côte d’Ivoire repose sur plusieurs mécanismes</w:t>
        <w:br/>
        <w:t>de gestion et de conservation des ressources</w:t>
        <w:br/>
        <w:t>naturelles. Le Ministère des Eaux et Forêts est</w:t>
        <w:br/>
        <w:t>chargé de la gestion des espaces forestiers, des</w:t>
        <w:br/>
        <w:t>parcs nationaux et de la biodiversité. Des agences</w:t>
        <w:br/>
        <w:t>comme l’Office Ivoirien des Parcs et Réserves</w:t>
        <w:br/>
        <w:t>(OIPR) supervisent les aires protégées. La politique</w:t>
        <w:br/>
        <w:t>environnementale inclut des initiatives pour lutter</w:t>
        <w:br/>
        <w:t>contre la déforestation et promouvoir la gestion</w:t>
        <w:br/>
        <w:t>durable des ressources naturelles, soutenues par</w:t>
        <w:br/>
        <w:t>des lois et décrets clés tels que la loi n° 2013</w:t>
        <w:t>-</w:t>
        <w:br/>
        <w:t>867 du 23 novembre 2013, relative à la gestion</w:t>
        <w:br/>
        <w:t>durable des ressources forestières, et le décret n°</w:t>
        <w:br/>
        <w:t>2014-102 du 5 février 2014, portant création du</w:t>
        <w:br/>
        <w:t>Répertoire national des aires protégées. Toutefois,</w:t>
        <w:br/>
        <w:t>le principal défi réside dans la mise en place</w:t>
        <w:br/>
        <w:t>d’un système de comptabilité environnementale,</w:t>
        <w:br/>
        <w:t>permettant de valoriser et de suivre les ressources</w:t>
        <w:br/>
        <w:t>naturelles de manière systématique et intégrée</w:t>
        <w:br/>
        <w:t>dans les processus économiques du pays.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160" w:right="0" w:firstLine="0"/>
        <w:jc w:val="both"/>
      </w:pPr>
      <w:r>
        <w:rPr>
          <w:rStyle w:val="CharStyle19"/>
        </w:rPr>
        <w:t>La Côte d’Ivoire a mis en place un dispositif</w:t>
        <w:br/>
        <w:t>institutionnel visant à renforcer son capital humain,</w:t>
        <w:br/>
        <w:t>notamment à travers des réformes dans les</w:t>
        <w:br/>
        <w:t>secteurs de l’éducation et de la santé. Le Ministère</w:t>
        <w:br/>
        <w:t>de l’éducation nationale et de l’alphabétisation</w:t>
        <w:br/>
        <w:t>est chargé de la mise en œuvre des politiques</w:t>
        <w:br/>
        <w:t>éducatives, tandis que le Ministère de la Santé,</w:t>
        <w:br/>
        <w:t>de l’Hygiène publique et de la Couverture Maladie</w:t>
        <w:br/>
        <w:t>Universelle supervise les réformes du secteur</w:t>
        <w:br/>
        <w:t>sanitaire, y compris la réforme hospitalière, qui</w:t>
        <w:br/>
        <w:t>vise à moderniser les infrastructures et améliorer la</w:t>
        <w:br/>
        <w:t>qualité des soins. Des initiatives législatives telles</w:t>
        <w:br/>
        <w:t>que la loi n°2015-635 du 17 septembre 2015</w:t>
        <w:br/>
        <w:t>sur la politique nationale de l’éducation et de la</w:t>
        <w:br/>
        <w:t>formation, ainsi que le décret n°2017-710 du 20</w:t>
        <w:br/>
        <w:t>décembre 2017 relatif à la gestion des ressources</w:t>
        <w:br/>
        <w:t>humaines dans le secteur de la santé, contribuent</w:t>
        <w:br/>
        <w:t>à l’amélioration de l’accès aux services éducatifs</w:t>
        <w:br/>
        <w:t>et de santé. Ces réformes sont essentielles pour le</w:t>
      </w:r>
      <w:r>
        <w:br w:type="page"/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341" w:lineRule="auto"/>
        <w:ind w:left="0" w:right="0" w:firstLine="0"/>
        <w:jc w:val="both"/>
      </w:pPr>
      <w:r>
        <w:rPr>
          <w:rStyle w:val="CharStyle19"/>
        </w:rPr>
        <w:t>développement du capital humain et soutiennent</w:t>
        <w:br/>
        <w:t>la croissance durable du pays.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La Côte d’Ivoire est dotée d’un dispositif</w:t>
        <w:br/>
        <w:t>institutionnel structuré visant à promouvoir le capital</w:t>
        <w:br/>
        <w:t>entrepreneurial et à renforcer la compétitivité de son</w:t>
        <w:br/>
        <w:t>environnement des affaires. Ce dispositif repose</w:t>
        <w:br/>
        <w:t>sur un cadre législatif et réglementaire qui soutient</w:t>
        <w:br/>
        <w:t>l’investissement et le développement du secteur</w:t>
        <w:br/>
        <w:t>privé. Le Ministère du Commerce et de l’Industrie</w:t>
        <w:br/>
        <w:t>supervise les secteurs industriels et commerciaux,</w:t>
        <w:br/>
        <w:t>tandis que la Chambre de Commerce et d’Industrie</w:t>
        <w:br/>
        <w:t>de Côte d’Ivoire (CCI-CI) accompagne activement</w:t>
        <w:br/>
        <w:t>le développement des entreprises. L’Autorité</w:t>
        <w:br/>
        <w:t>Nationale de Régulation des Marchés Publics</w:t>
        <w:br/>
        <w:t>(ANRMP) veille à la régulation des contrats publics</w:t>
        <w:br/>
        <w:t>et à la transparence dans leur gestion. Parmi les</w:t>
        <w:br/>
        <w:t>réformes majeures figurent la loi n°2014-138 du</w:t>
        <w:br/>
        <w:t>24 mars 2014, relative à l’investissement en Côte</w:t>
        <w:br/>
        <w:t>d’Ivoire, et le décret n°2013-271 du 29 mai 2013,</w:t>
        <w:br/>
        <w:t>portant sur le Code des investissements.</w:t>
      </w:r>
    </w:p>
    <w:p>
      <w:pPr>
        <w:pStyle w:val="Style28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466" w:val="left"/>
        </w:tabs>
        <w:bidi w:val="0"/>
        <w:spacing w:before="0" w:after="260" w:line="240" w:lineRule="auto"/>
        <w:ind w:left="0" w:right="0" w:firstLine="0"/>
        <w:jc w:val="both"/>
      </w:pPr>
      <w:r>
        <w:rPr>
          <w:rStyle w:val="CharStyle29"/>
          <w:b/>
          <w:bCs/>
        </w:rPr>
        <w:t>Défis de gouvernance dans</w:t>
        <w:br/>
        <w:t>la gestion et l’utilisation des</w:t>
        <w:br/>
        <w:t>différentes formes de capital pour</w:t>
        <w:br/>
        <w:t>la mobilisation des ressources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3" w:val="left"/>
        </w:tabs>
        <w:bidi w:val="0"/>
        <w:spacing w:before="0" w:after="260"/>
        <w:ind w:left="0" w:right="0" w:firstLine="0"/>
        <w:jc w:val="both"/>
      </w:pPr>
      <w:r>
        <w:rPr>
          <w:rStyle w:val="CharStyle19"/>
          <w:b/>
          <w:bCs/>
        </w:rPr>
        <w:t>Capital budgétaire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Le principal défi en matière de capital budgétaire</w:t>
        <w:br/>
        <w:t>réside dans l’étroitesse de l’assiette fiscale, en</w:t>
        <w:br/>
        <w:t>partie due à la prépondérance du secteur informel,</w:t>
        <w:br/>
        <w:t>causée par des obstacles administratifs, un</w:t>
        <w:br/>
        <w:t>accès limité au financement formel et des coûts</w:t>
        <w:br/>
        <w:t>relativement élevés de la formalisation. Cette</w:t>
        <w:br/>
        <w:t>faiblesse de l’assiette réduit également la capacité</w:t>
        <w:br/>
        <w:t>de réponse de l’État face aux crises sécuritaires,</w:t>
        <w:br/>
        <w:t>sanitaires ou climatiques. La collecte des recettes</w:t>
        <w:br/>
        <w:t>fiscales demeure insuffisante, notamment dans</w:t>
        <w:br/>
        <w:t>des secteurs stratégiques tels que l’extraction des</w:t>
        <w:br/>
        <w:t>ressources naturelles et le numérique. En 2024, le</w:t>
        <w:br/>
        <w:t>taux de pression fiscale est estimé à 13,8%, en</w:t>
        <w:br/>
        <w:t>dessous de la norme communautaire de 20%.</w:t>
        <w:br/>
        <w:t>Cette situation est exacerbée par des défis de</w:t>
        <w:br/>
        <w:t>lutte contre l’évasion fiscale, la corruption et les</w:t>
        <w:br/>
        <w:t>flux financiers illicites. Dans ce contexte, une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gouvernance fiscale renforcée apparaît comme</w:t>
        <w:br/>
        <w:t>un levier clé pour améliorer la mobilisation des</w:t>
        <w:br/>
        <w:t>ressources et assurer une gestion plus transparente</w:t>
        <w:br/>
        <w:t>et efficace des finances publiques.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3" w:val="left"/>
        </w:tabs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Capital naturel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La gestion du capital naturel en Côte d’Ivoire</w:t>
        <w:br/>
        <w:t>se heurte à des défis majeurs, notamment</w:t>
        <w:br/>
        <w:t>l’exploitation illégale des ressources naturelles.</w:t>
        <w:br/>
        <w:t>Cette exploitation non suffisamment contrôlée,</w:t>
        <w:br/>
        <w:t>particulièrement dans les secteurs forestier et minier,</w:t>
        <w:br/>
        <w:t>prive l’État des recettes importantes pour financer</w:t>
        <w:br/>
        <w:t>un développement durable, tout en accentuant</w:t>
        <w:br/>
        <w:t>les pressions environnementales. Par ailleurs,</w:t>
        <w:br/>
        <w:t>l’insuffisance du cadre réglementaire et la faiblesse</w:t>
        <w:br/>
        <w:t>du contrôle favorisent l’émergence de flux financiers</w:t>
        <w:br/>
        <w:t>illicites. Dans ce contexte, il est impératif de</w:t>
        <w:br/>
        <w:t>réformer le dispositif institutionnel afin de renforcer</w:t>
        <w:br/>
        <w:t>la transparence, la rigueur dans l’application des</w:t>
        <w:br/>
        <w:t>normes et de garantir une gestion responsable et</w:t>
        <w:br/>
        <w:t>durable des ressources naturelles du pays.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3" w:val="left"/>
        </w:tabs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Capital humain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Bien que des réformes aient été entreprises pour</w:t>
        <w:br/>
        <w:t>renforcer le capital humain, la Côte d’Ivoire fait face</w:t>
        <w:br/>
        <w:t>à des défis qui limitent un accès équitable à des</w:t>
        <w:br/>
        <w:t>services de qualité.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Dans le secteur éducatif, l’adéquation entre l’offre</w:t>
        <w:br/>
        <w:t>de formation et les besoins du marché du travail</w:t>
        <w:br/>
        <w:t>demeure insuffisante. Le système éducatif, encore</w:t>
        <w:br/>
        <w:t>peu aligné sur les exigences d’une économie</w:t>
        <w:br/>
        <w:t>moderne et en transformation, requiert une révision</w:t>
        <w:br/>
        <w:t>profonde pour intégrer des formations mieux</w:t>
        <w:br/>
        <w:t>adaptées aux réalités du marché, notamment</w:t>
        <w:br/>
        <w:t>dans les secteurs technologiques et numériques.</w:t>
        <w:br/>
        <w:t>Par ailleurs, des investissements plus soutenus</w:t>
        <w:br/>
        <w:t>dans la formation technique et professionnelle</w:t>
        <w:br/>
        <w:t>sont nécessaires pour combler le déficit de</w:t>
        <w:br/>
        <w:t>compétences dans des métiers stratégiques.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 w:line="346" w:lineRule="auto"/>
        <w:ind w:left="0" w:right="0" w:firstLine="0"/>
        <w:jc w:val="both"/>
      </w:pPr>
      <w:r>
        <w:rPr>
          <w:rStyle w:val="CharStyle19"/>
        </w:rPr>
        <w:t>En ce qui concerne la santé, bien que la</w:t>
        <w:br/>
        <w:t>digitalisation ait été amorcée, elle demeure encore</w:t>
        <w:br/>
        <w:t>à ses débuts et doit être accélérée pour améliorer</w:t>
      </w:r>
      <w:r>
        <w:br w:type="page"/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l’efficacité des services. De plus, une participation</w:t>
        <w:br/>
        <w:t>accrue du secteur privé dans la fourniture de soins</w:t>
        <w:br/>
        <w:t>pourrait alléger la pression sur les infrastructures</w:t>
        <w:br/>
        <w:t>publiques et renforcer l’offre de services de santé</w:t>
        <w:br/>
        <w:t>de qualité. Le renforcement des institutions dans</w:t>
        <w:br/>
        <w:t>ces secteurs est donc primordial pour garantir un</w:t>
        <w:br/>
        <w:t>capital humain qualifié, capable de soutenir les</w:t>
        <w:br/>
        <w:t>ambitions de croissance économique du pays.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3" w:val="left"/>
        </w:tabs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Capital financier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La mobilisation du capital financier en Côte d’Ivoire</w:t>
        <w:br/>
        <w:t>se heurte à certains défis structurels qui limitent</w:t>
        <w:br/>
        <w:t>l’accès au crédit, notamment pour les PME et</w:t>
        <w:br/>
        <w:t>les acteurs économiques des zones rurales. Bien</w:t>
        <w:br/>
        <w:t>que des progrès aient été réalisés, la régulation</w:t>
        <w:br/>
        <w:t>financière reste encore perfectible, et la surveillance</w:t>
        <w:br/>
        <w:t>des flux financiers pourrait être renforcée pour</w:t>
        <w:br/>
        <w:t>mieux prévenir les risques de blanchiment</w:t>
        <w:br/>
        <w:t>d’argent et de fuite des capitaux. De plus, la</w:t>
        <w:br/>
        <w:t>capacité du secteur bancaire à évaluer les risques</w:t>
        <w:br/>
        <w:t>liés à certains investissements, en particulier dans</w:t>
        <w:br/>
        <w:t>les secteurs émergents, demeure limitée. Afin de</w:t>
        <w:br/>
        <w:t>stimuler l’accès aux financements et soutenir les</w:t>
        <w:br/>
        <w:t>investissements dans les secteurs stratégiques du</w:t>
        <w:br/>
        <w:t>développement, il serait bénéfique d’envisager une</w:t>
        <w:br/>
        <w:t>réforme de l’architecture financière, couplée à une</w:t>
        <w:br/>
        <w:t>régulation accrue des marchés financiers (PEA,</w:t>
        <w:br/>
        <w:t>2024).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83" w:val="left"/>
        </w:tabs>
        <w:bidi w:val="0"/>
        <w:spacing w:before="0" w:after="240"/>
        <w:ind w:left="0" w:right="0" w:firstLine="0"/>
        <w:jc w:val="both"/>
      </w:pPr>
      <w:r>
        <w:rPr>
          <w:rStyle w:val="CharStyle19"/>
          <w:b/>
          <w:bCs/>
        </w:rPr>
        <w:t>Capital entrepreneurial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19"/>
        </w:rPr>
        <w:t>Le capital entrepreneurial en Côte d’Ivoire fait</w:t>
        <w:br/>
        <w:t>face à plusieurs défis institutionnels freinant son</w:t>
        <w:br/>
        <w:t>développement. La prépondérance du secteur</w:t>
        <w:br/>
        <w:t>informel, associée à un cadre juridique commercial</w:t>
        <w:br/>
        <w:t>encore insuffisamment consolidé, crée un</w:t>
        <w:br/>
        <w:t>environnement d’incertitude susceptible de limiter</w:t>
        <w:br/>
        <w:t>les investissements. De plus, l’accès limité au</w:t>
        <w:br/>
        <w:t>financement, en particulier pour les PME, constitue</w:t>
        <w:br/>
        <w:t>un obstacle majeur à l’essor du secteur privé et à la</w:t>
        <w:br/>
        <w:t>compétitivité des entreprises. Il est donc important</w:t>
        <w:br/>
        <w:t>de renforcer la gouvernance dans ce domaine</w:t>
        <w:br/>
        <w:t>pour accroitre la confiance des investisseurs et</w:t>
        <w:br/>
        <w:t>améliorer l’environnement des affaires, ce qui</w:t>
        <w:br/>
        <w:t>favorisera la croissance des entreprises formelles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341" w:lineRule="auto"/>
        <w:ind w:left="0" w:right="0" w:firstLine="0"/>
        <w:jc w:val="both"/>
      </w:pPr>
      <w:r>
        <w:rPr>
          <w:rStyle w:val="CharStyle19"/>
        </w:rPr>
        <w:t>et facilitera la transition du secteur informel vers</w:t>
        <w:br/>
        <w:t>une économie formelle.</w:t>
      </w:r>
    </w:p>
    <w:p>
      <w:pPr>
        <w:pStyle w:val="Style36"/>
        <w:keepNext/>
        <w:keepLines/>
        <w:widowControl w:val="0"/>
        <w:numPr>
          <w:ilvl w:val="1"/>
          <w:numId w:val="23"/>
        </w:numPr>
        <w:shd w:val="clear" w:color="auto" w:fill="auto"/>
        <w:tabs>
          <w:tab w:pos="466" w:val="left"/>
        </w:tabs>
        <w:bidi w:val="0"/>
        <w:spacing w:before="0" w:line="240" w:lineRule="auto"/>
        <w:ind w:left="0" w:right="0" w:firstLine="0"/>
        <w:jc w:val="both"/>
      </w:pPr>
      <w:bookmarkStart w:id="102" w:name="bookmark102"/>
      <w:r>
        <w:rPr>
          <w:rStyle w:val="CharStyle37"/>
          <w:b/>
          <w:bCs/>
        </w:rPr>
        <w:t>L’État de droit, la gestion et</w:t>
        <w:br/>
        <w:t>l’utilisation des différentes formes</w:t>
        <w:br/>
        <w:t>de capital</w:t>
      </w:r>
      <w:bookmarkEnd w:id="102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Dans le cadre du Plan National de Développement</w:t>
        <w:br/>
        <w:t>(PND) 2021-2025, la consolidation de l’État de</w:t>
        <w:br/>
        <w:t>droit est identifiée comme un levier stratégique</w:t>
        <w:br/>
        <w:t>pour garantir un environnement favorable à la</w:t>
        <w:br/>
        <w:t>croissance économique et à la stabilité sociale.</w:t>
        <w:br/>
        <w:t>Le PND souligne l’importance de renforcer les</w:t>
        <w:br/>
        <w:t>institutions judiciaires et administratives afin de</w:t>
        <w:br/>
        <w:t>garantir une gouvernance transparente et efficace,</w:t>
        <w:br/>
        <w:t>tout en protégeant les droits fondamentaux et les</w:t>
        <w:br/>
        <w:t>droits de propriété. Parmi les réformes envisagées,</w:t>
        <w:br/>
        <w:t>figurent celles visant à améliorer l’accès à la justice,</w:t>
        <w:br/>
        <w:t>à accélérer le traitement des litiges commerciaux</w:t>
        <w:br/>
        <w:t>et à lutter contre la corruption.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19"/>
        </w:rPr>
        <w:t>Dans cette optique, la création des tribunaux</w:t>
        <w:br/>
        <w:t>de commerce a été initiée par une décision</w:t>
        <w:br/>
        <w:t>présidentielle en 2012 et codifiée dans la</w:t>
        <w:br/>
        <w:t>loi n°2014-335 du 18 juin 2014 relative à</w:t>
        <w:br/>
        <w:t>l’organisation judiciaire en Côte d’Ivoire. Ces</w:t>
        <w:br/>
        <w:t>tribunaux ont été mis en place pour faciliter la</w:t>
        <w:br/>
        <w:t>résolution rapide des différends commerciaux et</w:t>
        <w:br/>
        <w:t>renforcer la sécurité juridique pour les entreprises.</w:t>
        <w:br/>
        <w:t>La mise en œuvre de ces réformes vise également</w:t>
        <w:br/>
        <w:t>à renforcer la confiance des acteurs économiques,</w:t>
        <w:br/>
        <w:t>tant nationaux qu’internationaux, en un cadre</w:t>
        <w:br/>
        <w:t>juridique stable et prévisible. Ainsi, l’État de</w:t>
        <w:br/>
        <w:t>droit constitue un fondement essentiel pour une</w:t>
        <w:br/>
        <w:t>gouvernance responsable, et un facteur clé pour</w:t>
        <w:br/>
        <w:t>le développement durable de la Côte d’Ivoire et</w:t>
        <w:br/>
        <w:t>l’attraction des investissements nécessaires à la</w:t>
        <w:br/>
        <w:t>réalisation de ses ambitions économiques.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16838" w:h="23810"/>
          <w:pgMar w:top="5639" w:right="3508" w:bottom="5055" w:left="3508" w:header="0" w:footer="3" w:gutter="1641"/>
          <w:cols w:num="2" w:space="116"/>
          <w:noEndnote/>
          <w:rtlGutter/>
          <w:docGrid w:linePitch="360"/>
        </w:sectPr>
      </w:pPr>
      <w:r>
        <w:rPr>
          <w:rStyle w:val="CharStyle19"/>
        </w:rPr>
        <w:t>Malgré les défis de gouvernance, la Côte</w:t>
        <w:br/>
        <w:t>d’Ivoire demeure une destination attrayante pour</w:t>
        <w:br/>
        <w:t>les investissements en raison de sa situation</w:t>
        <w:br/>
        <w:t>géographique stratégique, de son économie</w:t>
        <w:br/>
        <w:t>diversifiée et de ses politiques favorables au</w:t>
        <w:br/>
        <w:t>développement des activités économiques. Le</w:t>
        <w:br/>
        <w:t>pays a récemment accueilli plusieurs événements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internationaux de grande envergure, témoignant</w:t>
        <w:br/>
        <w:t>de son ouverture sur le monde et de son rôle</w:t>
        <w:br/>
        <w:t>central en Afrique. Parmi ces événements figurent</w:t>
        <w:br/>
        <w:t>la COP15 en 2022, dédiée à la préservation de</w:t>
        <w:br/>
        <w:t>la biodiversité, et le Forum économique mondial</w:t>
        <w:br/>
        <w:t>sur l’Afrique, qui a réuni des leaders politiques,</w:t>
        <w:br/>
        <w:t>économiques et d’entreprises du continent et</w:t>
        <w:br/>
        <w:t>d’ailleurs.</w:t>
      </w:r>
    </w:p>
    <w:p>
      <w:pPr>
        <w:pStyle w:val="Style28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466" w:val="left"/>
        </w:tabs>
        <w:bidi w:val="0"/>
        <w:spacing w:before="0" w:after="320" w:line="240" w:lineRule="auto"/>
        <w:ind w:left="0" w:right="0" w:firstLine="0"/>
        <w:jc w:val="both"/>
      </w:pPr>
      <w:r>
        <w:rPr>
          <w:rStyle w:val="CharStyle29"/>
          <w:b/>
          <w:bCs/>
        </w:rPr>
        <w:t>Une approche panafricaine</w:t>
        <w:br/>
        <w:t>pour renforcer l’État de droit, les</w:t>
        <w:br/>
        <w:t>institutions et la gouvernance afin</w:t>
        <w:br/>
        <w:t>d’exploiter le capital de la Côte</w:t>
        <w:br/>
        <w:t>d’Ivoire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19"/>
        </w:rPr>
        <w:t>La Côte d’Ivoire a déployé des efforts considérables</w:t>
        <w:br/>
        <w:t>pour aligner son programme de développement</w:t>
        <w:br/>
        <w:t>sur celui de ses pairs régionaux et continentaux.</w:t>
        <w:br/>
        <w:t>Le Plan National de Développement (PND) s’inscrit</w:t>
        <w:br/>
        <w:t>ainsi dans le cadre de la Vision 2063 de l’Union</w:t>
        <w:br/>
        <w:t>africaine et des Objectifs de Développement</w:t>
        <w:br/>
        <w:t>Durable (ODD). En souscrivant à ces cadres</w:t>
        <w:br/>
        <w:t>de référence, la Côte d’Ivoire ambitionne non</w:t>
        <w:br/>
        <w:t>seulement de stimuler sa croissance économique,</w:t>
        <w:br/>
        <w:t>mais aussi de renforcer l’inclusivité, la durabilité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19"/>
        </w:rPr>
        <w:t>et la gouvernance. Cette démarche permet de</w:t>
        <w:br/>
        <w:t>renforcer les liens avec les initiatives panafricaines</w:t>
        <w:br/>
        <w:t>et de garantir une mobilisation plus efficace des</w:t>
        <w:br/>
        <w:t>ressources pour le développement, tout en</w:t>
        <w:br/>
        <w:t>contribuant à la stabilité régionale et à l’atteinte</w:t>
        <w:br/>
        <w:t>des objectifs communs.</w:t>
      </w:r>
    </w:p>
    <w:p>
      <w:pPr>
        <w:pStyle w:val="Style28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462" w:val="left"/>
        </w:tabs>
        <w:bidi w:val="0"/>
        <w:spacing w:before="0" w:after="320" w:line="240" w:lineRule="auto"/>
        <w:ind w:left="0" w:right="0" w:firstLine="0"/>
        <w:jc w:val="left"/>
      </w:pPr>
      <w:r>
        <w:rPr>
          <w:rStyle w:val="CharStyle29"/>
          <w:b/>
          <w:bCs/>
        </w:rPr>
        <w:t>Conclusion et</w:t>
        <w:br/>
        <w:t>recommandations politiques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footerReference w:type="default" r:id="rId58"/>
          <w:footerReference w:type="even" r:id="rId59"/>
          <w:footnotePr>
            <w:pos w:val="pageBottom"/>
            <w:numFmt w:val="decimal"/>
            <w:numRestart w:val="continuous"/>
          </w:footnotePr>
          <w:pgSz w:w="16838" w:h="23810"/>
          <w:pgMar w:top="5639" w:right="3508" w:bottom="5055" w:left="3508" w:header="5211" w:footer="3" w:gutter="1641"/>
          <w:pgNumType w:start="32"/>
          <w:cols w:num="2" w:space="116"/>
          <w:noEndnote/>
          <w:rtlGutter w:val="0"/>
          <w:docGrid w:linePitch="360"/>
        </w:sectPr>
      </w:pPr>
      <w:r>
        <w:rPr>
          <w:rStyle w:val="CharStyle19"/>
        </w:rPr>
        <w:t>La Côte d’Ivoire dispose d’un capital</w:t>
        <w:br/>
        <w:t>important, comprenant des ressources</w:t>
        <w:br/>
        <w:t>budgétaires, naturelles, humaines, financières</w:t>
        <w:br/>
        <w:t>et dentrepreneurial. Cependant, pour exploiter</w:t>
        <w:br/>
        <w:t>pleinement ce potentiel, il est essentiel de relever les</w:t>
        <w:br/>
        <w:t>défis liés à l’exploitation de ces différentes formes</w:t>
        <w:br/>
        <w:t>de capital. Cela inclut la lutte contre l’exploitation</w:t>
        <w:br/>
        <w:t>illégale des ressources naturelles, en améliorant la</w:t>
        <w:br/>
        <w:t>surveillance, la gouvernance et en renforçant les</w:t>
        <w:br/>
        <w:t>sanctions, et en soutenant des initiatives pour la</w:t>
        <w:br/>
        <w:t>gestion durable des forêts et les mesures contre</w:t>
        <w:br/>
        <w:t>l’orpaillage illégal. Parallèlement, le pays doit</w:t>
        <w:br/>
        <w:t>renforcer l’État de droit pour solidifier la confiance</w:t>
        <w:br/>
        <w:t>des citoyens et la stabilité institutionnelle.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09" w:after="10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838" w:h="23810"/>
          <w:pgMar w:top="5646" w:right="0" w:bottom="4692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after="0" w:line="1" w:lineRule="exact"/>
      </w:pPr>
      <w:r>
        <w:drawing>
          <wp:anchor distT="0" distB="0" distL="0" distR="0" simplePos="0" relativeHeight="62914767" behindDoc="1" locked="0" layoutInCell="1" allowOverlap="1">
            <wp:simplePos x="0" y="0"/>
            <wp:positionH relativeFrom="page">
              <wp:posOffset>8236585</wp:posOffset>
            </wp:positionH>
            <wp:positionV relativeFrom="paragraph">
              <wp:posOffset>12700</wp:posOffset>
            </wp:positionV>
            <wp:extent cx="890270" cy="560705"/>
            <wp:wrapNone/>
            <wp:docPr id="111" name="Shape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box 112"/>
                    <pic:cNvPicPr/>
                  </pic:nvPicPr>
                  <pic:blipFill>
                    <a:blip r:embed="rId60"/>
                    <a:stretch/>
                  </pic:blipFill>
                  <pic:spPr>
                    <a:xfrm>
                      <a:ext cx="890270" cy="560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38" w:h="23810"/>
          <w:pgMar w:top="5646" w:right="2464" w:bottom="4692" w:left="2464" w:header="0" w:footer="3" w:gutter="1056"/>
          <w:cols w:space="720"/>
          <w:noEndnote/>
          <w:rtlGutter/>
          <w:docGrid w:linePitch="360"/>
        </w:sectPr>
      </w:pP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240" w:lineRule="auto"/>
        <w:ind w:left="1080" w:right="0" w:firstLine="0"/>
        <w:jc w:val="both"/>
        <w:rPr>
          <w:sz w:val="60"/>
          <w:szCs w:val="60"/>
        </w:rPr>
      </w:pPr>
      <w:bookmarkStart w:id="104" w:name="bookmark104"/>
      <w:r>
        <w:rPr>
          <w:rStyle w:val="CharStyle10"/>
          <w:b/>
          <w:bCs/>
          <w:sz w:val="60"/>
          <w:szCs w:val="60"/>
        </w:rPr>
        <w:t>RÉFÉRENCES</w:t>
      </w:r>
      <w:bookmarkEnd w:id="104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940" w:line="221" w:lineRule="auto"/>
        <w:ind w:left="1080" w:right="0" w:firstLine="0"/>
        <w:jc w:val="both"/>
        <w:rPr>
          <w:sz w:val="60"/>
          <w:szCs w:val="60"/>
        </w:rPr>
      </w:pPr>
      <w:r>
        <w:rPr>
          <w:rStyle w:val="CharStyle10"/>
          <w:b/>
          <w:bCs/>
          <w:sz w:val="60"/>
          <w:szCs w:val="60"/>
        </w:rPr>
        <w:t>BIBLIOGRAPHIQUES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24" w:lineRule="auto"/>
        <w:ind w:left="1080" w:right="0" w:firstLine="0"/>
        <w:jc w:val="both"/>
      </w:pPr>
      <w:r>
        <w:rPr>
          <w:rStyle w:val="CharStyle19"/>
        </w:rPr>
        <w:t>Agence nationale de la statistique (Anstat). Enquête harmonisée sur les conditions de vie des ménages en Côte d’Ivoire</w:t>
        <w:br/>
        <w:t>2021.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Agence nationale de la statistique (AnStat). Répertoire national des entreprises de Côte d’Ivoire.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Banque africaine de développement (BAD). Rapport pays pour la Côte d’Ivoire 2023 et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Banque Centrale des États de l’Afrique de l’Ouest (BCEAO). Rapport sur la politique monétaire de l’UMOA. Mars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Banque mondiale et Fonds monétaire international (FMI). Analyse conjointe de viabilité de la dette de la Côte d’Ivoire.</w:t>
        <w:br/>
        <w:t>Washington, D.C. : Banque mondiale et FMI, décembre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Direction générale des financements (DGF). Bulletin statistique de la dette publique au 31 décembre 2024. Ministère du</w:t>
        <w:br/>
        <w:t>Budget et des Finances, avril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Direction Générale du Portefeuille de l’État (DGPE). Rapport annuel sur la gestion du portefeuille de l’État 2023-2024.</w:t>
        <w:br/>
        <w:t>Ministère du patrimoine, du portefeuille de l’État et des entreprises publiques. Côte d’Ivoire : DGPE,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Fonds monétaire international (FMI). Communiqué de presse N° 25/097 : Accord au Niveau des Services sur la Quatrième</w:t>
        <w:br/>
        <w:t>Revue des Accords au titre du MEDC et de la FEC et la Troisième Revue de l’Accord au titre de la FRD. Washington, D.C.</w:t>
        <w:br/>
        <w:t>: FMI, avril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Fonds monétaire international (FMI). Demande d’accord au titre du Mécanisme pour la résilience et la durabilité —</w:t>
        <w:br/>
        <w:t>communiqué de presse ; rapport des services du FMI ; et déclaration de l’administrateur pour la Côte d’Ivoire. Washington,</w:t>
        <w:br/>
        <w:t>D.C. : FMI, avril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Fonds monétaire international (FMI). Demandes d’un accord élargi au titre du Mécanisme élargi de crédit et d’un accord</w:t>
        <w:br/>
        <w:t>de 40 mois au titre de la Facilité élargie de crédit — communiqué de presse, rapport des services du FMI, analyse de</w:t>
        <w:br/>
        <w:t>viabilité de la dette, et déclaration de l’administrateur pour la Côte d’Ivoire. Washington, D.C. : FMI, juin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Ministère de l’Économie, du Plan et du Développement (MEPD). Plan national de développement (PND) 2021-2025 :</w:t>
        <w:br/>
        <w:t>Rapport annuel de mise en œuvre 2023/2024.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Ministère de l’Économie, du Plan et du Développement (MEPD). Rapport sur la situation économique et financière en</w:t>
        <w:br/>
        <w:t>2024. Abidjan : MEPD, janvier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Ministère des Finances et du Budget. Stratégie de mobilisation des recettes à moyen terme (SRMT 2024-2028). Mai 2024.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</w:pPr>
      <w:r>
        <w:rPr>
          <w:rStyle w:val="CharStyle19"/>
        </w:rPr>
        <w:t>Programme des Nations Unies pour le développement (PNUD). Rapport sur le développement humain 2024/2025 : Une</w:t>
        <w:br/>
        <w:t>question de choix : Les individus et les possibilités à l’ère de l’IA. New York : PNUD, 2025.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60" w:line="319" w:lineRule="auto"/>
        <w:ind w:left="1080" w:right="0" w:firstLine="0"/>
        <w:jc w:val="both"/>
        <w:sectPr>
          <w:footerReference w:type="default" r:id="rId62"/>
          <w:footerReference w:type="even" r:id="rId63"/>
          <w:footnotePr>
            <w:pos w:val="pageBottom"/>
            <w:numFmt w:val="decimal"/>
            <w:numRestart w:val="continuous"/>
          </w:footnotePr>
          <w:pgSz w:w="16838" w:h="23810"/>
          <w:pgMar w:top="6102" w:right="2464" w:bottom="5182" w:left="2464" w:header="5674" w:footer="3" w:gutter="0"/>
          <w:pgNumType w:start="23"/>
          <w:cols w:space="720"/>
          <w:noEndnote/>
          <w:rtlGutter/>
          <w:docGrid w:linePitch="360"/>
        </w:sectPr>
      </w:pPr>
      <w:r>
        <w:rPr>
          <w:rStyle w:val="CharStyle19"/>
        </w:rPr>
        <w:t>Programme des Nations Unies pour le développement (PNUD). Rapport sur le développement humain 2023/2024 : Briser</w:t>
        <w:br/>
        <w:t>l’impasse. New York : PNUD, 2024.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7565390" cy="10076815"/>
            <wp:docPr id="117" name="Picutre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ext cx="7565390" cy="100768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66"/>
      <w:footerReference w:type="even" r:id="rId67"/>
      <w:footnotePr>
        <w:pos w:val="pageBottom"/>
        <w:numFmt w:val="decimal"/>
        <w:numRestart w:val="continuous"/>
      </w:footnotePr>
      <w:pgSz w:w="16838" w:h="23810"/>
      <w:pgMar w:top="3871" w:right="2464" w:bottom="3871" w:left="2464" w:header="3443" w:footer="3443" w:gutter="0"/>
      <w:pgNumType w:start="35"/>
      <w:cols w:space="720"/>
      <w:noEndnote/>
      <w:rtlGutter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177.70000000000002pt;margin-top:965.89999999999998pt;width:224.15000000000001pt;height:7.2000000000000002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177.70000000000002pt;margin-top:965.89999999999998pt;width:224.15000000000001pt;height:7.2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988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440.25pt;margin-top:964.pt;width:224.40000000000001pt;height:7.2000000000000002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906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2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153.75pt;margin-top:965.89999999999998pt;width:510.94999999999999pt;height:7.2000000000000002pt;z-index:-18874405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2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wrapNone/>
              <wp:docPr id="22" name="Shape 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906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2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position:absolute;margin-left:153.75pt;margin-top:965.89999999999998pt;width:510.94999999999999pt;height:7.2000000000000002pt;z-index:-18874405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2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24" name="Shape 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position:absolute;margin-left:177.70000000000002pt;margin-top:965.89999999999998pt;width:224.15000000000001pt;height:7.2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26" name="Shape 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2" type="#_x0000_t202" style="position:absolute;margin-left:177.70000000000002pt;margin-top:965.89999999999998pt;width:224.15000000000001pt;height:7.2000000000000002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906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2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153.75pt;margin-top:965.89999999999998pt;width:510.94999999999999pt;height:7.2000000000000002pt;z-index:-1887440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2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906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2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153.75pt;margin-top:965.89999999999998pt;width:510.94999999999999pt;height:7.2000000000000002pt;z-index:-1887440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2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177.70000000000002pt;margin-top:965.89999999999998pt;width:224.15000000000001pt;height:7.2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177.70000000000002pt;margin-top:965.89999999999998pt;width:224.15000000000001pt;height:7.2000000000000002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988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440.25pt;margin-top:964.pt;width:224.40000000000001pt;height:7.2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988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440.25pt;margin-top:964.pt;width:224.40000000000001pt;height:7.2000000000000002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6483350" cy="9144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335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1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177.20000000000002pt;margin-top:950.95000000000005pt;width:510.5pt;height:7.2000000000000002pt;z-index:-18874403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1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6483350" cy="9144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8335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1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177.20000000000002pt;margin-top:950.95000000000005pt;width:510.5pt;height:7.2000000000000002pt;z-index:-18874403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1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176.90000000000001pt;margin-top:950.95000000000005pt;width:511.19999999999999pt;height:7.2000000000000002pt;z-index:-18874403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152.80000000000001pt;margin-top:952.5pt;width:512.14999999999998pt;height:7.2000000000000002pt;z-index:-1887440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5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177.20000000000002pt;margin-top:950.95000000000005pt;width:224.15000000000001pt;height:7.2000000000000002pt;z-index:-18874402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7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177.20000000000002pt;margin-top:950.95000000000005pt;width:224.15000000000001pt;height:7.2000000000000002pt;z-index:-18874402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176.90000000000001pt;margin-top:950.95000000000005pt;width:511.19999999999999pt;height:7.2000000000000002pt;z-index:-1887440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176.90000000000001pt;margin-top:950.95000000000005pt;width:511.19999999999999pt;height:7.2000000000000002pt;z-index:-18874402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152.80000000000001pt;margin-top:952.5pt;width:512.14999999999998pt;height:7.2000000000000002pt;z-index:-1887440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152.80000000000001pt;margin-top:952.5pt;width:512.14999999999998pt;height:7.2000000000000002pt;z-index:-1887440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177.20000000000002pt;margin-top:950.95000000000005pt;width:224.15000000000001pt;height:7.2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177.20000000000002pt;margin-top:950.95000000000005pt;width:224.15000000000001pt;height:7.2000000000000002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152.80000000000001pt;margin-top:952.5pt;width:512.14999999999998pt;height:7.2000000000000002pt;z-index:-1887440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152.80000000000001pt;margin-top:952.5pt;width:512.14999999999998pt;height:7.2000000000000002pt;z-index:-1887440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177.20000000000002pt;margin-top:950.95000000000005pt;width:224.15000000000001pt;height:7.2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177.20000000000002pt;margin-top:950.95000000000005pt;width:224.15000000000001pt;height:7.2000000000000002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176.90000000000001pt;margin-top:950.95000000000005pt;width:511.19999999999999pt;height:7.2000000000000002pt;z-index:-1887440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152.80000000000001pt;margin-top:952.5pt;width:512.14999999999998pt;height:7.2000000000000002pt;z-index:-1887440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177.20000000000002pt;margin-top:950.95000000000005pt;width:224.15000000000001pt;height:7.2000000000000002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177.20000000000002pt;margin-top:950.95000000000005pt;width:224.15000000000001pt;height:7.2000000000000002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9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176.90000000000001pt;margin-top:950.95000000000005pt;width:511.19999999999999pt;height:7.2000000000000002pt;z-index:-18874399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1" behindDoc="1" locked="0" layoutInCell="1" allowOverlap="1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043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55" w:val="left"/>
                              <w:tab w:pos="1024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EBEBEB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1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</w:t>
                            <w:tab/>
                            <w:t>PORT PAYS 2025 - CÔTE D’IVOIRE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152.80000000000001pt;margin-top:952.5pt;width:512.14999999999998pt;height:7.2000000000000002pt;z-index:-18874399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55" w:val="left"/>
                        <w:tab w:pos="102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EBEBEB"/>
                          <w:sz w:val="17"/>
                          <w:szCs w:val="17"/>
                        </w:rPr>
                        <w:t>#</w:t>
                      </w:r>
                    </w:fldSimple>
                    <w:r>
                      <w:rPr>
                        <w:rStyle w:val="CharStyle21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tab/>
                    </w: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</w:t>
                      <w:tab/>
                      <w:t>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3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177.20000000000002pt;margin-top:950.95000000000005pt;width:224.15000000000001pt;height:7.2000000000000002pt;z-index:-18874399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5" behindDoc="1" locked="0" layoutInCell="1" allowOverlap="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467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RAPPORT PAYS 2025 - CÔTE D’IVOIRE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177.20000000000002pt;margin-top:950.95000000000005pt;width:224.15000000000001pt;height:7.2000000000000002pt;z-index:-18874398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231F20"/>
                        <w:sz w:val="17"/>
                        <w:szCs w:val="17"/>
                      </w:rPr>
                      <w:t>RAPPORT PAYS 2025 - CÔTE D’IVOIRE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176.90000000000001pt;margin-top:950.95000000000005pt;width:511.19999999999999pt;height:7.2000000000000002pt;z-index:-18874398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922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pos="102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21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</w:rPr>
                            <w:t>RAPPORT PAYS 2025 - CÔTE D’IVOIRE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21"/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176.90000000000001pt;margin-top:950.95000000000005pt;width:511.19999999999999pt;height:7.2000000000000002pt;z-index:-18874398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pos="102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21"/>
                        <w:rFonts w:ascii="Consolas" w:eastAsia="Consolas" w:hAnsi="Consolas" w:cs="Consolas"/>
                        <w:color w:val="373334"/>
                        <w:sz w:val="17"/>
                        <w:szCs w:val="17"/>
                      </w:rPr>
                      <w:t>RAPPORT PAYS 2025 - CÔTE D’IVOIRE</w:t>
                      <w:tab/>
                    </w:r>
                    <w:fldSimple w:instr=" PAGE \* MERGEFORMAT ">
                      <w:r>
                        <w:rPr>
                          <w:rStyle w:val="CharStyle21"/>
                          <w:rFonts w:ascii="Arial" w:eastAsia="Arial" w:hAnsi="Arial" w:cs="Arial"/>
                          <w:b/>
                          <w:bCs/>
                          <w:color w:val="FFFFFF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2">
    <w:multiLevelType w:val="multilevel"/>
    <w:lvl w:ilvl="0">
      <w:start w:val="2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4">
    <w:multiLevelType w:val="multilevel"/>
    <w:lvl w:ilvl="0">
      <w:start w:val="3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6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8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10">
    <w:multiLevelType w:val="multilevel"/>
    <w:lvl w:ilvl="0">
      <w:start w:val="1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decimal"/>
      <w:lvlText w:val="%1.%2.%3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</w:abstractNum>
  <w:abstractNum w:abstractNumId="12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14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16">
    <w:multiLevelType w:val="multilevel"/>
    <w:lvl w:ilvl="0">
      <w:start w:val="2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decimal"/>
      <w:lvlText w:val="%1.%2.%3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</w:abstractNum>
  <w:abstractNum w:abstractNumId="18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2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22">
    <w:multiLevelType w:val="multilevel"/>
    <w:lvl w:ilvl="0">
      <w:start w:val="3"/>
      <w:numFmt w:val="decimal"/>
      <w:lvlText w:val="%1"/>
    </w:lvl>
    <w:lvl w:ilvl="1">
      <w:start w:val="1"/>
      <w:numFmt w:val="decimal"/>
      <w:lvlText w:val="%1.%2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</w:abstractNum>
  <w:abstractNum w:abstractNumId="24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fr-FR" w:eastAsia="fr-FR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fr-FR" w:eastAsia="fr-FR"/>
    </w:rPr>
  </w:style>
  <w:style w:type="character" w:customStyle="1" w:styleId="CharStyle3">
    <w:name w:val="Подпись к картинке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color w:val="F0EBE7"/>
      <w:sz w:val="12"/>
      <w:szCs w:val="12"/>
      <w:u w:val="none"/>
    </w:rPr>
  </w:style>
  <w:style w:type="character" w:customStyle="1" w:styleId="CharStyle5">
    <w:name w:val="Другое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CharStyle10">
    <w:name w:val="Заголовок №1_"/>
    <w:basedOn w:val="DefaultParagraphFont"/>
    <w:link w:val="Style9"/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8"/>
      <w:szCs w:val="58"/>
      <w:u w:val="none"/>
    </w:rPr>
  </w:style>
  <w:style w:type="character" w:customStyle="1" w:styleId="CharStyle19">
    <w:name w:val="Основной текст_"/>
    <w:basedOn w:val="DefaultParagraphFont"/>
    <w:link w:val="Style18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CharStyle21">
    <w:name w:val="Колонтитул (2)_"/>
    <w:basedOn w:val="DefaultParagraphFont"/>
    <w:link w:val="Style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5">
    <w:name w:val="Оглавление_"/>
    <w:basedOn w:val="DefaultParagraphFont"/>
    <w:link w:val="Style24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CharStyle29">
    <w:name w:val="Основной текст (2)_"/>
    <w:basedOn w:val="DefaultParagraphFont"/>
    <w:link w:val="Style28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character" w:customStyle="1" w:styleId="CharStyle37">
    <w:name w:val="Заголовок №2_"/>
    <w:basedOn w:val="DefaultParagraphFont"/>
    <w:link w:val="Style36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character" w:customStyle="1" w:styleId="CharStyle39">
    <w:name w:val="Заголовок №3_"/>
    <w:basedOn w:val="DefaultParagraphFont"/>
    <w:link w:val="Style38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19"/>
      <w:szCs w:val="19"/>
      <w:u w:val="none"/>
    </w:rPr>
  </w:style>
  <w:style w:type="character" w:customStyle="1" w:styleId="CharStyle47">
    <w:name w:val="Подпись к таблице_"/>
    <w:basedOn w:val="DefaultParagraphFont"/>
    <w:link w:val="Style46"/>
    <w:rPr>
      <w:rFonts w:ascii="Arial" w:eastAsia="Arial" w:hAnsi="Arial" w:cs="Arial"/>
      <w:b w:val="0"/>
      <w:bCs w:val="0"/>
      <w:i/>
      <w:iCs/>
      <w:smallCaps w:val="0"/>
      <w:strike w:val="0"/>
      <w:color w:val="231F20"/>
      <w:sz w:val="16"/>
      <w:szCs w:val="16"/>
      <w:u w:val="none"/>
    </w:rPr>
  </w:style>
  <w:style w:type="character" w:customStyle="1" w:styleId="CharStyle54">
    <w:name w:val="Основной текст (3)_"/>
    <w:basedOn w:val="DefaultParagraphFont"/>
    <w:link w:val="Style53"/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6"/>
      <w:szCs w:val="56"/>
      <w:u w:val="none"/>
    </w:rPr>
  </w:style>
  <w:style w:type="paragraph" w:customStyle="1" w:styleId="Style2">
    <w:name w:val="Подпись к картинке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F0EBE7"/>
      <w:sz w:val="12"/>
      <w:szCs w:val="12"/>
      <w:u w:val="none"/>
    </w:rPr>
  </w:style>
  <w:style w:type="paragraph" w:customStyle="1" w:styleId="Style4">
    <w:name w:val="Другое"/>
    <w:basedOn w:val="Normal"/>
    <w:link w:val="CharStyle5"/>
    <w:pPr>
      <w:widowControl w:val="0"/>
      <w:shd w:val="clear" w:color="auto" w:fill="auto"/>
      <w:spacing w:after="200" w:line="343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paragraph" w:customStyle="1" w:styleId="Style9">
    <w:name w:val="Заголовок №1"/>
    <w:basedOn w:val="Normal"/>
    <w:link w:val="CharStyle10"/>
    <w:pPr>
      <w:widowControl w:val="0"/>
      <w:shd w:val="clear" w:color="auto" w:fill="auto"/>
      <w:spacing w:after="990"/>
      <w:ind w:firstLine="10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8"/>
      <w:szCs w:val="58"/>
      <w:u w:val="none"/>
    </w:rPr>
  </w:style>
  <w:style w:type="paragraph" w:customStyle="1" w:styleId="Style18">
    <w:name w:val="Основной текст"/>
    <w:basedOn w:val="Normal"/>
    <w:link w:val="CharStyle19"/>
    <w:pPr>
      <w:widowControl w:val="0"/>
      <w:shd w:val="clear" w:color="auto" w:fill="auto"/>
      <w:spacing w:after="200" w:line="343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paragraph" w:customStyle="1" w:styleId="Style20">
    <w:name w:val="Колонтитул (2)"/>
    <w:basedOn w:val="Normal"/>
    <w:link w:val="CharStyle21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4">
    <w:name w:val="Оглавление"/>
    <w:basedOn w:val="Normal"/>
    <w:link w:val="CharStyle25"/>
    <w:pPr>
      <w:widowControl w:val="0"/>
      <w:shd w:val="clear" w:color="auto" w:fill="auto"/>
      <w:spacing w:line="396" w:lineRule="auto"/>
      <w:ind w:left="7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paragraph" w:customStyle="1" w:styleId="Style28">
    <w:name w:val="Основной текст (2)"/>
    <w:basedOn w:val="Normal"/>
    <w:link w:val="CharStyle29"/>
    <w:pPr>
      <w:widowControl w:val="0"/>
      <w:shd w:val="clear" w:color="auto" w:fill="auto"/>
      <w:spacing w:after="290"/>
    </w:pPr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paragraph" w:customStyle="1" w:styleId="Style36">
    <w:name w:val="Заголовок №2"/>
    <w:basedOn w:val="Normal"/>
    <w:link w:val="CharStyle37"/>
    <w:pPr>
      <w:widowControl w:val="0"/>
      <w:shd w:val="clear" w:color="auto" w:fill="auto"/>
      <w:spacing w:after="32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paragraph" w:customStyle="1" w:styleId="Style38">
    <w:name w:val="Заголовок №3"/>
    <w:basedOn w:val="Normal"/>
    <w:link w:val="CharStyle39"/>
    <w:pPr>
      <w:widowControl w:val="0"/>
      <w:shd w:val="clear" w:color="auto" w:fill="auto"/>
      <w:spacing w:after="280" w:line="305" w:lineRule="auto"/>
      <w:outlineLvl w:val="2"/>
    </w:pPr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19"/>
      <w:szCs w:val="19"/>
      <w:u w:val="none"/>
    </w:rPr>
  </w:style>
  <w:style w:type="paragraph" w:customStyle="1" w:styleId="Style46">
    <w:name w:val="Подпись к таблице"/>
    <w:basedOn w:val="Normal"/>
    <w:link w:val="CharStyle47"/>
    <w:pPr>
      <w:widowControl w:val="0"/>
      <w:shd w:val="clear" w:color="auto" w:fill="auto"/>
      <w:spacing w:line="264" w:lineRule="auto"/>
    </w:pPr>
    <w:rPr>
      <w:rFonts w:ascii="Arial" w:eastAsia="Arial" w:hAnsi="Arial" w:cs="Arial"/>
      <w:b w:val="0"/>
      <w:bCs w:val="0"/>
      <w:i/>
      <w:iCs/>
      <w:smallCaps w:val="0"/>
      <w:strike w:val="0"/>
      <w:color w:val="231F20"/>
      <w:sz w:val="16"/>
      <w:szCs w:val="16"/>
      <w:u w:val="none"/>
    </w:rPr>
  </w:style>
  <w:style w:type="paragraph" w:customStyle="1" w:styleId="Style53">
    <w:name w:val="Основной текст (3)"/>
    <w:basedOn w:val="Normal"/>
    <w:link w:val="CharStyle54"/>
    <w:pPr>
      <w:widowControl w:val="0"/>
      <w:shd w:val="clear" w:color="auto" w:fill="auto"/>
      <w:spacing w:after="600"/>
    </w:pPr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6"/>
      <w:szCs w:val="5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image" Target="media/image4.jpeg"/><Relationship Id="rId19" Type="http://schemas.openxmlformats.org/officeDocument/2006/relationships/image" Target="media/image4.jpeg" TargetMode="Externa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footer" Target="footer12.xml"/><Relationship Id="rId25" Type="http://schemas.openxmlformats.org/officeDocument/2006/relationships/footer" Target="footer13.xml"/><Relationship Id="rId26" Type="http://schemas.openxmlformats.org/officeDocument/2006/relationships/footer" Target="footer14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footer" Target="footer17.xml"/><Relationship Id="rId30" Type="http://schemas.openxmlformats.org/officeDocument/2006/relationships/image" Target="media/image5.jpeg"/><Relationship Id="rId31" Type="http://schemas.openxmlformats.org/officeDocument/2006/relationships/image" Target="media/image5.jpeg" TargetMode="External"/><Relationship Id="rId32" Type="http://schemas.openxmlformats.org/officeDocument/2006/relationships/footer" Target="footer18.xml"/><Relationship Id="rId33" Type="http://schemas.openxmlformats.org/officeDocument/2006/relationships/footer" Target="footer19.xml"/><Relationship Id="rId34" Type="http://schemas.openxmlformats.org/officeDocument/2006/relationships/image" Target="media/image6.jpeg"/><Relationship Id="rId35" Type="http://schemas.openxmlformats.org/officeDocument/2006/relationships/image" Target="media/image6.jpeg" TargetMode="External"/><Relationship Id="rId36" Type="http://schemas.openxmlformats.org/officeDocument/2006/relationships/footer" Target="footer20.xml"/><Relationship Id="rId37" Type="http://schemas.openxmlformats.org/officeDocument/2006/relationships/footer" Target="footer21.xml"/><Relationship Id="rId38" Type="http://schemas.openxmlformats.org/officeDocument/2006/relationships/footer" Target="footer22.xml"/><Relationship Id="rId39" Type="http://schemas.openxmlformats.org/officeDocument/2006/relationships/footer" Target="footer23.xml"/><Relationship Id="rId40" Type="http://schemas.openxmlformats.org/officeDocument/2006/relationships/footer" Target="footer24.xml"/><Relationship Id="rId41" Type="http://schemas.openxmlformats.org/officeDocument/2006/relationships/footer" Target="footer25.xml"/><Relationship Id="rId42" Type="http://schemas.openxmlformats.org/officeDocument/2006/relationships/image" Target="media/image7.jpeg"/><Relationship Id="rId43" Type="http://schemas.openxmlformats.org/officeDocument/2006/relationships/image" Target="media/image7.jpeg" TargetMode="External"/><Relationship Id="rId44" Type="http://schemas.openxmlformats.org/officeDocument/2006/relationships/footer" Target="footer26.xml"/><Relationship Id="rId45" Type="http://schemas.openxmlformats.org/officeDocument/2006/relationships/footer" Target="footer27.xml"/><Relationship Id="rId46" Type="http://schemas.openxmlformats.org/officeDocument/2006/relationships/footer" Target="footer28.xml"/><Relationship Id="rId47" Type="http://schemas.openxmlformats.org/officeDocument/2006/relationships/footer" Target="footer29.xml"/><Relationship Id="rId48" Type="http://schemas.openxmlformats.org/officeDocument/2006/relationships/image" Target="media/image8.jpeg"/><Relationship Id="rId49" Type="http://schemas.openxmlformats.org/officeDocument/2006/relationships/image" Target="media/image8.jpeg" TargetMode="External"/><Relationship Id="rId50" Type="http://schemas.openxmlformats.org/officeDocument/2006/relationships/footer" Target="footer30.xml"/><Relationship Id="rId51" Type="http://schemas.openxmlformats.org/officeDocument/2006/relationships/footer" Target="footer31.xml"/><Relationship Id="rId52" Type="http://schemas.openxmlformats.org/officeDocument/2006/relationships/footer" Target="footer32.xml"/><Relationship Id="rId53" Type="http://schemas.openxmlformats.org/officeDocument/2006/relationships/footer" Target="footer33.xml"/><Relationship Id="rId54" Type="http://schemas.openxmlformats.org/officeDocument/2006/relationships/image" Target="media/image9.jpeg"/><Relationship Id="rId55" Type="http://schemas.openxmlformats.org/officeDocument/2006/relationships/image" Target="media/image9.jpeg" TargetMode="External"/><Relationship Id="rId56" Type="http://schemas.openxmlformats.org/officeDocument/2006/relationships/footer" Target="footer34.xml"/><Relationship Id="rId57" Type="http://schemas.openxmlformats.org/officeDocument/2006/relationships/footer" Target="footer35.xml"/><Relationship Id="rId58" Type="http://schemas.openxmlformats.org/officeDocument/2006/relationships/footer" Target="footer36.xml"/><Relationship Id="rId59" Type="http://schemas.openxmlformats.org/officeDocument/2006/relationships/footer" Target="footer37.xml"/><Relationship Id="rId60" Type="http://schemas.openxmlformats.org/officeDocument/2006/relationships/image" Target="media/image10.jpeg"/><Relationship Id="rId61" Type="http://schemas.openxmlformats.org/officeDocument/2006/relationships/image" Target="media/image10.jpeg" TargetMode="External"/><Relationship Id="rId62" Type="http://schemas.openxmlformats.org/officeDocument/2006/relationships/footer" Target="footer38.xml"/><Relationship Id="rId63" Type="http://schemas.openxmlformats.org/officeDocument/2006/relationships/footer" Target="footer39.xml"/><Relationship Id="rId64" Type="http://schemas.openxmlformats.org/officeDocument/2006/relationships/image" Target="media/image11.jpeg"/><Relationship Id="rId65" Type="http://schemas.openxmlformats.org/officeDocument/2006/relationships/image" Target="media/image11.jpeg" TargetMode="External"/><Relationship Id="rId66" Type="http://schemas.openxmlformats.org/officeDocument/2006/relationships/footer" Target="footer40.xml"/><Relationship Id="rId67" Type="http://schemas.openxmlformats.org/officeDocument/2006/relationships/footer" Target="footer41.xml"/></Relationships>
</file>