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0" w:before="0" w:line="360" w:lineRule="auto"/>
      </w:pPr>
    </w:p>
    <w:p>
      <w:pPr>
        <w:pStyle w:val="Heading2"/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Оценка профиля выбросов якорного предприятия по данным заводов-аналогов (материал к § 3.1)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Модель экосистемы с якорным предприятием опирается на величины, которые «Невинномысский Азот» публично не раскрывает: годовые выбросы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объём технологического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пригодного для передачи потребителям, их динамику по годам. Получить эти данные от предприятия предполагается по соглашению о конфиденциальности. До этого момента они оцениваются по открытым данным заводов-аналогов. Оценка не заменяет отчётности предприятия, а задаёт порядок величин, интервал неопределённости и проверочную точку, с которой затем сравниваются фактические данные.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Перенос чужих данных на объект исследования допустим только в двух формах. Переносится динамика, то есть относительное изменение выбросов сопоставимых заводов, и переносятся удельные показатели на единицу мощности. Абсолютные значения других заводов не переносятся, а уровень «Азота» определяется его собственной мощностью.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рассматриваются раздельно, поскольку первый образуется при производстве аммиака, второй — при производстве азотной кислоты, и их доли на разных комплексах различаются в разы.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Источником данных по аналогам служит программа отчётности о парниковых газах Агентства по охране окружающей среды США: по каждому заводу за 2010–2023 гг. публикуются прямые выбросы по газам и по видам деятельности, в том числе раздельно процессный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производства аммиака, выбросы от сжигания топлива и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азотной кислоты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[1]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Выбросы приведены в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-эквиваленте по потенциалам глобального потепления Четвёртого оценочного доклада МГЭИК</w:t>
      </w:r>
      <w:r>
        <w:rPr>
          <w:rStyle w:val="FootnoteReference"/>
        </w:rPr>
        <w:footnoteReference w:id="1"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Из 29 заводов, сообщавших о производстве аммиака, отобраны интегрированные азотные комплексы, сопоставимые с «Азотом» по технологической схеме. Критерии отбора и полученная выборка приведены в таблице 3.1.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3.1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Отбор заводов-аналогов и источники данных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0"/>
        <w:gridCol w:w="4683"/>
        <w:gridCol w:w="1518"/>
        <w:gridCol w:w="1164"/>
      </w:tblGrid>
      <w:tr>
        <w:trPr>
          <w:cantSplit/>
          <w:tblHeader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Шаг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Осталось заводов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Источник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Исходная совокупность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Есть процессные выбросы производства аммиака хотя бы в одном году 2010–2023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29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Технологическая схема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 2023 г. отчётность ведётся по производству аммиака и азотной кислоты одновременно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Непрерывность ряда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Есть данные за каждый год 2017–2023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Масштаб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Процессный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аммиака в 2023 г. не менее 150 тыс. т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Мощность по аммиаку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Раскрыта по площадкам в годовом отчёте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 (CF Industries)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[2]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Европейский контроль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Ряд EU ETS 2017–2022, мощность 1,9 млн т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(Yara Sluiskil)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[3]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составлено автором.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3.1 показывает, что основная выборка состоит из 19 комплексов США, а для расчёта удельных показателей на тонну мощности пригодны лишь пять из них. Выпуск аммиака по отдельным заводам в американской отчётности не раскрывается, поэтому удельные выбросы считаются на тонну паспортной мощности; мощность в годовом отчёте CF Industries уже учитывает нормальные простои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[2]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Европейский завод привлечён не для расчёта, а для сопоставления динамики в иной ценовой среде.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Динамика выбросов описывается двумя способами. Первый — индекс выбросов каждого завода к базовому 2017 г. и его медиана по выборке: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 xmlns:m="http://schemas.openxmlformats.org/officeDocument/2006/math" xmlns:w="http://schemas.openxmlformats.org/wordprocessingml/2006/main"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,</m:t>
                </m:r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t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,2017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M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limLow>
          <m:e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med</m:t>
            </m:r>
          </m:e>
          <m:lim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lim>
        </m:limLow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/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(3.1)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индекс выбросов завода i в году t;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прямые выбросы завода i в году t,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i,2017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выбросы того же завода в 2017 г.; 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медиана индексов по всем заводам выборки в году t.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Медиана устойчива к отдельным заводам с резкими изменениями, связанными с расширением или ремонтом, но не учитывает различий в масштабе. Второй способ — модель с фиксированными эффектами завода и года: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 xmlns:m="http://schemas.openxmlformats.org/officeDocument/2006/math" xmlns:w="http://schemas.openxmlformats.org/wordprocessingml/2006/main"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ln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E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α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γ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ε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2017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0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(3.2)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постоянный уровень выбросов завода i; 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общий для всех заводов эффект года t, отражающий конъюнктуру газа и удобрений, погодные и регуляторные факторы; 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случайная составляющая; нормировка 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2017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0 делает величину exp(γ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индексом к 2017 г.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Интервалы для медианы и для годовых эффектов получены бутстрепом: выборка заводов 2000 раз формировалась заново с возвращением, и по каждой псевдовыборке оценка пересчитывалась</w:t>
      </w:r>
      <w:r>
        <w:rPr>
          <w:rStyle w:val="FootnoteReference"/>
        </w:rPr>
        <w:footnoteReference w:id="2"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Результаты сопоставлены с рядом европейского аналога на рисунке 3.1.</w:t>
      </w:r>
    </w:p>
    <w:p>
      <w:pPr>
        <w:keepNext/>
        <w:jc w:val="center"/>
      </w:pPr>
      <w:r>
        <w:drawing>
          <wp:inline distT="0" distB="0" distL="0" distR="0">
            <wp:extent cx="5715000" cy="3114675"/>
            <wp:effectExtent t="0" r="0" b="0" l="0"/>
            <wp:docPr id="1" name="fig3_1.svg" descr="fig3_1.svg" title="fig3_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3.1 – Динамика выбросов интегрированных азотных комплексов США и завода Yara Sluiskil, 2017 = 1</w:t>
      </w:r>
    </w:p>
    <w:p>
      <w:pPr>
        <w:keepNext w:val="false"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рассчитано автором по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[1, 3]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3.1 показывает, что выбросы американских комплексов за 2017–2023 гг. не снижались: годовой эффект 2023 г. равен 1,089 (95 % интервал 1,003–1,188), медиана индексов — 1,028. Европейский завод за то же время сократил выбросы на 28 %, причём наибольшее падение пришлось на 2022 г., когда выпуск аммиака в Европе сокращался из-за цен на газ. Для «Азота» ближе американская динамика: российские производители, как и американские, работали в условиях дешёвого газа и без цены на выбросы. Перенос европейской динамики занизил бы оценку на четверть и более.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Уровень выбросов «Азота» оценивается по удельным показателям аналогов на тонну мощности. Для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 xmlns:m="http://schemas.openxmlformats.org/officeDocument/2006/math" xmlns:w="http://schemas.openxmlformats.org/wordprocessingml/2006/main">
        <m:sSubSup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CO2</m:t>
            </m:r>
          </m:sup>
        </m:sSubSup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Cap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Аз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limLow>
          <m:e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med</m:t>
            </m:r>
          </m:e>
          <m:lim>
            <m:r>
              <w:rPr>
                <w:rFonts w:ascii="Cambria Math" w:hAnsi="Cambria Math"/>
                <w:i/>
                <w:sz w:val="28"/>
                <w:szCs w:val="28"/>
              </w:rPr>
              <m:t xml:space="preserve">k</m:t>
            </m:r>
          </m:lim>
        </m:limLow>
        <m:d>
          <m:dPr>
            <m:begChr m:val="("/>
            <m:endChr m:val=")"/>
          </m:dPr>
          <m:e>
            <m:f>
              <m:num>
                <m:sSubSup>
                  <m:e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E</m:t>
                    </m:r>
                  </m:e>
                  <m:sub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k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i w:val="0"/>
                        <w:sz w:val="28"/>
                        <w:szCs w:val="28"/>
                      </w:rPr>
                      <m:t xml:space="preserve">CO2</m:t>
                    </m:r>
                  </m:sup>
                </m:sSubSup>
              </m:num>
              <m:den>
                <m:sSub>
                  <m:e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Cap</m:t>
                    </m:r>
                  </m:e>
                  <m:sub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k</m:t>
                    </m:r>
                  </m:sub>
                </m:sSub>
              </m:den>
            </m:f>
          </m:e>
        </m:d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(3.3)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Аз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CO2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оценка годовых выбросов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«Азота», т; Cap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Аз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мощность «Азота» по аммиаку, т/год;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CO2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выбросы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аналога k в 2022 г., т; Cap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мощность аналога k по аммиаку, т/год.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Выбросы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зависят от выпуска азотной кислоты и степени каталитической очистки, о которых по «Азоту» открытых данных нет. Поэтому они оцениваются через отношение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к процессному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аммиака, наблюдаемое у 19 аналогов: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 xmlns:m="http://schemas.openxmlformats.org/officeDocument/2006/math" xmlns:w="http://schemas.openxmlformats.org/wordprocessingml/2006/main">
        <m:sSubSup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N2O</m:t>
            </m:r>
          </m:sup>
        </m:sSubSup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Cap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Аз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пр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limLow>
          <m:e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med</m:t>
            </m:r>
          </m:e>
          <m:lim>
            <m:r>
              <w:rPr>
                <w:rFonts w:ascii="Cambria Math" w:hAnsi="Cambria Math"/>
                <w:i/>
                <w:sz w:val="28"/>
                <w:szCs w:val="28"/>
              </w:rPr>
              <m:t xml:space="preserve">k</m:t>
            </m:r>
          </m:lim>
        </m:limLow>
        <m:d>
          <m:dPr>
            <m:begChr m:val="("/>
            <m:endChr m:val=")"/>
          </m:dPr>
          <m:e>
            <m:f>
              <m:num>
                <m:sSubSup>
                  <m:e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E</m:t>
                    </m:r>
                  </m:e>
                  <m:sub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k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i w:val="0"/>
                        <w:sz w:val="28"/>
                        <w:szCs w:val="28"/>
                      </w:rPr>
                      <m:t xml:space="preserve">N2O</m:t>
                    </m:r>
                  </m:sup>
                </m:sSubSup>
              </m:num>
              <m:den>
                <m:sSubSup>
                  <m:e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E</m:t>
                    </m:r>
                  </m:e>
                  <m:sub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k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i w:val="0"/>
                        <w:sz w:val="28"/>
                        <w:szCs w:val="28"/>
                      </w:rPr>
                      <m:t xml:space="preserve">пр</m:t>
                    </m:r>
                  </m:sup>
                </m:sSubSup>
              </m:den>
            </m:f>
          </m:e>
        </m:d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(3.4)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Аз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N2O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оценка выбросов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«Азота»,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процессный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аммиака на тонну мощности (медиана аналогов);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N2O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выбросы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азотной кислоты и процессный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аммиака аналога k в 2023 г.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Ряд за 2017–2023 гг. восстанавливается от уровня 2023 г. по годовым эффектам: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 xmlns:m="http://schemas.openxmlformats.org/officeDocument/2006/math" xmlns:w="http://schemas.openxmlformats.org/wordprocessingml/2006/main">
        <m:sSub>
          <m:e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Ê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Аз,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d>
          <m:dPr>
            <m:begChr m:val="("/>
            <m:endChr m:val=")"/>
          </m:dPr>
          <m:e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Аз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CO2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 + </m:t>
            </m:r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Аз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N2O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sSup>
          <m:e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e</m:t>
            </m:r>
          </m:e>
          <m:sup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γ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 − </m:t>
            </m:r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γ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2023</m:t>
                </m:r>
              </m:sub>
            </m:sSub>
          </m:sup>
        </m:sSup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(3.5)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Ê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Аз,t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оценка выбросов «Азота» в году t,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-экв.; 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годовые эффекты модели (3.2).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Мощность «Невинномысского Азота» по аммиаку в первичном документе пока не подтверждена: в открытых материалах встречаются значения от 1,0 до 1,35 млн т в год, а центральное значение 1,16 млн т требует сверки с годовым отчётом эмитента. Результаты для центральной мощности приведены в таблице 3.2.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3.2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Оценка выбросов АО «Невинномысский Азот» по заводам-аналогам при мощности 1,16 млн т аммиака в год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5"/>
        <w:gridCol w:w="1046"/>
        <w:gridCol w:w="1518"/>
        <w:gridCol w:w="1046"/>
        <w:gridCol w:w="2200"/>
      </w:tblGrid>
      <w:tr>
        <w:trPr>
          <w:cantSplit/>
          <w:tblHeader/>
        </w:trPr>
        <w:tc>
          <w:tcPr>
            <w:tcW w:type="dxa" w:w="3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Нижняя граница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Центральная оценка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Верхняя граница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Основа интервала</w:t>
            </w:r>
          </w:p>
        </w:tc>
      </w:tr>
      <w:tr>
        <w:trPr>
          <w:cantSplit/>
          <w:tblHeader w:val="false"/>
        </w:trPr>
        <w:tc>
          <w:tcPr>
            <w:tcW w:type="dxa" w:w="3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на тонну мощности у аналогов, т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1,99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2,16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2,30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мин./медиана/макс. по 5 комплексам</w:t>
            </w:r>
          </w:p>
        </w:tc>
      </w:tr>
      <w:tr>
        <w:trPr>
          <w:cantSplit/>
          <w:tblHeader w:val="false"/>
        </w:trPr>
        <w:tc>
          <w:tcPr>
            <w:tcW w:type="dxa" w:w="3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к процессному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у аналогов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0,10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0,35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0,61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квартили по 19 комплексам</w:t>
            </w:r>
          </w:p>
        </w:tc>
      </w:tr>
      <w:tr>
        <w:trPr>
          <w:cantSplit/>
          <w:tblHeader w:val="false"/>
        </w:trPr>
        <w:tc>
          <w:tcPr>
            <w:tcW w:type="dxa" w:w="3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Выбросы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«Азота», тыс. т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2 309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2 510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2 665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формула (3.3)</w:t>
            </w:r>
          </w:p>
        </w:tc>
      </w:tr>
      <w:tr>
        <w:trPr>
          <w:cantSplit/>
          <w:tblHeader w:val="false"/>
        </w:trPr>
        <w:tc>
          <w:tcPr>
            <w:tcW w:type="dxa" w:w="3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Выбросы 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«Азота», тыс. т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-экв.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150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519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893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формула (3.4)</w:t>
            </w:r>
          </w:p>
        </w:tc>
      </w:tr>
      <w:tr>
        <w:trPr>
          <w:cantSplit/>
          <w:tblHeader w:val="false"/>
        </w:trPr>
        <w:tc>
          <w:tcPr>
            <w:tcW w:type="dxa" w:w="3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Всего, тыс. т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-экв.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2 459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3 030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3 559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сумма</w:t>
            </w:r>
          </w:p>
        </w:tc>
      </w:tr>
      <w:tr>
        <w:trPr>
          <w:cantSplit/>
          <w:tblHeader w:val="false"/>
        </w:trPr>
        <w:tc>
          <w:tcPr>
            <w:tcW w:type="dxa" w:w="3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Процессный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аммиака (поток, пригодный для обмена), тыс. т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1 469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1,27 т на т мощности</w:t>
            </w:r>
          </w:p>
        </w:tc>
      </w:tr>
      <w:tr>
        <w:trPr>
          <w:cantSplit/>
          <w:tblHeader w:val="false"/>
        </w:trPr>
        <w:tc>
          <w:tcPr>
            <w:tcW w:type="dxa" w:w="3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Модельная оценка Climate TRACE, тыс. т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-экв.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1 444</w:t>
            </w:r>
          </w:p>
        </w:tc>
        <w:tc>
          <w:tcPr>
            <w:tcW w:type="dxa" w:w="10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[4]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рассчитано автором по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[1, 2, 4]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 таблицы 3.2 следуют два вывода. Первый касается проверки: оценка по аналогам в 2,1 раза выше модельной оценки Climate TRACE. Расхождение того же знака и порядка наблюдается у самих аналогов: для комплексов Donaldsonville, Port Neal и Verdigris измеренные выбросы превышают модельные в 1,7–2,8 раза, для Woodward и Yara Sluiskil отношение составляет 0,83 и 1,05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[1, 4]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Модельная оценка интегрированных азотных комплексов систематически занижена, поэтому как самостоятельная оценка уровня «Азота» она непригодна. Второй вывод касается модели экосистемы. Процессный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высокой чистоты, образующийся при производстве аммиака, оценивается примерно в 1,5 млн т в год, а действующее с 2018 г. производство пищевой жидкой углекислоты мощностью 32 тыс. т в год</w:t>
      </w:r>
      <w:r>
        <w:rPr>
          <w:rStyle w:val="FootnoteReference"/>
        </w:rPr>
        <w:footnoteReference w:id="3"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использует около 2 % этого потока. Ограничение для обменов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Невинномысске создаёт спрос, а не предложение.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Ряд за 2017–2023 гг., построенный по формуле (3.5), начинается с 2,78 млн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 в 2017 г. и заканчивается оценкой 3,03 млн т в 2023 г.; интервал, связанный только с неопределённостью динамики, в 2023 г. составляет 2,79–3,31 млн т. При мощности 1,0 и 1,35 млн т уровень пропорционально смещается до 2,61 и 3,53 млн т. Остановки предприятия в 2025–2026 гг. в ряд не входят и должны учитываться в параметре риска остановки якоря модели § 3.2 по фактическим данным.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Оценка опровергается тремя наблюдениями. Если фактические выбросы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«Азота» на тонну аммиака окажутся вне диапазона 1,99–2,30 т, удельные показатели американских комплексов неприменимы, и причину следует искать в различиях технологии или границ учёта, прежде всего в учёте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связанного в карбамиде. Если выбросы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выйдут за пределы 0,15–0,89 млн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-экв., неверна гипотеза о сопоставимой глубине очистки на агрегатах азотной кислоты. Если динамика «Азота» за 2017–2023 гг. повторяет европейское снижение, а не американскую стабильность, перенос динамики по ценовому режиму газа неверен. Все исходные данные и расчёты приведены в приложенной рабочей книге Excel с панелью аналогов, что делает оценку воспроизводимой.</w:t>
      </w:r>
    </w:p>
    <w:p>
      <w:r>
        <w:br w:type="page"/>
      </w:r>
    </w:p>
    <w:p>
      <w:pPr>
        <w:pStyle w:val="Heading2"/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СПИСОК ИСТОЧНИКОВ</w:t>
      </w:r>
    </w:p>
    <w:p>
      <w:pPr>
        <w:spacing w:after="0" w:before="0" w:line="360" w:lineRule="auto"/>
      </w:pP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Greenhouse Gas Reporting Program (GHGRP). Data Summary Spreadsheets, reporting years 2010–2023 (data as of 16.08.2024) / U.S. Environmental Protection Agency. URL: https://www.epa.gov/ghgreporting/data-sets (дата обращения: 13.10.2026).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CF Industries Holdings, Inc. Annual Report on Form 10-K for the fiscal year ended December 31, 2022. Deerfield, IL, 2023. URL: https://www.sec.gov/Archives/edgar/data/1324404/000132440423000006/cf-20221231.htm (дата обращения: 13.10.2026).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Lamboo S. Update Report: Decarbonisation options for the Dutch fertiliser industry. The Hague: PBL Netherlands Environmental Assessment Agency; TNO, 2024.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Climate TRACE Emissions Inventory, v5.10.0 [Data set] / Climate TRACE Coalition. Zenodo, 2026. URL: https://zenodo.org/records/20414751 (дата обращения: 13.10.2026).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0" w:before="0" w:line="240" w:lineRule="auto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IPCC. Climate Change 2007: The Physical Science Basis. Contribution of Working Group I to the Fourth Assessment Report. Cambridge: Cambridge University Press, 2007.</w:t>
      </w:r>
    </w:p>
  </w:footnote>
  <w:footnote w:id="2">
    <w:p>
      <w:pPr>
        <w:spacing w:after="0" w:before="0" w:line="240" w:lineRule="auto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Efron B. Bootstrap Methods: Another Look at the Jackknife // The Annals of Statistics. 1979. Vol. 7, no. 1. P. 1–26.</w:t>
      </w:r>
    </w:p>
  </w:footnote>
  <w:footnote w:id="3">
    <w:p>
      <w:pPr>
        <w:spacing w:after="0" w:before="0" w:line="240" w:lineRule="auto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EuroChem начал производство пищевой жидкой углекислоты в Невинномысске: пресс-релиз от 21.12.2018 // RCCnews. 2019. 21 янв. URL: https://rccnews.ru/en/news/103512/ (дата обращения: 13.10.2026).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 w:line="360" w:lineRule="auto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0" w:before="0" w:line="360" w:lineRule="auto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0" w:before="0" w:line="360" w:lineRule="auto"/>
      <w:outlineLvl w:val="2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5840a2e22972360a97ebcfb66c2975df7f94237.svg"/><Relationship Id="rId9" Type="http://schemas.openxmlformats.org/officeDocument/2006/relationships/image" Target="media/746f775ef9e415bf6c9b70318add6a0757c01cc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2026-10-13T07:08:54.603Z</dcterms:created>
  <dcterms:modified xsi:type="dcterms:W3CDTF">2026-10-13T07:08:54.604Z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