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i w:val="0"/>
          <w:sz w:val="28"/>
        </w:rPr>
        <w:t>НАУЧНАЯ НОВИЗНА И ПОЛОЖЕНИЯ, ВЫНОСИМЫЕ НА ЗАЩИТУ</w:t>
      </w:r>
    </w:p>
    <w:p>
      <w:pPr>
        <w:ind w:firstLine="0"/>
        <w:jc w:val="center"/>
      </w:pPr>
      <w:r>
        <w:rPr>
          <w:b w:val="0"/>
          <w:i/>
          <w:sz w:val="28"/>
        </w:rPr>
        <w:t>Проект к введению и автореферату, редакция 24.10.2026</w:t>
      </w:r>
    </w:p>
    <w:p>
      <w:pPr>
        <w:ind w:firstLine="0"/>
        <w:jc w:val="center"/>
      </w:pPr>
      <w:r>
        <w:rPr>
          <w:b/>
          <w:i w:val="0"/>
          <w:sz w:val="28"/>
        </w:rPr>
        <w:t>Пояснение к проекту (во введение не включается)</w:t>
      </w:r>
    </w:p>
    <w:p>
      <w:r>
        <w:rPr>
          <w:b w:val="0"/>
          <w:i w:val="0"/>
          <w:sz w:val="28"/>
        </w:rPr>
        <w:t>Перечень составлен по текстам глав 1–3 в редакции 21.10.2026 с правками 24.10.2026. Каждое положение построено по одной схеме: что предложено, чем это отличается от известных постановок, чем доказано в работе и какое наблюдение его опровергло бы. Числа, которые могут измениться после получения статистики АО «Невинномысский Азот», заключены в квадратные скобки с пометкой [А]; их перечень приведён в таблице 2. Сами формулировки положений от этих чисел не зависят, поэтому раздел можно согласовывать с научным руководителем до завершения заключения.</w:t>
      </w:r>
    </w:p>
    <w:p>
      <w:pPr>
        <w:ind w:firstLine="0"/>
        <w:jc w:val="center"/>
      </w:pPr>
      <w:r>
        <w:rPr>
          <w:b/>
          <w:i w:val="0"/>
          <w:sz w:val="28"/>
        </w:rPr>
        <w:t>Научная новизна</w:t>
      </w:r>
    </w:p>
    <w:p>
      <w:r>
        <w:rPr>
          <w:b w:val="0"/>
          <w:i w:val="0"/>
          <w:sz w:val="28"/>
        </w:rPr>
        <w:t>Научная новизна исследования состоит в разработке теоретико-методических положений и организационно-экономического механизма формирования экосистемы промышленного комплекса моногорода на основе экоплатформы, которая измеряет межфирменные ресурсные обмены, согласует их условия и распределяет подтверждённый эффект между участниками и бюджетом территории. Наиболее существенные результаты, полученные лично соискателем, состоят в следующем.</w:t>
      </w:r>
    </w:p>
    <w:p>
      <w:r>
        <w:rPr>
          <w:b w:val="0"/>
          <w:i w:val="0"/>
          <w:sz w:val="28"/>
        </w:rPr>
        <w:t>1. Уточнено понятие промышленной экоплатформы как организационно-экономического механизма промышленной экосистемы с тремя проверяемыми признаками: измерением ресурсных обменов, согласованием их условий и распределением верифицированного эффекта с участием бюджета территории. В отличие от трактовок кластера, индустриального парка и цифровой биржи отходов различительным признаком принято правило присвоения эффекта, а не состав участников. Предложено разложение индекса синергетической плотности на коэффициенты экономической и организационной реализуемости, которое отделяет нехватку окупаемых обменов от неспособности заключить окупаемые (§ 1.1.3, 1.2.2).</w:t>
      </w:r>
    </w:p>
    <w:p>
      <w:r>
        <w:rPr>
          <w:b w:val="0"/>
          <w:i w:val="0"/>
          <w:sz w:val="28"/>
        </w:rPr>
        <w:t>2. Разработана методика оценки дополнительного экономического эффекта экоплатформы относительно контрфактического состояния «без платформы». Методика исключает внутренние трансферты между участниками и вычитает затраты на создание и поддержание связей, благодаря чему у сети появляется экономически оптимальная связность. На этой основе введён симбиотический дивиденд, который начисляется только на подтверждённый положительный эффект и распределяется по схемам с долями, зависящими от достигнутой связности; справедливость долей проверяется вектором Шепли, а условием участия служит коридор договорной цены (§ 2.3–2.5).</w:t>
      </w:r>
    </w:p>
    <w:p>
      <w:r>
        <w:rPr>
          <w:b w:val="0"/>
          <w:i w:val="0"/>
          <w:sz w:val="28"/>
        </w:rPr>
        <w:t>3. Построена двухуровневая модель равновесной связности экосистемы с якорным предприятием. На нижнем уровне решение резидента об участии учитывает норму режима ТОСЭР о предельной доле продаж градообразующей организации, на верхнем выбор механизма поддержки ограничен бюджетным условием ликвидации накопленного ущерба. Разрыв между оптимальной и равновесной связностью получил денежную меру — цену его закрытия, а распределение эффекта скорректировано на риск остановки якоря. Закрытые параметры якоря откалиброваны по открытой отчётности 19 азотных комплексов-аналогов с присвоением каждому параметру класса качества данных (§ 3.1, 3.2).</w:t>
      </w:r>
    </w:p>
    <w:p>
      <w:r>
        <w:rPr>
          <w:b w:val="0"/>
          <w:i w:val="0"/>
          <w:sz w:val="28"/>
        </w:rPr>
        <w:t>4. Установлена экономическая граница между переходным и экосистемным состояниями: порог связности, при котором подтверждённый эффект покрывает постоянные затраты платформы. Обратным расчётом оценён информационный барьер, при котором модель воспроизводит наблюдаемую связность моногорода, и порог барьера, выше которого платформа превосходит двусторонние сделки. Доказано, что компенсация затрат подключения влияет на участие малых резидентов сильнее дивиденда при любой из четырёх рассмотренных моделей поведения (§ 3.2.3, 3.3.2–3.3.4).</w:t>
      </w:r>
    </w:p>
    <w:p>
      <w:r>
        <w:rPr>
          <w:b w:val="0"/>
          <w:i w:val="0"/>
          <w:sz w:val="28"/>
        </w:rPr>
        <w:t>5. Обоснован организационно-экономический механизм формирования экосистемы с разделением функций измерения и получения эффекта, доверительным управлением данными и тремя финансовыми контурами. Баланс бенефициаров показал, что платформа сужает целевой источник финансирования ликвидации накопленного вреда — плату за НВОС, и механизм дополнен его замещением. Предложены дорожная карта на 2027–2036 гг. с пороговыми условиями перехода между этапами и план оценки после запуска, в котором для каждого допущения названо опровергающее наблюдение (§ 3.3.5, 3.5).</w:t>
      </w:r>
    </w:p>
    <w:p>
      <w:pPr>
        <w:ind w:firstLine="0"/>
        <w:jc w:val="center"/>
      </w:pPr>
      <w:r>
        <w:rPr>
          <w:b/>
          <w:i w:val="0"/>
          <w:sz w:val="28"/>
        </w:rPr>
        <w:t>Положения, выносимые на защиту</w:t>
      </w:r>
    </w:p>
    <w:p>
      <w:r>
        <w:rPr>
          <w:b w:val="0"/>
          <w:i w:val="0"/>
          <w:sz w:val="28"/>
        </w:rPr>
        <w:t>На защиту выносятся следующие положения.</w:t>
      </w:r>
    </w:p>
    <w:p>
      <w:r>
        <w:rPr>
          <w:b w:val="0"/>
          <w:i w:val="0"/>
          <w:sz w:val="28"/>
        </w:rPr>
        <w:t xml:space="preserve">1. Дефицит промышленного симбиоза в моногороде с благоприятным составом участников вызван отсутствием институтов измерения и распределения межфирменного эффекта, а не нехваткой ресурсов или инфраструктуры. Индекс синергетической плотности раскладывается на коэффициент экономической реализуемости </w:t>
      </w:r>
      <w:r>
        <w:rPr>
          <w:b w:val="0"/>
          <w:i/>
          <w:sz w:val="28"/>
        </w:rPr>
        <w:t>η</w:t>
      </w:r>
      <w:r>
        <w:rPr>
          <w:b w:val="0"/>
          <w:sz w:val="28"/>
          <w:vertAlign w:val="subscript"/>
        </w:rPr>
        <w:t>эк</w:t>
      </w:r>
      <w:r>
        <w:rPr>
          <w:b w:val="0"/>
          <w:i w:val="0"/>
          <w:sz w:val="28"/>
        </w:rPr>
        <w:t xml:space="preserve"> и коэффициент организационной реализации </w:t>
      </w:r>
      <w:r>
        <w:rPr>
          <w:b w:val="0"/>
          <w:i/>
          <w:sz w:val="28"/>
        </w:rPr>
        <w:t>η</w:t>
      </w:r>
      <w:r>
        <w:rPr>
          <w:b w:val="0"/>
          <w:sz w:val="28"/>
          <w:vertAlign w:val="subscript"/>
        </w:rPr>
        <w:t>орг</w:t>
      </w:r>
      <w:r>
        <w:rPr>
          <w:b w:val="0"/>
          <w:i w:val="0"/>
          <w:sz w:val="28"/>
        </w:rPr>
        <w:t xml:space="preserve">. Действующие институты — режим ТОСЭР, государственно-частное партнёрство, плата за негативное воздействие, финансирование экотехнопарков — увеличивают число потенциальных обменов и отчасти их окупаемость, но ни один не влияет на долю окупаемых обменов, которые действительно заключаются. Эту нишу занимает экоплатформа, обязательными признаками которой являются измерение, согласование и распределение; отсутствие любого из них переводит объект в категорию кластера, парка или биржи отходов. Положение будет опровергнуто, если после запуска платформы коэффициент </w:t>
      </w:r>
      <w:r>
        <w:rPr>
          <w:b w:val="0"/>
          <w:i/>
          <w:sz w:val="28"/>
        </w:rPr>
        <w:t>η</w:t>
      </w:r>
      <w:r>
        <w:rPr>
          <w:b w:val="0"/>
          <w:sz w:val="28"/>
          <w:vertAlign w:val="subscript"/>
        </w:rPr>
        <w:t>орг</w:t>
      </w:r>
      <w:r>
        <w:rPr>
          <w:b w:val="0"/>
          <w:i w:val="0"/>
          <w:sz w:val="28"/>
        </w:rPr>
        <w:t xml:space="preserve"> не вырастет.</w:t>
      </w:r>
    </w:p>
    <w:p>
      <w:r>
        <w:rPr>
          <w:b w:val="0"/>
          <w:i w:val="0"/>
          <w:sz w:val="28"/>
        </w:rPr>
        <w:t>2. Эффект экоплатформы определяется как изменение денежных потоков участников относительно состояния «без платформы» за вычетом затрат на создание и поддержание связей; цена обмена влияет на раздел эффекта, но не на его величину. В демонстрационном сценарии при валовой экономии 239,7 млн руб. в год чистый эффект составляет 117,4 млн руб., а затраты платформы и сделок поглощают 29 % валовой экономии. Симбиотический дивиденд начисляется только на подтверждённый положительный эффект и не может служить источником возврата капитала ни оператору, ни публичному партнёру: он задаёт стимулы, а финансирование строится через сервисный платёж и бюджетные контуры. Вектор Шепли, использованный как контрольный критерий, показал, что наибольший вклад вносят резиденты как группа, тогда как схема распределения симулятора отводит им наименьшую долю.</w:t>
      </w:r>
    </w:p>
    <w:p>
      <w:r>
        <w:rPr>
          <w:b w:val="0"/>
          <w:i w:val="0"/>
          <w:sz w:val="28"/>
        </w:rPr>
        <w:t>3. Равновесная связность экосистемы с якорным предприятием систематически ниже оптимальной, и без внешнего толчка сеть остаётся в нижнем равновесии. Двухуровневая модель, учитывающая норму 50 % режима ТОСЭР и бюджетное условие ликвидации ущерба, даёт для Невинномысска в 2027 г. равновесную связность 0,169 при оптимальной 0,244; цена закрытия разрыва для схемы В составляет 2,26 млн руб. в 2027 г. и снижается до 1,30 млн руб. к 2036 г. Норма ТОСЭР мягка для низкомаржинальных и жёстка для высокомаржинальных резидентов-поставщиков якоря, поэтому обмен, в котором якорь выступает покупателем, следует проектировать сразу со вторым покупателем. Параметры якоря перенесены с азотных комплексов-аналогов: выбросы CO₂ в границе МГЭИК [1,81 млн т] [А], вероятность простоя с модой [0,05] [А]. Положение будет опровергнуто, если связность без мер поддержки достигнет оптимального уровня.</w:t>
      </w:r>
    </w:p>
    <w:p>
      <w:r>
        <w:rPr>
          <w:b w:val="0"/>
          <w:i w:val="0"/>
          <w:sz w:val="28"/>
        </w:rPr>
        <w:t xml:space="preserve">4. Граница между переходным и экосистемным состояниями определяется не сценарными порогами 5 и 15 %, а порогом окупаемости платформы </w:t>
      </w:r>
      <w:r>
        <w:rPr>
          <w:b w:val="0"/>
          <w:i/>
          <w:sz w:val="28"/>
        </w:rPr>
        <w:t>C</w:t>
      </w:r>
      <w:r>
        <w:rPr>
          <w:b w:val="0"/>
          <w:sz w:val="28"/>
          <w:vertAlign w:val="subscript"/>
        </w:rPr>
        <w:t>min</w:t>
      </w:r>
      <w:r>
        <w:rPr>
          <w:b w:val="0"/>
          <w:i w:val="0"/>
          <w:sz w:val="28"/>
        </w:rPr>
        <w:t>, который для Невинномысска снижается с 0,089 в 2027 г. до 0,062 в 2036 г. Одна действующая межзаводская связь воспроизводится моделью при информационном барьере не ниже 1,75 млн руб. в год на резидента, а платформа превосходит двусторонние сделки только при барьере не ниже 0,9–1,05 млн руб. Компенсация 30 % затрат подключения добавляет четырёх резидентов при бюджетных затратах около 2,6 млн руб. в год, дивиденд — не более двух; преимущество компенсации сохраняется при всех четырёх моделях поведения, и она оказывается лучшим механизмом в 54–81 % испытаний Монте-Карло. Положение будет опровергнуто, если обследование покажет, что резиденты тратят на поиск и согласование договора заметно меньше 1 млн руб. в год, а обмены всё равно не начинаются.</w:t>
      </w:r>
    </w:p>
    <w:p>
      <w:r>
        <w:rPr>
          <w:b w:val="0"/>
          <w:i w:val="0"/>
          <w:sz w:val="28"/>
        </w:rPr>
        <w:t>5. Экоплатформа перераспределяет выигрыш в пользу резидентов ТОСЭР, а основным проигравшим оказывается бюджет города, теряющий плату за НВОС, которая с 2022 г. целевым образом направляется на ликвидацию накопленного вреда. Дивиденд не покрывает потребность в ликвидации ни при одном сочетании параметров: внешний источник должен давать 86–91 % средств. Поэтому механизм формирования экосистемы включает операционный, стимулирующий и экологический финансовые контуры, публичную поддержку 28–32 млн руб. в год сверх дивиденда, из которых краевой трансферт покрывает около трети, и дорожную карту из трёх этапов с пороговыми условиями перехода. Платформа не является инструментом декарбонизации якоря: её вклад в сокращение его выбросов составляет [0,2–0,4 %] [А], тогда как очистка N₂O даёт [38 %] [А]. Положение будет опровергнуто, если доля бюджета в дивиденде вместе с целевой платой за НВОС покроет стоимость ликвидации без внешнего источника.</w:t>
      </w:r>
    </w:p>
    <w:p>
      <w:r>
        <w:rPr>
          <w:b w:val="0"/>
          <w:i w:val="0"/>
          <w:sz w:val="28"/>
        </w:rPr>
        <w:t>Связь положений с текстом диссертации, формулами, экранами имитационной модели и паспортом специальности показана в таблице 1. Последний столбец повторяет распределение пунктов паспорта, принятое в § 1.5.3.</w:t>
      </w:r>
    </w:p>
    <w:p>
      <w:pPr>
        <w:keepNext/>
        <w:ind w:firstLine="0"/>
        <w:jc w:val="right"/>
      </w:pPr>
      <w:r>
        <w:rPr>
          <w:b w:val="0"/>
          <w:i w:val="0"/>
          <w:sz w:val="28"/>
        </w:rPr>
        <w:t>Таблица 1</w:t>
      </w:r>
    </w:p>
    <w:p>
      <w:pPr>
        <w:keepNext/>
        <w:ind w:firstLine="0"/>
        <w:jc w:val="center"/>
      </w:pPr>
      <w:r>
        <w:rPr>
          <w:b w:val="0"/>
          <w:i w:val="0"/>
          <w:sz w:val="28"/>
        </w:rPr>
        <w:t>Соответствие положений, выносимых на защиту, разделам диссертации, имитационной модели и паспорту специальности 5.2.3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</w:trP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Положение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Где обосновано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Ключевые формулы и таблицы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Элементы имитационной модели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Пункты паспорта 5.2.3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§ 1.1.3, 1.2.2, 1.5.2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(1.1)–(1.4); табл. 1.1, 1.2, 1.10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Генезис Г1–Г6, паспорт модели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2.4, 2.15, 7.5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§ 2.3–2.5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(2.7)–(2.11), (2.14), (2.16)–(2.20′); табл. 2.6, 2.9, 2.10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Вкладка «Симуляция», схемы А/Б/В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9.1, 9.10, 2.12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§ 3.1, 3.2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(3.1)–(3.12), (3.15)–(3.30)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Н1, Н2, Н3, А1, А2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1.14, 2.4, 2.10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§ 3.2.3, 3.3.2–3.3.4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(3.34), (3.35); табл. 3.11, 3.11а, 3.12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Н4, Н5, «Ретропрогноз»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2.10, 2.12, 7.5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§ 3.3.5, 3.4, 3.5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(3.21); табл. 3.19, 3.21, 3.22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Н6, режим «Правительство территории»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9.10, 9.11, 2.12, 2.10</w:t>
            </w:r>
          </w:p>
        </w:tc>
      </w:tr>
    </w:tbl>
    <w:p>
      <w:r>
        <w:rPr>
          <w:b w:val="0"/>
          <w:i w:val="0"/>
          <w:sz w:val="28"/>
        </w:rPr>
        <w:t>Из таблицы 1 видно, что каждая глава даёт хотя бы одно положение, и ни одно положение не опирается только на имитационную модель: у каждого есть формулы в тексте и названное условие опровержения. Метки Н1–Н6 и А1–А2 в симуляторе относятся пока только к главе 3; после утверждения этого перечня их следует перенумеровать по положениям 1–5.</w:t>
      </w:r>
    </w:p>
    <w:p>
      <w:r>
        <w:rPr>
          <w:b w:val="0"/>
          <w:i w:val="0"/>
          <w:sz w:val="28"/>
        </w:rPr>
        <w:t>Часть чисел в положениях 3 и 5 получена переносом с заводов-аналогов и изменится, когда будет получена статистика «Азота». Эти величины, их место в тексте и требуемые данные перечислены в таблице 2.</w:t>
      </w:r>
    </w:p>
    <w:p>
      <w:pPr>
        <w:keepNext/>
        <w:ind w:firstLine="0"/>
        <w:jc w:val="right"/>
      </w:pPr>
      <w:r>
        <w:rPr>
          <w:b w:val="0"/>
          <w:i w:val="0"/>
          <w:sz w:val="28"/>
        </w:rPr>
        <w:t>Таблица 2</w:t>
      </w:r>
    </w:p>
    <w:p>
      <w:pPr>
        <w:keepNext/>
        <w:ind w:firstLine="0"/>
        <w:jc w:val="center"/>
      </w:pPr>
      <w:r>
        <w:rPr>
          <w:b w:val="0"/>
          <w:i w:val="0"/>
          <w:sz w:val="28"/>
        </w:rPr>
        <w:t>Величины, уточняемые по статистике АО «Невинномысский Азот»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Величина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 в тексте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Где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Какие данные нужны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Выбросы CO₂ в границе МГЭИК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1,81 млн т в год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§ 3.1.4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Отчёт о выбросах парниковых газов предприятия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Выбросы N₂O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0,49 или 2,39 млн т CO₂-экв.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§ 3.1.5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Наличие и степень каталитической очистки N₂O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Свободный технологический CO₂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около 0,9 млн т в год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§ 3.1.6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Баланс CO₂ по установкам аммиака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Продажи пищевого CO₂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32 тыс. т в год (мощность)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§ 2.1.1, 3.1.8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Помесячные отгрузки по покупателям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Вероятность простоя якоря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мода 0,05; 0,028–0,094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§ 3.1.7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Даты и длительность остановок 2017–2026 гг.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Вклад платформы и очистки N₂O в снижение выбросов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0,2–0,4 % и 38 %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§ 3.4.3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Пересчитывается по первым двум строкам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Индекс устойчивого развития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0,344 → 0,576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§ 3.4.3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24"/>
              </w:rPr>
              <w:t>Пересчитывается по первым двум строкам</w:t>
            </w:r>
          </w:p>
        </w:tc>
      </w:tr>
    </w:tbl>
    <w:p>
      <w:r>
        <w:rPr>
          <w:b w:val="0"/>
          <w:i w:val="0"/>
          <w:sz w:val="28"/>
        </w:rPr>
        <w:t xml:space="preserve">Таблица 2 показывает, что статистика «Азота» затрагивает экологическую часть оценки и риск якоря, но не механизм платформы. Пороги </w:t>
      </w:r>
      <w:r>
        <w:rPr>
          <w:b w:val="0"/>
          <w:i/>
          <w:sz w:val="28"/>
        </w:rPr>
        <w:t>C</w:t>
      </w:r>
      <w:r>
        <w:rPr>
          <w:b w:val="0"/>
          <w:sz w:val="28"/>
          <w:vertAlign w:val="subscript"/>
        </w:rPr>
        <w:t>min</w:t>
      </w:r>
      <w:r>
        <w:rPr>
          <w:b w:val="0"/>
          <w:i w:val="0"/>
          <w:sz w:val="28"/>
        </w:rPr>
        <w:t>, информационный барьер и сравнение механизмов рассчитаны по параметрам потоков главы 2 и демонстрационной популяции резидентов; их уточнит обследование резидентов, а не отчётность якоря. После получения данных достаточно пересчитать строки таблицы 2, самопроверку симулятора и выводы 1, 6 и 7 по главе 3.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