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Новые основания для главы 3: двухуровневая модель экосистемы промышленного комплекса моногорода</w:t>
      </w:r>
    </w:p>
    <w:p>
      <w:pPr/>
      <w:r>
        <w:t xml:space="preserve">Oct 13, 2026</w:t>
      </w:r>
      <w:r>
        <w:t xml:space="preserve"> · </w:t>
      </w:r>
      <w:r>
        <w:t xml:space="preserve">@Гоша (goxaman2)</w:t>
      </w:r>
    </w:p>
    <w:p>
      <w:pPr>
        <w:pStyle w:val="Heading2"/>
      </w:pPr>
      <w:r>
        <w:t xml:space="preserve">1. Уточнение регуляторного ограничения «≤ 50 %»</w:t>
      </w:r>
    </w:p>
    <w:p>
      <w:pPr/>
      <w:r>
        <w:t xml:space="preserve">Ограничение в модели сформулировано неточно: лимит 50 % считается от выручки резидента по инвестиционному проекту, а не от всей выручки компании. Так следует из действующей редакции требований к резидентам ТОР в моногородах с изменениями постановления Правительства РФ № 1179 от 21.07.2023 (</w:t>
      </w:r>
      <w:hyperlink r:id="rId3" w:history="1">
        <w:r>
          <w:rPr>
            <w:rStyle w:val="Hyperlink"/>
          </w:rPr>
          <w:t xml:space="preserve">КонсультантПлюс</w:t>
        </w:r>
      </w:hyperlink>
      <w:r>
        <w:t xml:space="preserve">).</w:t>
      </w:r>
    </w:p>
    <w:p>
      <w:pPr/>
      <w:r>
        <w:t xml:space="preserve">Корректная запись ограничения нижнего уровня:</w:t>
      </w:r>
    </w:p>
    <w:p>
      <w:pPr>
        <w:pStyle w:val="Code"/>
      </w:pPr>
      <w:bookmarkStart w:id="1" w:name="bongo_lang_latex_1"/>
      <w:bookmarkEnd w:id="1"/>
      <w:r>
        <w:t xml:space="preserve">\frac{R_{iA}^{\mathrm{proj}}}{R_{i}^{\mathrm{proj}}} \le 0{,}5</w:t>
      </w:r>
    </w:p>
    <w:p>
      <w:pPr/>
      <w:r>
        <w:t xml:space="preserve">где R_iA^proj — выручка резидента i от градообразующей организации и её дочерних обществ по инвестпроекту, R_i^proj — вся выручка резидента i по инвестпроекту.</w:t>
      </w:r>
    </w:p>
    <w:p>
      <w:pPr/>
      <w:r>
        <w:t xml:space="preserve">Из уточнения вытекает отдельный канал ухода от цели регулятора. Резидент с диверсифицированным прежним бизнесом формально соблюдает лимит, даже если проект целиком завязан на «Азот», пока доля по проекту не превышает половины. Этот канал стоит ввести в модель явно.</w:t>
      </w:r>
    </w:p>
    <w:p>
      <w:pPr/>
      <w:r>
        <w:t xml:space="preserve">Второй порог для модели: градообразующим считается предприятие, где занято 20 % и более среднесписочной численности работников всех организаций моногорода (</w:t>
      </w:r>
      <w:hyperlink r:id="rId4" w:history="1">
        <w:r>
          <w:rPr>
            <w:rStyle w:val="Hyperlink"/>
          </w:rPr>
          <w:t xml:space="preserve">Парламентская газета</w:t>
        </w:r>
      </w:hyperlink>
      <w:r>
        <w:t xml:space="preserve">).</w:t>
      </w:r>
    </w:p>
    <w:p>
      <w:pPr>
        <w:pStyle w:val="Heading2"/>
      </w:pPr>
      <w:r>
        <w:t xml:space="preserve">2. Российская эмпирика, обосновывающая разрыв C* − C**</w:t>
      </w:r>
    </w:p>
    <w:p>
      <w:pPr/>
      <w:r>
        <w:t xml:space="preserve">Статус ТОР увеличивает число предприятий в моногороде, но не снижает зависимость от градообразующего предприятия. Это показывают А.В. Зубарев и Я.П. Мотякина (РАНХиГС) в статье «Территории опережающего развития и занятость в моногородах Российской Федерации» (</w:t>
      </w:r>
      <w:hyperlink r:id="rId5" w:history="1">
        <w:r>
          <w:rPr>
            <w:rStyle w:val="Hyperlink"/>
          </w:rPr>
          <w:t xml:space="preserve">Вестник Московского университета. Серия 6. Экономика, т. 59, № 3</w:t>
        </w:r>
      </w:hyperlink>
      <w:r>
        <w:t xml:space="preserve">, DOI 10.55959/MSU0130-0105-6-59-3-7).</w:t>
      </w:r>
    </w:p>
    <w:p>
      <w:pPr/>
      <w:r>
        <w:t xml:space="preserve">По оценке авторов, число действующих предприятий после присвоения статуса растёт на 2–4 %, через два года более чем на 8 %. Свидетельств снижения доли занятых на градообразующем предприятии не найдено.</w:t>
      </w:r>
    </w:p>
    <w:p>
      <w:pPr/>
      <w:r>
        <w:t xml:space="preserve">Для главы 3 это внешняя эмпирическая опора. Льготный режим расширяет круг участников, но не создаёт связей вне якоря, что и составляет содержание неравенства C** &lt; C*.</w:t>
      </w:r>
    </w:p>
    <w:p>
      <w:pPr/>
      <w:r>
        <w:t xml:space="preserve">Открытый вопрос: год выпуска в карточке не отображался, его нужно сверить на сайте журнала.</w:t>
      </w:r>
    </w:p>
    <w:p>
      <w:pPr>
        <w:pStyle w:val="Heading2"/>
      </w:pPr>
      <w:r>
        <w:t xml:space="preserve">3. Новые теоретические опоры (2020–2026)</w:t>
      </w:r>
    </w:p>
    <w:p>
      <w:pPr/>
      <w:r>
        <w:t xml:space="preserve">Семь работ дают модели главы 3 то, чего не было в прежней сводке: микрообоснование k(t), порог критической массы, условие участия в замкнутой форме и стохастический нижний уровень.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Работа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переносится в модель</w:t>
            </w:r>
          </w:p>
        </w:tc>
      </w:tr>
      <w:tr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Yazan D.M., Yazdanpanah V., Fraccascia L. Learning strategic cooperative behavior in industrial symbiosis // Business Strategy and the Environment. 2020. 29(5). P. 2078–2091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Рецензируемый журнал</w:t>
            </w:r>
          </w:p>
        </w:tc>
        <w:tc>
          <w:tcPr>
            <w:tcW w:w="3120" w:type="dxa"/>
          </w:tcPr>
          <w:p>
            <w:pPr/>
            <w:r>
              <w:t xml:space="preserve">Игроки в повторяющейся игре раздела издержек усваивают, что «честная» стратегия выгоднее оппортунистической в долгом периоде. Основа для эндогенного k(t) как доли «честных» исходов</w:t>
            </w:r>
          </w:p>
        </w:tc>
      </w:tr>
      <w:tr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Fraccascia L. Quantifying the direct network effect for online platforms supporting industrial symbiosis // Ecological Economics. 2020. Vol. 170. DOI 10.1016/j.ecolecon.2019.106587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Рецензируемый журнал</w:t>
            </w:r>
          </w:p>
        </w:tc>
        <w:tc>
          <w:tcPr>
            <w:tcW w:w="3120" w:type="dxa"/>
          </w:tcPr>
          <w:p>
            <w:pPr/>
            <w:r>
              <w:t xml:space="preserve">Ниже минимального уровня использования платформа не даёт выгоды. Опора для порога C_min и ловушки низкой связности; «ЭКОПЛАТФОРМА» относится именно к такому типу</w:t>
            </w:r>
          </w:p>
        </w:tc>
      </w:tr>
      <w:tr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Hatsor L., Jelnov A. Industrial symbiosis: How to apply successfully. arXiv:2411.08483. 2024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Препринт, только в сноску</w:t>
            </w:r>
          </w:p>
        </w:tc>
        <w:tc>
          <w:tcPr>
            <w:tcW w:w="3120" w:type="dxa"/>
          </w:tcPr>
          <w:p>
            <w:pPr/>
            <w:r>
              <w:t xml:space="preserve">Пороговая стоимость внедрения растёт с эффективностью симбиоза и ценой побочного продукта, снижается с числом фирм. Условие участия резидента в замкнутой форме; α у авторов означает эффективность, обозначения нужно развести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Dong Y., Liu C.G., Zhao M. Implementation of industrial symbiosis under environmental tax policy // International Journal of Production Economics. 2024. Art. 109406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Рецензируемый журнал</w:t>
            </w:r>
          </w:p>
        </w:tc>
        <w:tc>
          <w:tcPr>
            <w:tcW w:w="3120" w:type="dxa"/>
          </w:tcPr>
          <w:p>
            <w:pPr/>
            <w:r>
              <w:t xml:space="preserve">Ставка налога, запускающая полную переработку отходов, в децентрализованной цепи выше, чем в интегрированной. Аналог разрыва C* − C** через регуляторный инструмент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Mollica M., Nastasi A., Fraccascia L. Government Subsidies for Industrial Symbiosis: Is it Always Worth It? 32nd IIOA Conference, Seville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Доклад конференции</w:t>
            </w:r>
          </w:p>
        </w:tc>
        <w:tc>
          <w:tcPr>
            <w:tcW w:w="3120" w:type="dxa"/>
          </w:tcPr>
          <w:p>
            <w:pPr/>
            <w:r>
              <w:t xml:space="preserve">Распределение ограниченного бюджета между типами субсидий при сравнении с контрфактом без вмешательства. Соответствует ΔE «без платформы» и бюджету на ликвидацию ущерба</w:t>
            </w:r>
          </w:p>
        </w:tc>
      </w:tr>
      <w:tr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Daş G.S., Yeşilkaya M., Altinkaynak B., Birgören B. A Stochastic Bilevel Programming Model for an Industrial Symbiosis Network. Springer, 2024. DOI 10.1007/978-981-99-6062-0_61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Труды конференции</w:t>
            </w:r>
          </w:p>
        </w:tc>
        <w:tc>
          <w:tcPr>
            <w:tcW w:w="3120" w:type="dxa"/>
          </w:tcPr>
          <w:p>
            <w:pPr/>
            <w:r>
              <w:t xml:space="preserve">Нижний уровень как двухэтапная стохастическая задача. Формальный путь для стохастики потоков CO₂ и тепла (блок А7)</w:t>
            </w:r>
          </w:p>
        </w:tc>
      </w:tr>
      <w:tr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Fukushima M., Taji N., Igarashi S. What Enables Spin-Off Emergence After the Closure of Anchor Firms? Springer Proceedings in Business and Economics. 2024. P. 99–107. DOI 10.1007/978-3-031-72490-9_10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Глава в трудах</w:t>
            </w:r>
          </w:p>
        </w:tc>
        <w:tc>
          <w:tcPr>
            <w:tcW w:w="3120" w:type="dxa"/>
          </w:tcPr>
          <w:p>
            <w:pPr/>
            <w:r>
              <w:t xml:space="preserve">Факторы появления и выживания спин-оффов после закрытия или сокращения якорной фирмы. Сценарий выхода якоря</w:t>
            </w:r>
          </w:p>
        </w:tc>
      </w:tr>
    </w:tbl>
    <w:p>
      <w:pPr/>
      <w:r>
        <w:t xml:space="preserve">Для сравнения со сценарием выхода якоря подходит статья Ashton et al. о «жизни и смерти» самоорганизованных промышленных экосистем (</w:t>
      </w:r>
      <w:hyperlink r:id="rId13" w:history="1">
        <w:r>
          <w:rPr>
            <w:rStyle w:val="Hyperlink"/>
          </w:rPr>
          <w:t xml:space="preserve">Sustainability, 2017, 9(4), 605</w:t>
        </w:r>
      </w:hyperlink>
      <w:r>
        <w:t xml:space="preserve">), где экосистемы с якорной фирмой отделены от экосистем фирм-«падальщиков». Работа старше пяти лет, поэтому её место в подстрочной сноске.</w:t>
      </w:r>
    </w:p>
    <w:p>
      <w:pPr>
        <w:pStyle w:val="Heading2"/>
      </w:pPr>
      <w:r>
        <w:t xml:space="preserve">4. Предметные факты по ядру и зарубежный аналог</w:t>
      </w:r>
    </w:p>
    <w:p>
      <w:pPr>
        <w:pStyle w:val="Heading3"/>
      </w:pPr>
      <w:r>
        <w:t xml:space="preserve">4.1. Действующая связь по CO₂ на «Невинномысском Азоте»</w:t>
      </w:r>
    </w:p>
    <w:p>
      <w:pPr/>
      <w:r>
        <w:t xml:space="preserve">Контрфакт «без платформы» не означает нулевой связности: с декабря 2018 г. на заводе работает установка пищевой углекислоты мощностью 32 тыс. т в год, инвестиции около 7,5 млн долл. (</w:t>
      </w:r>
      <w:hyperlink r:id="rId14" w:history="1">
        <w:r>
          <w:rPr>
            <w:rStyle w:val="Hyperlink"/>
          </w:rPr>
          <w:t xml:space="preserve">пресс-релиз ЕвроХима в изложении RCCnews</w:t>
        </w:r>
      </w:hyperlink>
      <w:r>
        <w:t xml:space="preserve">). Основные потребители — производители газированных напитков; продукт идёт также на сухой лёд, подкормку теплиц и пожаротушение.</w:t>
      </w:r>
    </w:p>
    <w:p>
      <w:pPr/>
      <w:r>
        <w:t xml:space="preserve">Базовая связность C₀ &gt; 0, и ΔE следует считать только от прироста связей сверх уже действующих.</w:t>
      </w:r>
    </w:p>
    <w:p>
      <w:pPr>
        <w:pStyle w:val="Heading3"/>
      </w:pPr>
      <w:r>
        <w:t xml:space="preserve">4.2. CBAM не засчитывает передачу CO₂ в карбамид и теплицы</w:t>
      </w:r>
    </w:p>
    <w:p>
      <w:pPr/>
      <w:r>
        <w:t xml:space="preserve">Окончательный режим CBAM действует с 1 января 2026 г. (</w:t>
      </w:r>
      <w:hyperlink r:id="rId15" w:history="1">
        <w:r>
          <w:rPr>
            <w:rStyle w:val="Hyperlink"/>
          </w:rPr>
          <w:t xml:space="preserve">PwC</w:t>
        </w:r>
      </w:hyperlink>
      <w:r>
        <w:t xml:space="preserve">). Переданный CO₂ не учитывается у отправителя, только если он постоянно химически связан. CO₂ в карбамиде этому критерию не отвечает и учитывается на стадии карбамида вместо стадии аммиака (</w:t>
      </w:r>
      <w:hyperlink r:id="rId16" w:history="1">
        <w:r>
          <w:rPr>
            <w:rStyle w:val="Hyperlink"/>
          </w:rPr>
          <w:t xml:space="preserve">Sprih</w:t>
        </w:r>
      </w:hyperlink>
      <w:r>
        <w:t xml:space="preserve">).</w:t>
      </w:r>
    </w:p>
    <w:p>
      <w:pPr/>
      <w:r>
        <w:t xml:space="preserve">Для удобрений надбавка к значениям по умолчанию ограничена 1 % во все годы (</w:t>
      </w:r>
      <w:hyperlink r:id="rId17" w:history="1">
        <w:r>
          <w:rPr>
            <w:rStyle w:val="Hyperlink"/>
          </w:rPr>
          <w:t xml:space="preserve">DEKRA</w:t>
        </w:r>
      </w:hyperlink>
      <w:r>
        <w:t xml:space="preserve">). Для России дополнительно действует возрастающий тариф ЕС на удобрения сверх CBAM (</w:t>
      </w:r>
      <w:hyperlink r:id="rId18" w:history="1">
        <w:r>
          <w:rPr>
            <w:rStyle w:val="Hyperlink"/>
          </w:rPr>
          <w:t xml:space="preserve">GreenSutra</w:t>
        </w:r>
      </w:hyperlink>
      <w:r>
        <w:t xml:space="preserve">).</w:t>
      </w:r>
    </w:p>
    <w:p>
      <w:pPr/>
      <w:r>
        <w:t xml:space="preserve">Отсюда опровержимое утверждение для модели: экспортный углеродный выигрыш от направления CO₂ в карбамид, пищевую отрасль и теплицы равен нулю. Дивиденд по этим потокам формируется только рыночной ценой CO₂ и тепла и экономией топлива у потребителя. Зачёт по CBAM возможен лишь при постоянном связывании или геологическом хранении.</w:t>
      </w:r>
    </w:p>
    <w:p>
      <w:pPr>
        <w:pStyle w:val="Heading3"/>
      </w:pPr>
      <w:r>
        <w:t xml:space="preserve">4.3. Кейс WarmCO₂ (Yara Sluiskil, Нидерланды)</w:t>
      </w:r>
    </w:p>
    <w:p>
      <w:pPr/>
      <w:r>
        <w:t xml:space="preserve">WarmCO₂ — ближайший зарубежный аналог связки «азотный завод → теплицы» (</w:t>
      </w:r>
      <w:hyperlink r:id="rId19" w:history="1">
        <w:r>
          <w:rPr>
            <w:rStyle w:val="Hyperlink"/>
          </w:rPr>
          <w:t xml:space="preserve">Circulary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Форма</w:t>
            </w:r>
          </w:p>
        </w:tc>
        <w:tc>
          <w:tcPr>
            <w:tcW w:w="4680" w:type="dxa"/>
          </w:tcPr>
          <w:p>
            <w:pPr/>
            <w:r>
              <w:t xml:space="preserve">ГЧП Zeeland Seaports и Yara Sluiskil с 2008 г.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Теплицы</w:t>
            </w:r>
          </w:p>
        </w:tc>
        <w:tc>
          <w:tcPr>
            <w:tcW w:w="4680" w:type="dxa"/>
          </w:tcPr>
          <w:p>
            <w:pPr/>
            <w:r>
              <w:t xml:space="preserve">100 га, по завершении 150 га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Тепло</w:t>
            </w:r>
          </w:p>
        </w:tc>
        <w:tc>
          <w:tcPr>
            <w:tcW w:w="4680" w:type="dxa"/>
          </w:tcPr>
          <w:p>
            <w:pPr/>
            <w:r>
              <w:t xml:space="preserve">1 700 ТДж/год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CO₂</w:t>
            </w:r>
          </w:p>
        </w:tc>
        <w:tc>
          <w:tcPr>
            <w:tcW w:w="4680" w:type="dxa"/>
          </w:tcPr>
          <w:p>
            <w:pPr/>
            <w:r>
              <w:t xml:space="preserve">60 тыс. т/год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Финансирование</w:t>
            </w:r>
          </w:p>
        </w:tc>
        <w:tc>
          <w:tcPr>
            <w:tcW w:w="4680" w:type="dxa"/>
          </w:tcPr>
          <w:p>
            <w:pPr/>
            <w:r>
              <w:t xml:space="preserve">Программа «Green Projects»: налоговые льготы «зелёным» инвесторам и вкладчикам, кредиты под меньший процент (</w:t>
            </w:r>
            <w:hyperlink r:id="rId20" w:history="1">
              <w:r>
                <w:rPr>
                  <w:rStyle w:val="Hyperlink"/>
                </w:rPr>
                <w:t xml:space="preserve">GreenMonk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Каналы CO₂ у Yara</w:t>
            </w:r>
          </w:p>
        </w:tc>
        <w:tc>
          <w:tcPr>
            <w:tcW w:w="4680" w:type="dxa"/>
          </w:tcPr>
          <w:p>
            <w:pPr/>
            <w:r>
              <w:t xml:space="preserve">Карбамид, пищевой CO₂, поставка в WarmCO₂, планируемое улавливание и хранение (</w:t>
            </w:r>
            <w:hyperlink r:id="rId21" w:history="1">
              <w:r>
                <w:rPr>
                  <w:rStyle w:val="Hyperlink"/>
                </w:rPr>
                <w:t xml:space="preserve">официальная публикация NL</w:t>
              </w:r>
            </w:hyperlink>
            <w:r>
              <w:t xml:space="preserve">)</w:t>
            </w:r>
          </w:p>
        </w:tc>
      </w:tr>
    </w:tbl>
    <w:p>
      <w:pPr/>
      <w:r>
        <w:t xml:space="preserve">Сама Yara признаёт, что единственный поставщик тепла и CO₂ несёт существенную операционную ответственность и экономический риск. Источники риска: колебания спроса теплиц, конкурирующий спрос на CO₂, остановки установок, колебания цен на энергию. Это готовая схема конкурирующих направлений использования одного потока и параметр надёжности поставщика для модели.</w:t>
      </w:r>
    </w:p>
    <w:p>
      <w:pPr>
        <w:pStyle w:val="Heading2"/>
      </w:pPr>
      <w:r>
        <w:t xml:space="preserve">5. Что добавить в модель главы 3</w:t>
      </w:r>
    </w:p>
    <w:p>
      <w:pPr/>
      <w:r>
        <w:t xml:space="preserve">Шесть изменений вытекают из найденного; каждое формулируется как проверяемое утверждение.</w:t>
      </w:r>
    </w:p>
    <w:p>
      <w:pPr>
        <w:pStyle w:val="ListParagraph"/>
        <w:numPr>
          <w:ilvl w:val="0"/>
          <w:numId w:val="2"/>
        </w:numPr>
      </w:pPr>
      <w:r>
        <w:t xml:space="preserve">Переписать ограничение ТОР через выручку по инвестиционному проекту (раздел 1).</w:t>
      </w:r>
    </w:p>
    <w:p>
      <w:pPr>
        <w:pStyle w:val="ListParagraph"/>
        <w:numPr>
          <w:ilvl w:val="0"/>
          <w:numId w:val="2"/>
        </w:numPr>
      </w:pPr>
      <w:r>
        <w:t xml:space="preserve">Ввести порог критической массы C_min, ниже которого φ(C) ≈ 0 (Fraccascia, 2020). Тогда C** = 0 становится отдельным устойчивым равновесием, а задача оператора — вывести систему за порог.</w:t>
      </w:r>
    </w:p>
    <w:p>
      <w:pPr>
        <w:pStyle w:val="ListParagraph"/>
        <w:numPr>
          <w:ilvl w:val="0"/>
          <w:numId w:val="2"/>
        </w:numPr>
      </w:pPr>
      <w:r>
        <w:t xml:space="preserve">Задать k(t) эндогенно, через долю «честных» исходов раздела издержек в предыдущих раундах (Yazan et al., 2020).</w:t>
      </w:r>
    </w:p>
    <w:p>
      <w:pPr>
        <w:pStyle w:val="ListParagraph"/>
        <w:numPr>
          <w:ilvl w:val="0"/>
          <w:numId w:val="2"/>
        </w:numPr>
      </w:pPr>
      <w:r>
        <w:t xml:space="preserve">Учесть базовую связность C₀ (действующая линия пищевого CO₂) в контрфактическом состоянии.</w:t>
      </w:r>
    </w:p>
    <w:p>
      <w:pPr>
        <w:pStyle w:val="ListParagraph"/>
        <w:numPr>
          <w:ilvl w:val="0"/>
          <w:numId w:val="2"/>
        </w:numPr>
      </w:pPr>
      <w:r>
        <w:t xml:space="preserve">Разделить ΔE на рыночную и углеродную части; углеродную обнулить для потоков CO₂ в карбамид и теплицы при расчёте эффекта CBAM.</w:t>
      </w:r>
    </w:p>
    <w:p>
      <w:pPr>
        <w:pStyle w:val="ListParagraph"/>
        <w:numPr>
          <w:ilvl w:val="0"/>
          <w:numId w:val="2"/>
        </w:numPr>
      </w:pPr>
      <w:r>
        <w:t xml:space="preserve">Ввести параметр надёжности единственного поставщика (простои и ремонты якоря) по опыту WarmCO₂. Через него в модель входит проблема вымогательства (hold-up) из блока А11.</w:t>
      </w:r>
    </w:p>
    <w:p>
      <w:pPr/>
      <w:r>
        <w:t xml:space="preserve">Порог критической массы можно записать так:</w:t>
      </w:r>
    </w:p>
    <w:p>
      <w:pPr>
        <w:pStyle w:val="Code"/>
      </w:pPr>
      <w:bookmarkStart w:id="2" w:name="bongo_lang_latex_2"/>
      <w:bookmarkEnd w:id="2"/>
      <w:r>
        <w:t xml:space="preserve">\varphi\bigl(C,k(t)\bigr)=\begin{cases}0, &amp; C &lt; C_{\min},\\ 1-e^{-k(t)\,(C-C_{\min})}, &amp; C \ge C_{\min}\end{cases}</w:t>
      </w:r>
    </w:p>
    <w:p>
      <w:pPr/>
      <w:r>
        <w:t xml:space="preserve">где C — индекс связности, C_min — пороговая связность, k(t) — параметр институционального обучения в момент t.</w:t>
      </w:r>
    </w:p>
    <w:p>
      <w:pPr>
        <w:pStyle w:val="Heading2"/>
      </w:pPr>
      <w:r>
        <w:t xml:space="preserve">6. Новизна, российские работы и надёжность источников</w:t>
      </w:r>
    </w:p>
    <w:p>
      <w:pPr>
        <w:pStyle w:val="Heading3"/>
      </w:pPr>
      <w:r>
        <w:t xml:space="preserve">6.1. Проверка новизны</w:t>
      </w:r>
    </w:p>
    <w:p>
      <w:pPr/>
      <w:r>
        <w:t xml:space="preserve">Ни в одной из просмотренных работ нет одновременно ограничения на долю выручки от якоря, бюджета на ликвидацию накопленного ущерба и эндогенного институционального обучения в двухуровневой постановке. Пункты 1, 4 и 5 раздела 5 в литературе не встречены. Поиск не исчерпывающий: Scopus и Web of Science напрямую не просматривались.</w:t>
      </w:r>
    </w:p>
    <w:p>
      <w:pPr>
        <w:pStyle w:val="Heading3"/>
      </w:pPr>
      <w:r>
        <w:t xml:space="preserve">6.2. Российские работы для обзорной части</w:t>
      </w:r>
    </w:p>
    <w:p>
      <w:pPr>
        <w:pStyle w:val="ListParagraph"/>
        <w:numPr>
          <w:ilvl w:val="0"/>
          <w:numId w:val="3"/>
        </w:numPr>
      </w:pPr>
      <w:r>
        <w:t xml:space="preserve">Белых А.Л. Модели формирования промышленного симбиоза // </w:t>
      </w:r>
      <w:hyperlink r:id="rId22" w:history="1">
        <w:r>
          <w:rPr>
            <w:rStyle w:val="Hyperlink"/>
          </w:rPr>
          <w:t xml:space="preserve">Управление в сфере экономики. 2023</w:t>
        </w:r>
      </w:hyperlink>
      <w:r>
        <w:t xml:space="preserve">. DOI 10.26425/2309-3633-2023-11-1-51-63.</w:t>
      </w:r>
    </w:p>
    <w:p>
      <w:pPr>
        <w:pStyle w:val="ListParagraph"/>
        <w:numPr>
          <w:ilvl w:val="0"/>
          <w:numId w:val="3"/>
        </w:numPr>
      </w:pPr>
      <w:r>
        <w:t xml:space="preserve">Миронова Д.Ю., Будрин А.Г., Баранов И.В., Кривошеев В.Е. // </w:t>
      </w:r>
      <w:hyperlink r:id="rId23" w:history="1">
        <w:r>
          <w:rPr>
            <w:rStyle w:val="Hyperlink"/>
          </w:rPr>
          <w:t xml:space="preserve">Региональная экономика. Юг России. 2023. Т. 11, № 4</w:t>
        </w:r>
      </w:hyperlink>
      <w:r>
        <w:t xml:space="preserve">. DOI 10.15688/re.volsu.2023.4.3. Модель финансирования зон промышленного симбиоза.</w:t>
      </w:r>
    </w:p>
    <w:p>
      <w:pPr>
        <w:pStyle w:val="ListParagraph"/>
        <w:numPr>
          <w:ilvl w:val="0"/>
          <w:numId w:val="3"/>
        </w:numPr>
      </w:pPr>
      <w:r>
        <w:t xml:space="preserve">Блам И.Ю., Ковалев С.Ю. Промышленный симбиоз как инструмент декарбонизации // </w:t>
      </w:r>
      <w:hyperlink r:id="rId24" w:history="1">
        <w:r>
          <w:rPr>
            <w:rStyle w:val="Hyperlink"/>
          </w:rPr>
          <w:t xml:space="preserve">ЭКО. 2022</w:t>
        </w:r>
      </w:hyperlink>
      <w:r>
        <w:t xml:space="preserve">. DOI 10.30680/ECO0131-7652-2022-7-67-79.</w:t>
      </w:r>
    </w:p>
    <w:p>
      <w:pPr/>
      <w:r>
        <w:t xml:space="preserve">Журнал Modern Economy Success, где в 2025 г. вышла работа группы ИТМО по специальности 5.2.3, не включён: его статус в перечне ВАК нужно проверить.</w:t>
      </w:r>
    </w:p>
    <w:p>
      <w:pPr>
        <w:pStyle w:val="Heading3"/>
      </w:pPr>
      <w:r>
        <w:t xml:space="preserve">6.3. Надёжность источников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Источники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использовать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Первичные, рецензируемые</w:t>
            </w:r>
          </w:p>
        </w:tc>
        <w:tc>
          <w:tcPr>
            <w:tcW w:w="3120" w:type="dxa"/>
          </w:tcPr>
          <w:p>
            <w:pPr/>
            <w:r>
              <w:t xml:space="preserve">Business Strategy and the Environment; Ecological Economics; IJPE; Вестник МГУ; постановление на КонсультантПлюс; руководство ЕК по удобрениям для окончательного периода CBAM от 14.08.2026 (</w:t>
            </w:r>
            <w:hyperlink r:id="rId25" w:history="1">
              <w:r>
                <w:rPr>
                  <w:rStyle w:val="Hyperlink"/>
                </w:rPr>
                <w:t xml:space="preserve">Guidance 5c</w:t>
              </w:r>
            </w:hyperlink>
            <w:r>
              <w:t xml:space="preserve">; Регламенты (ЕС) 2023/956, 2025/2083, 2025/2621)</w:t>
            </w:r>
          </w:p>
        </w:tc>
        <w:tc>
          <w:tcPr>
            <w:tcW w:w="3120" w:type="dxa"/>
          </w:tcPr>
          <w:p>
            <w:pPr/>
            <w:r>
              <w:t xml:space="preserve">Прямо в тексте и списке литературы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 оговорками</w:t>
            </w:r>
          </w:p>
        </w:tc>
        <w:tc>
          <w:tcPr>
            <w:tcW w:w="3120" w:type="dxa"/>
          </w:tcPr>
          <w:p>
            <w:pPr/>
            <w:r>
              <w:t xml:space="preserve">Препринт arXiv (Hatsor, Jelnov); доклад IIOA (Mollica et al.); главы в трудах конференций (Daş et al., Fukushima et al.)</w:t>
            </w:r>
          </w:p>
        </w:tc>
        <w:tc>
          <w:tcPr>
            <w:tcW w:w="3120" w:type="dxa"/>
          </w:tcPr>
          <w:p>
            <w:pPr/>
            <w:r>
              <w:t xml:space="preserve">Подстрочные сноски, не основа выводов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Вторичные</w:t>
            </w:r>
          </w:p>
        </w:tc>
        <w:tc>
          <w:tcPr>
            <w:tcW w:w="3120" w:type="dxa"/>
          </w:tcPr>
          <w:p>
            <w:pPr/>
            <w:r>
              <w:t xml:space="preserve">Карточка WarmCO₂ на circulary.eu, отраслевой блог; пресс-релиз ЕвроХима в изложении RCCnews; консалтинговые сайты по CBAM</w:t>
            </w:r>
          </w:p>
        </w:tc>
        <w:tc>
          <w:tcPr>
            <w:tcW w:w="3120" w:type="dxa"/>
          </w:tcPr>
          <w:p>
            <w:pPr/>
            <w:r>
              <w:t xml:space="preserve">Подкрепить годовым отчётом Yara, отчётом об устойчивом развитии ЕвроХима, п. 2.2 руководства ЕК и Регламентом (ЕС) 2025/2547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consultant.ru/document/cons_doc_LAW_355809/21f5f71305ea447e82adf47c14edcde42d55dc2f/" TargetMode="External"/><Relationship Id="rId4" Type="http://schemas.openxmlformats.org/officeDocument/2006/relationships/hyperlink" Target="https://www.pnp.ru/economics/rezidentam-tor-khotyat-dat-dopolnitelnye-garantii.html" TargetMode="External"/><Relationship Id="rId5" Type="http://schemas.openxmlformats.org/officeDocument/2006/relationships/hyperlink" Target="https://msuecon.elpub.ru/jour/article/download/1119/560" TargetMode="External"/><Relationship Id="rId6" Type="http://schemas.openxmlformats.org/officeDocument/2006/relationships/hyperlink" Target="https://eprints.soton.ac.uk/441448" TargetMode="External"/><Relationship Id="rId7" Type="http://schemas.openxmlformats.org/officeDocument/2006/relationships/hyperlink" Target="https://research.uniroma1.it/en/pubblicazioni/48034" TargetMode="External"/><Relationship Id="rId8" Type="http://schemas.openxmlformats.org/officeDocument/2006/relationships/hyperlink" Target="https://arxiv.org/abs/2411.08483v1" TargetMode="External"/><Relationship Id="rId9" Type="http://schemas.openxmlformats.org/officeDocument/2006/relationships/hyperlink" Target="https://pure.nwpu.edu.cn/en/publications/implementation-of-industrial-symbiosis-under-environmental-tax-po" TargetMode="External"/><Relationship Id="rId10" Type="http://schemas.openxmlformats.org/officeDocument/2006/relationships/hyperlink" Target="https://www.iioa.org/conferences/32nd/papers/files/5717.pdf" TargetMode="External"/><Relationship Id="rId11" Type="http://schemas.openxmlformats.org/officeDocument/2006/relationships/hyperlink" Target="https://acikerisim.kku.edu.tr/items/4e6a2c55-9523-4a36-8e80-2729f9bd7f80/full" TargetMode="External"/><Relationship Id="rId12" Type="http://schemas.openxmlformats.org/officeDocument/2006/relationships/hyperlink" Target="https://ideas.repec.org/h/spr/prbchp/978-3-031-72490-9_10.html" TargetMode="External"/><Relationship Id="rId13" Type="http://schemas.openxmlformats.org/officeDocument/2006/relationships/hyperlink" Target="https://www.mdpi.com/2071-1050/9/4/605" TargetMode="External"/><Relationship Id="rId14" Type="http://schemas.openxmlformats.org/officeDocument/2006/relationships/hyperlink" Target="https://rccnews.ru/en/news/103428/" TargetMode="External"/><Relationship Id="rId15" Type="http://schemas.openxmlformats.org/officeDocument/2006/relationships/hyperlink" Target="https://www.pwc.ch/en/insights/cbam-in-focus-preparing-for-the-definitive-regime.html" TargetMode="External"/><Relationship Id="rId16" Type="http://schemas.openxmlformats.org/officeDocument/2006/relationships/hyperlink" Target="https://www.sprih.com/blogs/cbam-fertilisers/" TargetMode="External"/><Relationship Id="rId17" Type="http://schemas.openxmlformats.org/officeDocument/2006/relationships/hyperlink" Target="https://www.dekra.com/en/cbam-certificates/" TargetMode="External"/><Relationship Id="rId18" Type="http://schemas.openxmlformats.org/officeDocument/2006/relationships/hyperlink" Target="https://greensutra.in/?p=238435" TargetMode="External"/><Relationship Id="rId19" Type="http://schemas.openxmlformats.org/officeDocument/2006/relationships/hyperlink" Target="https://www.circulary.eu/project/yara-warmco2/" TargetMode="External"/><Relationship Id="rId20" Type="http://schemas.openxmlformats.org/officeDocument/2006/relationships/hyperlink" Target="https://greenmonk.net/?p=1591" TargetMode="External"/><Relationship Id="rId21" Type="http://schemas.openxmlformats.org/officeDocument/2006/relationships/hyperlink" Target="https://repository.officiele-overheidspublicaties.nl/Bijlagen/TerInzageLegging/2022/til-2022-197/1/bijlage/akoestisch_onderzoek_13.pdf" TargetMode="External"/><Relationship Id="rId22" Type="http://schemas.openxmlformats.org/officeDocument/2006/relationships/hyperlink" Target="https://upravlenie.guu.ru/jour/article/download/595/372" TargetMode="External"/><Relationship Id="rId23" Type="http://schemas.openxmlformats.org/officeDocument/2006/relationships/hyperlink" Target="https://re.volsu.ru/upload/medialibrary/112/rojbxfeosk97cy05f745clbtlhvk4dkj.pdf" TargetMode="External"/><Relationship Id="rId24" Type="http://schemas.openxmlformats.org/officeDocument/2006/relationships/hyperlink" Target="https://ecotrends.ru/index.php/eco/article/download/4470/3563/5791" TargetMode="External"/><Relationship Id="rId25" Type="http://schemas.openxmlformats.org/officeDocument/2006/relationships/hyperlink" Target="https://trungtamwto.vn/download/24369/guidance-no.-5c--sector-specific-guidance-document-on-fertilisers.pdf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Новые основания для главы 3 двухуровневая модель экосистемы промышленного компле</dc:title>
  <dc:description>Claude Docs node/5b55d31e-67af@7 docx-w6</dc:description>
  <cp:revision>7</cp:revision>
</cp:coreProperties>
</file>