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Двухуровневая модель равновесной связности экосистемы с якорным предприятием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3.2.1. Почему оптимальная связность не достигается сама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найденная в § 2.3.3 из условия (2.13), описывает сеть, которую построил бы планировщик, распоряжающийся решениями всех участников. В Невинномысске такого планировщика нет. Резидент ТОСЭР подключается к обмену, когда подключение выгодно ему самому, а эта выгода зависит от того, сколько участников уже подключилось и какую часть дивиденда получит он. Фактическая связность складывается из индивидуальных решений и может остановиться ниже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Эту величину мы называем равновесной связностью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Разность двух величин показывает, сколько эффекта сеть теряет из-за правил распределения, барьеров подключения и регуляторных ограничений.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Иерархическая постановка «администрация парка – предприятия» в литературе по эко-индустриальным паркам известна давно. Р. Тан и К. Ависо записали конфликт интересов администрации и заводов как игру Штакельберга и методом обратной оптимизации подобрали стимулы и санкции, при которых заводы сами формируют оптимальную сеть обмена отходами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Г. Даш и соавторы построили двухуровневую модель сети лесопромышленного симбиоза: администрация парка минимизирует расход первичного сырья, заводы минимизируют собственные затраты [1]. В стохастическом варианте той же модели колебания спроса ухудшили экологическую цель администрации и одновременно увеличили прибыль компаний, поскольку подталкивали их к росту выпуска [2]. Х. Чин, П. Варбанов и Й. Клемеш соединили кооперативную игру с анализом равновесной налоговой ставки и распределили между заводами компенсацию государства за водный симбиоз [3].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невинномысской экосистемы этих постановок недостаточно. В них нет якорного предприятия, от работы которого зависит большая часть потоков. Не учитывается и норма режима ТОСЭР в моногороде, ограничивающая продажи резидента градообразующей организации. Наконец, отсутствует бюджетное ограничение на ликвидацию накопленного экологического ущерба, которое в главе 2 не выполнялось ни в одном сценарии. Ниже эти элементы встроены в двухуровневую модель. Её нижний уровень описывает решение резидента об участии, верхний уровень – выбор параметров механизма оператором экоплатформы и публичным партнёром.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3.2.2. Нижний уровень: решение резидента об участии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Резидент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сравнивает выигрыш от участия с нулём. В выигрыш входят экономия в цене обмена, возникающая внутри коридора (2.14), доля дивиденда по правилу (2.20) и затраты подключения, часть которых может принять на себя публичный партнёр: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U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g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w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рез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σ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0</m:t>
        </m:r>
      </m:oMath>
      <w:r>
        <w:rPr>
          <w:rFonts w:ascii="Times New Roman" w:hAnsi="Times New Roman" w:cs="Times New Roman"/>
          <w:sz w:val="28"/>
        </w:rPr>
        <w:tab/>
        <w:t>(3.15)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годовой выигрыш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участия при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резидента в цене обмена;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вес резидента в группе, равный отношению его подтверждённого эффекта к эффекту группы по формуле (2.20);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рез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группы резидентов в дивиденде;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симбиотический дивиденд (2.11), зависящий от связности через функцию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затрат подключения, которую компенсирует публичный партнёр, 0 ≤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1;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годовые затраты подключения резидента (приборы учёта, согласование, раскрытие данных о потоках).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Связность входит в правую часть (3.15) дважды: через экономию в цене и через дивиденд. Чем больше участников, тем выше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тем крупнее дивиденд, поэтому решение каждого резидента зависит от решений остальных. В главе 2 это свойство было показано для пары участников как игра координации (условие 2.21). Формула (3.15) распространяет его на всю группу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условие участия задаёт режим ТОСЭР. Требования к инвестиционным проектам резидентов ТОСЭР в моногородах исключают договоры с градообразующей организацией и её дочерними обществами, по которым выручка от продаж им превышает 50 % всей выручки резидента от реализации инвестиционного проекта [4]. Текст нормы вносит в постановку два уточнения. Долю считают от выручки по инвестиционному проекту, а не от всей выручки резидента. Кроме того, норма касается только продаж градообразующей организации; закупки у неё, например диоксида углерода или тепла, под предел не подпадают. Условие записывается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 ≤ </m:t>
        </m:r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= 0,5</m:t>
        </m:r>
      </m:oMath>
      <w:r>
        <w:rPr>
          <w:rFonts w:ascii="Times New Roman" w:hAnsi="Times New Roman" w:cs="Times New Roman"/>
          <w:sz w:val="28"/>
        </w:rPr>
        <w:tab/>
        <w:t>(3.16)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продаж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якорному предприятию и его дочерним обществам;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,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выручка резидента от таких продаж по инвестиционному проекту,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вся выручка резидента от реализации инвестиционного проекта,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нормативный предел.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Асимметрия нормы делит потоки экосистемы на два класса. Резидент, который получает от «Азота»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низкопотенциальное тепло, ограничением (3.16) не затронут. Иное положение у резидента, продающего якорю услуги по переработке его отходов или поставляющего ему сырьё. Он упирается в предел 50 %, и рост симбиотического оборота с якорем грозит ему потерей статуса резидента. Для экоплатформы отсюда вытекает практическое правило: обмен, в котором якорь выступает покупателем, проектируется сразу со вторым покупателем той же продукции.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Условия (3.15) и (3.16) вместе задают отображение, которое переводит ожидаемую связность в фактическую. Примем, что каждая допустимая связь соединяет резидента с одним из крупных поставщиков (ГРЭС, «Азот», экопромышленный парк), готовность которых к обмену задана, а связь двух резидентов учитывается у потребителя ресурса. Тогда: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доп</m:t>
                </m:r>
              </m:sub>
            </m:sSub>
          </m:den>
        </m:f>
        <m:nary>
          <m:naryPr>
            <m:chr m:val="∑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</m:bar>
              </m:e>
            </m:d>
          </m:e>
        </m:nary>
      </m:oMath>
      <w:r>
        <w:rPr>
          <w:rFonts w:ascii="Times New Roman" w:hAnsi="Times New Roman" w:cs="Times New Roman"/>
          <w:sz w:val="28"/>
        </w:rPr>
        <w:tab/>
        <w:t>(3.17)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связность, которая возникает, если каждый резидент принимает решение, ожидая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(формула 2.3);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с участием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[·] – индикатор, равный единице при выполнении условия в скобках и нулю в противном случае; суммирование ведётся по всем резидентам.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Равновесная связность – неподвижная точка отображения (3.17). Если выигрыш в цене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дивиденд не убывают с ростом связности, отображение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также не убывает, и по теореме Тарского множество его неподвижных точек на отрезке [0; 1] непусто и имеет наименьший элемент</w:t>
      </w:r>
      <w:r>
        <w:rPr>
          <w:rStyle w:val="FootnoteReference"/>
        </w:rPr>
        <w:footnoteReference w:id="2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Неподвижных точек может быть несколько. Сеть, которая стартует с нулевой связности, а именно так обстоит дело в Невинномысске по данным таблицы 2.1, приходит к наименьшей из них: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0;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: </m:t>
                </m:r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= </m:t>
                </m:r>
                <m:r>
                  <w:rPr>
                    <w:rFonts w:ascii="Cambria Math" w:hAnsi="Cambria Math"/>
                    <w:sz w:val="28"/>
                  </w:rPr>
                  <m:t xml:space="preserve">Γ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(3.18)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равновесная связность при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минимум берётся по множеству неподвижных точек отображения (3.17).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Множественность равновесий в сетях с взаимодополняющими связями описали М. Джексон и А. Волински</w:t>
      </w:r>
      <w:r>
        <w:rPr>
          <w:rStyle w:val="FootnoteReference"/>
        </w:rPr>
        <w:footnoteReference w:id="3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экоплатформы из неё следует, что расчёт выгоды обмена ещё не означает его заключения. Без внешнего толчка сеть остаётся в нижнем равновесии, даже если верхнее выгодно всем участникам. Разрыв между оптимальной и равновесной связностью определяется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Δ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(3.19)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разрыв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оптимальная связность по условию (2.13);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равновесная связность (3.18).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Величина (3.19) близка к тому, что в экономике энергосбережения называют разрывом эффективности: технология выгодна обществу, но фирмы её не принимают, потому что затраты внедрения каждая несёт в одиночку</w:t>
      </w:r>
      <w:r>
        <w:rPr>
          <w:rStyle w:val="FootnoteReference"/>
        </w:rPr>
        <w:footnoteReference w:id="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Л. Хацор и А. Ельнов показали в теоретико-игровой модели, что пороговые затраты внедрения, ниже которых фирма выбирает симбиоз, снижаются с ростом числа фирм на рынке [5]. Работа опубликована как препринт, и мы опираемся на неё только в части качественного вывода. Для ТОСЭР с 52 преимущественно небольшими резидентами он говорит в пользу инструмента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Компенсация затрат подключения действует на порог участия прямо. Рост коэффициента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увеличивает лишь дивидендную часть выигрыша, а она у малого резидента невелика (§ 2.6.2).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3.2.3. Верхний уровень: выбор механизма и цена закрытия разрыва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экоплатформы и публичный партнёр выбирают вектор параметров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сервисный платёж оператору из формулы (2.19). Критерием служит чистый результат сети при равновесной, а не при оптимальной связности за вычетом бюджетных затрат на сам механизм: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max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W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Π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r>
          <w:rPr>
            <w:rFonts w:ascii="Cambria Math" w:hAnsi="Cambria Math"/>
            <w:sz w:val="28"/>
          </w:rPr>
          <m:t xml:space="preserve">Z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(3.20)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общественный результат механизма,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чистый результат сети (2.12), вычисленный при равновесной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бюджетные затраты механизма: компенсация затрат подключения резидентов, вложения публичного партнёра в инфраструктуру и платформу в аннуитетной оценке (2.8).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(3.20) решается при бюджетном ограничении на ликвидацию накопленного ущерба: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пуб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ликв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(3.21)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пуб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публичного получателя в дивиденде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гос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Б или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В, формулы 2.17–2.18);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средства на ликвидацию накопленного ущерба из источников вне дивиденда (целевое использование платы за негативное воздействие на окружающую среду, соглашения о партнёрстве),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годовая потребность в средствах на ликвидацию ущерба, млн руб.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Внешнее слагаемое введено в (3.21) явно, потому что без него ограничение в главе 2 не выполнялось: публичный получатель получал 3,6–3,9 млн руб. при потребности 15,5 млн руб. Модель не исходит из того, что дивиденд покроет ущерб. Она отвечает на другой вопрос: какую часть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придётся закрывать из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данной связности и насколько эта часть сократится, если механизм поднимет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Задачу (3.20) удобно решать в обратном порядке. Сначала задаётся целевая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затем ищется самый дешёвый набор параметров, при котором равновесие её достигает. Приём заимствован у Тана и Ависо, искавших минимальный набор стимулов, который приводит заводы к оптимальной сети (§ 3.2.1):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min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Z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 xml:space="preserve">,   при   </w:t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acc>
          <m:accPr>
            <m:chr m:val="̃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</m:oMath>
      <w:r>
        <w:rPr>
          <w:rFonts w:ascii="Times New Roman" w:hAnsi="Times New Roman" w:cs="Times New Roman"/>
          <w:sz w:val="28"/>
        </w:rPr>
        <w:tab/>
        <w:t>(3.22)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цена закрытия разрыва до уровня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 в год; остальные обозначения те же, что в (3.18) и (3.20). Целевая связность механизма выбирается из сравнения цены закрытия с приростом чистого результата сети: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arg max</m:t>
                </m:r>
              </m:e>
              <m:lim>
                <m:acc>
                  <m:accPr>
                    <m:chr m:val="̃"/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∗∗</m:t>
                        </m:r>
                      </m:sup>
                    </m:sSup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</m:t>
                        </m:r>
                      </m:sup>
                    </m:sSup>
                  </m:e>
                </m:d>
              </m:lim>
            </m:limLow>
          </m:fName>
          <m:e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min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(3.23)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целевая связность механизма;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параметры механизма без мер поддержки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коэффициент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доли по базовой схеме главы 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(3.23) получается вывод, недоступный в постановке главы 2. Если цена закрытия растёт быстрее выигрыша, целевая связность лежит между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добиваться оптимума не нужно: последние связи обойдутся бюджету дороже, чем принесут сети.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разрыв закрывается полностью, и величина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становится обоснованной суммой бюджетной поддержки. Какой из случаев имеет место в Невинномысске, покажет калибровка § 3.3. Отдельный инструмент верхнего уровня – сервисный платёж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М. Моллика, Л. Фраккашия и А. Настази на агентной модели онлайн-платформы симбиоза установили, что при росте доверия к платформе подписчиков удаётся привлекать умеренной платой [6]. В нашей модели этот эффект входит через рост параметра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он поднимает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вместе с ним правую часть условия участия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Связи между уровнями модели и место каждого ограничения показаны на рисунке 3.3. Схема читается сверху вниз как последовательность ходов: публичный партнёр и оператор объявляют параметры, резиденты на них отвечают, а наблюдаемая равновесная связность возвращается наверх и сравнивается с оптимальной.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– Схема двухуровневой модели формирования равновесной связности экосистемы с якорным предприятием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показывает, что якорное предприятие в модели не выбирает параметры механизма и не входит в число последователей. Оно задаёт среду: от него зависят потоки, на которые опираются решения резидентов, и предел (3.16) для тех, кто ему продаёт. Бюджетное ограничение вынесено на верхний уровень, поскольку отвечает за него публичный партнёр, а не участники обмена. Схема подтверждает, что разрыв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возникает на стыке уровней и не может быть устранён мерами только одного из них.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3.2.4. Риск остановки якоря: распределение эффекта и критическая доля зависимости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в § 2.5.3 рассчитан для игры, в которой «Азот» работает весь период. Аммиачные агрегаты останавливаются на плановые и внеплановые ремонты, и в эти периоды прекращаются все потоки, где поставщиком выступает якорь. В исследованиях межзаводской теплоинтеграции такой риск уже учитывают при распределении выгод. В работе, опубликованной в журнале Energy, ограничения ядра на основе значения Оуэна встроены в модель сети теплообменников, и каждый завод получает приемлемую выгоду при вероятности внеплановой остановки от 0 до 100 % [7]. Для трёх заводов химического парка распределение затрат по ядру и вектору Шепли с поправкой на риск предложили Ю. Цзинь, С. Ли и Д. Цзян</w:t>
      </w:r>
      <w:r>
        <w:rPr>
          <w:rStyle w:val="FootnoteReference"/>
        </w:rPr>
        <w:footnoteReference w:id="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та же идея развита в работе, опубликованной в Applied Energy</w:t>
      </w:r>
      <w:r>
        <w:rPr>
          <w:rStyle w:val="FootnoteReference"/>
        </w:rPr>
        <w:footnoteReference w:id="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Перенесём её на игру пяти участников § 2.5.3. Характеристическая функция с учётом риска остановки якоря имеет вид: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ba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∖ </m:t>
            </m:r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e>
            </m:d>
          </m:e>
        </m:d>
      </m:oMath>
      <w:r>
        <w:rPr>
          <w:rFonts w:ascii="Times New Roman" w:hAnsi="Times New Roman" w:cs="Times New Roman"/>
          <w:sz w:val="28"/>
        </w:rPr>
        <w:tab/>
        <w:t>(3.24)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ожидаемый выигрыш коалиции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учётом риска остановки якоря,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коалиции при работающем якоре (характеристическая функция игры § 2.5.3);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периода, в течение которой якорь не поставляет ресурсы;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– та же коалиция без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линеен по характеристической функции, поэтому распределение для игры (3.24) получается смешением двух распределений: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bar>
              <m:barPr>
                <m:pos m:val="top"/>
              </m:barPr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Sh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компонента вектора Шепли участника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}) – игра, в которой якорь не вносит вклада ни в одну коалицию.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игре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якорь является болваном, и его компонента равна нулю. Поэтому доля якоря по формуле (3.25) уменьшается ровно в (1 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раз. В расчёте § 2.5.3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0,3 на «Азот» приходилось 25 % эффекта 117,4 млн руб., то есть около 29,4 млн руб.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 его риск-скорректированная доля составит 0,95 · 29,4 ≈ 27,9 млн руб. Компоненты остальных участников смешиваются с их долями в игре без якоря. Выигрывают те, у кого есть связи, не зависящие от «Азота», прежде всего с ГРЭС и экопромышленным парком. Правило поощряет резервирование потоков, а не только их объём. Значение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оценивается по ремонтному графику и статистике остановок агрегатов, то есть по данным самого предприятия; до их получения используется оценка по заводам-аналогам из п. 3.1.7 — 0,05 при интервале 0,028–0,094.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ставит и второй вопрос: достаточна ли норма 50 % для того, чтобы резидент пережил такую остановку. Рассмотрим резидента, который продаёт якорю долю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продукции проекта. На время остановки эта выручка выпадает. Резидент покрывает постоянные затраты, если оставшийся маржинальный доход их не меньше: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m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Sup>
          <m:e>
            <m:r>
              <w:rPr>
                <w:rFonts w:ascii="Cambria Math" w:hAnsi="Cambria Math"/>
                <w:sz w:val="28"/>
              </w:rPr>
              <m:t xml:space="preserve">R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пр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FC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маржинального дохода в выручке проекта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постоянные затраты проекта за тот же период, млн руб.; остальные обозначения те же, что в (3.16). Из (3.26) выражается критическая доля продаж якорю: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1 − </m:t>
        </m:r>
        <m:f>
          <m:num>
            <m:sSub>
              <m:e>
                <m:r>
                  <w:rPr>
                    <w:rFonts w:ascii="Cambria Math" w:hAnsi="Cambria Math"/>
                    <w:sz w:val="28"/>
                  </w:rPr>
                  <m:t xml:space="preserve">FC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</m:oMath>
      <w:r>
        <w:rPr>
          <w:rFonts w:ascii="Times New Roman" w:hAnsi="Times New Roman" w:cs="Times New Roman"/>
          <w:sz w:val="28"/>
        </w:rPr>
        <w:tab/>
        <w:t>(3.27)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наибольшая доля продаж якорю, при которой резидент покрывает постоянные затраты во время остановки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нормой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0,5 даёт проверяемое утверждение. Возьмём условного резидента с долей маржинального дохода 0,25 и постоянными затратами 15 % выручки: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 – 0,15/0,25 = 0,40. Норма разрешает ему продавать якорю половину продукции, а пережить остановку якоря он может только при доле не выше 40 %. Для резидента с маржинальным доходом 0,40 и постоянными затратами 12 % выручки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0,70, и единый предел 50 % отсекает у него часть выгодного оборота. Единая норма оказывается мягкой для низкомаржинальных резидентов и жёсткой для высокомаржинальных. Оценка (3.26) относится к одному периоду и предполагает, что остановка якоря не меняет остальных продаж резидента; данные для неё берутся из бухгалтерской отчётности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Эмпирические работы по сетям симбиоза указывают на ту же уязвимость. Я. Чжан и соавторы, сравнив восемь сетей по плотности и централизации, выделили тип «якорного арендатора», в котором полнота связей высока, а аффилированные участники чрезмерно зависят от ядра</w:t>
      </w:r>
      <w:r>
        <w:rPr>
          <w:rStyle w:val="FootnoteReference"/>
        </w:rPr>
        <w:footnoteReference w:id="7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С. Чопра и В. Ханна по результатам сетевого анализа Калуннборга назвали электростанцию Асненс наиболее критичным узлом системы</w:t>
      </w:r>
      <w:r>
        <w:rPr>
          <w:rStyle w:val="FootnoteReference"/>
        </w:rPr>
        <w:footnoteReference w:id="8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Сравнение 35 сетей симбиоза разных стран показало, что при каскадных отказах устойчивость сети сохраняется лишь до определённых порогов, за которыми она обрушивается [8]. Отсюда практическое следствие для § 3.1: индекс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инд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нужно дополнить показателем централизации сети вокруг якоря.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3.2.5. Поправка на эффект отдачи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Контрфактическое правило главы 2 сравнивает состояния «с платформой» и «без платформы» при одинаковых объёмах выпуска основной продукции (§ 2.1.1). Для якорного предприятия это допущение уязвимо. Продажа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тепла увеличивает доход с тонны аммиака, и якорю становится выгоднее наращивать выпуск. Хацор и Ельнов показали, что такой прирост способен перекрыть экологический выигрыш от повторного использования побочных продуктов, и тогда в равновесии симбиоз увеличивает загрязнение [5]. Рецензируемое подтверждение того же механизма дала стохастическая модель Даша и соавторов, упомянутая в § 3.2.1 [2]. Изменение выбросов якоря с учётом прироста выпуска: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ε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["/>
            <m:endChr m:val="]"/>
          </m:dPr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+ </m:t>
                </m:r>
                <m:r>
                  <w:rPr>
                    <w:rFonts w:ascii="Cambria Math" w:hAnsi="Cambria Math"/>
                    <w:sz w:val="28"/>
                  </w:rPr>
                  <m:t xml:space="preserve">ΔQ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r>
                  <w:rPr>
                    <w:rFonts w:ascii="Cambria Math" w:hAnsi="Cambria Math"/>
                    <w:sz w:val="28"/>
                  </w:rPr>
                  <m:t xml:space="preserve"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1 −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κ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изменение годовых выбросов (или массы отходов) якоря относительно контрфактического состояния,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удельные выбросы на единицу основной продукции, т/т;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выпуск основной продукции без платформы,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прирост выпуска, вызванный доходом от симбиоза,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побочного продукта, передаваемая потребителям;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выбросов, которые возникают при подготовке, транспортировке и использовании переданного продукта.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Выбросы сокращаются только при условии: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&lt; 0  ⇔  </m:t>
        </m:r>
        <m:r>
          <w:rPr>
            <w:rFonts w:ascii="Cambria Math" w:hAnsi="Cambria Math"/>
            <w:sz w:val="28"/>
          </w:rPr>
          <m:t xml:space="preserve">u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κ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&gt; </m:t>
        </m:r>
        <m:f>
          <m:num>
            <m:r>
              <w:rPr>
                <w:rFonts w:ascii="Cambria Math" w:hAnsi="Cambria Math"/>
                <w:sz w:val="28"/>
              </w:rPr>
              <m:t xml:space="preserve">ΔQ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r>
              <w:rPr>
                <w:rFonts w:ascii="Cambria Math" w:hAnsi="Cambria Math"/>
                <w:sz w:val="28"/>
              </w:rPr>
              <m:t xml:space="preserve">ΔQ</m:t>
            </m:r>
          </m:den>
        </m:f>
      </m:oMath>
      <w:r>
        <w:rPr>
          <w:rFonts w:ascii="Times New Roman" w:hAnsi="Times New Roman" w:cs="Times New Roman"/>
          <w:sz w:val="28"/>
        </w:rPr>
        <w:tab/>
        <w:t>(3.29)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обозначения те же, что в (3.28).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Порог (3.29) жёсткий. Если потребителям передаётся 5 % побочного продукта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0,05), а при его подготовке и доставке возникает пятая часть исходных выбросов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0,2), левая часть равна 0,04. Выбросы растут, как только вызванный симбиозом прирост выпуска превысит 0,04/0,96 ≈ 4,2 % исходного объёма. Прирост выпуска, объясняемый изменением рыночных цен на удобрения, к эффекту платформы не относится и выделяется отдельно, как в § 2.1.1 выделялись изменения тарифов. Экологическая составляющая эффекта (2.7) корректируется на прирост воздействия, если он возник: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ΔE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кор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ΔE</m:t>
        </m:r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НВОС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r>
                  <w:rPr>
                    <w:rFonts w:ascii="Cambria Math" w:hAnsi="Cambria Math"/>
                    <w:sz w:val="28"/>
                  </w:rPr>
                  <m:t xml:space="preserve">ΔEm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(3.30)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кор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дополнительный эффект с поправкой на отдачу,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эффект по формуле (2.7);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НВОС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ставка платы за негативное воздействие на окружающую среду для соответствующего вида воздействия, руб./т.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Денежная поправка (3.30) охватывает только те виды воздействия, за которые в России взимается плата. Выбросы парниковых газов «Азота» денежной оценки не получают по той же причине, что и в § 2.3.1, и учитываются в натуральном выражении. Проверка развязки выпуска и выбросов по индексу П. Тапио</w:t>
      </w:r>
      <w:r>
        <w:rPr>
          <w:rStyle w:val="FootnoteReference"/>
        </w:rPr>
        <w:footnoteReference w:id="9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вынесена в сценарный анализ § 3.4.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3.2.6. Проверяемые следствия модели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имеет смысл, только если её выводы можно опровергнуть данными, которые будут собраны при обследовании участников. Следствия, которые выносятся на проверку в § 3.3 и 3.4, и наблюдения, способные их опровергнуть, сведены в таблицу 3.8.</w:t>
      </w:r>
    </w:p>
    <w:p>
      <w:pPr>
        <w:keepNext/>
        <w:spacing w:after="0" w:before="12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</w:t>
      </w:r>
    </w:p>
    <w:p>
      <w:pPr>
        <w:keepNext/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Проверяемые следствия двухуровневой модели и критерии их опровержения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50"/>
        <w:gridCol w:w="2300"/>
        <w:gridCol w:w="2555"/>
        <w:gridCol w:w="15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Следствие модели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Наблюдаемый показатель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Опровергающее наблюдение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Параграф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 мер поддержки равновесная связность ниже оптимальной: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) &lt;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действующих связей по реестру платформы;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инд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 формуле (2.3)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Фактическая связность достигает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без компенсации затрат подключения и внешнего финансирования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Компенсация затрат подключения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поднимает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сильнее, чем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при равных затратах механизма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Прирост числа участников на 1 млн руб. затрат механизма отдельно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Отклик участия на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ниже отклика на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Критическая доля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у части резидентов-поставщиков якоря отличается от нормы 0,5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маржинального дохода и постоянные затраты резидентов по отчётности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 всех резидентов-поставщиков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лежит в пределах 0,45–0,55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3.1,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выполнении условия (3.29) выбросы якоря после запуска обменов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растут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Выпуск аммиака и удельные выбросы до и после запуска обменов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Выбросы растут при выполнении (3.29) по фактическим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κ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ΔQ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3.3, 3.4</w:t>
            </w:r>
          </w:p>
        </w:tc>
      </w:tr>
    </w:tbl>
    <w:p>
      <w:pPr>
        <w:spacing w:after="120" w:before="6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составлено автором.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 показывает, что каждое из четырёх следствий опирается на величины, которые можно измерить: число действующих связей, отклик участия на инструменты, отчётность резидентов и данные о выбросах предприятия. Ни одно из следствий не вытекает из модели тождественно. Первое может не подтвердиться, если барьеры участия окажутся ниже расчётных, третье – если резиденты-поставщики однородны по маржинальности. Поэтому модель пригодна для проверки и в случае опровержения укажет, какое из допущений нужно пересмотреть.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отношению к главе 2 параграф даёт три результата. Оптимальная связность дополнена равновесной, и их разрыв получил денежную меру – цену закрытия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Норма режима ТОСЭР включена в условие участия с учётом её асимметрии и сопоставлена с критической долей зависимости, выведенной из риска остановки якоря. Дополнительный эффект скорректирован на рост выпуска якоря, который может вызвать сам симбиоз. Для расчёта нужны данные, которых в главе 2 не было: затраты подключения и маржинальность резидентов, график остановок агрегатов «Азота», его выпуск и удельные выбросы. Их получение и калибровка модели составляют содержание § 3.3.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 к параграфу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Daş G.S., Yeşilkaya M., Altınkaynak B., Birgören B. Modeling an industrial symbiosis network using bilevel programming // 62nd International Scientific Conference on Information Technology and Management Science of Riga Technical University (ITMS 2021). Riga, 2021. DOI: 10.1109/ITMS52826.2021.9615312.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Daş G.S., Yeşilkaya M. [et al.] A stochastic bilevel model to manage symbiotic flows in an industrial symbiosis network under demand uncertainty // Computers &amp; Industrial Engineering. 2026.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Chin H.H., Varbanov P.S., Klemeš J.J. Subsidised water symbiosis of eco-industrial parks: A multi-stage game theory approach // Computers and Chemical Engineering. 2021. Vol. 155. Art. 107539. DOI: 10.1016/j.compchemeng.2021.107539.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Об особенностях создания территорий опережающего социально-экономического развития на территориях монопрофильных муниципальных образований Российской Федерации (моногородов): постановление Правительства РФ от 22.06.2015 № 614 (с изм., внесёнными постановлением Правительства РФ от 21.07.2023 № 1179).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Hatsor L., Jelnov A. Industrial symbiosis: How to apply successfully: preprint // arXiv. 2024. arXiv:2411.08483.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Mollica M., Fraccascia L., Nastasi A. What drives the success of online platforms for industrial symbiosis? An agent-based model // Ecological Economics. 2025. Vol. 230.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Multi-plant direct heat integration considering coalition stability under unplanned shutdown risks // Energy. 2022. Vol. 243. Art. 123047. DOI: 10.1016/j.energy.2021.123047.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Xu Z., Liu J., Nallapaneni M.K., Fraccascia L., Chopra S.S. Resilience space of interdependent networks: insights from industrial symbiosis // Reliability Engineering &amp; System Safety. 2026. Vol. 275. Art. 112746. DOI: 10.1016/j.ress.2026.112746.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Tan R.R., Aviso K.B. An inverse optimization approach to inducing resource conservation in eco-industrial parks // Computer Aided Chemical Engineering. 2012. Vol. 31. P. 775–779. DOI: 10.1016/B978-0-444-59507-2.50147-5.</w:t>
      </w:r>
    </w:p>
  </w:footnote>
  <w:footnote w:id="2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Tarski A. A lattice-theoretical fixpoint theorem and its applications // Pacific Journal of Mathematics. 1955. Vol. 5, № 2. P. 285–309.</w:t>
      </w:r>
    </w:p>
  </w:footnote>
  <w:footnote w:id="3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Jackson M.O., Wolinsky A. A strategic model of social and economic networks // Journal of Economic Theory. 1996. Vol. 71, № 1. P. 44–74.</w:t>
      </w:r>
    </w:p>
  </w:footnote>
  <w:footnote w:id="4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Gerarden T.D., Newell R.G., Stavins R.N. Assessing the energy-efficiency gap // Journal of Economic Literature. 2017. Vol. 55, № 4. P. 1486–1525.</w:t>
      </w:r>
    </w:p>
  </w:footnote>
  <w:footnote w:id="5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Jin Y., Li S., Jiang D. Cooperative game based cost analysis of multi-plant heat exchanger network integration in chemical industry park // Chemical Engineering Transactions. 2017. Vol. 61. P. 1219–1224.</w:t>
      </w:r>
    </w:p>
  </w:footnote>
  <w:footnote w:id="6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On the use of risk-based Shapley values for cost sharing in interplant heat integration programs // Applied Energy. 2018. Vol. 211. P. 904–920.</w:t>
      </w:r>
    </w:p>
  </w:footnote>
  <w:footnote w:id="7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Zhang Y., Zheng H., Shi H., Yu X., Liu G., Su M., Li Y., Chai Y. Network analysis of eight industrial symbiosis systems // Frontiers of Earth Science. 2016. Vol. 10, № 2. P. 352–365. DOI: 10.1007/s11707-015-0520-9.</w:t>
      </w:r>
    </w:p>
  </w:footnote>
  <w:footnote w:id="8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Chopra S.S., Khanna V. Understanding resilience in industrial symbiosis networks: Insights from network analysis // Journal of Environmental Management. 2014. Vol. 141. P. 86–94.</w:t>
      </w:r>
    </w:p>
  </w:footnote>
  <w:footnote w:id="9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Tapio P. Towards a theory of decoupling: degrees of decoupling in the EU and the case of road traffic in Finland between 1970 and 2001 // Transport Policy. 2005. Vol. 12, № 2. P. 137–151.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40" w:before="24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240" w:before="24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b49abccff1cc8e95078dd48fb651e5e66e840a.svg"/><Relationship Id="rId8" Type="http://schemas.openxmlformats.org/officeDocument/2006/relationships/image" Target="media/3e7683d8cdea967d36fb4e4d93ad1f9f6dc457f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