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fig_3_4.svg" ContentType="image/svg+xml"/>
  <Override PartName="/word/media/fig_3_5.svg" ContentType="image/svg+xml"/>
  <Override PartName="/word/media/fig_3_6.svg" ContentType="image/svg+xml"/>
  <Override PartName="/word/media/fig_3_7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jc w:val="both"/>
      </w:pPr>
      <w:r>
        <w:rPr>
          <w:b/>
        </w:rPr>
        <w:t>3.3. Имитационная оценка трёх режимов экоплатформы: состояния экосистемы, риски и выигрыши участников</w:t>
      </w:r>
    </w:p>
    <w:p>
      <w:pPr>
        <w:keepNext/>
        <w:jc w:val="both"/>
      </w:pPr>
      <w:r>
        <w:rPr>
          <w:b/>
        </w:rPr>
        <w:t>3.3.1. Постановка имитационного эксперимента</w:t>
      </w:r>
    </w:p>
    <w:p>
      <w:pPr>
        <w:jc w:val="both"/>
      </w:pPr>
      <w:r>
        <w:t>Параграф 3.1 дал модели числа, параграф 3.2 — правила, по которым резиденты решают, участвовать ли в обмене. Остаётся вопрос, ради которого строилась вся глава: что изменится в Невинномысске, если экоплатформа появится, и что останется прежним без неё. Ответ получен на симуляторе DYNSIM, программная модель которого опубликована в открытом доступе вместе с исходным кодом [1]. Версия, использованная в расчётах, содержит калибровку § 3.1 (табл. 3.7) и двухуровневую модель § 3.2; все числа параграфа воспроизводятся на ней при указанных значениях параметров.</w:t>
      </w:r>
    </w:p>
    <w:p>
      <w:pPr>
        <w:jc w:val="both"/>
      </w:pPr>
      <w:r>
        <w:t>Сравниваются три режима, заданные таблицей 2.13. Режим Р0 описывает сохранение нынешнего положения: платформы нет, обмены заключаются только двусторонне, а из подтверждённых связей действует одна — продажа пищевой углекислоты «Азотом» сторонним покупателям. Режим Р1 вводит платформу как координатора без распределения дивиденда (α = 0). Режим Р2 добавляет дивиденд с долей α = 0,10, распределяемый по схеме В (формула 2.18), которая реализована в симуляторе. Отдельно рассматривается вариант Р2σ, в котором публичный партнёр компенсирует 30 % затрат подключения резидентов (σ = 0,3). Он не образует четвёртого режима, а проверяет инструмент, выделенный в § 3.2 как наиболее действенный.</w:t>
      </w:r>
    </w:p>
    <w:p>
      <w:pPr>
        <w:jc w:val="both"/>
      </w:pPr>
      <w:r>
        <w:t>Дополнительный эффект в симуляторе рассчитывается по связности и параметру институциональной среды: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r>
          <m:rPr>
            <m:sty m:val="p"/>
          </m:rPr>
          <w:rPr>
            <w:rFonts w:ascii="Cambria Math" w:hAnsi="Cambria Math"/>
            <w:sz w:val="28"/>
          </w:rPr>
          <m:t xml:space="preserve">Δ</m:t>
        </m:r>
        <m:r>
          <w:rPr>
            <w:rFonts w:ascii="Cambria Math" w:hAnsi="Cambria Math"/>
            <w:sz w:val="28"/>
          </w:rPr>
          <m:t xml:space="preserve">E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t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r>
          <w:rPr>
            <w:rFonts w:ascii="Cambria Math" w:hAnsi="Cambria Math"/>
            <w:sz w:val="28"/>
          </w:rPr>
          <m:t xml:space="preserve">φ</m:t>
        </m:r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  <w:sz w:val="28"/>
                  </w:rPr>
                  <m:t xml:space="preserve">C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t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; </m:t>
            </m:r>
            <m:sSub>
              <m:e>
                <m:r>
                  <w:rPr>
                    <w:rFonts w:ascii="Cambria Math" w:hAnsi="Cambria Math"/>
                    <w:sz w:val="28"/>
                  </w:rPr>
                  <m:t xml:space="preserve">k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t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nary>
          <m:naryPr>
            <m:chr m:val="∑"/>
            <m:limLoc m:val="undOvr"/>
            <m:supHide m:val="1"/>
          </m:naryPr>
          <m:sub>
            <m:r>
              <w:rPr>
                <w:rFonts w:ascii="Cambria Math" w:hAnsi="Cambria Math"/>
                <w:sz w:val="28"/>
              </w:rPr>
              <m:t xml:space="preserve">f</m:t>
            </m:r>
          </m:sub>
          <m:sup/>
          <m:e>
            <m:sSup>
              <m:e>
                <m:sSub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f</m:t>
                    </m:r>
                  </m:sub>
                </m:sSub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чист</m:t>
                </m:r>
              </m:sup>
            </m:sSup>
          </m:e>
        </m:nary>
        <m:r>
          <m:rPr>
            <m:sty m:val="p"/>
          </m:rPr>
          <w:rPr>
            <w:rFonts w:ascii="Cambria Math" w:hAnsi="Cambria Math"/>
            <w:sz w:val="28"/>
          </w:rPr>
          <m:t xml:space="preserve"> − </m:t>
        </m:r>
        <m:sSub>
          <m:e>
            <m:r>
              <w:rPr>
                <w:rFonts w:ascii="Cambria Math" w:hAnsi="Cambria Math"/>
                <w:sz w:val="28"/>
              </w:rPr>
              <m:t xml:space="preserve">Z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пл</m:t>
            </m:r>
          </m:sub>
        </m:sSub>
      </m:oMath>
      <w:r>
        <w:tab/>
        <w:t>(3.31)</w:t>
      </w:r>
    </w:p>
    <w:p>
      <w:pPr>
        <w:ind w:firstLine="0"/>
        <w:jc w:val="both"/>
      </w:pPr>
      <w:r>
        <w:t>где ΔE(t) — дополнительный эффект экоплатформы в году t, млн руб.; φ(C</w:t>
      </w:r>
      <w:r>
        <w:rPr>
          <w:vertAlign w:val="subscript"/>
        </w:rPr>
        <w:t>t</w:t>
      </w:r>
      <w:r>
        <w:t>; k</w:t>
      </w:r>
      <w:r>
        <w:rPr>
          <w:vertAlign w:val="subscript"/>
        </w:rPr>
        <w:t>t</w:t>
      </w:r>
      <w:r>
        <w:t>) = 1 − e</w:t>
      </w:r>
      <w:r>
        <w:rPr>
          <w:vertAlign w:val="superscript"/>
        </w:rPr>
        <w:t>−k·C</w:t>
      </w:r>
      <w:r>
        <w:t xml:space="preserve"> — доля потенциального эффекта, реализуемая при связности C</w:t>
      </w:r>
      <w:r>
        <w:rPr>
          <w:vertAlign w:val="subscript"/>
        </w:rPr>
        <w:t>t</w:t>
      </w:r>
      <w:r>
        <w:t xml:space="preserve"> (формула 2.5); E</w:t>
      </w:r>
      <w:r>
        <w:rPr>
          <w:vertAlign w:val="subscript"/>
        </w:rPr>
        <w:t>f</w:t>
      </w:r>
      <w:r>
        <w:rPr>
          <w:vertAlign w:val="superscript"/>
        </w:rPr>
        <w:t>чист</w:t>
      </w:r>
      <w:r>
        <w:t xml:space="preserve"> — чистый вклад потока f при полной реализации (тепло, прирост продаж CO</w:t>
      </w:r>
      <w:r>
        <w:rPr>
          <w:vertAlign w:val="subscript"/>
        </w:rPr>
        <w:t>2</w:t>
      </w:r>
      <w:r>
        <w:t xml:space="preserve"> сверх Q</w:t>
      </w:r>
      <w:r>
        <w:rPr>
          <w:vertAlign w:val="subscript"/>
        </w:rPr>
        <w:t>0</w:t>
      </w:r>
      <w:r>
        <w:t>, вторичное сырьё, плата за НВОС; табл. 2.6), млн руб.; Z</w:t>
      </w:r>
      <w:r>
        <w:rPr>
          <w:vertAlign w:val="subscript"/>
        </w:rPr>
        <w:t>пл</w:t>
      </w:r>
      <w:r>
        <w:t xml:space="preserve"> — годовые затраты платформы (аннуитет вложений, эксплуатация, издержки сделок), млн руб.</w:t>
      </w:r>
    </w:p>
    <w:p>
      <w:pPr>
        <w:jc w:val="both"/>
      </w:pPr>
      <w:r>
        <w:t>Запись (3.31) отличается от формулы главы 2 одним существенным обстоятельством. Затраты платформы не умножаются на φ: оператор несёт их с первого года независимо от числа заключённых договоров. Сумма чистых вкладов потоков равна 187,1 млн руб., затраты платформы — 69,6 млн руб., поэтому величина 117,4 млн руб. из таблицы 2.6 достигается лишь при φ = 1, то есть при полной реализации всех допустимых обменов. При реальной связности эффект заметно меньше, и именно его, а не потенциальную величину, следует сопоставлять с затратами.</w:t>
      </w:r>
    </w:p>
    <w:p>
      <w:pPr>
        <w:jc w:val="both"/>
      </w:pPr>
      <w:r>
        <w:t>Параметр среды растёт по мере накопления опыта сотрудничества: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sSub>
          <m:e>
            <m:r>
              <w:rPr>
                <w:rFonts w:ascii="Cambria Math" w:hAnsi="Cambria Math"/>
                <w:sz w:val="28"/>
              </w:rPr>
              <m:t xml:space="preserve">k</m:t>
            </m:r>
          </m:e>
          <m:sub>
            <m:r>
              <w:rPr>
                <w:rFonts w:ascii="Cambria Math" w:hAnsi="Cambria Math"/>
                <w:sz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sSub>
          <m:e>
            <m:r>
              <w:rPr>
                <w:rFonts w:ascii="Cambria Math" w:hAnsi="Cambria Math"/>
                <w:sz w:val="28"/>
              </w:rPr>
              <m:t xml:space="preserve">k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0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+ 2,5·</m:t>
        </m:r>
        <m:func>
          <m:fNam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min</m:t>
            </m:r>
          </m:fName>
          <m:e>
            <m:d>
              <m:dPr>
                <m:begChr m:val="("/>
                <m:endChr m:val=")"/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1; </m:t>
                </m:r>
                <m:f>
                  <m:num>
                    <m:r>
                      <w:rPr>
                        <w:rFonts w:ascii="Cambria Math" w:hAnsi="Cambria Math"/>
                        <w:sz w:val="28"/>
                      </w:rPr>
                      <m:t xml:space="preserve"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 − 2026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10</m:t>
                    </m:r>
                  </m:den>
                </m:f>
              </m:e>
            </m:d>
          </m:e>
        </m:func>
      </m:oMath>
      <w:r>
        <w:tab/>
        <w:t>(3.32)</w:t>
      </w:r>
    </w:p>
    <w:p>
      <w:pPr>
        <w:ind w:firstLine="0"/>
        <w:jc w:val="both"/>
      </w:pPr>
      <w:r>
        <w:t>где k</w:t>
      </w:r>
      <w:r>
        <w:rPr>
          <w:vertAlign w:val="subscript"/>
        </w:rPr>
        <w:t>t</w:t>
      </w:r>
      <w:r>
        <w:t xml:space="preserve"> — параметр институциональной среды в году t; k</w:t>
      </w:r>
      <w:r>
        <w:rPr>
          <w:vertAlign w:val="subscript"/>
        </w:rPr>
        <w:t>0</w:t>
      </w:r>
      <w:r>
        <w:t xml:space="preserve"> — начальное значение (3, 5 или 7 для органической, умеренной и координируемой среды; в базовом расчёте 5); 2,5 — прирост параметра за десятилетний горизонт, принятый в симуляторе как допущение класса C.</w:t>
      </w:r>
    </w:p>
    <w:p>
      <w:pPr>
        <w:jc w:val="both"/>
      </w:pPr>
      <w:r>
        <w:t>Линейный рост k</w:t>
      </w:r>
      <w:r>
        <w:rPr>
          <w:vertAlign w:val="subscript"/>
        </w:rPr>
        <w:t>t</w:t>
      </w:r>
      <w:r>
        <w:t xml:space="preserve"> — упрощение. Д. Язан, В. Язданпанах и Л. Фраккашия на сочетании игровой и агентной модели показали, что предприятия, многократно взаимодействующие в сети, обучаются кооперативной стратегии лишь при стабильных правилах раздела выгод</w:t>
      </w:r>
      <w:r>
        <w:rPr>
          <w:vertAlign w:val="superscript"/>
        </w:rPr>
        <w:footnoteReference w:id="1"/>
      </w:r>
      <w:r>
        <w:t>. Значит, скорость роста k зависит от доли договоров, исполненных без споров, и после запуска платформы должна оцениваться по формуле (2.6), а не задаваться. В симуляторе эта зависимость представлена моделью поведения «обучение», где k растёт вместе со связностью.</w:t>
      </w:r>
    </w:p>
    <w:p>
      <w:pPr>
        <w:jc w:val="both"/>
      </w:pPr>
      <w:r>
        <w:t>Динамика связности описывается последовательностью раундов решений. В каждом раунде резиденты видят связность предыдущего года и решают, участвовать ли, по условиям (3.15)–(3.16):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sSub>
          <m:e>
            <m:r>
              <w:rPr>
                <w:rFonts w:ascii="Cambria Math" w:hAnsi="Cambria Math"/>
                <w:sz w:val="28"/>
              </w:rPr>
              <m:t xml:space="preserve">C</m:t>
            </m:r>
          </m:e>
          <m:sub>
            <m:r>
              <w:rPr>
                <w:rFonts w:ascii="Cambria Math" w:hAnsi="Cambria Math"/>
                <w:sz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r>
          <w:rPr>
            <w:rFonts w:ascii="Cambria Math" w:hAnsi="Cambria Math"/>
            <w:sz w:val="28"/>
          </w:rPr>
          <m:t xml:space="preserve">Γ</m:t>
        </m:r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  <w:sz w:val="28"/>
                  </w:rPr>
                  <m:t xml:space="preserve">C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t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−1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; </m:t>
            </m:r>
            <m:r>
              <w:rPr>
                <w:rFonts w:ascii="Cambria Math" w:hAnsi="Cambria Math"/>
                <w:sz w:val="28"/>
              </w:rPr>
              <m:t xml:space="preserve">θ</m:t>
            </m:r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, </m:t>
            </m:r>
            <m:sSub>
              <m:e>
                <m:r>
                  <w:rPr>
                    <w:rFonts w:ascii="Cambria Math" w:hAnsi="Cambria Math"/>
                    <w:sz w:val="28"/>
                  </w:rPr>
                  <m:t xml:space="preserve">k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t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,  </m:t>
        </m:r>
        <m:sSub>
          <m:e>
            <m:r>
              <w:rPr>
                <w:rFonts w:ascii="Cambria Math" w:hAnsi="Cambria Math"/>
                <w:sz w:val="28"/>
              </w:rPr>
              <m:t xml:space="preserve">C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2026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sSub>
          <m:e>
            <m:r>
              <w:rPr>
                <w:rFonts w:ascii="Cambria Math" w:hAnsi="Cambria Math"/>
                <w:sz w:val="28"/>
              </w:rPr>
              <m:t xml:space="preserve">C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0</m:t>
            </m:r>
          </m:sub>
        </m:sSub>
      </m:oMath>
      <w:r>
        <w:tab/>
        <w:t>(3.33)</w:t>
      </w:r>
    </w:p>
    <w:p>
      <w:pPr>
        <w:ind w:firstLine="0"/>
        <w:jc w:val="both"/>
      </w:pPr>
      <w:r>
        <w:t>где C</w:t>
      </w:r>
      <w:r>
        <w:rPr>
          <w:vertAlign w:val="subscript"/>
        </w:rPr>
        <w:t>t</w:t>
      </w:r>
      <w:r>
        <w:t xml:space="preserve"> — связность, достигнутая в году t; Γ — отображение (3.17); θ — параметры механизма (α, схема распределения, σ); C</w:t>
      </w:r>
      <w:r>
        <w:rPr>
          <w:vertAlign w:val="subscript"/>
        </w:rPr>
        <w:t>0</w:t>
      </w:r>
      <w:r>
        <w:t xml:space="preserve"> — базовая связность. Один раунд в год — допущение: оно соответствует годовому циклу бюджетного планирования и заключения договоров у резидентов, но после запуска платформы длительность раунда должна быть установлена по фактическим срокам заключения договоров.</w:t>
      </w:r>
    </w:p>
    <w:p>
      <w:pPr>
        <w:jc w:val="both"/>
      </w:pPr>
      <w:r>
        <w:t>Базовая связность принята равной C</w:t>
      </w:r>
      <w:r>
        <w:rPr>
          <w:vertAlign w:val="subscript"/>
        </w:rPr>
        <w:t>0</w:t>
      </w:r>
      <w:r>
        <w:t xml:space="preserve"> = 1/130 ≈ 0,008: из 130 допустимых связей демонстрационной популяции действует одна. Объём этой связи Q</w:t>
      </w:r>
      <w:r>
        <w:rPr>
          <w:vertAlign w:val="subscript"/>
        </w:rPr>
        <w:t>0</w:t>
      </w:r>
      <w:r>
        <w:t xml:space="preserve"> = 32 тыс. т в эффект платформы не входит (формула 3.11). Популяция из 52 резидентов четырёх типов (табл. 2.12) остаётся демонстрационной: выигрыши в цене и затраты подключения заданы диапазонами § 2.6.2 и отнесены к классу C. Состав экспериментов и значения параметров сведены в таблицу 3.9.</w:t>
      </w:r>
    </w:p>
    <w:p>
      <w:pPr>
        <w:keepNext/>
        <w:ind w:firstLine="0"/>
        <w:jc w:val="right"/>
      </w:pPr>
      <w:r>
        <w:t>Таблица 3.9</w:t>
      </w:r>
    </w:p>
    <w:p>
      <w:pPr>
        <w:keepNext/>
        <w:ind w:firstLine="0"/>
        <w:jc w:val="center"/>
      </w:pPr>
      <w:r>
        <w:t>Режимы имитационного эксперимента и их параметры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/>
        </w:trPr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Режим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Платформа, Z</w:t>
            </w:r>
            <w:r>
              <w:rPr>
                <w:b/>
                <w:sz w:val="24"/>
                <w:vertAlign w:val="subscript"/>
              </w:rPr>
              <w:t>пл</w:t>
            </w:r>
            <w:r>
              <w:rPr>
                <w:b/>
                <w:sz w:val="24"/>
              </w:rPr>
              <w:t>, млн руб./год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Дивиденд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Компенсация σ</w:t>
            </w:r>
          </w:p>
        </w:tc>
        <w:tc>
          <w:tcPr>
            <w:tcW w:type="dxa" w:w="56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  <w:vertAlign w:val="subscript"/>
              </w:rPr>
              <w:t>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Источник связности</w:t>
            </w:r>
          </w:p>
        </w:tc>
      </w:tr>
      <w:tr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Р0 — без платформы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нет, 0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нет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56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наблюдение: C</w:t>
            </w:r>
            <w:r>
              <w:rPr>
                <w:sz w:val="24"/>
                <w:vertAlign w:val="subscript"/>
              </w:rPr>
              <w:t>0</w:t>
            </w:r>
            <w:r>
              <w:rPr>
                <w:sz w:val="24"/>
              </w:rPr>
              <w:t xml:space="preserve"> ≈ 0,008</w:t>
            </w:r>
          </w:p>
        </w:tc>
      </w:tr>
      <w:tr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Р1 — координация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есть, 69,6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α = 0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56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равновесие (3.18), раунды (3.33)</w:t>
            </w:r>
          </w:p>
        </w:tc>
      </w:tr>
      <w:tr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Р2 — координация и дивиденд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есть, 69,6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α = 0,10, схема В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56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то же</w:t>
            </w:r>
          </w:p>
        </w:tc>
      </w:tr>
      <w:tr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Р2σ — дивиденд и компенсация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есть, 69,6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α = 0,10, схема А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0,3</w:t>
            </w:r>
          </w:p>
        </w:tc>
        <w:tc>
          <w:tcPr>
            <w:tcW w:type="dxa" w:w="56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то же</w:t>
            </w:r>
          </w:p>
        </w:tc>
      </w:tr>
    </w:tbl>
    <w:p>
      <w:pPr>
        <w:ind w:firstLine="0"/>
        <w:jc w:val="left"/>
      </w:pPr>
      <w:r>
        <w:rPr>
          <w:sz w:val="24"/>
        </w:rPr>
        <w:t>Источник: составлено автором; параметры потоков — табл. 2.5–2.6, калибровка — табл. 3.7.</w:t>
      </w:r>
    </w:p>
    <w:p>
      <w:pPr>
        <w:jc w:val="both"/>
      </w:pPr>
      <w:r>
        <w:t>Режимы в таблице 3.9 различаются только институциональными параметрами. Потоки, цены и затраты платформы во всех экспериментах одни и те же, и любое расхождение результатов приходится на механизм, а не на технологию. Это прямое требование контрфактического правила главы 2. Вариант Р2σ построен на схеме А, поскольку так задан механизм компенсации в программной модели; на равновесную связность выбор схемы при равных α не влияет, что показано ниже.</w:t>
      </w:r>
    </w:p>
    <w:p>
      <w:pPr>
        <w:keepNext/>
        <w:jc w:val="both"/>
      </w:pPr>
      <w:r>
        <w:rPr>
          <w:b/>
        </w:rPr>
        <w:t>3.3.2. Три состояния экосистемы и порог окупаемости платформы</w:t>
      </w:r>
    </w:p>
    <w:p>
      <w:pPr>
        <w:jc w:val="both"/>
      </w:pPr>
      <w:r>
        <w:t>Симулятор выделяет три состояния экосистемы по индексу связности: линейное при C</w:t>
      </w:r>
      <w:r>
        <w:rPr>
          <w:vertAlign w:val="subscript"/>
        </w:rPr>
        <w:t>инд</w:t>
      </w:r>
      <w:r>
        <w:t xml:space="preserve"> &lt; 0,05, переходное при 0,05–0,15 и экосистемное свыше 0,15. В главе 1 эти пороги имели статус сценарных ориентиров, и § 2.2.3 оставил вопрос об их экономическом смысле открытым. Формула (3.31) позволяет ответить на него. Платформа окупает собственные затраты, когда ΔE(t) ≥ 0, откуда порог связности равен: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sSub>
          <m:e>
            <m:r>
              <w:rPr>
                <w:rFonts w:ascii="Cambria Math" w:hAnsi="Cambria Math"/>
                <w:sz w:val="28"/>
              </w:rPr>
              <m:t xml:space="preserve">C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min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t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= −</m:t>
        </m:r>
        <m:f>
          <m:num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1</m:t>
            </m:r>
          </m:num>
          <m:den>
            <m:sSub>
              <m:e>
                <m:r>
                  <w:rPr>
                    <w:rFonts w:ascii="Cambria Math" w:hAnsi="Cambria Math"/>
                    <w:sz w:val="28"/>
                  </w:rPr>
                  <m:t xml:space="preserve">k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t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func>
          <m:fNam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ln</m:t>
            </m:r>
          </m:fName>
          <m:e>
            <m:d>
              <m:dPr>
                <m:begChr m:val="("/>
                <m:endChr m:val=")"/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1 − 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 xml:space="preserve">Z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</w:rPr>
                          <m:t xml:space="preserve">пл</m:t>
                        </m:r>
                      </m:sub>
                    </m:sSub>
                  </m:num>
                  <m:den>
                    <m:nary>
                      <m:naryPr>
                        <m:chr m:val="∑"/>
                        <m:limLoc m:val="undOvr"/>
                        <m:supHide m:val="1"/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</w:rPr>
                          <m:t xml:space="preserve">f</m:t>
                        </m:r>
                      </m:sub>
                      <m:sup/>
                      <m:e>
                        <m:sSup>
                          <m:e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 xml:space="preserve">E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</w:rPr>
                                  <m:t xml:space="preserve">f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</w:rPr>
                              <m:t xml:space="preserve">чист</m:t>
                            </m:r>
                          </m:sup>
                        </m:sSup>
                      </m:e>
                    </m:nary>
                  </m:den>
                </m:f>
              </m:e>
            </m:d>
          </m:e>
        </m:func>
      </m:oMath>
      <w:r>
        <w:tab/>
        <w:t>(3.34)</w:t>
      </w:r>
    </w:p>
    <w:p>
      <w:pPr>
        <w:ind w:firstLine="0"/>
        <w:jc w:val="both"/>
      </w:pPr>
      <w:r>
        <w:t>где C</w:t>
      </w:r>
      <w:r>
        <w:rPr>
          <w:vertAlign w:val="subscript"/>
        </w:rPr>
        <w:t>min</w:t>
      </w:r>
      <w:r>
        <w:t>(t) — наименьшая связность, при которой дополнительный эффект платформы неотрицателен; ln — натуральный логарифм; остальные обозначения те же, что в (3.31) и (3.32).</w:t>
      </w:r>
    </w:p>
    <w:p>
      <w:pPr>
        <w:jc w:val="both"/>
      </w:pPr>
      <w:r>
        <w:t>При базовых параметрах C</w:t>
      </w:r>
      <w:r>
        <w:rPr>
          <w:vertAlign w:val="subscript"/>
        </w:rPr>
        <w:t>min</w:t>
      </w:r>
      <w:r>
        <w:t xml:space="preserve"> = 0,089 в 2027 г. и 0,062 в 2036 г. Порог опускается, поскольку растёт k: та же сеть с опытом сотрудничества реализует большую долю потенциала. Экономическая граница лежит внутри переходного состояния и сдвигается во времени, а не совпадает с фиксированным значением 0,15. Переходное состояние получает точное содержание — это зона, где платформа уже несёт затраты, а связей ещё недостаточно для их возмещения. Л. Фраккашия на агентной модели онлайн-платформы симбиоза получил аналогичный результат: выгода пользователя растёт с числом других пользователей, и при доле участия ниже некоторого минимума платформа не даёт предприятиям дополнительной выгоды</w:t>
      </w:r>
      <w:r>
        <w:rPr>
          <w:vertAlign w:val="superscript"/>
        </w:rPr>
        <w:footnoteReference w:id="2"/>
      </w:r>
      <w:r>
        <w:t>. Показатели трёх состояний приведены в таблице 3.10.</w:t>
      </w:r>
    </w:p>
    <w:p>
      <w:pPr>
        <w:keepNext/>
        <w:ind w:firstLine="0"/>
        <w:jc w:val="right"/>
      </w:pPr>
      <w:r>
        <w:t>Таблица 3.10</w:t>
      </w:r>
    </w:p>
    <w:p>
      <w:pPr>
        <w:keepNext/>
        <w:ind w:firstLine="0"/>
        <w:jc w:val="center"/>
      </w:pPr>
      <w:r>
        <w:t>Показатели трёх состояний экосистемы в симуляторе при базовых параметрах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>
        <w:trPr>
          <w:tblHeader/>
        </w:trPr>
        <w:tc>
          <w:tcPr>
            <w:tcW w:type="dxa" w:w="16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Состояние</w:t>
            </w:r>
          </w:p>
        </w:tc>
        <w:tc>
          <w:tcPr>
            <w:tcW w:type="dxa" w:w="89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C</w:t>
            </w:r>
            <w:r>
              <w:rPr>
                <w:b/>
                <w:sz w:val="24"/>
                <w:vertAlign w:val="subscript"/>
              </w:rPr>
              <w:t>инд</w:t>
            </w:r>
          </w:p>
        </w:tc>
        <w:tc>
          <w:tcPr>
            <w:tcW w:type="dxa" w:w="77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Год</w:t>
            </w:r>
          </w:p>
        </w:tc>
        <w:tc>
          <w:tcPr>
            <w:tcW w:type="dxa" w:w="8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φ</w:t>
            </w:r>
          </w:p>
        </w:tc>
        <w:tc>
          <w:tcPr>
            <w:tcW w:type="dxa" w:w="143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ΔE(t), млн руб.</w:t>
            </w:r>
          </w:p>
        </w:tc>
        <w:tc>
          <w:tcPr>
            <w:tcW w:type="dxa" w:w="119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SD, млн руб.</w:t>
            </w:r>
          </w:p>
        </w:tc>
        <w:tc>
          <w:tcPr>
            <w:tcW w:type="dxa" w:w="16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Доля бюджета SD</w:t>
            </w:r>
            <w:r>
              <w:rPr>
                <w:b/>
                <w:sz w:val="24"/>
                <w:vertAlign w:val="subscript"/>
              </w:rPr>
              <w:t>б</w:t>
            </w:r>
            <w:r>
              <w:rPr>
                <w:b/>
                <w:sz w:val="24"/>
              </w:rPr>
              <w:t>, млн руб.</w:t>
            </w:r>
          </w:p>
        </w:tc>
        <w:tc>
          <w:tcPr>
            <w:tcW w:type="dxa" w:w="89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C</w:t>
            </w:r>
            <w:r>
              <w:rPr>
                <w:b/>
                <w:sz w:val="24"/>
                <w:vertAlign w:val="subscript"/>
              </w:rPr>
              <w:t>min</w:t>
            </w:r>
          </w:p>
        </w:tc>
      </w:tr>
      <w:tr>
        <w:tc>
          <w:tcPr>
            <w:tcW w:type="dxa" w:w="166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Линейное</w:t>
            </w:r>
          </w:p>
        </w:tc>
        <w:tc>
          <w:tcPr>
            <w:tcW w:type="dxa" w:w="89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0,03</w:t>
            </w:r>
          </w:p>
        </w:tc>
        <w:tc>
          <w:tcPr>
            <w:tcW w:type="dxa" w:w="77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2027</w:t>
            </w:r>
          </w:p>
        </w:tc>
        <w:tc>
          <w:tcPr>
            <w:tcW w:type="dxa" w:w="8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43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−69,6</w:t>
            </w:r>
          </w:p>
        </w:tc>
        <w:tc>
          <w:tcPr>
            <w:tcW w:type="dxa" w:w="119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6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89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0,089</w:t>
            </w:r>
          </w:p>
        </w:tc>
      </w:tr>
      <w:tr>
        <w:tc>
          <w:tcPr>
            <w:tcW w:type="dxa" w:w="1668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894"/>
          </w:tcPr>
          <w:p>
            <w:pPr>
              <w:spacing w:line="240" w:lineRule="auto"/>
              <w:ind w:firstLine="0"/>
              <w:jc w:val="center"/>
            </w:pPr>
            <w:r/>
          </w:p>
        </w:tc>
        <w:tc>
          <w:tcPr>
            <w:tcW w:type="dxa" w:w="77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2036</w:t>
            </w:r>
          </w:p>
        </w:tc>
        <w:tc>
          <w:tcPr>
            <w:tcW w:type="dxa" w:w="8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43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−69,6</w:t>
            </w:r>
          </w:p>
        </w:tc>
        <w:tc>
          <w:tcPr>
            <w:tcW w:type="dxa" w:w="119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6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89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0,062</w:t>
            </w:r>
          </w:p>
        </w:tc>
      </w:tr>
      <w:tr>
        <w:tc>
          <w:tcPr>
            <w:tcW w:type="dxa" w:w="166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Переходное</w:t>
            </w:r>
          </w:p>
        </w:tc>
        <w:tc>
          <w:tcPr>
            <w:tcW w:type="dxa" w:w="89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0,08</w:t>
            </w:r>
          </w:p>
        </w:tc>
        <w:tc>
          <w:tcPr>
            <w:tcW w:type="dxa" w:w="77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2027</w:t>
            </w:r>
          </w:p>
        </w:tc>
        <w:tc>
          <w:tcPr>
            <w:tcW w:type="dxa" w:w="8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0,343</w:t>
            </w:r>
          </w:p>
        </w:tc>
        <w:tc>
          <w:tcPr>
            <w:tcW w:type="dxa" w:w="143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−5,5</w:t>
            </w:r>
          </w:p>
        </w:tc>
        <w:tc>
          <w:tcPr>
            <w:tcW w:type="dxa" w:w="119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6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89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0,089</w:t>
            </w:r>
          </w:p>
        </w:tc>
      </w:tr>
      <w:tr>
        <w:tc>
          <w:tcPr>
            <w:tcW w:type="dxa" w:w="1668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894"/>
          </w:tcPr>
          <w:p>
            <w:pPr>
              <w:spacing w:line="240" w:lineRule="auto"/>
              <w:ind w:firstLine="0"/>
              <w:jc w:val="center"/>
            </w:pPr>
            <w:r/>
          </w:p>
        </w:tc>
        <w:tc>
          <w:tcPr>
            <w:tcW w:type="dxa" w:w="77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2036</w:t>
            </w:r>
          </w:p>
        </w:tc>
        <w:tc>
          <w:tcPr>
            <w:tcW w:type="dxa" w:w="8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0,451</w:t>
            </w:r>
          </w:p>
        </w:tc>
        <w:tc>
          <w:tcPr>
            <w:tcW w:type="dxa" w:w="143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14,8</w:t>
            </w:r>
          </w:p>
        </w:tc>
        <w:tc>
          <w:tcPr>
            <w:tcW w:type="dxa" w:w="119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1,48</w:t>
            </w:r>
          </w:p>
        </w:tc>
        <w:tc>
          <w:tcPr>
            <w:tcW w:type="dxa" w:w="16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0,50</w:t>
            </w:r>
          </w:p>
        </w:tc>
        <w:tc>
          <w:tcPr>
            <w:tcW w:type="dxa" w:w="89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0,062</w:t>
            </w:r>
          </w:p>
        </w:tc>
      </w:tr>
      <w:tr>
        <w:tc>
          <w:tcPr>
            <w:tcW w:type="dxa" w:w="166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Экосистемное</w:t>
            </w:r>
          </w:p>
        </w:tc>
        <w:tc>
          <w:tcPr>
            <w:tcW w:type="dxa" w:w="89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0,19</w:t>
            </w:r>
          </w:p>
        </w:tc>
        <w:tc>
          <w:tcPr>
            <w:tcW w:type="dxa" w:w="77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2027</w:t>
            </w:r>
          </w:p>
        </w:tc>
        <w:tc>
          <w:tcPr>
            <w:tcW w:type="dxa" w:w="8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0,631</w:t>
            </w:r>
          </w:p>
        </w:tc>
        <w:tc>
          <w:tcPr>
            <w:tcW w:type="dxa" w:w="143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48,4</w:t>
            </w:r>
          </w:p>
        </w:tc>
        <w:tc>
          <w:tcPr>
            <w:tcW w:type="dxa" w:w="119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4,84</w:t>
            </w:r>
          </w:p>
        </w:tc>
        <w:tc>
          <w:tcPr>
            <w:tcW w:type="dxa" w:w="16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1,82</w:t>
            </w:r>
          </w:p>
        </w:tc>
        <w:tc>
          <w:tcPr>
            <w:tcW w:type="dxa" w:w="89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0,089</w:t>
            </w:r>
          </w:p>
        </w:tc>
      </w:tr>
      <w:tr>
        <w:tc>
          <w:tcPr>
            <w:tcW w:type="dxa" w:w="1668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894"/>
          </w:tcPr>
          <w:p>
            <w:pPr>
              <w:spacing w:line="240" w:lineRule="auto"/>
              <w:ind w:firstLine="0"/>
              <w:jc w:val="center"/>
            </w:pPr>
            <w:r/>
          </w:p>
        </w:tc>
        <w:tc>
          <w:tcPr>
            <w:tcW w:type="dxa" w:w="77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2036</w:t>
            </w:r>
          </w:p>
        </w:tc>
        <w:tc>
          <w:tcPr>
            <w:tcW w:type="dxa" w:w="8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0,759</w:t>
            </w:r>
          </w:p>
        </w:tc>
        <w:tc>
          <w:tcPr>
            <w:tcW w:type="dxa" w:w="143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72,4</w:t>
            </w:r>
          </w:p>
        </w:tc>
        <w:tc>
          <w:tcPr>
            <w:tcW w:type="dxa" w:w="119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7,24</w:t>
            </w:r>
          </w:p>
        </w:tc>
        <w:tc>
          <w:tcPr>
            <w:tcW w:type="dxa" w:w="16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2,91</w:t>
            </w:r>
          </w:p>
        </w:tc>
        <w:tc>
          <w:tcPr>
            <w:tcW w:type="dxa" w:w="89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0,062</w:t>
            </w:r>
          </w:p>
        </w:tc>
      </w:tr>
    </w:tbl>
    <w:p>
      <w:pPr>
        <w:ind w:firstLine="0"/>
        <w:jc w:val="left"/>
      </w:pPr>
      <w:r>
        <w:rPr>
          <w:sz w:val="24"/>
        </w:rPr>
        <w:t>Источник: рассчитано автором на симуляторе [1] по формулам (3.31), (3.32), (3.34) и (2.11), (2.18); α = 0,10, k</w:t>
      </w:r>
      <w:r>
        <w:rPr>
          <w:sz w:val="24"/>
          <w:vertAlign w:val="subscript"/>
        </w:rPr>
        <w:t>0</w:t>
      </w:r>
      <w:r>
        <w:rPr>
          <w:sz w:val="24"/>
        </w:rPr>
        <w:t xml:space="preserve"> = 5, режим распределения фискальный.</w:t>
      </w:r>
    </w:p>
    <w:p>
      <w:pPr>
        <w:jc w:val="both"/>
      </w:pPr>
      <w:r>
        <w:t>Таблица 3.10 подтверждает, что сценарные пороги и экономическая граница расходятся. При связности 0,08 в 2027 г. экосистема находится в переходном состоянии и по шкале симулятора, и по экономическому критерию: эффект отрицателен (−5,5 млн руб.). К 2036 г. та же связность уже даёт положительный эффект 14,8 млн руб., хотя шкала симулятора по-прежнему относит её к переходному состоянию. Линейное состояние означает убыток в размере всех затрат платформы, поскольку ниже C</w:t>
      </w:r>
      <w:r>
        <w:rPr>
          <w:vertAlign w:val="subscript"/>
        </w:rPr>
        <w:t>инд</w:t>
      </w:r>
      <w:r>
        <w:t xml:space="preserve"> = 0,05 симулятор принимает φ = 0. В экосистемном состоянии эффект положителен, однако даже при C = 0,19 он составляет 41–62 % от потенциальных 117,4 млн руб.</w:t>
      </w:r>
    </w:p>
    <w:p>
      <w:pPr>
        <w:jc w:val="both"/>
      </w:pPr>
      <w:r>
        <w:t>Связь состояний с режимами эксперимента показана на рисунке 3.4. На нём нанесены кривые ΔE(C) для начала и конца горизонта, порог C</w:t>
      </w:r>
      <w:r>
        <w:rPr>
          <w:vertAlign w:val="subscript"/>
        </w:rPr>
        <w:t>min</w:t>
      </w:r>
      <w:r>
        <w:t xml:space="preserve"> и равновесные точки режимов, найденные в п. 3.3.3.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423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_3.4.png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42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ind w:firstLine="0"/>
        <w:jc w:val="center"/>
      </w:pPr>
      <w:r>
        <w:t>Рисунок 3.4 – Три состояния экосистемы, порог окупаемости платформы и равновесия режимов</w:t>
      </w:r>
    </w:p>
    <w:p>
      <w:pPr>
        <w:ind w:firstLine="0"/>
        <w:jc w:val="center"/>
      </w:pPr>
      <w:r>
        <w:rPr>
          <w:sz w:val="24"/>
        </w:rPr>
        <w:t>Источник: рассчитано автором на симуляторе [1] по формулам (3.31), (3.34); равновесия — по (3.18).</w:t>
      </w:r>
    </w:p>
    <w:p>
      <w:pPr>
        <w:jc w:val="both"/>
      </w:pPr>
      <w:r>
        <w:t>Рисунок 3.4 показывает главное: режим Р0 находится в линейном состоянии, а равновесия режимов с платформой — в экосистемном, справа от порога C</w:t>
      </w:r>
      <w:r>
        <w:rPr>
          <w:vertAlign w:val="subscript"/>
        </w:rPr>
        <w:t>min</w:t>
      </w:r>
      <w:r>
        <w:t>. Между ними лежит переходная зона, которую сеть должна пройти и в которой платформа работает в убыток. Чем выше k, тем левее порог и тем короче этот участок. Скриншоты симулятора для трёх состояний приведены в приложении (рис. П.1–П.3); на них видно, как при пересечении границ меняются граф потоков, дивиденд и его распределение.</w:t>
      </w:r>
    </w:p>
    <w:p>
      <w:pPr>
        <w:keepNext/>
        <w:jc w:val="both"/>
      </w:pPr>
      <w:r>
        <w:rPr>
          <w:b/>
        </w:rPr>
        <w:t>3.3.3. Равновесная связность режимов и информационный барьер</w:t>
      </w:r>
    </w:p>
    <w:p>
      <w:pPr>
        <w:jc w:val="both"/>
      </w:pPr>
      <w:r>
        <w:t>Равновесия режимов найдены по формуле (3.18) для модели поведения «близорукий порог» (условие 3.15). Результаты для трёх контрольных лет сведены в таблицу 3.11. Для режима Р0 приведены две строки: модельное равновесие при условии, что резиденты знают о выгодных обменах и без платформы, и наблюдаемое состояние.</w:t>
      </w:r>
    </w:p>
    <w:p>
      <w:pPr>
        <w:keepNext/>
        <w:ind w:firstLine="0"/>
        <w:jc w:val="right"/>
      </w:pPr>
      <w:r>
        <w:t>Таблица 3.11</w:t>
      </w:r>
    </w:p>
    <w:p>
      <w:pPr>
        <w:keepNext/>
        <w:ind w:firstLine="0"/>
        <w:jc w:val="center"/>
      </w:pPr>
      <w:r>
        <w:t>Равновесная связность и результаты режимов экоплатформы в 2027, 2030 и 2036 гг.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rPr>
          <w:tblHeader/>
        </w:trPr>
        <w:tc>
          <w:tcPr>
            <w:tcW w:type="dxa" w:w="190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Режим</w:t>
            </w:r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Год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C</w:t>
            </w:r>
            <w:r>
              <w:rPr>
                <w:b/>
                <w:sz w:val="24"/>
                <w:vertAlign w:val="superscript"/>
              </w:rPr>
              <w:t>**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Резиденты (связи)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C</w:t>
            </w:r>
            <w:r>
              <w:rPr>
                <w:b/>
                <w:sz w:val="24"/>
                <w:vertAlign w:val="superscript"/>
              </w:rPr>
              <w:t>*</w:t>
            </w:r>
          </w:p>
        </w:tc>
        <w:tc>
          <w:tcPr>
            <w:tcW w:type="dxa" w:w="69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Δ</w:t>
            </w:r>
            <w:r>
              <w:rPr>
                <w:b/>
                <w:sz w:val="24"/>
                <w:vertAlign w:val="subscript"/>
              </w:rPr>
              <w:t>C</w:t>
            </w:r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ΔE, млн руб.</w:t>
            </w:r>
          </w:p>
        </w:tc>
        <w:tc>
          <w:tcPr>
            <w:tcW w:type="dxa" w:w="8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SD, млн руб.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γ</w:t>
            </w:r>
            <w:r>
              <w:rPr>
                <w:b/>
                <w:sz w:val="24"/>
                <w:vertAlign w:val="subscript"/>
              </w:rPr>
              <w:t>пуб</w:t>
            </w:r>
            <w:r>
              <w:rPr>
                <w:b/>
                <w:sz w:val="24"/>
              </w:rPr>
              <w:t>·SD, млн руб.</w:t>
            </w:r>
          </w:p>
        </w:tc>
      </w:tr>
      <w:tr>
        <w:tc>
          <w:tcPr>
            <w:tcW w:type="dxa" w:w="190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Р0, наблюдение</w:t>
            </w:r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2027–2036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0,008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 (1)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—</w:t>
            </w:r>
          </w:p>
        </w:tc>
        <w:tc>
          <w:tcPr>
            <w:tcW w:type="dxa" w:w="69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—</w:t>
            </w:r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8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</w:tr>
      <w:tr>
        <w:tc>
          <w:tcPr>
            <w:tcW w:type="dxa" w:w="190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Р0, модель без барьера</w:t>
            </w:r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2027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0,169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13 (22)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0,181</w:t>
            </w:r>
          </w:p>
        </w:tc>
        <w:tc>
          <w:tcPr>
            <w:tcW w:type="dxa" w:w="69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0,011</w:t>
            </w:r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79,1</w:t>
            </w:r>
          </w:p>
        </w:tc>
        <w:tc>
          <w:tcPr>
            <w:tcW w:type="dxa" w:w="8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</w:tr>
      <w:tr>
        <w:tc>
          <w:tcPr>
            <w:tcW w:type="dxa" w:w="190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Р1</w:t>
            </w:r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2027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0,169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13 (22)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0,244</w:t>
            </w:r>
          </w:p>
        </w:tc>
        <w:tc>
          <w:tcPr>
            <w:tcW w:type="dxa" w:w="69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0,074</w:t>
            </w:r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40,5</w:t>
            </w:r>
          </w:p>
        </w:tc>
        <w:tc>
          <w:tcPr>
            <w:tcW w:type="dxa" w:w="8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</w:tr>
      <w:tr>
        <w:tc>
          <w:tcPr>
            <w:tcW w:type="dxa" w:w="1906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2030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0,169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13 (22)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0,239</w:t>
            </w:r>
          </w:p>
        </w:tc>
        <w:tc>
          <w:tcPr>
            <w:tcW w:type="dxa" w:w="69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0,070</w:t>
            </w:r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49,7</w:t>
            </w:r>
          </w:p>
        </w:tc>
        <w:tc>
          <w:tcPr>
            <w:tcW w:type="dxa" w:w="8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</w:tr>
      <w:tr>
        <w:tc>
          <w:tcPr>
            <w:tcW w:type="dxa" w:w="1906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2036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0,192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15 (25)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0,227</w:t>
            </w:r>
          </w:p>
        </w:tc>
        <w:tc>
          <w:tcPr>
            <w:tcW w:type="dxa" w:w="69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0,035</w:t>
            </w:r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73,2</w:t>
            </w:r>
          </w:p>
        </w:tc>
        <w:tc>
          <w:tcPr>
            <w:tcW w:type="dxa" w:w="8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</w:tr>
      <w:tr>
        <w:tc>
          <w:tcPr>
            <w:tcW w:type="dxa" w:w="190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Р2</w:t>
            </w:r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2027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0,169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13 (22)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0,244</w:t>
            </w:r>
          </w:p>
        </w:tc>
        <w:tc>
          <w:tcPr>
            <w:tcW w:type="dxa" w:w="69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0,074</w:t>
            </w:r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40,5</w:t>
            </w:r>
          </w:p>
        </w:tc>
        <w:tc>
          <w:tcPr>
            <w:tcW w:type="dxa" w:w="8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4,05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1,49</w:t>
            </w:r>
          </w:p>
        </w:tc>
      </w:tr>
      <w:tr>
        <w:tc>
          <w:tcPr>
            <w:tcW w:type="dxa" w:w="1906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2030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0,192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15 (25)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0,239</w:t>
            </w:r>
          </w:p>
        </w:tc>
        <w:tc>
          <w:tcPr>
            <w:tcW w:type="dxa" w:w="69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0,046</w:t>
            </w:r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58,4</w:t>
            </w:r>
          </w:p>
        </w:tc>
        <w:tc>
          <w:tcPr>
            <w:tcW w:type="dxa" w:w="8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5,84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2,26</w:t>
            </w:r>
          </w:p>
        </w:tc>
      </w:tr>
      <w:tr>
        <w:tc>
          <w:tcPr>
            <w:tcW w:type="dxa" w:w="1906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2036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0,192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15 (25)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0,227</w:t>
            </w:r>
          </w:p>
        </w:tc>
        <w:tc>
          <w:tcPr>
            <w:tcW w:type="dxa" w:w="69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0,035</w:t>
            </w:r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73,2</w:t>
            </w:r>
          </w:p>
        </w:tc>
        <w:tc>
          <w:tcPr>
            <w:tcW w:type="dxa" w:w="8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7,32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2,95</w:t>
            </w:r>
          </w:p>
        </w:tc>
      </w:tr>
      <w:tr>
        <w:tc>
          <w:tcPr>
            <w:tcW w:type="dxa" w:w="190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Р2σ</w:t>
            </w:r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2027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0,208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17 (27)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0,244</w:t>
            </w:r>
          </w:p>
        </w:tc>
        <w:tc>
          <w:tcPr>
            <w:tcW w:type="dxa" w:w="69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0,036</w:t>
            </w:r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54,6</w:t>
            </w:r>
          </w:p>
        </w:tc>
        <w:tc>
          <w:tcPr>
            <w:tcW w:type="dxa" w:w="8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5,46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1,64</w:t>
            </w:r>
          </w:p>
        </w:tc>
      </w:tr>
      <w:tr>
        <w:tc>
          <w:tcPr>
            <w:tcW w:type="dxa" w:w="1906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2030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0,208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17 (27)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0,239</w:t>
            </w:r>
          </w:p>
        </w:tc>
        <w:tc>
          <w:tcPr>
            <w:tcW w:type="dxa" w:w="69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0,031</w:t>
            </w:r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63,6</w:t>
            </w:r>
          </w:p>
        </w:tc>
        <w:tc>
          <w:tcPr>
            <w:tcW w:type="dxa" w:w="8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6,36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1,91</w:t>
            </w:r>
          </w:p>
        </w:tc>
      </w:tr>
      <w:tr>
        <w:tc>
          <w:tcPr>
            <w:tcW w:type="dxa" w:w="1906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2036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0,208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17 (27)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0,227</w:t>
            </w:r>
          </w:p>
        </w:tc>
        <w:tc>
          <w:tcPr>
            <w:tcW w:type="dxa" w:w="69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0,020</w:t>
            </w:r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78,0</w:t>
            </w:r>
          </w:p>
        </w:tc>
        <w:tc>
          <w:tcPr>
            <w:tcW w:type="dxa" w:w="8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7,80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2,34</w:t>
            </w:r>
          </w:p>
        </w:tc>
      </w:tr>
    </w:tbl>
    <w:p>
      <w:pPr>
        <w:ind w:firstLine="0"/>
        <w:jc w:val="left"/>
      </w:pPr>
      <w:r>
        <w:rPr>
          <w:sz w:val="24"/>
        </w:rPr>
        <w:t>Источник: рассчитано автором на симуляторе [1] по формулам (3.15)–(3.21), (3.31); C</w:t>
      </w:r>
      <w:r>
        <w:rPr>
          <w:sz w:val="24"/>
          <w:vertAlign w:val="superscript"/>
        </w:rPr>
        <w:t>*</w:t>
      </w:r>
      <w:r>
        <w:rPr>
          <w:sz w:val="24"/>
        </w:rPr>
        <w:t xml:space="preserve"> — по условию (2.13); для Р2σ бюджетные затраты Z = 2,61 млн руб. в год.</w:t>
      </w:r>
    </w:p>
    <w:p>
      <w:pPr>
        <w:jc w:val="both"/>
      </w:pPr>
      <w:r>
        <w:t>Первое, что обнаруживает таблица 3.11, — противоречие между моделью и наблюдением в режиме Р0. Если резиденты знают о выгодных обменах, модель предсказывает, что 13 из них заключат 22 связи без всякой платформы, и сеть сама дойдёт до связности 0,169. В действительности по таблице 2.1 действует одна связь. Модель, в которой выигрыш в цене и затраты подключения исчерпывают условия участия, наблюдаемого состояния не воспроизводит. Не хватает того, что глава 2 назвала информационным и контрактным препятствиями: поиска контрагента, проверки качества ресурса, согласования договора. Величину такого барьера можно оценить обратным расчётом: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sSub>
          <m:e>
            <m:r>
              <w:rPr>
                <w:rFonts w:ascii="Cambria Math" w:hAnsi="Cambria Math"/>
                <w:sz w:val="28"/>
              </w:rPr>
              <m:t xml:space="preserve"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min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func>
          <m:fNam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min</m:t>
            </m:r>
          </m:fName>
          <m:e>
            <m:d>
              <m:dPr>
                <m:begChr m:val="{"/>
                <m:endChr m:val="}"/>
              </m:dPr>
              <m:e>
                <m:r>
                  <w:rPr>
                    <w:rFonts w:ascii="Cambria Math" w:hAnsi="Cambria Math"/>
                    <w:sz w:val="28"/>
                  </w:rPr>
                  <m:t xml:space="preserve"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 ≥ 0 : </m:t>
                </m:r>
                <m:sSup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C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**</m:t>
                    </m:r>
                  </m:sup>
                </m:sSup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 xml:space="preserve">θ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</w:rPr>
                          <m:t xml:space="preserve">0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; </m:t>
                    </m:r>
                    <m:sSub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 xml:space="preserve"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</w:rPr>
                          <m:t xml:space="preserve">j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 + </m:t>
                    </m:r>
                    <m:r>
                      <w:rPr>
                        <w:rFonts w:ascii="Cambria Math" w:hAnsi="Cambria Math"/>
                        <w:sz w:val="28"/>
                      </w:rPr>
                      <m:t xml:space="preserve"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 ≤ </m:t>
                </m:r>
                <m:sSub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0</m:t>
                    </m:r>
                  </m:sub>
                </m:sSub>
              </m:e>
            </m:d>
          </m:e>
        </m:func>
      </m:oMath>
      <w:r>
        <w:tab/>
        <w:t>(3.35)</w:t>
      </w:r>
    </w:p>
    <w:p>
      <w:pPr>
        <w:ind w:firstLine="0"/>
        <w:jc w:val="both"/>
      </w:pPr>
      <w:r>
        <w:t>где x</w:t>
      </w:r>
      <w:r>
        <w:rPr>
          <w:vertAlign w:val="subscript"/>
        </w:rPr>
        <w:t>min</w:t>
      </w:r>
      <w:r>
        <w:t xml:space="preserve"> — наименьшие дополнительные годовые затраты резидента на поиск и заключение договора, при которых равновесие без платформы совпадает с наблюдаемой связностью, млн руб.; θ</w:t>
      </w:r>
      <w:r>
        <w:rPr>
          <w:vertAlign w:val="subscript"/>
        </w:rPr>
        <w:t>0</w:t>
      </w:r>
      <w:r>
        <w:t xml:space="preserve"> — параметры без платформы и мер поддержки; c</w:t>
      </w:r>
      <w:r>
        <w:rPr>
          <w:vertAlign w:val="subscript"/>
        </w:rPr>
        <w:t>j</w:t>
      </w:r>
      <w:r>
        <w:t xml:space="preserve"> — затраты подключения резидента j.</w:t>
      </w:r>
    </w:p>
    <w:p>
      <w:pPr>
        <w:jc w:val="both"/>
      </w:pPr>
      <w:r>
        <w:t>Расчёт даёт x</w:t>
      </w:r>
      <w:r>
        <w:rPr>
          <w:vertAlign w:val="subscript"/>
        </w:rPr>
        <w:t>min</w:t>
      </w:r>
      <w:r>
        <w:t xml:space="preserve"> = 1,75 млн руб. в год на резидента. Для сравнения: выигрыш естественного партнёра (тип A) в двусторонней сделке составляет 1,0–2,1 млн руб., его затраты подключения — 0,3–0,5 млн руб. Барьер оказывается того же порядка, что и выигрыш, и именно поэтому выгодные обмены не начинаются. Оценка имеет смысл только как нижняя граница: при более высоком барьере наблюдение воспроизводится так же. Для оператора она задаёт измеримую цель — снизить затраты резидента на поиск и согласование хотя бы на эту величину.</w:t>
      </w:r>
    </w:p>
    <w:p>
      <w:pPr>
        <w:jc w:val="both"/>
      </w:pPr>
      <w:r>
        <w:t>Оценка барьера определяет и то, можно ли вообще считать платформу полезной. Если барьер мал и резиденты договорились бы между собой, режим Р0 даёт эффект 79,1 млн руб. в 2027 г. без затрат на оператора, то есть больше, чем Р1 и Р2 (40,5 млн руб.). Расчёт тем же приёмом, что и в (3.35), но с критерием равенства эффектов режимов, показывает, что платформа превосходит двусторонние сделки, только если барьер не ниже 0,9–1,05 млн руб. в год на резидента. Это первое условие опровержения результатов параграфа. Если обследование покажет, что резиденты тратят на поиск и согласование договора заметно меньше 1 млн руб. в год, а обмены всё равно не начинаются, причина лежит вне информационного барьера, и вклад платформы требует пересмотра.</w:t>
      </w:r>
    </w:p>
    <w:p>
      <w:pPr>
        <w:jc w:val="both"/>
      </w:pPr>
      <w:r>
        <w:t>Второе наблюдение касается дивиденда. В 2027 г. равновесная связность режимов Р1 и Р2 одинакова (0,169): дивиденд не привлекает ни одного дополнительного резидента. К 2030 г., когда k вырастает до 6, дивиденд добавляет двух участников, но в 2036 г. режим Р1 догоняет Р2 за счёт роста k. Компенсация σ действует иначе: уже в 2027 г. она поднимает связность до 0,208 и добавляет четырёх резидентов, в том числе трёх «осторожных» (тип C), при бюджетных затратах 2,61 млн руб. в год. Цена закрытия разрыва по формуле (3.22) для схемы В составляет 2,26 млн руб. в 2027 г. и снижается до 1,30 млн руб. к 2036 г.; целевая связность Ĉ = 0,205 лежит между C</w:t>
      </w:r>
      <w:r>
        <w:rPr>
          <w:vertAlign w:val="superscript"/>
        </w:rPr>
        <w:t>**</w:t>
      </w:r>
      <w:r>
        <w:t xml:space="preserve"> и C</w:t>
      </w:r>
      <w:r>
        <w:rPr>
          <w:vertAlign w:val="superscript"/>
        </w:rPr>
        <w:t>*</w:t>
      </w:r>
      <w:r>
        <w:t>. Схемы А и В при α = 0,10 дают одинаковую равновесную связность во все три года и различаются только долей бюджета (табл. 3.14). На вкладке «Двухуровневая модель» симулятора те же величины выводятся для 2026 г. при k = 5: Ĉ = 0,204, Z</w:t>
      </w:r>
      <w:r>
        <w:rPr>
          <w:vertAlign w:val="subscript"/>
        </w:rPr>
        <w:t>min</w:t>
      </w:r>
      <w:r>
        <w:t xml:space="preserve"> = 2,43 млн руб. (рис. П.4).</w:t>
      </w:r>
    </w:p>
    <w:p>
      <w:pPr>
        <w:jc w:val="both"/>
      </w:pPr>
      <w:r>
        <w:t>Как сеть приходит к равновесию, показывают траектории на рисунке 3.5. Расчёт выполнен по (3.33) из состояния C</w:t>
      </w:r>
      <w:r>
        <w:rPr>
          <w:vertAlign w:val="subscript"/>
        </w:rPr>
        <w:t>0</w:t>
      </w:r>
      <w:r>
        <w:t xml:space="preserve"> с одним раундом решений в год.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882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_3.5.png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88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ind w:firstLine="0"/>
        <w:jc w:val="center"/>
      </w:pPr>
      <w:r>
        <w:t>Рисунок 3.5 – Траектории дополнительного эффекта ΔE(t) в режимах Р1, Р2 и Р2σ, 2027–2036 гг.</w:t>
      </w:r>
    </w:p>
    <w:p>
      <w:pPr>
        <w:ind w:firstLine="0"/>
        <w:jc w:val="center"/>
      </w:pPr>
      <w:r>
        <w:rPr>
          <w:sz w:val="24"/>
        </w:rPr>
        <w:t>Источник: рассчитано автором на симуляторе [1] по формулам (3.31)–(3.33).</w:t>
      </w:r>
    </w:p>
    <w:p>
      <w:pPr>
        <w:jc w:val="both"/>
      </w:pPr>
      <w:r>
        <w:t>На рисунке 3.5 видно, что в первый год все режимы проходят через порог окупаемости: связность 0,092 почти совпадает с C</w:t>
      </w:r>
      <w:r>
        <w:rPr>
          <w:vertAlign w:val="subscript"/>
        </w:rPr>
        <w:t>min</w:t>
      </w:r>
      <w:r>
        <w:t xml:space="preserve"> = 0,089, и эффект близок к нулю (2,2 млн руб.). Со второго года режимы расходятся. Р2σ сразу выходит на более высокую траекторию и удерживает разрыв 5–14 млн руб. в год до конца горизонта. Р2 отличается от Р1 только в 2030–2031 гг. Приведённая стоимость эффекта за 2027–2036 гг. при ставке 10 % составляет 302 млн руб. для Р1, 308 млн руб. для Р2 и 333 млн руб. для Р2σ за вычетом бюджетных затрат на компенсацию. Это примерно вдвое меньше 676 млн руб. главы 2. Разница объясняется не ошибкой расчёта, а тем, что глава 2 оценивала полную реализацию потоков, а здесь учтена равновесная связность.</w:t>
      </w:r>
    </w:p>
    <w:p>
      <w:pPr>
        <w:keepNext/>
        <w:jc w:val="both"/>
      </w:pPr>
      <w:r>
        <w:rPr>
          <w:b/>
        </w:rPr>
        <w:t>3.3.4. Риски режимов: вероятностная оценка</w:t>
      </w:r>
    </w:p>
    <w:p>
      <w:pPr>
        <w:jc w:val="both"/>
      </w:pPr>
      <w:r>
        <w:t>Детерминированные траектории зависят от параметров, большинство которых отнесено к классу C. Чтобы оценить, при каких их сочетаниях эффект меняет знак, проведён расчёт методом Монте-Карло: 5000 испытаний для каждого сценария. В каждом испытании выигрыши и затраты подключения резидентов умножались на случайные множители в пределах ±25 %, k</w:t>
      </w:r>
      <w:r>
        <w:rPr>
          <w:vertAlign w:val="subscript"/>
        </w:rPr>
        <w:t>0</w:t>
      </w:r>
      <w:r>
        <w:t xml:space="preserve"> выбирался равномерно из интервала 4–6, параметры потоков и затраты платформы — по треугольным распределениям с границами таблицы 2.5, вероятность простоя якоря — по треугольному распределению с модой 0,05 и границами 0,028–0,094 (п. 3.1.7). Ожидаемый эффект учитывает риск остановки якоря: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sSup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Δ</m:t>
            </m:r>
            <m:r>
              <w:rPr>
                <w:rFonts w:ascii="Cambria Math" w:hAnsi="Cambria Math"/>
                <w:sz w:val="28"/>
              </w:rPr>
              <m:t xml:space="preserve">E</m:t>
            </m:r>
          </m:e>
          <m:sup>
            <m:r>
              <w:rPr>
                <w:rFonts w:ascii="Cambria Math" w:hAnsi="Cambria Math"/>
                <w:sz w:val="28"/>
              </w:rPr>
              <m:t xml:space="preserve">π</m:t>
            </m:r>
          </m:sup>
        </m:sSup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t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r>
          <w:rPr>
            <w:rFonts w:ascii="Cambria Math" w:hAnsi="Cambria Math"/>
            <w:sz w:val="28"/>
          </w:rPr>
          <m:t xml:space="preserve">φ</m:t>
        </m:r>
        <m:d>
          <m:dPr>
            <m:begChr m:val="("/>
            <m:endChr m:val=")"/>
          </m:dPr>
          <m:e>
            <m:sSup>
              <m:e>
                <m:r>
                  <w:rPr>
                    <w:rFonts w:ascii="Cambria Math" w:hAnsi="Cambria Math"/>
                    <w:sz w:val="28"/>
                  </w:rPr>
                  <m:t xml:space="preserve">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**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; </m:t>
            </m:r>
            <m:sSub>
              <m:e>
                <m:r>
                  <w:rPr>
                    <w:rFonts w:ascii="Cambria Math" w:hAnsi="Cambria Math"/>
                    <w:sz w:val="28"/>
                  </w:rPr>
                  <m:t xml:space="preserve">k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t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d>
          <m:dPr>
            <m:begChr m:val="("/>
            <m:endChr m:val=")"/>
          </m:dPr>
          <m:e>
            <m:nary>
              <m:naryPr>
                <m:chr m:val="∑"/>
                <m:limLoc m:val="undOvr"/>
                <m:supHide m:val="1"/>
              </m:naryPr>
              <m:sub>
                <m:r>
                  <w:rPr>
                    <w:rFonts w:ascii="Cambria Math" w:hAnsi="Cambria Math"/>
                    <w:sz w:val="28"/>
                  </w:rPr>
                  <m:t xml:space="preserve">f</m:t>
                </m:r>
              </m:sub>
              <m:sup/>
              <m:e>
                <m:sSup>
                  <m:e>
                    <m:sSub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 xml:space="preserve">E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</w:rPr>
                          <m:t xml:space="preserve">f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чист</m:t>
                    </m:r>
                  </m:sup>
                </m:sSup>
              </m:e>
            </m:nary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 − </m:t>
            </m:r>
            <m:sSub>
              <m:e>
                <m:r>
                  <w:rPr>
                    <w:rFonts w:ascii="Cambria Math" w:hAnsi="Cambria Math"/>
                    <w:sz w:val="28"/>
                  </w:rPr>
                  <m:t xml:space="preserve">π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A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·</m:t>
            </m:r>
            <m:sSubSup>
              <m:e>
                <m:r>
                  <w:rPr>
                    <w:rFonts w:ascii="Cambria Math" w:hAnsi="Cambria Math"/>
                    <w:sz w:val="28"/>
                  </w:rPr>
                  <m:t xml:space="preserve">E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CO₂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вал</m:t>
                </m:r>
              </m:sup>
            </m:sSubSup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− </m:t>
        </m:r>
        <m:sSub>
          <m:e>
            <m:r>
              <w:rPr>
                <w:rFonts w:ascii="Cambria Math" w:hAnsi="Cambria Math"/>
                <w:sz w:val="28"/>
              </w:rPr>
              <m:t xml:space="preserve">Z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пл</m:t>
            </m:r>
          </m:sub>
        </m:sSub>
      </m:oMath>
      <w:r>
        <w:tab/>
        <w:t>(3.36)</w:t>
      </w:r>
    </w:p>
    <w:p>
      <w:pPr>
        <w:ind w:firstLine="0"/>
        <w:jc w:val="both"/>
      </w:pPr>
      <w:r>
        <w:t>где ΔE</w:t>
      </w:r>
      <w:r>
        <w:rPr>
          <w:vertAlign w:val="superscript"/>
        </w:rPr>
        <w:t>π</w:t>
      </w:r>
      <w:r>
        <w:t>(t) — ожидаемый дополнительный эффект с учётом риска остановки якоря, млн руб.; C</w:t>
      </w:r>
      <w:r>
        <w:rPr>
          <w:vertAlign w:val="superscript"/>
        </w:rPr>
        <w:t>**</w:t>
      </w:r>
      <w:r>
        <w:t xml:space="preserve"> — равновесная связность испытания; π</w:t>
      </w:r>
      <w:r>
        <w:rPr>
          <w:vertAlign w:val="subscript"/>
        </w:rPr>
        <w:t>A</w:t>
      </w:r>
      <w:r>
        <w:t xml:space="preserve"> — доля периода, в течение которой «Азот» не поставляет CO</w:t>
      </w:r>
      <w:r>
        <w:rPr>
          <w:vertAlign w:val="subscript"/>
        </w:rPr>
        <w:t>2</w:t>
      </w:r>
      <w:r>
        <w:t>; E</w:t>
      </w:r>
      <w:r>
        <w:rPr>
          <w:vertAlign w:val="subscript"/>
        </w:rPr>
        <w:t>CO₂</w:t>
      </w:r>
      <w:r>
        <w:rPr>
          <w:vertAlign w:val="superscript"/>
        </w:rPr>
        <w:t>вал</w:t>
      </w:r>
      <w:r>
        <w:t xml:space="preserve"> — валовая экономия по потоку CO</w:t>
      </w:r>
      <w:r>
        <w:rPr>
          <w:vertAlign w:val="subscript"/>
        </w:rPr>
        <w:t>2</w:t>
      </w:r>
      <w:r>
        <w:t>, млн руб.; аннуитет вложений в узел CO</w:t>
      </w:r>
      <w:r>
        <w:rPr>
          <w:vertAlign w:val="subscript"/>
        </w:rPr>
        <w:t>2</w:t>
      </w:r>
      <w:r>
        <w:t xml:space="preserve"> сохраняется и во время остановки.</w:t>
      </w:r>
    </w:p>
    <w:p>
      <w:pPr>
        <w:jc w:val="both"/>
      </w:pPr>
      <w:r>
        <w:t>Вероятность события по результатам испытаний оценивается частотой: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acc>
          <m:accPr>
            <m:chr m:val="̂"/>
          </m:accPr>
          <m:e>
            <m:r>
              <w:rPr>
                <w:rFonts w:ascii="Cambria Math" w:hAnsi="Cambria Math"/>
                <w:sz w:val="28"/>
              </w:rPr>
              <m:t xml:space="preserve">P</m:t>
            </m:r>
          </m:e>
        </m:acc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A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f>
          <m:num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1</m:t>
            </m:r>
          </m:num>
          <m:den>
            <m:r>
              <w:rPr>
                <w:rFonts w:ascii="Cambria Math" w:hAnsi="Cambria Math"/>
                <w:sz w:val="28"/>
              </w:rPr>
              <m:t xml:space="preserve">N</m:t>
            </m:r>
          </m:den>
        </m:f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nary>
          <m:naryPr>
            <m:chr m:val="∑"/>
            <m:limLoc m:val="undOvr"/>
          </m:naryPr>
          <m:sub>
            <m:r>
              <w:rPr>
                <w:rFonts w:ascii="Cambria Math" w:hAnsi="Cambria Math"/>
                <w:sz w:val="28"/>
              </w:rPr>
              <m:t xml:space="preserve">n</m:t>
            </m:r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=1</m:t>
            </m:r>
          </m:sub>
          <m:sup>
            <m:r>
              <w:rPr>
                <w:rFonts w:ascii="Cambria Math" w:hAnsi="Cambria Math"/>
                <w:sz w:val="28"/>
              </w:rPr>
              <m:t xml:space="preserve">N</m:t>
            </m:r>
          </m:sup>
          <m:e>
            <m:r>
              <w:rPr>
                <w:rFonts w:ascii="Cambria Math" w:hAnsi="Cambria Math"/>
                <w:sz w:val="28"/>
              </w:rPr>
              <m:t xml:space="preserve">I</m:t>
            </m:r>
            <m:d>
              <m:dPr>
                <m:begChr m:val="["/>
                <m:endChr m:val="]"/>
              </m:dPr>
              <m:e>
                <m:sSub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A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 xml:space="preserve">n</m:t>
                    </m:r>
                  </m:sub>
                </m:sSub>
              </m:e>
            </m:d>
          </m:e>
        </m:nary>
      </m:oMath>
      <w:r>
        <w:tab/>
        <w:t>(3.37)</w:t>
      </w:r>
    </w:p>
    <w:p>
      <w:pPr>
        <w:ind w:firstLine="0"/>
        <w:jc w:val="both"/>
      </w:pPr>
      <w:r>
        <w:t>где P̂(A) — оценка вероятности события A (например, ΔE</w:t>
      </w:r>
      <w:r>
        <w:rPr>
          <w:vertAlign w:val="superscript"/>
        </w:rPr>
        <w:t>π</w:t>
      </w:r>
      <w:r>
        <w:t xml:space="preserve"> &gt; 0 или C</w:t>
      </w:r>
      <w:r>
        <w:rPr>
          <w:vertAlign w:val="superscript"/>
        </w:rPr>
        <w:t>**</w:t>
      </w:r>
      <w:r>
        <w:t xml:space="preserve"> ≥ C</w:t>
      </w:r>
      <w:r>
        <w:rPr>
          <w:vertAlign w:val="subscript"/>
        </w:rPr>
        <w:t>min</w:t>
      </w:r>
      <w:r>
        <w:t>); N — число испытаний; I[A</w:t>
      </w:r>
      <w:r>
        <w:rPr>
          <w:vertAlign w:val="subscript"/>
        </w:rPr>
        <w:t>n</w:t>
      </w:r>
      <w:r>
        <w:t>] — индикатор, равный единице, если событие произошло в испытании n.</w:t>
      </w:r>
    </w:p>
    <w:p>
      <w:pPr>
        <w:jc w:val="both"/>
      </w:pPr>
      <w:r>
        <w:t>Кроме базовых условий рассмотрены три сценария опасностей. Два из них связаны с якорем: простой «Азота» на 30 и 60 дней в году (остановка 14 июня 2025 г. подтверждена, её длительность не раскрыта, п. 3.1.6). Третий связан с рынком углекислоты: половина поставок резидентам оказывается переключением прежних покупателей, и прирост совокупных продаж уменьшается вдвое (формула 3.11). Результаты приведены в таблице 3.12.</w:t>
      </w:r>
    </w:p>
    <w:p>
      <w:pPr>
        <w:keepNext/>
        <w:ind w:firstLine="0"/>
        <w:jc w:val="right"/>
      </w:pPr>
      <w:r>
        <w:t>Таблица 3.12</w:t>
      </w:r>
    </w:p>
    <w:p>
      <w:pPr>
        <w:keepNext/>
        <w:ind w:firstLine="0"/>
        <w:jc w:val="center"/>
      </w:pPr>
      <w:r>
        <w:t>Вероятностные характеристики режимов Р2 и Р2σ в сценариях опасностей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rPr>
          <w:tblHeader/>
        </w:trPr>
        <w:tc>
          <w:tcPr>
            <w:tcW w:type="dxa" w:w="286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Сценарий</w:t>
            </w:r>
          </w:p>
        </w:tc>
        <w:tc>
          <w:tcPr>
            <w:tcW w:type="dxa" w:w="66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Режим</w:t>
            </w:r>
          </w:p>
        </w:tc>
        <w:tc>
          <w:tcPr>
            <w:tcW w:type="dxa" w:w="12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Среднее ΔE</w:t>
            </w:r>
            <w:r>
              <w:rPr>
                <w:b/>
                <w:sz w:val="24"/>
                <w:vertAlign w:val="superscript"/>
              </w:rPr>
              <w:t>π</w:t>
            </w:r>
            <w:r>
              <w:rPr>
                <w:b/>
                <w:sz w:val="24"/>
              </w:rPr>
              <w:t>, млн руб.</w:t>
            </w:r>
          </w:p>
        </w:tc>
        <w:tc>
          <w:tcPr>
            <w:tcW w:type="dxa" w:w="132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5–95 %, млн руб.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P̂(ΔE</w:t>
            </w:r>
            <w:r>
              <w:rPr>
                <w:b/>
                <w:sz w:val="24"/>
                <w:vertAlign w:val="superscript"/>
              </w:rPr>
              <w:t>π</w:t>
            </w:r>
            <w:r>
              <w:rPr>
                <w:b/>
                <w:sz w:val="24"/>
              </w:rPr>
              <w:t xml:space="preserve"> &gt; 0)</w:t>
            </w:r>
          </w:p>
        </w:tc>
        <w:tc>
          <w:tcPr>
            <w:tcW w:type="dxa" w:w="115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P̂(C</w:t>
            </w:r>
            <w:r>
              <w:rPr>
                <w:b/>
                <w:sz w:val="24"/>
                <w:vertAlign w:val="superscript"/>
              </w:rPr>
              <w:t>**</w:t>
            </w:r>
            <w:r>
              <w:rPr>
                <w:b/>
                <w:sz w:val="24"/>
              </w:rPr>
              <w:t xml:space="preserve"> ≥ C</w:t>
            </w:r>
            <w:r>
              <w:rPr>
                <w:b/>
                <w:sz w:val="24"/>
                <w:vertAlign w:val="subscript"/>
              </w:rPr>
              <w:t>min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γ</w:t>
            </w:r>
            <w:r>
              <w:rPr>
                <w:b/>
                <w:sz w:val="24"/>
                <w:vertAlign w:val="subscript"/>
              </w:rPr>
              <w:t>пуб</w:t>
            </w:r>
            <w:r>
              <w:rPr>
                <w:b/>
                <w:sz w:val="24"/>
              </w:rPr>
              <w:t>·SD, млн руб.</w:t>
            </w:r>
          </w:p>
        </w:tc>
      </w:tr>
      <w:tr>
        <w:tc>
          <w:tcPr>
            <w:tcW w:type="dxa" w:w="286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2027 г., базовые условия</w:t>
            </w:r>
          </w:p>
        </w:tc>
        <w:tc>
          <w:tcPr>
            <w:tcW w:type="dxa" w:w="66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Р2</w:t>
            </w:r>
          </w:p>
        </w:tc>
        <w:tc>
          <w:tcPr>
            <w:tcW w:type="dxa" w:w="12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34,6</w:t>
            </w:r>
          </w:p>
        </w:tc>
        <w:tc>
          <w:tcPr>
            <w:tcW w:type="dxa" w:w="132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8,5…63,2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0,989</w:t>
            </w:r>
          </w:p>
        </w:tc>
        <w:tc>
          <w:tcPr>
            <w:tcW w:type="dxa" w:w="115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0,992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1,37</w:t>
            </w:r>
          </w:p>
        </w:tc>
      </w:tr>
      <w:tr>
        <w:tc>
          <w:tcPr>
            <w:tcW w:type="dxa" w:w="2861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66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Р2σ</w:t>
            </w:r>
          </w:p>
        </w:tc>
        <w:tc>
          <w:tcPr>
            <w:tcW w:type="dxa" w:w="12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42,7</w:t>
            </w:r>
          </w:p>
        </w:tc>
        <w:tc>
          <w:tcPr>
            <w:tcW w:type="dxa" w:w="132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15,5…72,7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0,996</w:t>
            </w:r>
          </w:p>
        </w:tc>
        <w:tc>
          <w:tcPr>
            <w:tcW w:type="dxa" w:w="115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0,997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1,35</w:t>
            </w:r>
          </w:p>
        </w:tc>
      </w:tr>
      <w:tr>
        <w:tc>
          <w:tcPr>
            <w:tcW w:type="dxa" w:w="286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2030 г., базовые условия</w:t>
            </w:r>
          </w:p>
        </w:tc>
        <w:tc>
          <w:tcPr>
            <w:tcW w:type="dxa" w:w="66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Р2</w:t>
            </w:r>
          </w:p>
        </w:tc>
        <w:tc>
          <w:tcPr>
            <w:tcW w:type="dxa" w:w="12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44,4</w:t>
            </w:r>
          </w:p>
        </w:tc>
        <w:tc>
          <w:tcPr>
            <w:tcW w:type="dxa" w:w="132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17,5…73,9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0,998</w:t>
            </w:r>
          </w:p>
        </w:tc>
        <w:tc>
          <w:tcPr>
            <w:tcW w:type="dxa" w:w="115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0,999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1,80</w:t>
            </w:r>
          </w:p>
        </w:tc>
      </w:tr>
      <w:tr>
        <w:tc>
          <w:tcPr>
            <w:tcW w:type="dxa" w:w="2861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66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Р2σ</w:t>
            </w:r>
          </w:p>
        </w:tc>
        <w:tc>
          <w:tcPr>
            <w:tcW w:type="dxa" w:w="12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52,2</w:t>
            </w:r>
          </w:p>
        </w:tc>
        <w:tc>
          <w:tcPr>
            <w:tcW w:type="dxa" w:w="132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24,3…82,5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0,999</w:t>
            </w:r>
          </w:p>
        </w:tc>
        <w:tc>
          <w:tcPr>
            <w:tcW w:type="dxa" w:w="115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1,000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1,64</w:t>
            </w:r>
          </w:p>
        </w:tc>
      </w:tr>
      <w:tr>
        <w:tc>
          <w:tcPr>
            <w:tcW w:type="dxa" w:w="286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2030 г., простой 30 дней</w:t>
            </w:r>
          </w:p>
        </w:tc>
        <w:tc>
          <w:tcPr>
            <w:tcW w:type="dxa" w:w="66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Р2</w:t>
            </w:r>
          </w:p>
        </w:tc>
        <w:tc>
          <w:tcPr>
            <w:tcW w:type="dxa" w:w="12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41,3</w:t>
            </w:r>
          </w:p>
        </w:tc>
        <w:tc>
          <w:tcPr>
            <w:tcW w:type="dxa" w:w="132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14,7…70,3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0,996</w:t>
            </w:r>
          </w:p>
        </w:tc>
        <w:tc>
          <w:tcPr>
            <w:tcW w:type="dxa" w:w="115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0,998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1,67</w:t>
            </w:r>
          </w:p>
        </w:tc>
      </w:tr>
      <w:tr>
        <w:tc>
          <w:tcPr>
            <w:tcW w:type="dxa" w:w="2861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66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Р2σ</w:t>
            </w:r>
          </w:p>
        </w:tc>
        <w:tc>
          <w:tcPr>
            <w:tcW w:type="dxa" w:w="12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48,8</w:t>
            </w:r>
          </w:p>
        </w:tc>
        <w:tc>
          <w:tcPr>
            <w:tcW w:type="dxa" w:w="132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21,2…78,6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0,999</w:t>
            </w:r>
          </w:p>
        </w:tc>
        <w:tc>
          <w:tcPr>
            <w:tcW w:type="dxa" w:w="115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0,999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1,53</w:t>
            </w:r>
          </w:p>
        </w:tc>
      </w:tr>
      <w:tr>
        <w:tc>
          <w:tcPr>
            <w:tcW w:type="dxa" w:w="286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2030 г., простой 60 дней</w:t>
            </w:r>
          </w:p>
        </w:tc>
        <w:tc>
          <w:tcPr>
            <w:tcW w:type="dxa" w:w="66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Р2</w:t>
            </w:r>
          </w:p>
        </w:tc>
        <w:tc>
          <w:tcPr>
            <w:tcW w:type="dxa" w:w="12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38,1</w:t>
            </w:r>
          </w:p>
        </w:tc>
        <w:tc>
          <w:tcPr>
            <w:tcW w:type="dxa" w:w="132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12,0…66,7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0,993</w:t>
            </w:r>
          </w:p>
        </w:tc>
        <w:tc>
          <w:tcPr>
            <w:tcW w:type="dxa" w:w="115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0,995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1,54</w:t>
            </w:r>
          </w:p>
        </w:tc>
      </w:tr>
      <w:tr>
        <w:tc>
          <w:tcPr>
            <w:tcW w:type="dxa" w:w="2861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66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Р2σ</w:t>
            </w:r>
          </w:p>
        </w:tc>
        <w:tc>
          <w:tcPr>
            <w:tcW w:type="dxa" w:w="12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45,4</w:t>
            </w:r>
          </w:p>
        </w:tc>
        <w:tc>
          <w:tcPr>
            <w:tcW w:type="dxa" w:w="132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18,2…74,8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0,998</w:t>
            </w:r>
          </w:p>
        </w:tc>
        <w:tc>
          <w:tcPr>
            <w:tcW w:type="dxa" w:w="115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0,999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1,42</w:t>
            </w:r>
          </w:p>
        </w:tc>
      </w:tr>
      <w:tr>
        <w:tc>
          <w:tcPr>
            <w:tcW w:type="dxa" w:w="286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2030 г., 50 % поставок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 xml:space="preserve"> — переключение</w:t>
            </w:r>
          </w:p>
        </w:tc>
        <w:tc>
          <w:tcPr>
            <w:tcW w:type="dxa" w:w="66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Р2</w:t>
            </w:r>
          </w:p>
        </w:tc>
        <w:tc>
          <w:tcPr>
            <w:tcW w:type="dxa" w:w="12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25,3</w:t>
            </w:r>
          </w:p>
        </w:tc>
        <w:tc>
          <w:tcPr>
            <w:tcW w:type="dxa" w:w="132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0,9…52,3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0,956</w:t>
            </w:r>
          </w:p>
        </w:tc>
        <w:tc>
          <w:tcPr>
            <w:tcW w:type="dxa" w:w="115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0,961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1,03</w:t>
            </w:r>
          </w:p>
        </w:tc>
      </w:tr>
      <w:tr>
        <w:tc>
          <w:tcPr>
            <w:tcW w:type="dxa" w:w="2861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66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Р2σ</w:t>
            </w:r>
          </w:p>
        </w:tc>
        <w:tc>
          <w:tcPr>
            <w:tcW w:type="dxa" w:w="12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31,7</w:t>
            </w:r>
          </w:p>
        </w:tc>
        <w:tc>
          <w:tcPr>
            <w:tcW w:type="dxa" w:w="132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6,0…59,6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0,981</w:t>
            </w:r>
          </w:p>
        </w:tc>
        <w:tc>
          <w:tcPr>
            <w:tcW w:type="dxa" w:w="115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0,985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0,99</w:t>
            </w:r>
          </w:p>
        </w:tc>
      </w:tr>
    </w:tbl>
    <w:p>
      <w:pPr>
        <w:ind w:firstLine="0"/>
        <w:jc w:val="left"/>
      </w:pPr>
      <w:r>
        <w:rPr>
          <w:sz w:val="24"/>
        </w:rPr>
        <w:t>Источник: рассчитано автором; 5000 испытаний на сценарий, генератор с фиксированным начальным числом.</w:t>
      </w:r>
    </w:p>
    <w:p>
      <w:pPr>
        <w:jc w:val="both"/>
      </w:pPr>
      <w:r>
        <w:t>Таблица 3.12 ранжирует опасности по силе воздействия. Простой якоря, вопреки ожиданию, наименее опасен: 60 дней остановки снижают средний эффект на 6,3 млн руб., а вероятность положительного эффекта остаётся выше 0,99. Причина в том, что поток CO</w:t>
      </w:r>
      <w:r>
        <w:rPr>
          <w:vertAlign w:val="subscript"/>
        </w:rPr>
        <w:t>2</w:t>
      </w:r>
      <w:r>
        <w:t xml:space="preserve"> даёт лишь часть эффекта, а тепло ГРЭС, вторичное сырьё и плата за НВОС от остановки «Азота» не зависят. Переключение покупателей углекислоты опаснее остановки в несколько раз. Средний эффект падает на 19 млн руб., порог окупаемости поднимается в среднем до 0,115, а в 4 % испытаний режим Р2 остаётся ниже порога. Опасность создаёт рынок углекислоты, а не технология якоря, и обнаружить её оператор может только по совокупным отгрузкам CO</w:t>
      </w:r>
      <w:r>
        <w:rPr>
          <w:vertAlign w:val="subscript"/>
        </w:rPr>
        <w:t>2</w:t>
      </w:r>
      <w:r>
        <w:t xml:space="preserve"> всем покупателям.</w:t>
      </w:r>
    </w:p>
    <w:p>
      <w:pPr>
        <w:jc w:val="both"/>
      </w:pPr>
      <w:r>
        <w:t>Распределения эффекта для всех сценариев показаны на рисунке 3.6.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5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_3.6.png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ind w:firstLine="0"/>
        <w:jc w:val="center"/>
      </w:pPr>
      <w:r>
        <w:t>Рисунок 3.6 – Интервалы ожидаемого эффекта ΔE^π режимов Р2 и Р2σ в сценариях опасностей</w:t>
      </w:r>
    </w:p>
    <w:p>
      <w:pPr>
        <w:ind w:firstLine="0"/>
        <w:jc w:val="center"/>
      </w:pPr>
      <w:r>
        <w:rPr>
          <w:sz w:val="24"/>
        </w:rPr>
        <w:t>Источник: рассчитано автором по данным таблицы 3.12.</w:t>
      </w:r>
    </w:p>
    <w:p>
      <w:pPr>
        <w:jc w:val="both"/>
      </w:pPr>
      <w:r>
        <w:t>Рисунок 3.6 показывает, что компенсация σ сдвигает весь интервал вправо на 6–8 млн руб. во всех сценариях и сильнее всего защищает от переключения покупателей: нижняя граница интервала Р2σ остаётся положительной (6,0 млн руб.), тогда как у Р2 она подходит к нулю. Для бюджета это довод в пользу σ как меры, снижающей риск, а не только ускоряющей рост сети.</w:t>
      </w:r>
    </w:p>
    <w:p>
      <w:pPr>
        <w:jc w:val="both"/>
      </w:pPr>
      <w:r>
        <w:t>Одна опасность не зависит ни от сценария, ни от режима. Ни в одном из 25 000 испытаний доля публичного получателя не покрыла потребность в ликвидации накопленного ущерба: 95-й процентиль γ</w:t>
      </w:r>
      <w:r>
        <w:rPr>
          <w:vertAlign w:val="subscript"/>
        </w:rPr>
        <w:t>пуб</w:t>
      </w:r>
      <w:r>
        <w:t>·SD не превышает 3 млн руб., максимум в базовом сценарии 2030 г. — 4,2 млн руб. при C</w:t>
      </w:r>
      <w:r>
        <w:rPr>
          <w:vertAlign w:val="subscript"/>
        </w:rPr>
        <w:t>ликв</w:t>
      </w:r>
      <w:r>
        <w:t xml:space="preserve"> = 16,0–20,5 млн руб. Недостающая сумма определяется как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sSubSup>
          <m:e>
            <m:r>
              <w:rPr>
                <w:rFonts w:ascii="Cambria Math" w:hAnsi="Cambria Math"/>
                <w:sz w:val="28"/>
              </w:rPr>
              <m:t xml:space="preserve">B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внеш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треб</m:t>
            </m:r>
          </m:sup>
        </m:sSubSup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t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func>
          <m:fNam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max</m:t>
            </m:r>
          </m:fName>
          <m:e>
            <m:d>
              <m:dPr>
                <m:begChr m:val="("/>
                <m:endChr m:val=")"/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0; </m:t>
                </m:r>
                <m:sSub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ликв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 − </m:t>
                </m:r>
                <m:sSub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γ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пуб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C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·</m:t>
                </m:r>
                <m:r>
                  <w:rPr>
                    <w:rFonts w:ascii="Cambria Math" w:hAnsi="Cambria Math"/>
                    <w:sz w:val="28"/>
                  </w:rPr>
                  <m:t xml:space="preserve">SD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t</m:t>
                    </m:r>
                  </m:e>
                </m:d>
              </m:e>
            </m:d>
          </m:e>
        </m:func>
      </m:oMath>
      <w:r>
        <w:tab/>
        <w:t>(3.38)</w:t>
      </w:r>
    </w:p>
    <w:p>
      <w:pPr>
        <w:ind w:firstLine="0"/>
        <w:jc w:val="both"/>
      </w:pPr>
      <w:r>
        <w:t>где B</w:t>
      </w:r>
      <w:r>
        <w:rPr>
          <w:vertAlign w:val="subscript"/>
        </w:rPr>
        <w:t>внеш</w:t>
      </w:r>
      <w:r>
        <w:rPr>
          <w:vertAlign w:val="superscript"/>
        </w:rPr>
        <w:t>треб</w:t>
      </w:r>
      <w:r>
        <w:t>(t) — средства на ликвидацию накопленного ущерба, которые необходимо получить вне дивиденда, млн руб.; C</w:t>
      </w:r>
      <w:r>
        <w:rPr>
          <w:vertAlign w:val="subscript"/>
        </w:rPr>
        <w:t>ликв</w:t>
      </w:r>
      <w:r>
        <w:t>(t) — годовая потребность (класс C); γ</w:t>
      </w:r>
      <w:r>
        <w:rPr>
          <w:vertAlign w:val="subscript"/>
        </w:rPr>
        <w:t>пуб</w:t>
      </w:r>
      <w:r>
        <w:t>(C) — доля публичного получателя по выбранной схеме.</w:t>
      </w:r>
    </w:p>
    <w:p>
      <w:pPr>
        <w:jc w:val="both"/>
      </w:pPr>
      <w:r>
        <w:t>По таблице 3.11 внешний источник должен покрывать 86–91 % потребности в режимах с дивидендом и всю потребность в режиме Р1. Гипотеза главы 2 о недостаточности дивиденда подтверждается на всём диапазоне параметров. Это не довод против дивиденда, а указание на его роль: он стимулирует участие и финансирует общие функции, а ликвидация ущерба требует отдельного контура финансирования (§ 3.5).</w:t>
      </w:r>
    </w:p>
    <w:p>
      <w:pPr>
        <w:jc w:val="both"/>
      </w:pPr>
      <w:r>
        <w:t>Опасности, связанные с выбросами якоря, требуют отдельного разговора, поскольку их масштаб несопоставим с эффектом платформы. Сопоставление дано в таблице 3.13. Выбросы «Азота» взяты из п. 3.1.4–3.1.6 для двух вариантов оценки N</w:t>
      </w:r>
      <w:r>
        <w:rPr>
          <w:vertAlign w:val="subscript"/>
        </w:rPr>
        <w:t>2</w:t>
      </w:r>
      <w:r>
        <w:t>O, цена выбросов 1000 руб./т CO</w:t>
      </w:r>
      <w:r>
        <w:rPr>
          <w:vertAlign w:val="subscript"/>
        </w:rPr>
        <w:t>2</w:t>
      </w:r>
      <w:r>
        <w:t>-экв. с 2030 г. и рост на 10 % в год — сценарные значения вкладки «Бенефициары и стратегии» симулятора.</w:t>
      </w:r>
    </w:p>
    <w:p>
      <w:pPr>
        <w:keepNext/>
        <w:ind w:firstLine="0"/>
        <w:jc w:val="right"/>
      </w:pPr>
      <w:r>
        <w:t>Таблица 3.13</w:t>
      </w:r>
    </w:p>
    <w:p>
      <w:pPr>
        <w:keepNext/>
        <w:ind w:firstLine="0"/>
        <w:jc w:val="center"/>
      </w:pPr>
      <w:r>
        <w:t>Углеродный профиль якорного предприятия и вклад экоплатформы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495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Показатель</w:t>
            </w:r>
          </w:p>
        </w:tc>
        <w:tc>
          <w:tcPr>
            <w:tcW w:type="dxa" w:w="22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N</w:t>
            </w:r>
            <w:r>
              <w:rPr>
                <w:b/>
                <w:sz w:val="24"/>
                <w:vertAlign w:val="subscript"/>
              </w:rPr>
              <w:t>2</w:t>
            </w:r>
            <w:r>
              <w:rPr>
                <w:b/>
                <w:sz w:val="24"/>
              </w:rPr>
              <w:t>O без очистки (вариант B)</w:t>
            </w:r>
          </w:p>
        </w:tc>
        <w:tc>
          <w:tcPr>
            <w:tcW w:type="dxa" w:w="22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N</w:t>
            </w:r>
            <w:r>
              <w:rPr>
                <w:b/>
                <w:sz w:val="24"/>
                <w:vertAlign w:val="subscript"/>
              </w:rPr>
              <w:t>2</w:t>
            </w:r>
            <w:r>
              <w:rPr>
                <w:b/>
                <w:sz w:val="24"/>
              </w:rPr>
              <w:t>O с очисткой (вариант A)</w:t>
            </w:r>
          </w:p>
        </w:tc>
      </w:tr>
      <w:tr>
        <w:tc>
          <w:tcPr>
            <w:tcW w:type="dxa" w:w="495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Выбросы «Азота», 2026 г., тыс. т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>-экв.</w:t>
            </w:r>
          </w:p>
        </w:tc>
        <w:tc>
          <w:tcPr>
            <w:tcW w:type="dxa" w:w="22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4 208</w:t>
            </w:r>
          </w:p>
        </w:tc>
        <w:tc>
          <w:tcPr>
            <w:tcW w:type="dxa" w:w="22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2 301</w:t>
            </w:r>
          </w:p>
        </w:tc>
      </w:tr>
      <w:tr>
        <w:tc>
          <w:tcPr>
            <w:tcW w:type="dxa" w:w="495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Сокращение за счёт передачи 12 тыс. т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 xml:space="preserve"> при κ = 0,2, тыс. т</w:t>
            </w:r>
          </w:p>
        </w:tc>
        <w:tc>
          <w:tcPr>
            <w:tcW w:type="dxa" w:w="22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9,6</w:t>
            </w:r>
          </w:p>
        </w:tc>
        <w:tc>
          <w:tcPr>
            <w:tcW w:type="dxa" w:w="22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9,6</w:t>
            </w:r>
          </w:p>
        </w:tc>
      </w:tr>
      <w:tr>
        <w:tc>
          <w:tcPr>
            <w:tcW w:type="dxa" w:w="495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То же, % выбросов якоря</w:t>
            </w:r>
          </w:p>
        </w:tc>
        <w:tc>
          <w:tcPr>
            <w:tcW w:type="dxa" w:w="22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0,23</w:t>
            </w:r>
          </w:p>
        </w:tc>
        <w:tc>
          <w:tcPr>
            <w:tcW w:type="dxa" w:w="22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0,42</w:t>
            </w:r>
          </w:p>
        </w:tc>
      </w:tr>
      <w:tr>
        <w:tc>
          <w:tcPr>
            <w:tcW w:type="dxa" w:w="495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Углеродные платежи при цене 1000 руб./т, 2030 г., млн руб.</w:t>
            </w:r>
          </w:p>
        </w:tc>
        <w:tc>
          <w:tcPr>
            <w:tcW w:type="dxa" w:w="22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4 198</w:t>
            </w:r>
          </w:p>
        </w:tc>
        <w:tc>
          <w:tcPr>
            <w:tcW w:type="dxa" w:w="22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2 291</w:t>
            </w:r>
          </w:p>
        </w:tc>
      </w:tr>
      <w:tr>
        <w:tc>
          <w:tcPr>
            <w:tcW w:type="dxa" w:w="495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То же, 2036 г., млн руб.</w:t>
            </w:r>
          </w:p>
        </w:tc>
        <w:tc>
          <w:tcPr>
            <w:tcW w:type="dxa" w:w="22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7 438</w:t>
            </w:r>
          </w:p>
        </w:tc>
        <w:tc>
          <w:tcPr>
            <w:tcW w:type="dxa" w:w="22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4 059</w:t>
            </w:r>
          </w:p>
        </w:tc>
      </w:tr>
      <w:tr>
        <w:tc>
          <w:tcPr>
            <w:tcW w:type="dxa" w:w="495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Отношение платежей 2030 г. к ΔE режима Р2 (58,4 млн руб.)</w:t>
            </w:r>
          </w:p>
        </w:tc>
        <w:tc>
          <w:tcPr>
            <w:tcW w:type="dxa" w:w="22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72</w:t>
            </w:r>
          </w:p>
        </w:tc>
        <w:tc>
          <w:tcPr>
            <w:tcW w:type="dxa" w:w="22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39</w:t>
            </w:r>
          </w:p>
        </w:tc>
      </w:tr>
      <w:tr>
        <w:tc>
          <w:tcPr>
            <w:tcW w:type="dxa" w:w="495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Допустимый прирост выпуска по (3.29): только прирост продаж (u = 0,009), %</w:t>
            </w:r>
          </w:p>
        </w:tc>
        <w:tc>
          <w:tcPr>
            <w:tcW w:type="dxa" w:w="22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0,74</w:t>
            </w:r>
          </w:p>
        </w:tc>
        <w:tc>
          <w:tcPr>
            <w:tcW w:type="dxa" w:w="22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0,74</w:t>
            </w:r>
          </w:p>
        </w:tc>
      </w:tr>
      <w:tr>
        <w:tc>
          <w:tcPr>
            <w:tcW w:type="dxa" w:w="495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То же с учётом действующих продаж (u = 0,034), %</w:t>
            </w:r>
          </w:p>
        </w:tc>
        <w:tc>
          <w:tcPr>
            <w:tcW w:type="dxa" w:w="22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2,8</w:t>
            </w:r>
          </w:p>
        </w:tc>
        <w:tc>
          <w:tcPr>
            <w:tcW w:type="dxa" w:w="22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2,8</w:t>
            </w:r>
          </w:p>
        </w:tc>
      </w:tr>
    </w:tbl>
    <w:p>
      <w:pPr>
        <w:ind w:firstLine="0"/>
        <w:jc w:val="left"/>
      </w:pPr>
      <w:r>
        <w:rPr>
          <w:sz w:val="24"/>
        </w:rPr>
        <w:t>Источник: рассчитано автором по данным § 3.1 (табл. 3.2–3.3) и формулам (3.28)–(3.29); вычет переданного CO</w:t>
      </w:r>
      <w:r>
        <w:rPr>
          <w:sz w:val="24"/>
          <w:vertAlign w:val="subscript"/>
        </w:rPr>
        <w:t>2</w:t>
      </w:r>
      <w:r>
        <w:rPr>
          <w:sz w:val="24"/>
        </w:rPr>
        <w:t xml:space="preserve"> μ = 0 (п. 3.1.8).</w:t>
      </w:r>
    </w:p>
    <w:p>
      <w:pPr>
        <w:jc w:val="both"/>
      </w:pPr>
      <w:r>
        <w:t>Из таблицы 3.13 следуют два вывода, которые меняют представление о «зелёной» стороне проекта. Первый: экоплатформа не является инструментом декарбонизации якоря. Она сокращает его выбросы на 0,2–0,4 %, а возможные углеродные платежи превышают её годовой эффект в 39–72 раза. Если такой платёж появится, его величину определит выпуск и очистка N</w:t>
      </w:r>
      <w:r>
        <w:rPr>
          <w:vertAlign w:val="subscript"/>
        </w:rPr>
        <w:t>2</w:t>
      </w:r>
      <w:r>
        <w:t>O на агрегатах азотной кислоты, а не симбиоз. Второй: условие отсутствия эффекта отдачи (3.29) настолько жёсткое, что проверить его по годовым данным нельзя. Допустимый прирост выпуска (0,74–2,8 %) в 2,6–10 раз меньше стандартного отклонения остатков σ</w:t>
      </w:r>
      <w:r>
        <w:rPr>
          <w:vertAlign w:val="subscript"/>
        </w:rPr>
        <w:t>ε</w:t>
      </w:r>
      <w:r>
        <w:t xml:space="preserve"> = 0,073. Углеродный сценарий передаётся в § 3.4, проверка эффекта отдачи — в перечень месячных данных § 3.5.</w:t>
      </w:r>
    </w:p>
    <w:p>
      <w:pPr>
        <w:jc w:val="both"/>
      </w:pPr>
      <w:r>
        <w:t>Риск остановки якоря затрагивает и распределение эффекта. По формуле (3.25) доля «Азота» в векторе Шепли (29,4 млн руб. при s = 0,3) уменьшается в (1 − π</w:t>
      </w:r>
      <w:r>
        <w:rPr>
          <w:vertAlign w:val="subscript"/>
        </w:rPr>
        <w:t>A</w:t>
      </w:r>
      <w:r>
        <w:t>) раз и при π</w:t>
      </w:r>
      <w:r>
        <w:rPr>
          <w:vertAlign w:val="subscript"/>
        </w:rPr>
        <w:t>A</w:t>
      </w:r>
      <w:r>
        <w:t xml:space="preserve"> от 0,028 до 0,094 составляет 26,6–28,6 млн руб. Разница 0,8–2,8 млн руб. переходит к участникам, чьи связи не зависят от якоря. Такое правило согласуется с риск-скорректированным вектором Шепли, предложенным для межзаводской теплоинтеграции</w:t>
      </w:r>
      <w:r>
        <w:rPr>
          <w:vertAlign w:val="superscript"/>
        </w:rPr>
        <w:footnoteReference w:id="3"/>
      </w:r>
      <w:r>
        <w:t>; Ю. Тянь и Ш. Ли показали для той же задачи, что ограничения устойчивости коалиции можно выдержать при любой вероятности внеплановой остановки [2].</w:t>
      </w:r>
    </w:p>
    <w:p>
      <w:pPr>
        <w:keepNext/>
        <w:jc w:val="both"/>
      </w:pPr>
      <w:r>
        <w:rPr>
          <w:b/>
        </w:rPr>
        <w:t>3.3.5. Выигрыши и их распределение между участниками и бюджетами</w:t>
      </w:r>
    </w:p>
    <w:p>
      <w:pPr>
        <w:jc w:val="both"/>
      </w:pPr>
      <w:r>
        <w:t>Вопрос о том, кто выигрывает, решается балансом бенефициаров. Платформа создаёт новую стоимость только в размере ΔE(t). Цена обмена, дивиденд, налоги, компенсация σ и межбюджетные трансферты лишь перемещают её между участниками. Плата за НВОС — особый случай: предприятия её не платят, бюджет её не получает. Поэтому сумма чистых выигрышей всех бенефициаров замыкается так: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nary>
          <m:naryPr>
            <m:chr m:val="∑"/>
            <m:limLoc m:val="undOvr"/>
            <m:supHide m:val="1"/>
          </m:naryPr>
          <m:sub>
            <m:r>
              <w:rPr>
                <w:rFonts w:ascii="Cambria Math" w:hAnsi="Cambria Math"/>
                <w:sz w:val="28"/>
              </w:rPr>
              <m:t xml:space="preserve">b</m:t>
            </m:r>
          </m:sub>
          <m:sup/>
          <m:e>
            <m:sSub>
              <m:e>
                <m:r>
                  <w:rPr>
                    <w:rFonts w:ascii="Cambria Math" w:hAnsi="Cambria Math"/>
                    <w:sz w:val="28"/>
                  </w:rPr>
                  <m:t xml:space="preserve">NB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b</m:t>
                </m:r>
              </m:sub>
            </m:sSub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  <w:sz w:val="28"/>
                  </w:rPr>
                  <m:t xml:space="preserve">t</m:t>
                </m:r>
              </m:e>
            </m:d>
          </m:e>
        </m:nary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r>
          <m:rPr>
            <m:sty m:val="p"/>
          </m:rPr>
          <w:rPr>
            <w:rFonts w:ascii="Cambria Math" w:hAnsi="Cambria Math"/>
            <w:sz w:val="28"/>
          </w:rPr>
          <m:t xml:space="preserve">Δ</m:t>
        </m:r>
        <m:r>
          <w:rPr>
            <w:rFonts w:ascii="Cambria Math" w:hAnsi="Cambria Math"/>
            <w:sz w:val="28"/>
          </w:rPr>
          <m:t xml:space="preserve">E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t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− Δ</m:t>
        </m:r>
        <m:r>
          <m:rPr>
            <m:sty m:val="p"/>
          </m:rPr>
          <w:rPr>
            <w:rFonts w:ascii="Cambria Math" w:hAnsi="Cambria Math"/>
            <w:sz w:val="28"/>
          </w:rPr>
          <m:t xml:space="preserve">НВОС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t</m:t>
            </m:r>
          </m:e>
        </m:d>
      </m:oMath>
      <w:r>
        <w:tab/>
        <w:t>(3.39)</w:t>
      </w:r>
    </w:p>
    <w:p>
      <w:pPr>
        <w:ind w:firstLine="0"/>
        <w:jc w:val="both"/>
      </w:pPr>
      <w:r>
        <w:t>где NB</w:t>
      </w:r>
      <w:r>
        <w:rPr>
          <w:vertAlign w:val="subscript"/>
        </w:rPr>
        <w:t>b</w:t>
      </w:r>
      <w:r>
        <w:t>(t) — чистый выигрыш бенефициара b в году t (участники обмена, оператор, бюджеты трёх уровней, экофонд, корпорация развития), млн руб.; ΔНВОС(t) — плата за НВОС, не поступившая в бюджеты из-за сокращения размещения отходов, млн руб.</w:t>
      </w:r>
    </w:p>
    <w:p>
      <w:pPr>
        <w:jc w:val="both"/>
      </w:pPr>
      <w:r>
        <w:t>Тождество (3.39) служит проверкой правильности расчёта: если сумма выигрышей отличается от правой части, где-то учтён двойной счёт. На вкладке «Бенефициары и стратегии» симулятора проверка выполняется для каждого года. В 2030 г. при ΔE = 58,3 млн руб. и ΔНВОС = 27,2 млн руб. сумма выигрышей равна 31,1 млн руб. Распределение приведённой стоимости за 2026–2036 гг. показано на рисунке 3.7.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5576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_3.7.png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57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ind w:firstLine="0"/>
        <w:jc w:val="center"/>
      </w:pPr>
      <w:r>
        <w:t>Рисунок 3.7 – Распределение чистой приведённой стоимости выигрышей между бенефициарами в режиме Р2, 2026–2036 гг.</w:t>
      </w:r>
    </w:p>
    <w:p>
      <w:pPr>
        <w:ind w:firstLine="0"/>
        <w:jc w:val="center"/>
      </w:pPr>
      <w:r>
        <w:rPr>
          <w:sz w:val="24"/>
        </w:rPr>
        <w:t>Источник: рассчитано автором на симуляторе [1]; связность растёт от 0,008 до 0,192 к 2028 г., k</w:t>
      </w:r>
      <w:r>
        <w:rPr>
          <w:sz w:val="24"/>
          <w:vertAlign w:val="subscript"/>
        </w:rPr>
        <w:t>0</w:t>
      </w:r>
      <w:r>
        <w:rPr>
          <w:sz w:val="24"/>
        </w:rPr>
        <w:t xml:space="preserve"> = 5, цена обмена в середине коридора (ω = 0,5), доля города в плате за НВОС 0,6 (класс C), ставка налога резидентов ТОСЭР в бюджет края 5 %.</w:t>
      </w:r>
    </w:p>
    <w:p>
      <w:pPr>
        <w:jc w:val="both"/>
      </w:pPr>
      <w:r>
        <w:t>Рисунок 3.7 показывает асимметрию, которую не видно по суммарным величинам. Почти весь выигрыш получают резиденты ТОСЭР (135,4 млн руб.), и лишь затем — экопромышленный парк и «Азот» (около 37 млн руб. каждый). Оператор платформы получает 6,3 млн руб., поскольку сервисный платёж покрывает его затраты, но не больше. Бюджет Невинномысска теряет 83,8 млн руб. выпадающей платы за НВОС, и дивиденд эту потерю не компенсирует. Федеральный бюджет выигрывает за счёт налога на прибыль (24,5 млн руб.), бюджет края проигрывает 12,2 млн руб. Компенсация σ (при сценарных затратах подключения 6 млн руб. в год) увеличивает выигрыш резидентов до 145,7 млн руб. и потерю края до 23,3 млн руб.; федеральный бюджет при этом получает дополнительно 0,8 млн руб.</w:t>
      </w:r>
    </w:p>
    <w:p>
      <w:pPr>
        <w:jc w:val="both"/>
      </w:pPr>
      <w:r>
        <w:t>Для механизма отсюда вытекает требование, которого не было в главе 2. Город, давший согласие на сокращение собственных поступлений, должен получить компенсацию не из дивиденда, а через межбюджетный трансферт или норматив зачисления платы за НВОС. Нормативы зачисления этой платы между бюджетом субъекта и бюджетом города в расчёте приняты сценарно и подлежат сверке с действующей редакцией Бюджетного кодекса РФ и закона Ставропольского края о бюджете. Ни одна из трёх схем распределения дивиденда этой задачи не решает.</w:t>
      </w:r>
    </w:p>
    <w:p>
      <w:pPr>
        <w:keepNext/>
        <w:jc w:val="both"/>
      </w:pPr>
      <w:r>
        <w:rPr>
          <w:b/>
        </w:rPr>
        <w:t>3.3.6. Проверка гипотез главы 2 и условия опровержения</w:t>
      </w:r>
    </w:p>
    <w:p>
      <w:pPr>
        <w:jc w:val="both"/>
      </w:pPr>
      <w:r>
        <w:t>Таблица 2.13 передала в главу 3 семь гипотез. Результаты их проверки на симуляторе и наблюдения, которые могут их опровергнуть после запуска платформы, сведены в таблицу 3.14.</w:t>
      </w:r>
    </w:p>
    <w:p>
      <w:pPr>
        <w:keepNext/>
        <w:ind w:firstLine="0"/>
        <w:jc w:val="right"/>
      </w:pPr>
      <w:r>
        <w:t>Таблица 3.14</w:t>
      </w:r>
    </w:p>
    <w:p>
      <w:pPr>
        <w:keepNext/>
        <w:ind w:firstLine="0"/>
        <w:jc w:val="center"/>
      </w:pPr>
      <w:r>
        <w:t>Результаты проверки гипотез таблицы 2.13 и условия их опровержения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/>
        </w:trPr>
        <w:tc>
          <w:tcPr>
            <w:tcW w:type="dxa" w:w="222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Гипотеза</w:t>
            </w:r>
          </w:p>
        </w:tc>
        <w:tc>
          <w:tcPr>
            <w:tcW w:type="dxa" w:w="289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Результат имитации</w:t>
            </w:r>
          </w:p>
        </w:tc>
        <w:tc>
          <w:tcPr>
            <w:tcW w:type="dxa" w:w="14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Статус</w:t>
            </w:r>
          </w:p>
        </w:tc>
        <w:tc>
          <w:tcPr>
            <w:tcW w:type="dxa" w:w="27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Опровергающее наблюдение</w:t>
            </w:r>
          </w:p>
        </w:tc>
      </w:tr>
      <w:tr>
        <w:tc>
          <w:tcPr>
            <w:tcW w:type="dxa" w:w="222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Рост k во времени при институциональных мерах</w:t>
            </w:r>
          </w:p>
        </w:tc>
        <w:tc>
          <w:tcPr>
            <w:tcW w:type="dxa" w:w="289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Задан допущением (3.32); при k</w:t>
            </w:r>
            <w:r>
              <w:rPr>
                <w:sz w:val="24"/>
                <w:vertAlign w:val="subscript"/>
              </w:rPr>
              <w:t>0</w:t>
            </w:r>
            <w:r>
              <w:rPr>
                <w:sz w:val="24"/>
              </w:rPr>
              <w:t xml:space="preserve"> от 4 до 6 вероятность ΔE &gt; 0 не ниже 0,989</w:t>
            </w:r>
          </w:p>
        </w:tc>
        <w:tc>
          <w:tcPr>
            <w:tcW w:type="dxa" w:w="14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Не проверяется до запуска</w:t>
            </w:r>
          </w:p>
        </w:tc>
        <w:tc>
          <w:tcPr>
            <w:tcW w:type="dxa" w:w="27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Ряд оценок k по (2.6) за 3–4 года не растёт</w:t>
            </w:r>
          </w:p>
        </w:tc>
      </w:tr>
      <w:tr>
        <w:tc>
          <w:tcPr>
            <w:tcW w:type="dxa" w:w="222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ΔE</w:t>
            </w:r>
            <w:r>
              <w:rPr>
                <w:sz w:val="24"/>
                <w:vertAlign w:val="subscript"/>
              </w:rPr>
              <w:t>base</w:t>
            </w:r>
            <w:r>
              <w:rPr>
                <w:sz w:val="24"/>
              </w:rPr>
              <w:t xml:space="preserve"> = 250 — валовой, а не чистый эффект</w:t>
            </w:r>
          </w:p>
        </w:tc>
        <w:tc>
          <w:tcPr>
            <w:tcW w:type="dxa" w:w="289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Чистый эффект при φ = 1 равен 117,4; при равновесной связности — 40–78 млн руб.</w:t>
            </w:r>
          </w:p>
        </w:tc>
        <w:tc>
          <w:tcPr>
            <w:tcW w:type="dxa" w:w="14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Подтверждена, параметр заменён</w:t>
            </w:r>
          </w:p>
        </w:tc>
        <w:tc>
          <w:tcPr>
            <w:tcW w:type="dxa" w:w="27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Подтверждённый аудитом ΔE при C ≈ 0,19 выше 117 млн руб.</w:t>
            </w:r>
          </w:p>
        </w:tc>
      </w:tr>
      <w:tr>
        <w:tc>
          <w:tcPr>
            <w:tcW w:type="dxa" w:w="222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Сдвиг C</w:t>
            </w:r>
            <w:r>
              <w:rPr>
                <w:sz w:val="24"/>
                <w:vertAlign w:val="superscript"/>
              </w:rPr>
              <w:t>*</w:t>
            </w:r>
            <w:r>
              <w:rPr>
                <w:sz w:val="24"/>
              </w:rPr>
              <w:t xml:space="preserve"> вправо при внедрении платформы</w:t>
            </w:r>
          </w:p>
        </w:tc>
        <w:tc>
          <w:tcPr>
            <w:tcW w:type="dxa" w:w="289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C</w:t>
            </w:r>
            <w:r>
              <w:rPr>
                <w:sz w:val="24"/>
                <w:vertAlign w:val="superscript"/>
              </w:rPr>
              <w:t>*</w:t>
            </w:r>
            <w:r>
              <w:rPr>
                <w:sz w:val="24"/>
              </w:rPr>
              <w:t>: 0,181 без платформы, 0,244 с платформой (2027)</w:t>
            </w:r>
          </w:p>
        </w:tc>
        <w:tc>
          <w:tcPr>
            <w:tcW w:type="dxa" w:w="14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Подтверждена в модели</w:t>
            </w:r>
          </w:p>
        </w:tc>
        <w:tc>
          <w:tcPr>
            <w:tcW w:type="dxa" w:w="27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Предельные издержки связности с платформой не ниже, чем без неё</w:t>
            </w:r>
          </w:p>
        </w:tc>
      </w:tr>
      <w:tr>
        <w:tc>
          <w:tcPr>
            <w:tcW w:type="dxa" w:w="222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Чувствительность SD к α</w:t>
            </w:r>
          </w:p>
        </w:tc>
        <w:tc>
          <w:tcPr>
            <w:tcW w:type="dxa" w:w="289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SD пропорционален α; на равновесное участие α почти не влияет</w:t>
            </w:r>
          </w:p>
        </w:tc>
        <w:tc>
          <w:tcPr>
            <w:tcW w:type="dxa" w:w="14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Подтверждена частично</w:t>
            </w:r>
          </w:p>
        </w:tc>
        <w:tc>
          <w:tcPr>
            <w:tcW w:type="dxa" w:w="27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Рост α на 0,02 привлекает больше резидентов, чем σ при равных затратах</w:t>
            </w:r>
          </w:p>
        </w:tc>
      </w:tr>
      <w:tr>
        <w:tc>
          <w:tcPr>
            <w:tcW w:type="dxa" w:w="222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Различие режимов распределения при одинаковом SD</w:t>
            </w:r>
          </w:p>
        </w:tc>
        <w:tc>
          <w:tcPr>
            <w:tcW w:type="dxa" w:w="289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Доля бюджета: схема А — 2,20, Б — 1,53, В — 2,95 млн руб. (2036)</w:t>
            </w:r>
          </w:p>
        </w:tc>
        <w:tc>
          <w:tcPr>
            <w:tcW w:type="dxa" w:w="14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Подтверждена</w:t>
            </w:r>
          </w:p>
        </w:tc>
        <w:tc>
          <w:tcPr>
            <w:tcW w:type="dxa" w:w="27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—</w:t>
            </w:r>
          </w:p>
        </w:tc>
      </w:tr>
      <w:tr>
        <w:tc>
          <w:tcPr>
            <w:tcW w:type="dxa" w:w="222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SD</w:t>
            </w:r>
            <w:r>
              <w:rPr>
                <w:sz w:val="24"/>
                <w:vertAlign w:val="subscript"/>
              </w:rPr>
              <w:t>б</w:t>
            </w:r>
            <w:r>
              <w:rPr>
                <w:sz w:val="24"/>
              </w:rPr>
              <w:t xml:space="preserve"> ≥ C</w:t>
            </w:r>
            <w:r>
              <w:rPr>
                <w:sz w:val="24"/>
                <w:vertAlign w:val="subscript"/>
              </w:rPr>
              <w:t>ликв</w:t>
            </w:r>
            <w:r>
              <w:rPr>
                <w:sz w:val="24"/>
              </w:rPr>
              <w:t xml:space="preserve"> не выполняется без отдельного источника</w:t>
            </w:r>
          </w:p>
        </w:tc>
        <w:tc>
          <w:tcPr>
            <w:tcW w:type="dxa" w:w="289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Не выполняется ни в одном из 25 000 испытаний; B</w:t>
            </w:r>
            <w:r>
              <w:rPr>
                <w:sz w:val="24"/>
                <w:vertAlign w:val="subscript"/>
              </w:rPr>
              <w:t>внеш</w:t>
            </w:r>
            <w:r>
              <w:rPr>
                <w:sz w:val="24"/>
              </w:rPr>
              <w:t xml:space="preserve"> — 86–91 % потребности</w:t>
            </w:r>
          </w:p>
        </w:tc>
        <w:tc>
          <w:tcPr>
            <w:tcW w:type="dxa" w:w="14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Подтверждена</w:t>
            </w:r>
          </w:p>
        </w:tc>
        <w:tc>
          <w:tcPr>
            <w:tcW w:type="dxa" w:w="27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Доля бюджета в дивиденде покрывает C</w:t>
            </w:r>
            <w:r>
              <w:rPr>
                <w:sz w:val="24"/>
                <w:vertAlign w:val="subscript"/>
              </w:rPr>
              <w:t>ликв</w:t>
            </w:r>
            <w:r>
              <w:rPr>
                <w:sz w:val="24"/>
              </w:rPr>
              <w:t xml:space="preserve"> хотя бы в одном году</w:t>
            </w:r>
          </w:p>
        </w:tc>
      </w:tr>
      <w:tr>
        <w:tc>
          <w:tcPr>
            <w:tcW w:type="dxa" w:w="222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Участие малых резидентов определяется ценой, а не дивидендом</w:t>
            </w:r>
          </w:p>
        </w:tc>
        <w:tc>
          <w:tcPr>
            <w:tcW w:type="dxa" w:w="289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Дивиденд добавляет 0–2 резидентов; σ — 4, включая 3 «осторожных»</w:t>
            </w:r>
          </w:p>
        </w:tc>
        <w:tc>
          <w:tcPr>
            <w:tcW w:type="dxa" w:w="14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Подтверждена в модели</w:t>
            </w:r>
          </w:p>
        </w:tc>
        <w:tc>
          <w:tcPr>
            <w:tcW w:type="dxa" w:w="27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Резиденты типа C входят в сеть при α &gt; 0 без σ и доверительного управления</w:t>
            </w:r>
          </w:p>
        </w:tc>
      </w:tr>
    </w:tbl>
    <w:p>
      <w:pPr>
        <w:ind w:firstLine="0"/>
        <w:jc w:val="left"/>
      </w:pPr>
      <w:r>
        <w:rPr>
          <w:sz w:val="24"/>
        </w:rPr>
        <w:t>Источник: составлено автором по результатам п. 3.3.2–3.3.5.</w:t>
      </w:r>
    </w:p>
    <w:p>
      <w:pPr>
        <w:jc w:val="both"/>
      </w:pPr>
      <w:r>
        <w:t>По таблице 3.14 пять гипотез из семи подтверждены в модели, одна подтверждена частично, одна не может быть проверена до запуска. Подтверждение в модели не равнозначно эмпирическому: популяция резидентов демонстрационная, и вывод о слабом влиянии дивиденда на участие может измениться, когда реестр платформы даст фактические выигрыши и затраты. Поэтому для каждой гипотезы указано наблюдение, которое её опровергнет. К ним добавляются три условия, полученные в самом параграфе: барьер поиска и согласования у резидентов ниже 0,9 млн руб. в год (вклад платформы требует пересмотра), совокупные продажи CO</w:t>
      </w:r>
      <w:r>
        <w:rPr>
          <w:vertAlign w:val="subscript"/>
        </w:rPr>
        <w:t>2</w:t>
      </w:r>
      <w:r>
        <w:t xml:space="preserve"> после запуска не выше 32 тыс. т (поток CO</w:t>
      </w:r>
      <w:r>
        <w:rPr>
          <w:vertAlign w:val="subscript"/>
        </w:rPr>
        <w:t>2</w:t>
      </w:r>
      <w:r>
        <w:t xml:space="preserve"> эффекта не создаёт) и связность через два года после запуска ниже C</w:t>
      </w:r>
      <w:r>
        <w:rPr>
          <w:vertAlign w:val="subscript"/>
        </w:rPr>
        <w:t>min</w:t>
      </w:r>
      <w:r>
        <w:t xml:space="preserve"> (платформа не вышла из переходного состояния).</w:t>
      </w:r>
    </w:p>
    <w:p>
      <w:pPr>
        <w:jc w:val="both"/>
      </w:pPr>
      <w:r>
        <w:t>По отношению к главе 2 параграф дал четыре результата. Сценарные пороги трёх состояний экосистемы получили экономическое содержание: граница между переходным и экосистемным состоянием определяется порогом окупаемости платформы C</w:t>
      </w:r>
      <w:r>
        <w:rPr>
          <w:vertAlign w:val="subscript"/>
        </w:rPr>
        <w:t>min</w:t>
      </w:r>
      <w:r>
        <w:t>, который снижается с 0,089 до 0,062 по мере роста k. Найдена количественная оценка информационного барьера (не менее 1,75 млн руб. в год на резидента), без которой модель не воспроизводит наблюдаемую связность Невинномысска, и показано, что от величины этого барьера зависит сам знак вклада платформы. Опасности ранжированы: переключение покупателей углекислоты опаснее простоя якоря, а дефицит средств на ликвидацию ущерба возникает при любых параметрах. Наконец, баланс бенефициаров выявил, что основной проигравший — бюджет города, и его компенсация должна быть встроена в механизм § 3.5. Сценарии 2027–2036 гг. с углеродным вариантом и трёхкомпонентный индекс устойчивости строятся в § 3.4 на равновесиях, найденных здесь.</w:t>
      </w:r>
    </w:p>
    <w:p>
      <w:pPr>
        <w:keepNext/>
        <w:ind w:firstLine="0"/>
        <w:jc w:val="center"/>
      </w:pPr>
      <w:r>
        <w:rPr>
          <w:b/>
        </w:rPr>
        <w:t>Список источников к параграфу</w:t>
      </w:r>
    </w:p>
    <w:p>
      <w:pPr>
        <w:jc w:val="left"/>
      </w:pPr>
      <w:r>
        <w:t>1. Симулятор экоплатформы Невинномысска DYNSIM: программная модель и исходный код [Электронный ресурс]. 2026. URL: https://goxaman2-dot.github.io/Ecoplatforma-Nevinka/ ; https://github.com/goxaman2-dot/Ecoplatforma-Nevinka (дата обращения: 15.10.2026).</w:t>
      </w:r>
    </w:p>
    <w:p>
      <w:pPr>
        <w:jc w:val="left"/>
      </w:pPr>
      <w:r>
        <w:t>2. Tian Y., Li S. Multi-plant direct heat integration considering coalition stability under unplanned shutdown risks // Energy. 2022. Vol. 243. Art. 123047. DOI: 10.1016/j.energy.2021.123047.</w:t>
      </w:r>
    </w:p>
    <w:p>
      <w:r>
        <w:br w:type="page"/>
      </w:r>
    </w:p>
    <w:p>
      <w:pPr>
        <w:keepNext/>
        <w:ind w:firstLine="0"/>
        <w:jc w:val="center"/>
      </w:pPr>
      <w:r>
        <w:rPr>
          <w:b/>
        </w:rPr>
        <w:t>Приложение к § 3.3. Экранные формы симулятора экоплатформы</w:t>
      </w:r>
    </w:p>
    <w:p>
      <w:pPr>
        <w:jc w:val="both"/>
      </w:pPr>
      <w:r>
        <w:t>Экранные формы получены на автономной сборке симулятора DYNSIM v4.2 (коммит bab1ca2 от 15.10.2026) при параметрах по умолчанию; изменялись только горизонт прогноза и индекс связности C</w:t>
      </w:r>
      <w:r>
        <w:rPr>
          <w:vertAlign w:val="subscript"/>
        </w:rPr>
        <w:t>инд</w:t>
      </w:r>
      <w:r>
        <w:t>. Буква приложения присваивается при сборке диссертации.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150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1_to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5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ind w:firstLine="0"/>
        <w:jc w:val="center"/>
      </w:pPr>
      <w:r>
        <w:t>Рисунок П.1 – Линейное состояние экосистемы: C</w:t>
      </w:r>
      <w:r>
        <w:rPr>
          <w:vertAlign w:val="subscript"/>
        </w:rPr>
        <w:t>инд</w:t>
      </w:r>
      <w:r>
        <w:t xml:space="preserve"> = 0,03, 2027 г.</w:t>
      </w:r>
    </w:p>
    <w:p>
      <w:pPr>
        <w:ind w:firstLine="0"/>
        <w:jc w:val="center"/>
      </w:pPr>
      <w:r>
        <w:rPr>
          <w:sz w:val="24"/>
        </w:rPr>
        <w:t>Источник: экранная форма симулятора [1].</w:t>
      </w:r>
    </w:p>
    <w:p>
      <w:pPr>
        <w:jc w:val="both"/>
      </w:pPr>
      <w:r>
        <w:t>Граф потоков показывает только отходы, дивиденд равен нулю, ΔE(t) = −69,6 млн руб.: платформа несёт затраты без эффекта.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150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2_to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5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ind w:firstLine="0"/>
        <w:jc w:val="center"/>
      </w:pPr>
      <w:r>
        <w:t>Рисунок П.2 – Переходное состояние экосистемы: C</w:t>
      </w:r>
      <w:r>
        <w:rPr>
          <w:vertAlign w:val="subscript"/>
        </w:rPr>
        <w:t>инд</w:t>
      </w:r>
      <w:r>
        <w:t xml:space="preserve"> = 0,08, 2027 г.</w:t>
      </w:r>
    </w:p>
    <w:p>
      <w:pPr>
        <w:ind w:firstLine="0"/>
        <w:jc w:val="center"/>
      </w:pPr>
      <w:r>
        <w:rPr>
          <w:sz w:val="24"/>
        </w:rPr>
        <w:t>Источник: экранная форма симулятора [1].</w:t>
      </w:r>
    </w:p>
    <w:p>
      <w:pPr>
        <w:jc w:val="both"/>
      </w:pPr>
      <w:r>
        <w:t>Связность ниже порога C</w:t>
      </w:r>
      <w:r>
        <w:rPr>
          <w:vertAlign w:val="subscript"/>
        </w:rPr>
        <w:t>min</w:t>
      </w:r>
      <w:r>
        <w:t xml:space="preserve"> = 0,089, поэтому ΔE(t) отрицателен и дивиденд не начисляется.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150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3_to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5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ind w:firstLine="0"/>
        <w:jc w:val="center"/>
      </w:pPr>
      <w:r>
        <w:t>Рисунок П.3 – Экосистемное состояние: C</w:t>
      </w:r>
      <w:r>
        <w:rPr>
          <w:vertAlign w:val="subscript"/>
        </w:rPr>
        <w:t>инд</w:t>
      </w:r>
      <w:r>
        <w:t xml:space="preserve"> = 0,19, 2030 г.</w:t>
      </w:r>
    </w:p>
    <w:p>
      <w:pPr>
        <w:ind w:firstLine="0"/>
        <w:jc w:val="center"/>
      </w:pPr>
      <w:r>
        <w:rPr>
          <w:sz w:val="24"/>
        </w:rPr>
        <w:t>Источник: экранная форма симулятора [1].</w:t>
      </w:r>
    </w:p>
    <w:p>
      <w:pPr>
        <w:jc w:val="both"/>
      </w:pPr>
      <w:r>
        <w:t>Эффект и дивиденд положительны; распределение SD показано по получателям схемы В.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8618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l_char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86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ind w:firstLine="0"/>
        <w:jc w:val="center"/>
      </w:pPr>
      <w:r>
        <w:t>Рисунок П.4 – Вкладка «Двухуровневая модель»: отображение Γ(C; θ) и цена закрытия разрыва</w:t>
      </w:r>
    </w:p>
    <w:p>
      <w:pPr>
        <w:ind w:firstLine="0"/>
        <w:jc w:val="center"/>
      </w:pPr>
      <w:r>
        <w:rPr>
          <w:sz w:val="24"/>
        </w:rPr>
        <w:t>Источник: экранная форма симулятора [1].</w:t>
      </w:r>
    </w:p>
    <w:p>
      <w:pPr>
        <w:jc w:val="both"/>
      </w:pPr>
      <w:r>
        <w:t>Равновесие C</w:t>
      </w:r>
      <w:r>
        <w:rPr>
          <w:vertAlign w:val="superscript"/>
        </w:rPr>
        <w:t>**</w:t>
      </w:r>
      <w:r>
        <w:t xml:space="preserve"> — первое пересечение ступенчатой линии Γ с биссектрисой; справа — Π(Ĉ), Z</w:t>
      </w:r>
      <w:r>
        <w:rPr>
          <w:vertAlign w:val="subscript"/>
        </w:rPr>
        <w:t>min</w:t>
      </w:r>
      <w:r>
        <w:t>(Ĉ) и их разность, максимум которой задаёт Ĉ.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spacing w:before="0" w:after="0" w:line="240" w:lineRule="auto"/>
        <w:jc w:val="both"/>
      </w:pPr>
      <w:r>
        <w:rPr>
          <w:rFonts w:ascii="Times New Roman" w:hAnsi="Times New Roman"/>
          <w:sz w:val="20"/>
          <w:vertAlign w:val="superscript"/>
        </w:rPr>
        <w:footnoteRef/>
      </w:r>
      <w:r>
        <w:rPr>
          <w:rFonts w:ascii="Times New Roman" w:hAnsi="Times New Roman" w:cs="Times New Roman"/>
          <w:sz w:val="20"/>
        </w:rPr>
        <w:t xml:space="preserve"> Yazan D.M., Yazdanpanah V., Fraccascia L. Learning strategic cooperative behavior in industrial symbiosis: a game-theoretic approach integrated with agent-based simulation // Business Strategy and the Environment. 2020. Vol. 29, № 5. P. 2078–2091. DOI: 10.1002/bse.2488.</w:t>
      </w:r>
    </w:p>
  </w:footnote>
  <w:footnote w:id="2">
    <w:p>
      <w:pPr>
        <w:spacing w:before="0" w:after="0" w:line="240" w:lineRule="auto"/>
        <w:jc w:val="both"/>
      </w:pPr>
      <w:r>
        <w:rPr>
          <w:rFonts w:ascii="Times New Roman" w:hAnsi="Times New Roman"/>
          <w:sz w:val="20"/>
          <w:vertAlign w:val="superscript"/>
        </w:rPr>
        <w:footnoteRef/>
      </w:r>
      <w:r>
        <w:rPr>
          <w:rFonts w:ascii="Times New Roman" w:hAnsi="Times New Roman" w:cs="Times New Roman"/>
          <w:sz w:val="20"/>
        </w:rPr>
        <w:t xml:space="preserve"> Fraccascia L. Quantifying the direct network effect for online platforms supporting industrial symbiosis: an agent-based simulation study // Ecological Economics. 2020. Vol. 170. Art. 106587. DOI: 10.1016/j.ecolecon.2019.106587.</w:t>
      </w:r>
    </w:p>
  </w:footnote>
  <w:footnote w:id="3">
    <w:p>
      <w:pPr>
        <w:spacing w:before="0" w:after="0" w:line="240" w:lineRule="auto"/>
        <w:jc w:val="both"/>
      </w:pPr>
      <w:r>
        <w:rPr>
          <w:rFonts w:ascii="Times New Roman" w:hAnsi="Times New Roman"/>
          <w:sz w:val="20"/>
          <w:vertAlign w:val="superscript"/>
        </w:rPr>
        <w:footnoteRef/>
      </w:r>
      <w:r>
        <w:rPr>
          <w:rFonts w:ascii="Times New Roman" w:hAnsi="Times New Roman" w:cs="Times New Roman"/>
          <w:sz w:val="20"/>
        </w:rPr>
        <w:t xml:space="preserve"> Jin Y., Chang C.-T., Li S., Jiang D. On the use of risk-based Shapley values for cost sharing in interplant heat integration programs // Applied Energy. 2018. Vol. 211. P. 904–920. DOI: 10.1016/j.apenergy.2017.11.097.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ind w:firstLine="709"/>
      <w:jc w:val="both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fig_3_4.svg"/><Relationship Id="rId11" Type="http://schemas.openxmlformats.org/officeDocument/2006/relationships/image" Target="media/image2.png"/><Relationship Id="rId12" Type="http://schemas.openxmlformats.org/officeDocument/2006/relationships/image" Target="media/fig_3_5.svg"/><Relationship Id="rId13" Type="http://schemas.openxmlformats.org/officeDocument/2006/relationships/image" Target="media/image3.png"/><Relationship Id="rId14" Type="http://schemas.openxmlformats.org/officeDocument/2006/relationships/image" Target="media/fig_3_6.svg"/><Relationship Id="rId15" Type="http://schemas.openxmlformats.org/officeDocument/2006/relationships/image" Target="media/image4.png"/><Relationship Id="rId16" Type="http://schemas.openxmlformats.org/officeDocument/2006/relationships/image" Target="media/fig_3_7.sv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DocSecurity>0</DocSecurity>
  <ScaleCrop>false</ScaleCrop>
  <Company/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2026-01-01T00:00:00Z</dcterms:created>
  <dcterms:modified xsi:type="dcterms:W3CDTF">2026-01-01T00:00:00Z</dcterms:modified>
  <cp:category/>
  <cp:contentStatus/>
  <dc:identifier/>
  <dc:language/>
  <cp:version/>
  <cp:lastPrinted>2026-01-01T00:00:00Z</cp:lastPrinted>
</cp:coreProperties>
</file>