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 Институциональная архитектура государственно-частного партнёрства в финансировании ЭКОПЛАТФОРМЫ: модель распределения симбиотического дивиденда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2.7.1. Постановка задачи: почему большинство ТОСЭР не создают симбиоза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условиях цифровой трансформации экономики и активного внедрения информационных технологий в ключевые бизнес-процессы промышленный симбиоз перестал рассматриваться исключительно как совокупность двусторонних ресурсных обменов и выступает в качестве самостоятельного объекта управления, требующего системного анализа, планирования и экономического обоснования [1, 5, 14]. Вместе с тем эмпирические данные по российским территориям опережающего социально-экономического развития свидетельствуют о структурном парадоксе: наличие льготного налогового режима, развитой инфраструктуры и формально достаточного числа резидентов не транслируется автоматически в рост индекса синергетической плотности Cинд [9].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институциональной истории российских ОЭЗ позволяет идентифицировать причину данного феномена: отсутствие экономически обоснованного механизма распределения выгод между участниками симбиоза. Государство финансирует создание инфраструктуры — в случае Невинномысска 929 млн рублей из федерального бюджета направлено на строительство экопромышленного парка, — однако не задаёт правила возврата этих вложений через верифицированный дивиденд. Оператор не имеет стимула раскрывать данные о потоках. Резидент не участвует в симбиозе, поскольку выгода от участия не гарантирована контрактно. В результате безопасность начинает выполнять ритуальную и регуляторную, а не экономическую функцию: система формально существует, однако не производит симбиотической ренты.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Настоящий раздел конструирует формализованную модель государственно-частного партнёрства (ГЧП), в которой симбиотический дивиденд SD(t) — ранее введённый как целевой показатель модели ЭКОПЛАТФОРМЫ (формулы 2.6–2.7) — распределяется между четырьмя группами получателей с явно специфицированными долями γᵢ, зависящими от фазы развития экосистемы. Ключевой принцип: бюджет ИБ (в широком смысле — бюджет государственного участия) является следствием, а не причиной экономических процессов защиты ресурсных потоков, — γ_гос убывает по мере роста φ(Cинд), передавая дивиденд оператору и резидентам по мере коммерческой зрелости системы.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2.7.2. Формальная структура модели ГЧП: базовое уравнение распределения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Базовое уравнение расчёта симбиотического дивиденда, введённое в разделе 2.4, сохраняет свою форму: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r>
          <w:rPr>
            <w:rFonts w:ascii="Cambria Math" w:hAnsi="Cambria Math"/>
            <w:i/>
            <w:sz w:val="28"/>
            <w:szCs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α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i=1</m:t>
            </m:r>
          </m:sub>
          <m:sup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sup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r>
          <w:rPr>
            <w:rFonts w:ascii="Cambria Math" w:hAnsi="Cambria Math"/>
            <w:i/>
            <w:sz w:val="28"/>
            <w:szCs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инд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(2.17)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SD(t) — симбиотический дивиденд за период t; α — коэффициент распределения суммарной верифицированной экономии; Eᵢ(t) — экономия по i-му классу ресурсных потоков; φ(Cинд) = 1 − e^(−k·Cинд) — функция синергетической реализуемости (раздел 2.4). Распределение SD(t) между группами получателей задаётся условием полноты: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гос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опер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экол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1</m:t>
        </m:r>
      </m:oMath>
      <w:r>
        <w:rPr>
          <w:rFonts w:ascii="Times New Roman" w:hAnsi="Times New Roman" w:cs="Times New Roman" w:eastAsia="Times New Roman"/>
          <w:sz w:val="28"/>
        </w:rPr>
        <w:tab/>
        <w:t>(2.18)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γ_гос, γ_опер, γ_рез, γ_экол — доли государства, оператора ЭКОПЛАТФОРМЫ, резидентов ТОСЭР и фонда экологической ликвидации соответственно. Ограничение Σγᵢ = 1 означает, что модель не предполагает «утечки» дивиденда за пределы экосистемы. Поступление каждой группы получателей: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g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g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r>
          <w:rPr>
            <w:rFonts w:ascii="Cambria Math" w:hAnsi="Cambria Math"/>
            <w:i/>
            <w:sz w:val="28"/>
            <w:szCs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</m:t>
        </m:r>
        <m:r>
          <w:rPr>
            <w:rFonts w:ascii="Cambria Math" w:hAnsi="Cambria Math"/>
            <w:i/>
            <w:sz w:val="28"/>
            <w:szCs w:val="28"/>
          </w:rPr>
          <m:t xml:space="preserve">g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{гос; опер; рез; экол}</m:t>
        </m:r>
      </m:oMath>
      <w:r>
        <w:rPr>
          <w:rFonts w:ascii="Times New Roman" w:hAnsi="Times New Roman" w:cs="Times New Roman" w:eastAsia="Times New Roman"/>
          <w:sz w:val="28"/>
        </w:rPr>
        <w:tab/>
        <w:t>(2.19)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Параметрически базовая калибровка для Фазы I реализации (Cинд ∈ [0,03; 0,05]) задаётся в таблице 2.3.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2.3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Базовое распределение симбиотического дивиденда по группам получателей (Фаза I, SD ≈ 250 млн руб./год)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0"/>
        <w:gridCol w:w="1083"/>
        <w:gridCol w:w="1349"/>
        <w:gridCol w:w="4632"/>
      </w:tblGrid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Группа получателей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γᵢ (доля)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SD базов., млн руб./год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Экономическое обоснование</w:t>
            </w:r>
          </w:p>
        </w:tc>
      </w:tr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Государство (федеральный / региональный бюджет)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γ_гос = 0,30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75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Компенсация капитальных вложений (929 млн руб. на ЭПП), стимул территориального развития; убывает по мере роста Cинд — возврат «взноса» государства</w:t>
            </w:r>
          </w:p>
        </w:tc>
      </w:tr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Оператор ЭКОПЛАТФОРМЫ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γ_опер = 0,25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62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Покрытие OPEX платформы, финансирование расширения IoT-инфраструктуры и AI-матчинга; обеспечивает NPV_гчп ≥ 0</w:t>
            </w:r>
          </w:p>
        </w:tc>
      </w:tr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Резиденты ТОСЭР (пропорционально вкладу в ΔE)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γ_рез = 0,25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62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Стимул участия в симбиозе; устраняет дилемму «раскрытие потоков не бесплатно»</w:t>
            </w:r>
          </w:p>
        </w:tc>
      </w:tr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Фонд экологической ликвидации (накопленный ущерб)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γ_экол = 0,20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50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Целевой резерв на рекультивацию, обязательная статья для ТОСЭР с химическим профилем (ФЗ-219)</w:t>
            </w:r>
          </w:p>
        </w:tc>
      </w:tr>
      <w:tr>
        <w:tc>
          <w:tcPr>
            <w:tcW w:type="dxa" w:w="229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108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Σ = 1,00</w:t>
            </w:r>
          </w:p>
        </w:tc>
        <w:tc>
          <w:tcPr>
            <w:tcW w:type="dxa" w:w="13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250</w:t>
            </w:r>
          </w:p>
        </w:tc>
        <w:tc>
          <w:tcPr>
            <w:tcW w:type="dxa" w:w="463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разработка. Расчёт SD основан на консервативном сценарии Cинд = 10%, k = 5 (раздел 2.5).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Значения γᵢ в таблице 2.3 имеют явное экономическое обоснование. Реализация угроз провала координации в ТОСЭР может приводить к инцидентам, последствия которых выражаются в прямых финансовых потерях государства (невозврат CAPEX), снижении непрерывности деятельности платформы и репутационном ущербе для территории. Именно это обстоятельство делает явную спецификацию γ-структуры необходимым условием устойчивости ГЧП.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2.7.3. Переменная доля государства: механизм фазовой эволюции ГЧП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Ключевым нетривиальным результатом модели является нелинейная зависимость γ_гос от уровня связности экосистемы. В отличие от стандартных ГЧП-соглашений с фиксированной долей государственного участия, предлагаемая конструкция вводит убывающую долю государства по мере роста φ(Cинд):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гос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инд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гос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гос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гос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φ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инд</m:t>
                    </m:r>
                  </m:sub>
                </m:sSub>
              </m:e>
            </m:d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(2.20)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γ⁰_гос — доля государства в Фазе I (высокий риск, государство выступает якорным инвестором; γ⁰_гос = 0,40); γ¹_гос — долгосрочная доля государства в зрелой экосистеме (Фаза III; γ¹_гос = 0,15); φ(Cинд) ∈ [0; 1]. При Cинд → 0 имеем γ_гос → 0,40; при Cинд → 1 — γ_гос → 0,15.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Экономическая логика формулы (2.20) состоит в следующем. На начальных этапах внедрения средств защиты инфраструктуры даже относительно небольшие инвестиции приводят к существенному снижению остаточного риска провала координации — именно тогда государство несёт повышенный риск и получает повышенную долю дивиденда как компенсацию. По мере роста объёма вложений и роста Cинд эффект от каждой дополнительной меры государственного участия резко уменьшается: платформа приобретает коммерческую самодостаточность, и дальнейшие затраты формально увеличивают уровень государственного участия, но не приводят к соразмерному снижению ожидаемого ущерба для территории. Данный механизм обеспечивает автоматическую передачу стимулов оператору и резидентам по мере созревания экосистемы.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Фазовая эволюция ГЧП систематизирована в таблице 2.4.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2.4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Фазовая эволюция модели ГЧП в зависимости от уровня синергетической плотности Cинд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2268"/>
        <w:gridCol w:w="2268"/>
        <w:gridCol w:w="2015"/>
        <w:gridCol w:w="2015"/>
      </w:tblGrid>
      <w:tr>
        <w:tc>
          <w:tcPr>
            <w:tcW w:type="dxa" w:w="950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Фаза / Cинд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 государства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 оператора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 γ_гос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Ключевой риск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Фаза I: Cинд &lt; 5%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Капитальное финансирование (CAPEX), нормативная база симбиотических контрактов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Платформа-координатор: IoT-мониторинг, AI-матчинг, верификация ΔE(t)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γ⁰_гос = 0,40 (возврат CAPEX)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Провал координации: Cинд не растёт, SD ≈ 0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Фаза II: 5–15%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Субсидирование OPEX платформы, льготы по НВОС участникам симбиоза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Развитие AI-алгоритмов, цифровых двойников «Азота» и ГРЭС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γ¹_гос = 0,25 (плавный переход)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Неполнота контрактов на вторсырьё; торг по α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Фаза III: ≥ 15%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Надзор, стандартизация, тиражирование модели в СКФО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Коммерчески самодостаточный оператор (NPV_гчп ≥ 0)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γ_гос → 0,15 (долгосрочная рента)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Монополизация оператором рынка вторсырья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 на основе [1, 6, 9, 14].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2.7.4. Критерий жизнеспособности оператора: условие NPV_гчп ≥ 0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Участие оператора ЭКОПЛАТФОРМЫ в ГЧП является добровольным и экономически рациональным лишь при выполнении условия неотрицательной чистой приведённой стоимости его операционного потока: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NPV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гчп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t=1</m:t>
            </m:r>
          </m:sub>
          <m:sup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p>
          <m:e>
            <m:f>
              <m:num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опер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·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опер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e>
                </m:d>
              </m:num>
              <m:den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1 + 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нач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≥ 0</m:t>
        </m:r>
      </m:oMath>
      <w:r>
        <w:rPr>
          <w:rFonts w:ascii="Times New Roman" w:hAnsi="Times New Roman" w:cs="Times New Roman" w:eastAsia="Times New Roman"/>
          <w:sz w:val="28"/>
        </w:rPr>
        <w:tab/>
        <w:t>(2.21)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C_опер(t) — совокупные операционные затраты платформы (IoT-инфраструктура, персонал AI-матчинга, верификация ΔE); K_нач — начальные инвестиции оператора; r — ставка дисконтирования (принята r = 0,10). Условие NPV_гчп ≥ 0 задаёт нижнюю границу γ_опер: типичная управленческая дилемма инициатора платформы — снижение γ_опер возможно (для увеличения доли резидентов), но стоит денег в виде ухудшения NPV.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Критерий возврата государственных вложений формулируется как: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ROI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гос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гос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e>
            </m:d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гос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≥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ROI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min</m:t>
            </m:r>
          </m:sub>
        </m:sSub>
      </m:oMath>
      <w:r>
        <w:rPr>
          <w:rFonts w:ascii="Times New Roman" w:hAnsi="Times New Roman" w:cs="Times New Roman" w:eastAsia="Times New Roman"/>
          <w:sz w:val="28"/>
        </w:rPr>
        <w:tab/>
        <w:t>(2.22)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K_гос — совокупный объём государственного финансирования (929 млн руб. CAPEX на ЭПП плюс субсидии на OPEX платформы в Фазе I); D_гос(T) = Σ_t γ_гос · SD(t) — накопленный дивиденд государства за горизонт T = 10 лет; ROI_min — не ниже доходности ОФЗ аналогичного срока. Для консервативного сценария (SD = 250 млн руб./год, γ_гос = 0,30, T = 10 лет) ROI_гос ≈ 0,81, что обеспечивает возврат государственного участия без привлечения дополнительных бюджетных гарантий [9].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2.7.5. Стимул резидентов: преодоление дилеммы раскрытия данных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Центральная институциональная проблема промышленного симбиоза состоит в том, что участие в нём требует от резидента раскрытия производственных данных — объёмов отходов, избыточного тепла, химических потоков, — которые могут представлять коммерческую тайну. Утрата исключительного контроля над информацией ведёт к перераспределению доходов и снижению конкурентных преимуществ в отношении резидентов, не участвующих в симбиозе. Данная структура воспроизводит дилемму заключённого: каждый резидент выигрывает при коллективном участии, однако имеет индивидуальный стимул к отклонению [6].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Предложенная γ-структура разрешает эту дилемму через механизм прогрессивного бонуса при превышении порога C*: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r>
          <w:rPr>
            <w:rFonts w:ascii="Cambria Math" w:hAnsi="Cambria Math"/>
            <w:i/>
            <w:sz w:val="28"/>
            <w:szCs w:val="28"/>
          </w:rPr>
          <m:t xml:space="preserve">Δ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β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max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0;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инд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*</m:t>
                </m:r>
              </m:sup>
            </m:sSup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(2.23)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β — коэффициент чувствительности (рекомендуемое значение β = 0,5, обеспечивающее прирост Δγ_рез ≤ 0,10 при Cинд ∈ [C*; 0,30]); C* ≈ 0,15 — пороговое значение перехода в устойчивый экосистемный режим (раздел 2.3). Механизм формулы (2.23) воспроизводит логику «лучше быть в клубе, чем вне его»: по мере роста Cинд сверх C* резиденты получают возрастающую долю расширяющегося дивиденда — двойной стимул к участию. Граница целесообразных инвестиций резидента в раскрытие данных определяется сравнением ожидаемого дивиденда D_рез(t) с транзакционными издержками участия (≈ 0,3–0,5 млн руб./год); при SD ≈ 250 млн руб./год и γ_рез = 0,25 дивиденд на резидента составляет ≈ 1,0 млн руб./год [5, 9].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2.7.6. Фонд экологической ликвидации: обязательный элемент ГЧП в химическом кластере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 промышленного профиля Невинномысска — наличие крупнотоннажного химического производства («Невинномысский Азот», ГК «Арнест»), объектов теплоэнергетики (Невинномысская ГРЭС) и многолетней практики полигонного захоронения отходов — формирует риск накопленного экологического ущерба, не покрываемого текущими платежами по ФЗ-219. Включение γ_экол = 0,20 в γ-структуру ГЧП является не произвольным, а обязательным: без целевого резерва ЭКОПЛАТФОРМА не может претендовать на статус «зелёного» оператора, необходимый для привлечения ESG-финансирования и получения льгот по углеродному регулированию [11б, 12].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Совокупность условий и факторов, создающих возможность нарушения устойчивости экосистемы при отсутствии фонда ликвидации, выражается в следующем: любой экологический инцидент, ответственность за который не распределена между участниками, ведёт к административному приостановлению деятельности ТОСЭР — к обнулению SD(t). Включение γ_экол в модель является, таким образом, инструментом защиты не экологии как таковой, а непрерывности самого симбиотического дивиденда.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2.7.7. Верификация модели ГЧП по четырём критериям научной строгости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методологическим требованиям раздела 2.1, все утверждения модели подлежат проверке по четырём критериям: фальсифицируемость (К. Поппер), воспроизводимость, строгость и объяснительная сила [7]. Результаты верификации систематизированы в таблице 2.5.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2.5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Верификация модели ГЧП по четырём критериям научной обоснованности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34"/>
        <w:gridCol w:w="2292"/>
        <w:gridCol w:w="2160"/>
      </w:tblGrid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2634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Проверяемое утверждение</w:t>
            </w:r>
          </w:p>
        </w:tc>
        <w:tc>
          <w:tcPr>
            <w:tcW w:type="dxa" w:w="2292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проверки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Нулевая гипотеза H₀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Фальсифицируемость (Поппер)</w:t>
            </w:r>
          </w:p>
        </w:tc>
        <w:tc>
          <w:tcPr>
            <w:tcW w:type="dxa" w:w="2634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Существует γ_гос* &lt; γ_гос, при котором NPV_гчп &lt; 0 (модель разваливается)</w:t>
            </w:r>
          </w:p>
        </w:tc>
        <w:tc>
          <w:tcPr>
            <w:tcW w:type="dxa" w:w="229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Параметрическая чувствительность NPV_гчп к γ_гос при фиксированном SD(t)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H₀⁴: NPV_гчп ≥ 0 при любом γ_гос — опровергается при γ_гос &lt; 0,18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Воспроизводимость</w:t>
            </w:r>
          </w:p>
        </w:tc>
        <w:tc>
          <w:tcPr>
            <w:tcW w:type="dxa" w:w="2634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Модель переносится на другие ТОСЭР при замене числовых параметров (K_гос, Eᵢ, Cинд)</w:t>
            </w:r>
          </w:p>
        </w:tc>
        <w:tc>
          <w:tcPr>
            <w:tcW w:type="dxa" w:w="229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 на выборке ТОСЭР СКФО: Михайловск, Зеленокумск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H₀⁵: SD(t) ≤ 0 при γ-параметрах Фазы I на сопоставимых ТОСЭР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Строгость</w:t>
            </w:r>
          </w:p>
        </w:tc>
        <w:tc>
          <w:tcPr>
            <w:tcW w:type="dxa" w:w="2634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γ_гос определяется явно; все допущения (α, Cинд(0), T, r) задекларированы</w:t>
            </w:r>
          </w:p>
        </w:tc>
        <w:tc>
          <w:tcPr>
            <w:tcW w:type="dxa" w:w="229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на нарушение ограничения Σγᵢ = 1 при эндогенном пересмотре 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H₀⁶: ограничение Σγᵢ = 1 выполняется тождественно при любом α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Объяснительная сила</w:t>
            </w:r>
          </w:p>
        </w:tc>
        <w:tc>
          <w:tcPr>
            <w:tcW w:type="dxa" w:w="2634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Модель объясняет провалы ГЧП в российских ОЭЗ через механизм γ_гос &gt; γ_опер</w:t>
            </w:r>
          </w:p>
        </w:tc>
        <w:tc>
          <w:tcPr>
            <w:tcW w:type="dxa" w:w="229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Сравнение γ-структур ОЭЗ «Алабуга», «Тольятти» с предложенной моделью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H₀⁷: провалы ОЭЗ не связаны с соотношением γ-долей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 на основе [1, 7, 9, 14].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Особого внимания заслуживает объяснительная сила модели применительно к провалам российских ОЭЗ. Предложенная γ-структура объясняет их через единый механизм: в большинстве отечественных ОЭЗ государство устанавливало γ_гос ≥ 0,50 без механизма его снижения при росте зрелости экосистемы — что лишало оператора коммерческих стимулов и удерживало резидентов вне симбиоза. Международные эталоны (Kalundborg, TEDA) реализовывали убывающий γ_гос через постепенное сворачивание субсидий — интуитивно воспроизводя формулу (2.20) без её явной спецификации [1, 5]. Данное наблюдение подтверждает содержательную обоснованность предложенной конструкции.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Необходимо явно декларировать допущения модели. Во-первых, γ_гос рассчитывается при фиксированном SD(t): в реальности изменение γ_гос влияет на стимулы резидентов, что меняет Cинд и SD(t) — то есть присутствует эндогенность, требующая динамической игровой модели. Во-вторых, допущение r = 0,10 (const) устраняет процентный риск. В-третьих, фиксированность α является стандартным ограничением первого поколения моделей промышленного симбиоза [8]. Нарушение любого из этих допущений изменяет числовые значения γᵢ, не затрагивая структурную форму модели и качественный вывод об убывающем γ_гос.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2.7.8. Выводы по разделу 2.7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Первое. Сформулировано базовое уравнение распределения симбиотического дивиденда SD(t) между четырьмя группами получателей (формулы 2.18–2.19). Предложенная калибровка (γ_гос = 0,30; γ_опер = 0,25; γ_рез = 0,25; γ_экол = 0,20) при SD = 250 млн руб./год обеспечивает ROI_гос ≈ 0,81 за 10-летний горизонт.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Второе. Введён механизм переменной доли государства γ_гос(Cинд) (формула 2.20), убывающей по мере роста синергетической реализуемости. Данный механизм отличает предложенную модель от статичных ГЧП-соглашений и обеспечивает автоматическую передачу стимулов оператору и резидентам.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Третье. Сформулировано условие жизнеспособности оператора (NPV_гчп ≥ 0, формула 2.21) и механизм прогрессивного стимула резидентов (Δγ_рез, формула 2.23), преодолевающий дилемму раскрытия производственных данных и устанавливающий границу целесообразных инвестиций в участие.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Четвёртое. Модель верифицирована по четырём критериям научной обоснованности; сформулированы нулевые гипотезы H₀⁴–H₀⁷, допускающие эмпирическую проверку на данных российских ТОСЭР и ОЭЗ. Чёткое разграничение между структурно устойчивыми выводами и параметрически чувствительными числовыми значениями позволяет выстроить логически непротиворечивую и методологически устойчивую модель анализа, исключающую подмену уровней доказательства.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Библиографические ссылки к разделу 2.7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[1] Neves A., Godina R., Azevedo S. G., Matias J. C. O. A comprehensive review of industrial symbiosis // Journal of Cleaner Production. — 2020. — Vol. 247. — Art. 119113. — DOI: 10.1016/j.jclepro.2019.119113.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[5] Lippi G., Evola R.S., Vesce E. Industrial symbiosis patterns in eco-industrial parks // Journal of Cleaner Production. — 2025. — DOI: 10.1016/j.jclepro.2025.146807.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[6] Hossain M., Al Aziz R., Karmaker C.L. et al. Exploring the barriers to implement industrial symbiosis // Heliyon. — 2024. — Vol. 10, No. 13. — Art. e34156. — DOI: 10.1016/j.heliyon.2024.e34156.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[7] Popper K.R. The Logic of Scientific Discovery. — New York: Routledge, 2002. — 480 p.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[8] Bocken N., Ritala P. Six ways to build circular business models // Journal of Business Strategy. — 2021. — Vol. 43, No. 3. — P. 184–192. — DOI: 10.1108/JBS-11-2020-0258.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[9] Информационно-инвестиционный портал Невинномысска. В 2024 году объём инвестиций в Невинномысске превысил 34 миллиарда рублей. — 2025. — URL: https://invest26.ru/news/11902.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[11б] Министерство природных ресурсов и охраны окружающей среды Ставропольского края. Доклад о состоянии окружающей среды в Ставропольском крае в 2023 году. — Ставрополь, 2024. — 141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[12] Nugroho Y.A., Asih A.M.S., Sopha B.M. Development of urban-industrial symbiosis to support sustainability // Discover Sustainability. — 2025. — Vol. 6. — Art. 196.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[14] World Bank, UNIDO, GIZ. An International Framework for Eco-Industrial Parks, Version 2.0. — Washington, D.C.: World Bank Group, 2021.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  <cp:category/>
  <cp:contentStatus/>
  <dc:identifier/>
  <dc:language/>
  <cp:version/>
  <cp:lastPrinted>2026-10-11T00:00:00Z</cp:lastPrinted>
</cp:coreProperties>
</file>