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360" w:lineRule="auto"/>
        <w:ind w:firstLine="709" w:left="0"/>
        <w:jc w:val="both"/>
      </w:pPr>
      <w:r>
        <w:rPr>
          <w:rFonts w:ascii="Times New Roman" w:hAnsi="Times New Roman" w:cs="Times New Roman" w:eastAsia="Times New Roman"/>
          <w:b/>
          <w:i w:val="0"/>
          <w:sz w:val="28"/>
        </w:rPr>
        <w:t>2.8. Механизм формирования трансфертных цен ресурсных потоков промышленного симбиоза: таксономия методов и калибровка p_ij(k) для экосистемы Невинномысска</w:t>
      </w:r>
    </w:p>
    <w:p>
      <w:pPr>
        <w:keepNext/>
        <w:spacing w:before="0" w:after="0" w:line="360" w:lineRule="auto"/>
        <w:ind w:firstLine="709" w:left="0"/>
        <w:jc w:val="both"/>
      </w:pPr>
      <w:r>
        <w:rPr>
          <w:rFonts w:ascii="Times New Roman" w:hAnsi="Times New Roman" w:cs="Times New Roman" w:eastAsia="Times New Roman"/>
          <w:b/>
          <w:i w:val="0"/>
          <w:sz w:val="28"/>
        </w:rPr>
        <w:t>2.8.1. Постановка задачи: ценовая переменная как методологически незакрытый узел</w:t>
      </w:r>
    </w:p>
    <w:p>
      <w:pPr>
        <w:spacing w:before="0" w:after="0" w:line="360" w:lineRule="auto"/>
        <w:ind w:firstLine="709" w:left="0"/>
        <w:jc w:val="both"/>
      </w:pPr>
      <w:r>
        <w:rPr>
          <w:rFonts w:ascii="Times New Roman" w:hAnsi="Times New Roman" w:cs="Times New Roman" w:eastAsia="Times New Roman"/>
          <w:b w:val="0"/>
          <w:i w:val="0"/>
          <w:sz w:val="28"/>
        </w:rPr>
        <w:t>В разделе 2.3 настоящей диссертации введена стоимостная характеристика ресурсного потока между участниками экосистемы:</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
          <m:e>
            <m:r>
              <w:rPr>
                <w:rFonts w:ascii="Cambria Math" w:hAnsi="Cambria Math"/>
                <w:i/>
                <w:sz w:val="28"/>
                <w:szCs w:val="28"/>
              </w:rPr>
              <m:t xml:space="preserve">F</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oMath>
      <w:r>
        <w:rPr>
          <w:rFonts w:ascii="Times New Roman" w:hAnsi="Times New Roman" w:cs="Times New Roman" w:eastAsia="Times New Roman"/>
          <w:sz w:val="28"/>
        </w:rPr>
        <w:tab/>
        <w:t>(2.24)</w:t>
      </w:r>
    </w:p>
    <w:p>
      <w:pPr>
        <w:spacing w:before="0" w:after="0" w:line="360" w:lineRule="auto"/>
        <w:ind w:firstLine="709" w:left="0"/>
        <w:jc w:val="both"/>
      </w:pPr>
      <w:r>
        <w:rPr>
          <w:rFonts w:ascii="Times New Roman" w:hAnsi="Times New Roman" w:cs="Times New Roman" w:eastAsia="Times New Roman"/>
          <w:b w:val="0"/>
          <w:i w:val="0"/>
          <w:sz w:val="28"/>
        </w:rPr>
        <w:t>где q_ij(k) — физический объём ресурса типа k между участниками i и j; p_ij(k) — цена или предотвращённые затраты в расчёте на единицу ресурса. При этом в разделах 2.4–2.5 переменная p_ij(k) фигурирует в числовых расчётах верифицированной экономии ΔE(t) как данность, опирающаяся на открытые данные и стандарт LCA (ISO 14044). Данное допущение является методологически уязвимым: без явного описания механизма формирования p_ij(k) все числовые результаты модели — включая консервативную оценку ΔE = 250 млн руб./год — зависят от непроверяемых ценовых предположений.</w:t>
      </w:r>
    </w:p>
    <w:p>
      <w:pPr>
        <w:spacing w:before="0" w:after="0" w:line="360" w:lineRule="auto"/>
        <w:ind w:firstLine="709" w:left="0"/>
        <w:jc w:val="both"/>
      </w:pPr>
      <w:r>
        <w:rPr>
          <w:rFonts w:ascii="Times New Roman" w:hAnsi="Times New Roman" w:cs="Times New Roman" w:eastAsia="Times New Roman"/>
          <w:b w:val="0"/>
          <w:i w:val="0"/>
          <w:sz w:val="28"/>
        </w:rPr>
        <w:t>Проблема обостряется спецификой ресурсов промышленного симбиоза. В отличие от стандартных товарных рынков с наблюдаемой равновесной ценой, потоки тепла от ГРЭС к резидентам ТОСЭР, CO₂ от «Невинномысского Азота» к ГК «Арнест», вторичного ПЭТ от ЭПП к переработчикам — каждый из них имеет принципиально разную рыночную структуру. Для тепла рынок отсутствует в классическом смысле; для CO₂ он существует, но в форме регуляторного механизма НВОС; для вторичного ПЭТ — в форме биржевых котировок с региональным дисконтом. Применение единого ценового стандарта к гетерогенным потокам приводит к методологической ошибке, выражающейся в подмене наблюдаемой цены нормативной.</w:t>
      </w:r>
    </w:p>
    <w:p>
      <w:pPr>
        <w:spacing w:before="0" w:after="0" w:line="360" w:lineRule="auto"/>
        <w:ind w:firstLine="709" w:left="0"/>
        <w:jc w:val="both"/>
      </w:pPr>
      <w:r>
        <w:rPr>
          <w:rFonts w:ascii="Times New Roman" w:hAnsi="Times New Roman" w:cs="Times New Roman" w:eastAsia="Times New Roman"/>
          <w:b w:val="0"/>
          <w:i w:val="0"/>
          <w:sz w:val="28"/>
        </w:rPr>
        <w:t>На современном этапе развития теории промышленного симбиоза и экономической теории межфирменного ценообразования обнаруживается устойчивое противоречие: в мировой литературе присутствует признание существования оптимума трансфертных цен в экопромышленных парках, однако формализованный алгоритм выбора метода ценообразования в зависимости от наблюдаемых рыночных условий в известных автору работах отсутствует [1, 2, 5]. Устранение данной лакуны составляет научное содержание настоящего раздела.</w:t>
      </w:r>
    </w:p>
    <w:p>
      <w:pPr>
        <w:keepNext/>
        <w:spacing w:before="0" w:after="0" w:line="360" w:lineRule="auto"/>
        <w:ind w:firstLine="709" w:left="0"/>
        <w:jc w:val="both"/>
      </w:pPr>
      <w:r>
        <w:rPr>
          <w:rFonts w:ascii="Times New Roman" w:hAnsi="Times New Roman" w:cs="Times New Roman" w:eastAsia="Times New Roman"/>
          <w:b/>
          <w:i w:val="0"/>
          <w:sz w:val="28"/>
        </w:rPr>
        <w:t>2.8.2. Теоретические основания: трансфертное ценообразование в условиях отсутствия рынка</w:t>
      </w:r>
    </w:p>
    <w:p>
      <w:pPr>
        <w:spacing w:before="0" w:after="0" w:line="360" w:lineRule="auto"/>
        <w:ind w:firstLine="709" w:left="0"/>
        <w:jc w:val="both"/>
      </w:pPr>
      <w:r>
        <w:rPr>
          <w:rFonts w:ascii="Times New Roman" w:hAnsi="Times New Roman" w:cs="Times New Roman" w:eastAsia="Times New Roman"/>
          <w:b w:val="0"/>
          <w:i w:val="0"/>
          <w:sz w:val="28"/>
        </w:rPr>
        <w:t>Трансфертное ценообразование (transfer pricing) исследуется в экономической литературе преимущественно применительно к внутрифирменным сделкам в транснациональных корпорациях — в целях минимизации налоговых обязательств [3]. Применение данного аппарата к межфирменному симбиотическому обмену является авторским концептуальным расширением, обоснованным следующими соображениями. Во-первых, в рамках ЭКОПЛАТФОРМЫ участники сохраняют юридическую самостоятельность, однако операционно связаны через единый цифровой оператор — что создаёт институциональную близость к внутрифирменным трансакциям. Во-вторых, отсутствие рыночной котировки у большинства симбиотических ресурсов делает стандарт «рыночной цены» (arm's length principle, ОЭСР) неприменимым напрямую [3, 6]. В-третьих, регуляторная база Российской Федерации (статьи 105.3–105.16 НК РФ) предусматривает методы трансфертного ценообразования, допускающие применение к нетипичным сделкам — что обеспечивает правовую основу для предлагаемой таксономии.</w:t>
      </w:r>
    </w:p>
    <w:p>
      <w:pPr>
        <w:spacing w:before="0" w:after="0" w:line="360" w:lineRule="auto"/>
        <w:ind w:firstLine="709" w:left="0"/>
        <w:jc w:val="both"/>
      </w:pPr>
      <w:r>
        <w:rPr>
          <w:rFonts w:ascii="Times New Roman" w:hAnsi="Times New Roman" w:cs="Times New Roman" w:eastAsia="Times New Roman"/>
          <w:b w:val="0"/>
          <w:i w:val="0"/>
          <w:sz w:val="28"/>
        </w:rPr>
        <w:t>В теории трансфертного ценообразования различают три базовых метода, каждый из которых задаёт специфическую формулу p_ij(k). В условиях промышленного симбиоза, где ресурс является побочным продуктом основного производства, ни один из стандартных методов не применим без адаптации. Ниже формализованы четыре метода с авторской модификацией для симбиотических потоков, а также введён пятый — гибридный метод, — закрывающий случай частичного рынка.</w:t>
      </w:r>
    </w:p>
    <w:p>
      <w:pPr>
        <w:spacing w:before="0" w:after="0" w:line="360" w:lineRule="auto"/>
        <w:ind w:firstLine="709" w:left="0"/>
        <w:jc w:val="both"/>
      </w:pPr>
      <w:r>
        <w:rPr>
          <w:rFonts w:ascii="Times New Roman" w:hAnsi="Times New Roman" w:cs="Times New Roman" w:eastAsia="Times New Roman"/>
          <w:b w:val="0"/>
          <w:i w:val="0"/>
          <w:sz w:val="28"/>
        </w:rPr>
        <w:t>Метод «затраты плюс» (cost-plus, CP) устанавливает трансфертную цену на основе верифицированной себестоимости передачи ресурса с добавлением согласованной надбавки:</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CP</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m</m:t>
                </m:r>
              </m:e>
              <m:sub>
                <m:r>
                  <w:rPr>
                    <w:rFonts w:ascii="Cambria Math" w:hAnsi="Cambria Math"/>
                    <w:i/>
                    <w:sz w:val="28"/>
                    <w:szCs w:val="28"/>
                  </w:rPr>
                  <m:t xml:space="preserve">ij</m:t>
                </m:r>
              </m:sub>
            </m:sSub>
          </m:e>
        </m:d>
      </m:oMath>
      <w:r>
        <w:rPr>
          <w:rFonts w:ascii="Times New Roman" w:hAnsi="Times New Roman" w:cs="Times New Roman" w:eastAsia="Times New Roman"/>
          <w:sz w:val="28"/>
        </w:rPr>
        <w:tab/>
        <w:t>(2.25)</w:t>
      </w:r>
    </w:p>
    <w:p>
      <w:pPr>
        <w:spacing w:before="0" w:after="0" w:line="360" w:lineRule="auto"/>
        <w:ind w:firstLine="709" w:left="0"/>
        <w:jc w:val="both"/>
      </w:pPr>
      <w:r>
        <w:rPr>
          <w:rFonts w:ascii="Times New Roman" w:hAnsi="Times New Roman" w:cs="Times New Roman" w:eastAsia="Times New Roman"/>
          <w:b w:val="0"/>
          <w:i w:val="0"/>
          <w:sz w:val="28"/>
        </w:rPr>
        <w:t>где C_ij(k) — прямые переменные затраты на подготовку и транспортировку единицы ресурса k от i к j (например, затраты на теплотрассу от ГРЭС к точке подключения резидента); m_ij ∈ [0; 0,15] — согласованная рентабельность трансакции, компенсирующая постоянные затраты поставщика. При m_ij = 0 метод вырождается в предельное ценообразование (marginal cost pricing), минимизирующее барьеры вхождения в симбиоз, однако не покрывающее фиксированных издержек ГРЭС на строительство тепловой инфраструктуры.</w:t>
      </w:r>
    </w:p>
    <w:p>
      <w:pPr>
        <w:spacing w:before="0" w:after="0" w:line="360" w:lineRule="auto"/>
        <w:ind w:firstLine="709" w:left="0"/>
        <w:jc w:val="both"/>
      </w:pPr>
      <w:r>
        <w:rPr>
          <w:rFonts w:ascii="Times New Roman" w:hAnsi="Times New Roman" w:cs="Times New Roman" w:eastAsia="Times New Roman"/>
          <w:b w:val="0"/>
          <w:i w:val="0"/>
          <w:sz w:val="28"/>
        </w:rPr>
        <w:t>Метод рыночной цены (market-based, MB) применим при наличии наблюдаемого рынка-аналога или регуляторного тарифа:</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MB</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ref</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δ</m:t>
            </m:r>
          </m:e>
          <m:sub>
            <m:r>
              <m:rPr>
                <m:sty m:val="p"/>
              </m:rPr>
              <w:rPr>
                <w:rFonts w:ascii="Cambria Math" w:hAnsi="Cambria Math"/>
                <w:i w:val="0"/>
                <w:sz w:val="28"/>
                <w:szCs w:val="28"/>
              </w:rPr>
              <m:t xml:space="preserve">trans</m:t>
            </m:r>
          </m:sub>
        </m:sSub>
        <m:d>
          <m:dPr>
            <m:begChr m:val="("/>
            <m:endChr m:val=")"/>
          </m:dPr>
          <m:e>
            <m:r>
              <w:rPr>
                <w:rFonts w:ascii="Cambria Math" w:hAnsi="Cambria Math"/>
                <w:i/>
                <w:sz w:val="28"/>
                <w:szCs w:val="28"/>
              </w:rPr>
              <m:t xml:space="preserve">k</m:t>
            </m:r>
          </m:e>
        </m:d>
      </m:oMath>
      <w:r>
        <w:rPr>
          <w:rFonts w:ascii="Times New Roman" w:hAnsi="Times New Roman" w:cs="Times New Roman" w:eastAsia="Times New Roman"/>
          <w:sz w:val="28"/>
        </w:rPr>
        <w:tab/>
        <w:t>(2.26)</w:t>
      </w:r>
    </w:p>
    <w:p>
      <w:pPr>
        <w:spacing w:before="0" w:after="0" w:line="360" w:lineRule="auto"/>
        <w:ind w:firstLine="709" w:left="0"/>
        <w:jc w:val="both"/>
      </w:pPr>
      <w:r>
        <w:rPr>
          <w:rFonts w:ascii="Times New Roman" w:hAnsi="Times New Roman" w:cs="Times New Roman" w:eastAsia="Times New Roman"/>
          <w:b w:val="0"/>
          <w:i w:val="0"/>
          <w:sz w:val="28"/>
        </w:rPr>
        <w:t>где P_ref(k) — котировка ресурса k на ближайшем ликвидном рынке (биржевая цена вторичного ПЭТ, тариф ФАС на тепловую энергию для сопоставимых регионов); δ_trans(k) — дисконт за трансакционные издержки симбиоза (нестандартный контракт, риск ненадёжности поставки, затраты на верификацию ΔE). Метод обеспечивает наивысшую верифицируемость, однако применим лишь для вторичного сырья с биржевой котировкой и потоков, подпадающих под регуляторное тарифообразование.</w:t>
      </w:r>
    </w:p>
    <w:p>
      <w:pPr>
        <w:spacing w:before="0" w:after="0" w:line="360" w:lineRule="auto"/>
        <w:ind w:firstLine="709" w:left="0"/>
        <w:jc w:val="both"/>
      </w:pPr>
      <w:r>
        <w:rPr>
          <w:rFonts w:ascii="Times New Roman" w:hAnsi="Times New Roman" w:cs="Times New Roman" w:eastAsia="Times New Roman"/>
          <w:b w:val="0"/>
          <w:i w:val="0"/>
          <w:sz w:val="28"/>
        </w:rPr>
        <w:t>Метод переговорной цены (negotiated price, NP) отражает двустороннюю зону торга при асимметрии информации:</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
          <m:e>
            <m:r>
              <w:rPr>
                <w:rFonts w:ascii="Cambria Math" w:hAnsi="Cambria Math"/>
                <w:i/>
                <w:sz w:val="28"/>
                <w:szCs w:val="28"/>
              </w:rPr>
              <m:t xml:space="preserve">C</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NP</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ref</m:t>
            </m:r>
          </m:sub>
        </m:sSub>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δ</m:t>
            </m:r>
          </m:e>
          <m:sub>
            <m:r>
              <m:rPr>
                <m:sty m:val="p"/>
              </m:rPr>
              <w:rPr>
                <w:rFonts w:ascii="Cambria Math" w:hAnsi="Cambria Math"/>
                <w:i w:val="0"/>
                <w:sz w:val="28"/>
                <w:szCs w:val="28"/>
              </w:rPr>
              <m:t xml:space="preserve">trans</m:t>
            </m:r>
          </m:sub>
        </m:sSub>
        <m:d>
          <m:dPr>
            <m:begChr m:val="("/>
            <m:endChr m:val=")"/>
          </m:dPr>
          <m:e>
            <m:r>
              <w:rPr>
                <w:rFonts w:ascii="Cambria Math" w:hAnsi="Cambria Math"/>
                <w:i/>
                <w:sz w:val="28"/>
                <w:szCs w:val="28"/>
              </w:rPr>
              <m:t xml:space="preserve">k</m:t>
            </m:r>
          </m:e>
        </m:d>
      </m:oMath>
      <w:r>
        <w:rPr>
          <w:rFonts w:ascii="Times New Roman" w:hAnsi="Times New Roman" w:cs="Times New Roman" w:eastAsia="Times New Roman"/>
          <w:sz w:val="28"/>
        </w:rPr>
        <w:tab/>
        <w:t>(2.27)</w:t>
      </w:r>
    </w:p>
    <w:p>
      <w:pPr>
        <w:spacing w:before="0" w:after="0" w:line="360" w:lineRule="auto"/>
        <w:ind w:firstLine="709" w:left="0"/>
        <w:jc w:val="both"/>
      </w:pPr>
      <w:r>
        <w:rPr>
          <w:rFonts w:ascii="Times New Roman" w:hAnsi="Times New Roman" w:cs="Times New Roman" w:eastAsia="Times New Roman"/>
          <w:b w:val="0"/>
          <w:i w:val="0"/>
          <w:sz w:val="28"/>
        </w:rPr>
        <w:t>где нижняя граница — минимально приемлемая цена для поставщика (покрытие переменных затрат), верхняя — максимально приемлемая для получателя (альтернативная рыночная стоимость). Фактическое значение p_ij определяется переговорной силой сторон, их временны́ми предпочтениями и степенью институционального доверия. Данный метод применим к уникальным потокам (CO₂ «Азота» → «Арнест») и требует нотариально заверенного протокола переговорной комиссии как источника верификации.</w:t>
      </w:r>
    </w:p>
    <w:p>
      <w:pPr>
        <w:spacing w:before="0" w:after="0" w:line="360" w:lineRule="auto"/>
        <w:ind w:firstLine="709" w:left="0"/>
        <w:jc w:val="both"/>
      </w:pPr>
      <w:r>
        <w:rPr>
          <w:rFonts w:ascii="Times New Roman" w:hAnsi="Times New Roman" w:cs="Times New Roman" w:eastAsia="Times New Roman"/>
          <w:b w:val="0"/>
          <w:i w:val="0"/>
          <w:sz w:val="28"/>
        </w:rPr>
        <w:t>LCA shadow price (SP) — метод «теневой цены» — применим при отсутствии как наблюдаемой рыночной цены, так и прямой себестоимости:</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SP</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λ</m:t>
            </m:r>
          </m:e>
          <m:sub>
            <m:r>
              <w:rPr>
                <w:rFonts w:ascii="Cambria Math" w:hAnsi="Cambria Math"/>
                <w:i/>
                <w:sz w:val="28"/>
                <w:szCs w:val="28"/>
              </w:rPr>
              <m:t xml:space="preserve">k</m:t>
            </m:r>
          </m:sub>
        </m:sSub>
        <m:r>
          <m:rPr>
            <m:sty m:val="p"/>
          </m:rPr>
          <w:rPr>
            <w:rFonts w:ascii="Cambria Math" w:hAnsi="Cambria Math"/>
            <w:i w:val="0"/>
            <w:sz w:val="28"/>
            <w:szCs w:val="28"/>
          </w:rPr>
          <m:t xml:space="preserve">·</m:t>
        </m:r>
        <m:sSub>
          <m:e>
            <m:r>
              <w:rPr>
                <w:rFonts w:ascii="Cambria Math" w:hAnsi="Cambria Math"/>
                <w:i/>
                <w:sz w:val="28"/>
                <w:szCs w:val="28"/>
              </w:rPr>
              <m:t xml:space="preserve">e</m:t>
            </m:r>
          </m:e>
          <m:sub>
            <m:r>
              <w:rPr>
                <w:rFonts w:ascii="Cambria Math" w:hAnsi="Cambria Math"/>
                <w:i/>
                <w:sz w:val="28"/>
                <w:szCs w:val="28"/>
              </w:rPr>
              <m:t xml:space="preserve">ij</m:t>
            </m:r>
          </m:sub>
        </m:sSub>
        <m:d>
          <m:dPr>
            <m:begChr m:val="("/>
            <m:endChr m:val=")"/>
          </m:dPr>
          <m:e>
            <m:r>
              <w:rPr>
                <w:rFonts w:ascii="Cambria Math" w:hAnsi="Cambria Math"/>
                <w:i/>
                <w:sz w:val="28"/>
                <w:szCs w:val="28"/>
              </w:rPr>
              <m:t xml:space="preserve">k</m:t>
            </m:r>
          </m:e>
        </m:d>
      </m:oMath>
      <w:r>
        <w:rPr>
          <w:rFonts w:ascii="Times New Roman" w:hAnsi="Times New Roman" w:cs="Times New Roman" w:eastAsia="Times New Roman"/>
          <w:sz w:val="28"/>
        </w:rPr>
        <w:tab/>
        <w:t>(2.28)</w:t>
      </w:r>
    </w:p>
    <w:p>
      <w:pPr>
        <w:spacing w:before="0" w:after="0" w:line="360" w:lineRule="auto"/>
        <w:ind w:firstLine="709" w:left="0"/>
        <w:jc w:val="both"/>
      </w:pPr>
      <w:r>
        <w:rPr>
          <w:rFonts w:ascii="Times New Roman" w:hAnsi="Times New Roman" w:cs="Times New Roman" w:eastAsia="Times New Roman"/>
          <w:b w:val="0"/>
          <w:i w:val="0"/>
          <w:sz w:val="28"/>
        </w:rPr>
        <w:t>где λ_k — регуляторно установленная ставка платы за негативное воздействие на окружающую среду по категории ресурса k (Постановление Правительства РФ № 255, ред. 2023: λ_IV = 663 руб./т для отходов IV класса опасности); e_ij(k) — удельный экологический эффект от замещения полигонного захоронения симбиотическим использованием (т CO₂-экв. или т отходов/ед. продукта). Метод применяется для расчёта предотвращённых экологических платежей как компонента ΔE(t). Уязвимость метода: λ_k задаётся регуляторно и может быть пересмотрена, что вносит нормативную неопределённость в долгосрочные расчёты.</w:t>
      </w:r>
    </w:p>
    <w:p>
      <w:pPr>
        <w:spacing w:before="0" w:after="0" w:line="360" w:lineRule="auto"/>
        <w:ind w:firstLine="709" w:left="0"/>
        <w:jc w:val="both"/>
      </w:pPr>
      <w:r>
        <w:rPr>
          <w:rFonts w:ascii="Times New Roman" w:hAnsi="Times New Roman" w:cs="Times New Roman" w:eastAsia="Times New Roman"/>
          <w:b w:val="0"/>
          <w:i w:val="0"/>
          <w:sz w:val="28"/>
        </w:rPr>
        <w:t>Гибридный метод HP (авторский) предназначен для потоков с частичным рынком-аналогом при известной себестоимости:</w:t>
      </w:r>
    </w:p>
    <w:p>
      <w:pPr>
        <w:tabs>
          <w:tab w:pos="4677" w:val="center"/>
          <w:tab w:pos="9354" w:val="right"/>
        </w:tabs>
        <w:spacing w:before="0" w:after="0" w:line="360" w:lineRule="auto"/>
        <w:ind w:firstLine="0" w:left="0"/>
        <w:jc w:val="left"/>
      </w:pPr>
      <w:r>
        <w:rPr>
          <w:rFonts w:ascii="Times New Roman" w:hAnsi="Times New Roman" w:cs="Times New Roman" w:eastAsia="Times New Roman"/>
          <w:sz w:val="28"/>
        </w:rPr>
        <w:tab/>
      </w:r>
      <m:oMath>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HP</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sSub>
          <m:e>
            <m:r>
              <w:rPr>
                <w:rFonts w:ascii="Cambria Math" w:hAnsi="Cambria Math"/>
                <w:i/>
                <w:sz w:val="28"/>
                <w:szCs w:val="28"/>
              </w:rPr>
              <m:t xml:space="preserve">ω</m:t>
            </m:r>
          </m:e>
          <m:sub>
            <m:r>
              <w:rPr>
                <w:rFonts w:ascii="Cambria Math" w:hAnsi="Cambria Math"/>
                <w:i/>
                <w:sz w:val="28"/>
                <w:szCs w:val="28"/>
              </w:rPr>
              <m:t xml:space="preserve">ij</m:t>
            </m:r>
          </m:sub>
        </m:sSub>
        <m:r>
          <m:rPr>
            <m:sty m:val="p"/>
          </m:rPr>
          <w:rPr>
            <w:rFonts w:ascii="Cambria Math" w:hAnsi="Cambria Math"/>
            <w:i w:val="0"/>
            <w:sz w:val="28"/>
            <w:szCs w:val="28"/>
          </w:rPr>
          <m:t xml:space="preserve">·</m:t>
        </m:r>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CP</m:t>
            </m:r>
          </m:sup>
        </m:sSubSup>
        <m:d>
          <m:dPr>
            <m:begChr m:val="("/>
            <m:endChr m:val=")"/>
          </m:dPr>
          <m:e>
            <m:r>
              <w:rPr>
                <w:rFonts w:ascii="Cambria Math" w:hAnsi="Cambria Math"/>
                <w:i/>
                <w:sz w:val="28"/>
                <w:szCs w:val="28"/>
              </w:rPr>
              <m:t xml:space="preserve">k</m:t>
            </m:r>
          </m:e>
        </m:d>
        <m:r>
          <m:rPr>
            <m:sty m:val="p"/>
          </m:rPr>
          <w:rPr>
            <w:rFonts w:ascii="Cambria Math" w:hAnsi="Cambria Math"/>
            <w:i w:val="0"/>
            <w:sz w:val="28"/>
            <w:szCs w:val="28"/>
          </w:rPr>
          <m:t xml:space="preserve"> + </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ω</m:t>
                </m:r>
              </m:e>
              <m:sub>
                <m:r>
                  <w:rPr>
                    <w:rFonts w:ascii="Cambria Math" w:hAnsi="Cambria Math"/>
                    <w:i/>
                    <w:sz w:val="28"/>
                    <w:szCs w:val="28"/>
                  </w:rPr>
                  <m:t xml:space="preserve">ij</m:t>
                </m:r>
              </m:sub>
            </m:sSub>
          </m:e>
        </m:d>
        <m:r>
          <m:rPr>
            <m:sty m:val="p"/>
          </m:rPr>
          <w:rPr>
            <w:rFonts w:ascii="Cambria Math" w:hAnsi="Cambria Math"/>
            <w:i w:val="0"/>
            <w:sz w:val="28"/>
            <w:szCs w:val="28"/>
          </w:rPr>
          <m:t xml:space="preserve">·</m:t>
        </m:r>
        <m:sSubSup>
          <m:e>
            <m:r>
              <w:rPr>
                <w:rFonts w:ascii="Cambria Math" w:hAnsi="Cambria Math"/>
                <w:i/>
                <w:sz w:val="28"/>
                <w:szCs w:val="28"/>
              </w:rPr>
              <m:t xml:space="preserve">p</m:t>
            </m:r>
          </m:e>
          <m:sub>
            <m:r>
              <w:rPr>
                <w:rFonts w:ascii="Cambria Math" w:hAnsi="Cambria Math"/>
                <w:i/>
                <w:sz w:val="28"/>
                <w:szCs w:val="28"/>
              </w:rPr>
              <m:t xml:space="preserve">ij</m:t>
            </m:r>
          </m:sub>
          <m:sup>
            <m:r>
              <w:rPr>
                <w:rFonts w:ascii="Cambria Math" w:hAnsi="Cambria Math"/>
                <w:i/>
                <w:sz w:val="28"/>
                <w:szCs w:val="28"/>
              </w:rPr>
              <m:t xml:space="preserve">MB</m:t>
            </m:r>
          </m:sup>
        </m:sSubSup>
        <m:d>
          <m:dPr>
            <m:begChr m:val="("/>
            <m:endChr m:val=")"/>
          </m:dPr>
          <m:e>
            <m:r>
              <w:rPr>
                <w:rFonts w:ascii="Cambria Math" w:hAnsi="Cambria Math"/>
                <w:i/>
                <w:sz w:val="28"/>
                <w:szCs w:val="28"/>
              </w:rPr>
              <m:t xml:space="preserve">k</m:t>
            </m:r>
          </m:e>
        </m:d>
      </m:oMath>
      <w:r>
        <w:rPr>
          <w:rFonts w:ascii="Times New Roman" w:hAnsi="Times New Roman" w:cs="Times New Roman" w:eastAsia="Times New Roman"/>
          <w:sz w:val="28"/>
        </w:rPr>
        <w:tab/>
        <w:t>(2.29)</w:t>
      </w:r>
    </w:p>
    <w:p>
      <w:pPr>
        <w:spacing w:before="0" w:after="0" w:line="360" w:lineRule="auto"/>
        <w:ind w:firstLine="709" w:left="0"/>
        <w:jc w:val="both"/>
      </w:pPr>
      <w:r>
        <w:rPr>
          <w:rFonts w:ascii="Times New Roman" w:hAnsi="Times New Roman" w:cs="Times New Roman" w:eastAsia="Times New Roman"/>
          <w:b w:val="0"/>
          <w:i w:val="0"/>
          <w:sz w:val="28"/>
        </w:rPr>
        <w:t>где ω_ij ∈ [0; 1] — весовой коэффициент, отражающий долю трансакционных издержек симбиоза, не покрытых рыночным тарифом (при ω_ij → 0 метод сходится к MB; при ω_ij → 1 — к CP). Калибровка ω_ij производится по доле специфических инвестиций i в организацию потока k, не имеющих альтернативного применения (asset specificity по О. Уильямсону [7]). Метод HP предназначен для переходного периода 2025–2027 гг., когда ФАС разрабатывает методологию тарифообразования на передачу промышленного тепла в ТОСЭР.</w:t>
      </w:r>
    </w:p>
    <w:p>
      <w:pPr>
        <w:keepNext/>
        <w:spacing w:before="0" w:after="0" w:line="360" w:lineRule="auto"/>
        <w:ind w:firstLine="709" w:left="0"/>
        <w:jc w:val="both"/>
      </w:pPr>
      <w:r>
        <w:rPr>
          <w:rFonts w:ascii="Times New Roman" w:hAnsi="Times New Roman" w:cs="Times New Roman" w:eastAsia="Times New Roman"/>
          <w:b/>
          <w:i w:val="0"/>
          <w:sz w:val="28"/>
        </w:rPr>
        <w:t>2.8.3. Алгоритм выбора метода: дерево решений для p_ij(k)</w:t>
      </w:r>
    </w:p>
    <w:p>
      <w:pPr>
        <w:spacing w:before="0" w:after="0" w:line="360" w:lineRule="auto"/>
        <w:ind w:firstLine="709" w:left="0"/>
        <w:jc w:val="both"/>
      </w:pPr>
      <w:r>
        <w:rPr>
          <w:rFonts w:ascii="Times New Roman" w:hAnsi="Times New Roman" w:cs="Times New Roman" w:eastAsia="Times New Roman"/>
          <w:b w:val="0"/>
          <w:i w:val="0"/>
          <w:sz w:val="28"/>
        </w:rPr>
        <w:t>Выбор метода ценообразования не может быть произвольным — он определяется наблюдаемыми характеристиками рынка и контракта. Предлагается следующий алгоритм выбора, основанный на трёх диагностических вопросах.</w:t>
      </w:r>
    </w:p>
    <w:p>
      <w:pPr>
        <w:spacing w:before="0" w:after="0" w:line="360" w:lineRule="auto"/>
        <w:ind w:firstLine="709" w:left="0"/>
        <w:jc w:val="both"/>
      </w:pPr>
      <w:r>
        <w:rPr>
          <w:rFonts w:ascii="Times New Roman" w:hAnsi="Times New Roman" w:cs="Times New Roman" w:eastAsia="Times New Roman"/>
          <w:b w:val="0"/>
          <w:i w:val="0"/>
          <w:sz w:val="28"/>
        </w:rPr>
        <w:t>Шаг 1. Существует ли ликвидный рынок-аналог или регуляторный тариф для ресурса k? Если да — применяется метод MB (формула 2.26). Если нет — переход к шагу 2.</w:t>
      </w:r>
    </w:p>
    <w:p>
      <w:pPr>
        <w:spacing w:before="0" w:after="0" w:line="360" w:lineRule="auto"/>
        <w:ind w:firstLine="709" w:left="0"/>
        <w:jc w:val="both"/>
      </w:pPr>
      <w:r>
        <w:rPr>
          <w:rFonts w:ascii="Times New Roman" w:hAnsi="Times New Roman" w:cs="Times New Roman" w:eastAsia="Times New Roman"/>
          <w:b w:val="0"/>
          <w:i w:val="0"/>
          <w:sz w:val="28"/>
        </w:rPr>
        <w:t>Шаг 2. Верифицируемы ли прямые переменные затраты C_ij(k) по первичным данным поставщика? Если да — применяется метод CP (формула 2.25) при m_ij, согласованном в контракте. Если нет — переход к шагу 3.</w:t>
      </w:r>
    </w:p>
    <w:p>
      <w:pPr>
        <w:spacing w:before="0" w:after="0" w:line="360" w:lineRule="auto"/>
        <w:ind w:firstLine="709" w:left="0"/>
        <w:jc w:val="both"/>
      </w:pPr>
      <w:r>
        <w:rPr>
          <w:rFonts w:ascii="Times New Roman" w:hAnsi="Times New Roman" w:cs="Times New Roman" w:eastAsia="Times New Roman"/>
          <w:b w:val="0"/>
          <w:i w:val="0"/>
          <w:sz w:val="28"/>
        </w:rPr>
        <w:t>Шаг 3. Существует ли регуляторная ставка λ_k (НВОС, углеродный сбор, плата за захоронение)? Если да — применяется метод SP (формула 2.28). Если нет — применяется метод NP (формула 2.27) с обязательной фиксацией протокола переговорной комиссии.</w:t>
      </w:r>
    </w:p>
    <w:p>
      <w:pPr>
        <w:spacing w:before="0" w:after="0" w:line="360" w:lineRule="auto"/>
        <w:ind w:firstLine="709" w:left="0"/>
        <w:jc w:val="both"/>
      </w:pPr>
      <w:r>
        <w:rPr>
          <w:rFonts w:ascii="Times New Roman" w:hAnsi="Times New Roman" w:cs="Times New Roman" w:eastAsia="Times New Roman"/>
          <w:b w:val="0"/>
          <w:i w:val="0"/>
          <w:sz w:val="28"/>
        </w:rPr>
        <w:t>Дополнительное условие: если применимы одновременно MB и CP (частичный рынок при известной себестоимости) — применяется гибридный метод HP (формула 2.29) с калибровкой ω_ij по asset specificity. Чёткое разграничение позволяет выстроить логически непротиворечивую и методологически устойчивую модель анализа: подмена уровней (применение SP там, где верифицируем CP) приводит к завышению или занижению ΔE(t) на 20–40%, что превышает допустимую погрешность для инвестиционного обоснования ЭКОПЛАТФОРМЫ.</w:t>
      </w:r>
    </w:p>
    <w:p>
      <w:pPr>
        <w:spacing w:before="0" w:after="0" w:line="360" w:lineRule="auto"/>
        <w:ind w:firstLine="709" w:left="0"/>
        <w:jc w:val="both"/>
      </w:pPr>
      <w:r>
        <w:rPr>
          <w:rFonts w:ascii="Times New Roman" w:hAnsi="Times New Roman" w:cs="Times New Roman" w:eastAsia="Times New Roman"/>
          <w:b w:val="0"/>
          <w:i w:val="0"/>
          <w:sz w:val="28"/>
        </w:rPr>
        <w:t>Сводная таксономия методов, условий их применения и уровня верифицируемости для четырёх классов потоков Невинномысска представлена в таблице 2.6.</w:t>
      </w:r>
    </w:p>
    <w:p>
      <w:pPr>
        <w:keepNext/>
        <w:spacing w:before="0" w:after="0" w:line="360" w:lineRule="auto"/>
        <w:ind w:firstLine="0" w:left="0"/>
        <w:jc w:val="right"/>
      </w:pPr>
      <w:r>
        <w:rPr>
          <w:rFonts w:ascii="Times New Roman" w:hAnsi="Times New Roman" w:cs="Times New Roman" w:eastAsia="Times New Roman"/>
          <w:b w:val="0"/>
          <w:i w:val="0"/>
          <w:sz w:val="28"/>
        </w:rPr>
        <w:t>Таблица 2.6</w:t>
      </w:r>
    </w:p>
    <w:p>
      <w:pPr>
        <w:keepNext/>
        <w:spacing w:before="0" w:after="0" w:line="360" w:lineRule="auto"/>
        <w:ind w:firstLine="0" w:left="0"/>
        <w:jc w:val="center"/>
      </w:pPr>
      <w:r>
        <w:rPr>
          <w:rFonts w:ascii="Times New Roman" w:hAnsi="Times New Roman" w:cs="Times New Roman" w:eastAsia="Times New Roman"/>
          <w:b w:val="0"/>
          <w:i w:val="0"/>
          <w:sz w:val="28"/>
        </w:rPr>
        <w:t>Таксономия методов трансфертного ценообразования для ресурсных потоков промышленного симбиоза</w:t>
      </w:r>
    </w:p>
    <w:tbl>
      <w:tblPr>
        <w:tblStyle w:val="TableGrid"/>
        <w:tblW w:type="auto" w:w="0"/>
        <w:jc w:val="center"/>
        <w:tblLayout w:type="fixed"/>
        <w:tblLook w:firstColumn="1" w:firstRow="1" w:lastColumn="0" w:lastRow="0" w:noHBand="0" w:noVBand="1" w:val="04A0"/>
      </w:tblPr>
      <w:tblGrid>
        <w:gridCol w:w="1882"/>
        <w:gridCol w:w="1616"/>
        <w:gridCol w:w="2149"/>
        <w:gridCol w:w="2268"/>
        <w:gridCol w:w="2268"/>
      </w:tblGrid>
      <w:tr>
        <w:tc>
          <w:tcPr>
            <w:tcW w:type="dxa" w:w="1882"/>
          </w:tcPr>
          <w:p>
            <w:pPr>
              <w:spacing w:before="0" w:after="0" w:line="240" w:lineRule="auto"/>
              <w:ind w:firstLine="0" w:left="0"/>
              <w:jc w:val="center"/>
            </w:pPr>
            <w:r>
              <w:rPr>
                <w:rFonts w:ascii="Times New Roman" w:hAnsi="Times New Roman" w:cs="Times New Roman" w:eastAsia="Times New Roman"/>
                <w:b/>
                <w:i w:val="0"/>
                <w:sz w:val="24"/>
              </w:rPr>
              <w:t>Метод</w:t>
            </w:r>
          </w:p>
        </w:tc>
        <w:tc>
          <w:tcPr>
            <w:tcW w:type="dxa" w:w="1616"/>
          </w:tcPr>
          <w:p>
            <w:pPr>
              <w:spacing w:before="0" w:after="0" w:line="240" w:lineRule="auto"/>
              <w:ind w:firstLine="0" w:left="0"/>
              <w:jc w:val="center"/>
            </w:pPr>
            <w:r>
              <w:rPr>
                <w:rFonts w:ascii="Times New Roman" w:hAnsi="Times New Roman" w:cs="Times New Roman" w:eastAsia="Times New Roman"/>
                <w:b/>
                <w:i w:val="0"/>
                <w:sz w:val="24"/>
              </w:rPr>
              <w:t>Формула p_ij(k)</w:t>
            </w:r>
          </w:p>
        </w:tc>
        <w:tc>
          <w:tcPr>
            <w:tcW w:type="dxa" w:w="2149"/>
          </w:tcPr>
          <w:p>
            <w:pPr>
              <w:spacing w:before="0" w:after="0" w:line="240" w:lineRule="auto"/>
              <w:ind w:firstLine="0" w:left="0"/>
              <w:jc w:val="center"/>
            </w:pPr>
            <w:r>
              <w:rPr>
                <w:rFonts w:ascii="Times New Roman" w:hAnsi="Times New Roman" w:cs="Times New Roman" w:eastAsia="Times New Roman"/>
                <w:b/>
                <w:i w:val="0"/>
                <w:sz w:val="24"/>
              </w:rPr>
              <w:t>Условие применения</w:t>
            </w:r>
          </w:p>
        </w:tc>
        <w:tc>
          <w:tcPr>
            <w:tcW w:type="dxa" w:w="2268"/>
          </w:tcPr>
          <w:p>
            <w:pPr>
              <w:spacing w:before="0" w:after="0" w:line="240" w:lineRule="auto"/>
              <w:ind w:firstLine="0" w:left="0"/>
              <w:jc w:val="center"/>
            </w:pPr>
            <w:r>
              <w:rPr>
                <w:rFonts w:ascii="Times New Roman" w:hAnsi="Times New Roman" w:cs="Times New Roman" w:eastAsia="Times New Roman"/>
                <w:b/>
                <w:i w:val="0"/>
                <w:sz w:val="24"/>
              </w:rPr>
              <w:t>Применимость к Невинномысску</w:t>
            </w:r>
          </w:p>
        </w:tc>
        <w:tc>
          <w:tcPr>
            <w:tcW w:type="dxa" w:w="2268"/>
          </w:tcPr>
          <w:p>
            <w:pPr>
              <w:spacing w:before="0" w:after="0" w:line="240" w:lineRule="auto"/>
              <w:ind w:firstLine="0" w:left="0"/>
              <w:jc w:val="center"/>
            </w:pPr>
            <w:r>
              <w:rPr>
                <w:rFonts w:ascii="Times New Roman" w:hAnsi="Times New Roman" w:cs="Times New Roman" w:eastAsia="Times New Roman"/>
                <w:b/>
                <w:i w:val="0"/>
                <w:sz w:val="24"/>
              </w:rPr>
              <w:t>Верифицируемость ΔE(t)</w:t>
            </w:r>
          </w:p>
        </w:tc>
      </w:tr>
      <w:tr>
        <w:tc>
          <w:tcPr>
            <w:tcW w:type="dxa" w:w="1882"/>
          </w:tcPr>
          <w:p>
            <w:pPr>
              <w:spacing w:before="0" w:after="0" w:line="240" w:lineRule="auto"/>
              <w:ind w:firstLine="0" w:left="0"/>
              <w:jc w:val="left"/>
            </w:pPr>
            <w:r>
              <w:rPr>
                <w:rFonts w:ascii="Times New Roman" w:hAnsi="Times New Roman" w:cs="Times New Roman" w:eastAsia="Times New Roman"/>
                <w:b w:val="0"/>
                <w:i w:val="0"/>
                <w:sz w:val="24"/>
              </w:rPr>
              <w:t>Cost-plus (CP)</w:t>
            </w:r>
          </w:p>
        </w:tc>
        <w:tc>
          <w:tcPr>
            <w:tcW w:type="dxa" w:w="1616"/>
          </w:tcPr>
          <w:p>
            <w:pPr>
              <w:spacing w:before="0" w:after="0" w:line="240" w:lineRule="auto"/>
              <w:ind w:firstLine="0" w:left="0"/>
              <w:jc w:val="left"/>
            </w:pPr>
            <w:r>
              <w:rPr>
                <w:rFonts w:ascii="Times New Roman" w:hAnsi="Times New Roman" w:cs="Times New Roman" w:eastAsia="Times New Roman"/>
                <w:b w:val="0"/>
                <w:i w:val="0"/>
                <w:sz w:val="24"/>
              </w:rPr>
              <w:t>p_ij = C_ij · (1 + m)</w:t>
            </w:r>
          </w:p>
        </w:tc>
        <w:tc>
          <w:tcPr>
            <w:tcW w:type="dxa" w:w="2149"/>
          </w:tcPr>
          <w:p>
            <w:pPr>
              <w:spacing w:before="0" w:after="0" w:line="240" w:lineRule="auto"/>
              <w:ind w:firstLine="0" w:left="0"/>
              <w:jc w:val="left"/>
            </w:pPr>
            <w:r>
              <w:rPr>
                <w:rFonts w:ascii="Times New Roman" w:hAnsi="Times New Roman" w:cs="Times New Roman" w:eastAsia="Times New Roman"/>
                <w:b w:val="0"/>
                <w:i w:val="0"/>
                <w:sz w:val="24"/>
              </w:rPr>
              <w:t>Рынок отсутствует; обменный ресурс — побочный продукт производства</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Тепло ГРЭС (переменные затраты на передачу ≈ 50 руб./Гкал); CO₂ «Азота»</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Высокая: C_ij аудируется по первичным данным предприятий</w:t>
            </w:r>
          </w:p>
        </w:tc>
      </w:tr>
      <w:tr>
        <w:tc>
          <w:tcPr>
            <w:tcW w:type="dxa" w:w="1882"/>
          </w:tcPr>
          <w:p>
            <w:pPr>
              <w:spacing w:before="0" w:after="0" w:line="240" w:lineRule="auto"/>
              <w:ind w:firstLine="0" w:left="0"/>
              <w:jc w:val="left"/>
            </w:pPr>
            <w:r>
              <w:rPr>
                <w:rFonts w:ascii="Times New Roman" w:hAnsi="Times New Roman" w:cs="Times New Roman" w:eastAsia="Times New Roman"/>
                <w:b w:val="0"/>
                <w:i w:val="0"/>
                <w:sz w:val="24"/>
              </w:rPr>
              <w:t>Market-based (MB)</w:t>
            </w:r>
          </w:p>
        </w:tc>
        <w:tc>
          <w:tcPr>
            <w:tcW w:type="dxa" w:w="1616"/>
          </w:tcPr>
          <w:p>
            <w:pPr>
              <w:spacing w:before="0" w:after="0" w:line="240" w:lineRule="auto"/>
              <w:ind w:firstLine="0" w:left="0"/>
              <w:jc w:val="left"/>
            </w:pPr>
            <w:r>
              <w:rPr>
                <w:rFonts w:ascii="Times New Roman" w:hAnsi="Times New Roman" w:cs="Times New Roman" w:eastAsia="Times New Roman"/>
                <w:b w:val="0"/>
                <w:i w:val="0"/>
                <w:sz w:val="24"/>
              </w:rPr>
              <w:t>p_ij = P_ref − δ_trans</w:t>
            </w:r>
          </w:p>
        </w:tc>
        <w:tc>
          <w:tcPr>
            <w:tcW w:type="dxa" w:w="2149"/>
          </w:tcPr>
          <w:p>
            <w:pPr>
              <w:spacing w:before="0" w:after="0" w:line="240" w:lineRule="auto"/>
              <w:ind w:firstLine="0" w:left="0"/>
              <w:jc w:val="left"/>
            </w:pPr>
            <w:r>
              <w:rPr>
                <w:rFonts w:ascii="Times New Roman" w:hAnsi="Times New Roman" w:cs="Times New Roman" w:eastAsia="Times New Roman"/>
                <w:b w:val="0"/>
                <w:i w:val="0"/>
                <w:sz w:val="24"/>
              </w:rPr>
              <w:t>Существует ликвидный рынок-аналог или регуляторный тариф</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Вторсырьё (ПЭТ, стеклобой — биржевые котировки); снижение НВОС</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Высокая: P_ref верифицируется по публичным котировкам</w:t>
            </w:r>
          </w:p>
        </w:tc>
      </w:tr>
      <w:tr>
        <w:tc>
          <w:tcPr>
            <w:tcW w:type="dxa" w:w="1882"/>
          </w:tcPr>
          <w:p>
            <w:pPr>
              <w:spacing w:before="0" w:after="0" w:line="240" w:lineRule="auto"/>
              <w:ind w:firstLine="0" w:left="0"/>
              <w:jc w:val="left"/>
            </w:pPr>
            <w:r>
              <w:rPr>
                <w:rFonts w:ascii="Times New Roman" w:hAnsi="Times New Roman" w:cs="Times New Roman" w:eastAsia="Times New Roman"/>
                <w:b w:val="0"/>
                <w:i w:val="0"/>
                <w:sz w:val="24"/>
              </w:rPr>
              <w:t>Negotiated (NP)</w:t>
            </w:r>
          </w:p>
        </w:tc>
        <w:tc>
          <w:tcPr>
            <w:tcW w:type="dxa" w:w="1616"/>
          </w:tcPr>
          <w:p>
            <w:pPr>
              <w:spacing w:before="0" w:after="0" w:line="240" w:lineRule="auto"/>
              <w:ind w:firstLine="0" w:left="0"/>
              <w:jc w:val="left"/>
            </w:pPr>
            <w:r>
              <w:rPr>
                <w:rFonts w:ascii="Times New Roman" w:hAnsi="Times New Roman" w:cs="Times New Roman" w:eastAsia="Times New Roman"/>
                <w:b w:val="0"/>
                <w:i w:val="0"/>
                <w:sz w:val="24"/>
              </w:rPr>
              <w:t>p_ij ∈ [C_ij ; P_ref − δ]</w:t>
            </w:r>
          </w:p>
        </w:tc>
        <w:tc>
          <w:tcPr>
            <w:tcW w:type="dxa" w:w="2149"/>
          </w:tcPr>
          <w:p>
            <w:pPr>
              <w:spacing w:before="0" w:after="0" w:line="240" w:lineRule="auto"/>
              <w:ind w:firstLine="0" w:left="0"/>
              <w:jc w:val="left"/>
            </w:pPr>
            <w:r>
              <w:rPr>
                <w:rFonts w:ascii="Times New Roman" w:hAnsi="Times New Roman" w:cs="Times New Roman" w:eastAsia="Times New Roman"/>
                <w:b w:val="0"/>
                <w:i w:val="0"/>
                <w:sz w:val="24"/>
              </w:rPr>
              <w:t>Двусторонний торг при асимметрии информации о себестоимости</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Аммиак и CO₂-пропеллент для ГК «Арнест» (уникальный актив)</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Средняя: требует нотариально заверенного протокола</w:t>
            </w:r>
          </w:p>
        </w:tc>
      </w:tr>
      <w:tr>
        <w:tc>
          <w:tcPr>
            <w:tcW w:type="dxa" w:w="1882"/>
          </w:tcPr>
          <w:p>
            <w:pPr>
              <w:spacing w:before="0" w:after="0" w:line="240" w:lineRule="auto"/>
              <w:ind w:firstLine="0" w:left="0"/>
              <w:jc w:val="left"/>
            </w:pPr>
            <w:r>
              <w:rPr>
                <w:rFonts w:ascii="Times New Roman" w:hAnsi="Times New Roman" w:cs="Times New Roman" w:eastAsia="Times New Roman"/>
                <w:b w:val="0"/>
                <w:i w:val="0"/>
                <w:sz w:val="24"/>
              </w:rPr>
              <w:t>LCA shadow price (SP)</w:t>
            </w:r>
          </w:p>
        </w:tc>
        <w:tc>
          <w:tcPr>
            <w:tcW w:type="dxa" w:w="1616"/>
          </w:tcPr>
          <w:p>
            <w:pPr>
              <w:spacing w:before="0" w:after="0" w:line="240" w:lineRule="auto"/>
              <w:ind w:firstLine="0" w:left="0"/>
              <w:jc w:val="left"/>
            </w:pPr>
            <w:r>
              <w:rPr>
                <w:rFonts w:ascii="Times New Roman" w:hAnsi="Times New Roman" w:cs="Times New Roman" w:eastAsia="Times New Roman"/>
                <w:b w:val="0"/>
                <w:i w:val="0"/>
                <w:sz w:val="24"/>
              </w:rPr>
              <w:t>p_ij = λ · e_ij</w:t>
            </w:r>
          </w:p>
        </w:tc>
        <w:tc>
          <w:tcPr>
            <w:tcW w:type="dxa" w:w="2149"/>
          </w:tcPr>
          <w:p>
            <w:pPr>
              <w:spacing w:before="0" w:after="0" w:line="240" w:lineRule="auto"/>
              <w:ind w:firstLine="0" w:left="0"/>
              <w:jc w:val="left"/>
            </w:pPr>
            <w:r>
              <w:rPr>
                <w:rFonts w:ascii="Times New Roman" w:hAnsi="Times New Roman" w:cs="Times New Roman" w:eastAsia="Times New Roman"/>
                <w:b w:val="0"/>
                <w:i w:val="0"/>
                <w:sz w:val="24"/>
              </w:rPr>
              <w:t>Нет рынка и нет наблюдаемой себестоимости; регуляторный стимул</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Экологические платежи НВОС как предотвращённые затраты (λ по ФЗ-219)</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Средняя: λ задаётся регуляторно, но корзина e_ij требует верификации</w:t>
            </w:r>
          </w:p>
        </w:tc>
      </w:tr>
      <w:tr>
        <w:tc>
          <w:tcPr>
            <w:tcW w:type="dxa" w:w="1882"/>
          </w:tcPr>
          <w:p>
            <w:pPr>
              <w:spacing w:before="0" w:after="0" w:line="240" w:lineRule="auto"/>
              <w:ind w:firstLine="0" w:left="0"/>
              <w:jc w:val="left"/>
            </w:pPr>
            <w:r>
              <w:rPr>
                <w:rFonts w:ascii="Times New Roman" w:hAnsi="Times New Roman" w:cs="Times New Roman" w:eastAsia="Times New Roman"/>
                <w:b w:val="0"/>
                <w:i w:val="0"/>
                <w:sz w:val="24"/>
              </w:rPr>
              <w:t>Гибридный (HP) — авторский</w:t>
            </w:r>
          </w:p>
        </w:tc>
        <w:tc>
          <w:tcPr>
            <w:tcW w:type="dxa" w:w="1616"/>
          </w:tcPr>
          <w:p>
            <w:pPr>
              <w:spacing w:before="0" w:after="0" w:line="240" w:lineRule="auto"/>
              <w:ind w:firstLine="0" w:left="0"/>
              <w:jc w:val="left"/>
            </w:pPr>
            <w:r>
              <w:rPr>
                <w:rFonts w:ascii="Times New Roman" w:hAnsi="Times New Roman" w:cs="Times New Roman" w:eastAsia="Times New Roman"/>
                <w:b w:val="0"/>
                <w:i w:val="0"/>
                <w:sz w:val="24"/>
              </w:rPr>
              <w:t>p_ij = ω·p_CP + (1−ω)·p_MB при наличии обоих</w:t>
            </w:r>
          </w:p>
        </w:tc>
        <w:tc>
          <w:tcPr>
            <w:tcW w:type="dxa" w:w="2149"/>
          </w:tcPr>
          <w:p>
            <w:pPr>
              <w:spacing w:before="0" w:after="0" w:line="240" w:lineRule="auto"/>
              <w:ind w:firstLine="0" w:left="0"/>
              <w:jc w:val="left"/>
            </w:pPr>
            <w:r>
              <w:rPr>
                <w:rFonts w:ascii="Times New Roman" w:hAnsi="Times New Roman" w:cs="Times New Roman" w:eastAsia="Times New Roman"/>
                <w:b w:val="0"/>
                <w:i w:val="0"/>
                <w:sz w:val="24"/>
              </w:rPr>
              <w:t>Частичный рынок-аналог при известной себестоимости</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Тепло при введении регулируемого тарифа ФАС &gt; 2027 г.</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Высокая: ω ∈ [0;1] калибруется по доле транзакционных издержек</w:t>
            </w:r>
          </w:p>
        </w:tc>
      </w:tr>
    </w:tbl>
    <w:p>
      <w:pPr>
        <w:spacing w:before="0" w:after="0" w:line="360" w:lineRule="auto"/>
        <w:ind w:firstLine="709" w:left="0"/>
        <w:jc w:val="both"/>
      </w:pPr>
      <w:r>
        <w:rPr>
          <w:rFonts w:ascii="Times New Roman" w:hAnsi="Times New Roman" w:cs="Times New Roman" w:eastAsia="Times New Roman"/>
          <w:b w:val="0"/>
          <w:i w:val="0"/>
          <w:sz w:val="28"/>
        </w:rPr>
        <w:t>Источник: авторская разработка на основе [1, 3, 6, 7]; λ — Постановление Правительства РФ № 255 (2016, ред. 2023); тариф ФАС — по данным за 2024 г.</w:t>
      </w:r>
    </w:p>
    <w:p>
      <w:pPr>
        <w:keepNext/>
        <w:spacing w:before="0" w:after="0" w:line="360" w:lineRule="auto"/>
        <w:ind w:firstLine="709" w:left="0"/>
        <w:jc w:val="both"/>
      </w:pPr>
      <w:r>
        <w:rPr>
          <w:rFonts w:ascii="Times New Roman" w:hAnsi="Times New Roman" w:cs="Times New Roman" w:eastAsia="Times New Roman"/>
          <w:b/>
          <w:i w:val="0"/>
          <w:sz w:val="28"/>
        </w:rPr>
        <w:t>2.8.4. Калибровка p_ij(k) для экосистемы Невинномысска: верифицированные оценки</w:t>
      </w:r>
    </w:p>
    <w:p>
      <w:pPr>
        <w:spacing w:before="0" w:after="0" w:line="360" w:lineRule="auto"/>
        <w:ind w:firstLine="709" w:left="0"/>
        <w:jc w:val="both"/>
      </w:pPr>
      <w:r>
        <w:rPr>
          <w:rFonts w:ascii="Times New Roman" w:hAnsi="Times New Roman" w:cs="Times New Roman" w:eastAsia="Times New Roman"/>
          <w:b w:val="0"/>
          <w:i w:val="0"/>
          <w:sz w:val="28"/>
        </w:rPr>
        <w:t>Применение алгоритма раздела 2.8.3 к четырём классам ресурсных потоков Невинномысска (раздел 1.3) даёт следующие результаты. Для каждого потока указан выбранный метод, диапазон p_ij(k), объём потока q_ij(k) и результирующая стоимостная характеристика F_ij(k), формирующая компоненту ΔE(t).</w:t>
      </w:r>
    </w:p>
    <w:p>
      <w:pPr>
        <w:spacing w:before="0" w:after="0" w:line="360" w:lineRule="auto"/>
        <w:ind w:firstLine="709" w:left="0"/>
        <w:jc w:val="both"/>
      </w:pPr>
      <w:r>
        <w:rPr>
          <w:rFonts w:ascii="Times New Roman" w:hAnsi="Times New Roman" w:cs="Times New Roman" w:eastAsia="Times New Roman"/>
          <w:b w:val="0"/>
          <w:i w:val="0"/>
          <w:sz w:val="28"/>
        </w:rPr>
        <w:t>Первый класс — потоки тепловой энергии (ГРЭС → резиденты ТОСЭР). Поскольку регуляторного тарифа ФАС на промышленное тепло для ТОСЭР не установлено (по состоянию на I кв. 2026 г.), применяется метод CP. Прямые переменные затраты на передачу тепла от ГРЭС к точке подключения оцениваются на основе нормативов МРСК Северного Кавказа в диапазоне 180–220 руб./Гкал при надбавке m_ij = 0. При объёме передачи 50 Гкал/ч и времени работы 8 760 ч/год суммарный потенциальный поток составляет 438 тыс. Гкал/год. Принятая в расчёте ΔE(t) оценка p_тепло = 200 руб./Гкал соответствует нижней границе альтернативных затрат резидентов на покупку тепла у независимых поставщиков и формирует E₁(t) ≈ 120 млн руб./год при 50% загрузке [4, 8].</w:t>
      </w:r>
    </w:p>
    <w:p>
      <w:pPr>
        <w:spacing w:before="0" w:after="0" w:line="360" w:lineRule="auto"/>
        <w:ind w:firstLine="709" w:left="0"/>
        <w:jc w:val="both"/>
      </w:pPr>
      <w:r>
        <w:rPr>
          <w:rFonts w:ascii="Times New Roman" w:hAnsi="Times New Roman" w:cs="Times New Roman" w:eastAsia="Times New Roman"/>
          <w:b w:val="0"/>
          <w:i w:val="0"/>
          <w:sz w:val="28"/>
        </w:rPr>
        <w:t>Второй класс — потоки вторичного сырья (ЭПП → рынок переработки). Для вторичного ПЭТ-флекса и стеклобоя существуют ликвидные биржевые котировки, что делает метод MB приоритетным. Принятая цена p_ПЭТ = 30 000 руб./т соответствует средней биржевой котировке ПЭТ-флекса (2024 г.) за вычетом дисконта δ_trans = 5 000 руб./т, отражающего транспортные и сертификационные издержки. При мощности ЭПП 190 тыс. т/год и принятой загрузке 50% стоимостной поток F₂ = q_ЭПП · p_ПЭТ формирует E₂(t) ≈ 40 млн руб./год [5, 9].</w:t>
      </w:r>
    </w:p>
    <w:p>
      <w:pPr>
        <w:spacing w:before="0" w:after="0" w:line="360" w:lineRule="auto"/>
        <w:ind w:firstLine="709" w:left="0"/>
        <w:jc w:val="both"/>
      </w:pPr>
      <w:r>
        <w:rPr>
          <w:rFonts w:ascii="Times New Roman" w:hAnsi="Times New Roman" w:cs="Times New Roman" w:eastAsia="Times New Roman"/>
          <w:b w:val="0"/>
          <w:i w:val="0"/>
          <w:sz w:val="28"/>
        </w:rPr>
        <w:t>Третий класс — потоки химических компонентов (CO₂ «Азота» → «Арнест»). Данный поток является уникальным: «Невинномысский Азот» — единственный поставщик CO₂ заданной чистоты в СКФО, что создаёт двустороннюю монополию при переговорах. Применяется метод NP; зона торга задаётся нижней границей (переменные затраты «Азота» на сжижение и транспортировку CO₂ ≈ 2 000 руб./т) и верхней (рыночная цена CO₂ пищевого сорта ≈ 8 000 руб./т у независимых поставщиков). Принятая расчётная цена p_CO₂ = 5 000 руб./т находится в середине зоны торга и отражает исторически наблюдаемые цены на аналогичные трансакции в российской химической промышленности [5]. При объёме 12 тыс. т/год E₃(t) ≈ 60 млн руб./год.</w:t>
      </w:r>
    </w:p>
    <w:p>
      <w:pPr>
        <w:spacing w:before="0" w:after="0" w:line="360" w:lineRule="auto"/>
        <w:ind w:firstLine="709" w:left="0"/>
        <w:jc w:val="both"/>
      </w:pPr>
      <w:r>
        <w:rPr>
          <w:rFonts w:ascii="Times New Roman" w:hAnsi="Times New Roman" w:cs="Times New Roman" w:eastAsia="Times New Roman"/>
          <w:b w:val="0"/>
          <w:i w:val="0"/>
          <w:sz w:val="28"/>
        </w:rPr>
        <w:t>Четвёртый класс — снижение обязательных экологических платежей. Применяется метод SP. Регуляторная ставка λ_IV = 663 руб./т для отходов IV класса опасности (Постановление Правительства РФ № 255, ред. 2023) умножается на объём отходов, переведённых из полигонного захоронения в товарный ресурс. Сочетание вероятности реализации угрозы экологического инцидента и величины потенциального ущерба обусловливает включение данного потока в расчёт ΔE(t) как предотвращённых потерь. При объёме 60 тыс. т/год E₄(t) ≈ 40 млн руб./год [9, 10]. Сводная калибровка представлена в таблице 2.7.</w:t>
      </w:r>
    </w:p>
    <w:p>
      <w:pPr>
        <w:keepNext/>
        <w:spacing w:before="0" w:after="0" w:line="360" w:lineRule="auto"/>
        <w:ind w:firstLine="0" w:left="0"/>
        <w:jc w:val="right"/>
      </w:pPr>
      <w:r>
        <w:rPr>
          <w:rFonts w:ascii="Times New Roman" w:hAnsi="Times New Roman" w:cs="Times New Roman" w:eastAsia="Times New Roman"/>
          <w:b w:val="0"/>
          <w:i w:val="0"/>
          <w:sz w:val="28"/>
        </w:rPr>
        <w:t>Таблица 2.7</w:t>
      </w:r>
    </w:p>
    <w:p>
      <w:pPr>
        <w:keepNext/>
        <w:spacing w:before="0" w:after="0" w:line="360" w:lineRule="auto"/>
        <w:ind w:firstLine="0" w:left="0"/>
        <w:jc w:val="center"/>
      </w:pPr>
      <w:r>
        <w:rPr>
          <w:rFonts w:ascii="Times New Roman" w:hAnsi="Times New Roman" w:cs="Times New Roman" w:eastAsia="Times New Roman"/>
          <w:b w:val="0"/>
          <w:i w:val="0"/>
          <w:sz w:val="28"/>
        </w:rPr>
        <w:t>Калибровка p_ij(k) и стоимостных потоков F_ij(k) для экосистемы Невинномысска (базовый сценарий, 2025 г.)</w:t>
      </w:r>
    </w:p>
    <w:tbl>
      <w:tblPr>
        <w:tblStyle w:val="TableGrid"/>
        <w:tblW w:type="auto" w:w="0"/>
        <w:jc w:val="center"/>
        <w:tblLayout w:type="fixed"/>
        <w:tblLook w:firstColumn="1" w:firstRow="1" w:lastColumn="0" w:lastRow="0" w:noHBand="0" w:noVBand="1" w:val="04A0"/>
      </w:tblPr>
      <w:tblGrid>
        <w:gridCol w:w="2268"/>
        <w:gridCol w:w="950"/>
        <w:gridCol w:w="1483"/>
        <w:gridCol w:w="1083"/>
        <w:gridCol w:w="1349"/>
        <w:gridCol w:w="2222"/>
      </w:tblGrid>
      <w:tr>
        <w:tc>
          <w:tcPr>
            <w:tcW w:type="dxa" w:w="2268"/>
          </w:tcPr>
          <w:p>
            <w:pPr>
              <w:spacing w:before="0" w:after="0" w:line="240" w:lineRule="auto"/>
              <w:ind w:firstLine="0" w:left="0"/>
              <w:jc w:val="center"/>
            </w:pPr>
            <w:r>
              <w:rPr>
                <w:rFonts w:ascii="Times New Roman" w:hAnsi="Times New Roman" w:cs="Times New Roman" w:eastAsia="Times New Roman"/>
                <w:b/>
                <w:i w:val="0"/>
                <w:sz w:val="24"/>
              </w:rPr>
              <w:t>Поток (i→j, ресурс k)</w:t>
            </w:r>
          </w:p>
        </w:tc>
        <w:tc>
          <w:tcPr>
            <w:tcW w:type="dxa" w:w="950"/>
          </w:tcPr>
          <w:p>
            <w:pPr>
              <w:spacing w:before="0" w:after="0" w:line="240" w:lineRule="auto"/>
              <w:ind w:firstLine="0" w:left="0"/>
              <w:jc w:val="center"/>
            </w:pPr>
            <w:r>
              <w:rPr>
                <w:rFonts w:ascii="Times New Roman" w:hAnsi="Times New Roman" w:cs="Times New Roman" w:eastAsia="Times New Roman"/>
                <w:b/>
                <w:i w:val="0"/>
                <w:sz w:val="24"/>
              </w:rPr>
              <w:t>Метод p_ij</w:t>
            </w:r>
          </w:p>
        </w:tc>
        <w:tc>
          <w:tcPr>
            <w:tcW w:type="dxa" w:w="1483"/>
          </w:tcPr>
          <w:p>
            <w:pPr>
              <w:spacing w:before="0" w:after="0" w:line="240" w:lineRule="auto"/>
              <w:ind w:firstLine="0" w:left="0"/>
              <w:jc w:val="center"/>
            </w:pPr>
            <w:r>
              <w:rPr>
                <w:rFonts w:ascii="Times New Roman" w:hAnsi="Times New Roman" w:cs="Times New Roman" w:eastAsia="Times New Roman"/>
                <w:b/>
                <w:i w:val="0"/>
                <w:sz w:val="24"/>
              </w:rPr>
              <w:t>p_ij, руб./ед.</w:t>
            </w:r>
          </w:p>
        </w:tc>
        <w:tc>
          <w:tcPr>
            <w:tcW w:type="dxa" w:w="1083"/>
          </w:tcPr>
          <w:p>
            <w:pPr>
              <w:spacing w:before="0" w:after="0" w:line="240" w:lineRule="auto"/>
              <w:ind w:firstLine="0" w:left="0"/>
              <w:jc w:val="center"/>
            </w:pPr>
            <w:r>
              <w:rPr>
                <w:rFonts w:ascii="Times New Roman" w:hAnsi="Times New Roman" w:cs="Times New Roman" w:eastAsia="Times New Roman"/>
                <w:b/>
                <w:i w:val="0"/>
                <w:sz w:val="24"/>
              </w:rPr>
              <w:t>Объём q_ij</w:t>
            </w:r>
          </w:p>
        </w:tc>
        <w:tc>
          <w:tcPr>
            <w:tcW w:type="dxa" w:w="1349"/>
          </w:tcPr>
          <w:p>
            <w:pPr>
              <w:spacing w:before="0" w:after="0" w:line="240" w:lineRule="auto"/>
              <w:ind w:firstLine="0" w:left="0"/>
              <w:jc w:val="center"/>
            </w:pPr>
            <w:r>
              <w:rPr>
                <w:rFonts w:ascii="Times New Roman" w:hAnsi="Times New Roman" w:cs="Times New Roman" w:eastAsia="Times New Roman"/>
                <w:b/>
                <w:i w:val="0"/>
                <w:sz w:val="24"/>
              </w:rPr>
              <w:t>F_ij = q·p, млн руб./год</w:t>
            </w:r>
          </w:p>
        </w:tc>
        <w:tc>
          <w:tcPr>
            <w:tcW w:type="dxa" w:w="2222"/>
          </w:tcPr>
          <w:p>
            <w:pPr>
              <w:spacing w:before="0" w:after="0" w:line="240" w:lineRule="auto"/>
              <w:ind w:firstLine="0" w:left="0"/>
              <w:jc w:val="center"/>
            </w:pPr>
            <w:r>
              <w:rPr>
                <w:rFonts w:ascii="Times New Roman" w:hAnsi="Times New Roman" w:cs="Times New Roman" w:eastAsia="Times New Roman"/>
                <w:b/>
                <w:i w:val="0"/>
                <w:sz w:val="24"/>
              </w:rPr>
              <w:t>Источник верификации</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ГРЭС → Резиденты, тепло</w:t>
            </w:r>
          </w:p>
        </w:tc>
        <w:tc>
          <w:tcPr>
            <w:tcW w:type="dxa" w:w="950"/>
          </w:tcPr>
          <w:p>
            <w:pPr>
              <w:spacing w:before="0" w:after="0" w:line="240" w:lineRule="auto"/>
              <w:ind w:firstLine="0" w:left="0"/>
              <w:jc w:val="left"/>
            </w:pPr>
            <w:r>
              <w:rPr>
                <w:rFonts w:ascii="Times New Roman" w:hAnsi="Times New Roman" w:cs="Times New Roman" w:eastAsia="Times New Roman"/>
                <w:b w:val="0"/>
                <w:i w:val="0"/>
                <w:sz w:val="24"/>
              </w:rPr>
              <w:t>CP</w:t>
            </w:r>
          </w:p>
        </w:tc>
        <w:tc>
          <w:tcPr>
            <w:tcW w:type="dxa" w:w="1483"/>
          </w:tcPr>
          <w:p>
            <w:pPr>
              <w:spacing w:before="0" w:after="0" w:line="240" w:lineRule="auto"/>
              <w:ind w:firstLine="0" w:left="0"/>
              <w:jc w:val="left"/>
            </w:pPr>
            <w:r>
              <w:rPr>
                <w:rFonts w:ascii="Times New Roman" w:hAnsi="Times New Roman" w:cs="Times New Roman" w:eastAsia="Times New Roman"/>
                <w:b w:val="0"/>
                <w:i w:val="0"/>
                <w:sz w:val="24"/>
              </w:rPr>
              <w:t>180–220 руб./Гкал</w:t>
            </w:r>
          </w:p>
        </w:tc>
        <w:tc>
          <w:tcPr>
            <w:tcW w:type="dxa" w:w="1083"/>
          </w:tcPr>
          <w:p>
            <w:pPr>
              <w:spacing w:before="0" w:after="0" w:line="240" w:lineRule="auto"/>
              <w:ind w:firstLine="0" w:left="0"/>
              <w:jc w:val="left"/>
            </w:pPr>
            <w:r>
              <w:rPr>
                <w:rFonts w:ascii="Times New Roman" w:hAnsi="Times New Roman" w:cs="Times New Roman" w:eastAsia="Times New Roman"/>
                <w:b w:val="0"/>
                <w:i w:val="0"/>
                <w:sz w:val="24"/>
              </w:rPr>
              <w:t>50 Гкал/ч · 8 760 ч</w:t>
            </w:r>
          </w:p>
        </w:tc>
        <w:tc>
          <w:tcPr>
            <w:tcW w:type="dxa" w:w="1349"/>
          </w:tcPr>
          <w:p>
            <w:pPr>
              <w:spacing w:before="0" w:after="0" w:line="240" w:lineRule="auto"/>
              <w:ind w:firstLine="0" w:left="0"/>
              <w:jc w:val="left"/>
            </w:pPr>
            <w:r>
              <w:rPr>
                <w:rFonts w:ascii="Times New Roman" w:hAnsi="Times New Roman" w:cs="Times New Roman" w:eastAsia="Times New Roman"/>
                <w:b w:val="0"/>
                <w:i w:val="0"/>
                <w:sz w:val="24"/>
              </w:rPr>
              <w:t>≈ 120</w:t>
            </w:r>
          </w:p>
        </w:tc>
        <w:tc>
          <w:tcPr>
            <w:tcW w:type="dxa" w:w="2222"/>
          </w:tcPr>
          <w:p>
            <w:pPr>
              <w:spacing w:before="0" w:after="0" w:line="240" w:lineRule="auto"/>
              <w:ind w:firstLine="0" w:left="0"/>
              <w:jc w:val="left"/>
            </w:pPr>
            <w:r>
              <w:rPr>
                <w:rFonts w:ascii="Times New Roman" w:hAnsi="Times New Roman" w:cs="Times New Roman" w:eastAsia="Times New Roman"/>
                <w:b w:val="0"/>
                <w:i w:val="0"/>
                <w:sz w:val="24"/>
              </w:rPr>
              <w:t>Форма ТП-1 ГРЭС; тариф ФАС на горячее водоснабжение</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ЭПП → Рынок, ПЭТ-флекс</w:t>
            </w:r>
          </w:p>
        </w:tc>
        <w:tc>
          <w:tcPr>
            <w:tcW w:type="dxa" w:w="950"/>
          </w:tcPr>
          <w:p>
            <w:pPr>
              <w:spacing w:before="0" w:after="0" w:line="240" w:lineRule="auto"/>
              <w:ind w:firstLine="0" w:left="0"/>
              <w:jc w:val="left"/>
            </w:pPr>
            <w:r>
              <w:rPr>
                <w:rFonts w:ascii="Times New Roman" w:hAnsi="Times New Roman" w:cs="Times New Roman" w:eastAsia="Times New Roman"/>
                <w:b w:val="0"/>
                <w:i w:val="0"/>
                <w:sz w:val="24"/>
              </w:rPr>
              <w:t>MB</w:t>
            </w:r>
          </w:p>
        </w:tc>
        <w:tc>
          <w:tcPr>
            <w:tcW w:type="dxa" w:w="1483"/>
          </w:tcPr>
          <w:p>
            <w:pPr>
              <w:spacing w:before="0" w:after="0" w:line="240" w:lineRule="auto"/>
              <w:ind w:firstLine="0" w:left="0"/>
              <w:jc w:val="left"/>
            </w:pPr>
            <w:r>
              <w:rPr>
                <w:rFonts w:ascii="Times New Roman" w:hAnsi="Times New Roman" w:cs="Times New Roman" w:eastAsia="Times New Roman"/>
                <w:b w:val="0"/>
                <w:i w:val="0"/>
                <w:sz w:val="24"/>
              </w:rPr>
              <w:t>28 000–35 000 руб./т</w:t>
            </w:r>
          </w:p>
        </w:tc>
        <w:tc>
          <w:tcPr>
            <w:tcW w:type="dxa" w:w="1083"/>
          </w:tcPr>
          <w:p>
            <w:pPr>
              <w:spacing w:before="0" w:after="0" w:line="240" w:lineRule="auto"/>
              <w:ind w:firstLine="0" w:left="0"/>
              <w:jc w:val="left"/>
            </w:pPr>
            <w:r>
              <w:rPr>
                <w:rFonts w:ascii="Times New Roman" w:hAnsi="Times New Roman" w:cs="Times New Roman" w:eastAsia="Times New Roman"/>
                <w:b w:val="0"/>
                <w:i w:val="0"/>
                <w:sz w:val="24"/>
              </w:rPr>
              <w:t>30 тыс. т/год</w:t>
            </w:r>
          </w:p>
        </w:tc>
        <w:tc>
          <w:tcPr>
            <w:tcW w:type="dxa" w:w="1349"/>
          </w:tcPr>
          <w:p>
            <w:pPr>
              <w:spacing w:before="0" w:after="0" w:line="240" w:lineRule="auto"/>
              <w:ind w:firstLine="0" w:left="0"/>
              <w:jc w:val="left"/>
            </w:pPr>
            <w:r>
              <w:rPr>
                <w:rFonts w:ascii="Times New Roman" w:hAnsi="Times New Roman" w:cs="Times New Roman" w:eastAsia="Times New Roman"/>
                <w:b w:val="0"/>
                <w:i w:val="0"/>
                <w:sz w:val="24"/>
              </w:rPr>
              <w:t>≈ 93</w:t>
            </w:r>
          </w:p>
        </w:tc>
        <w:tc>
          <w:tcPr>
            <w:tcW w:type="dxa" w:w="2222"/>
          </w:tcPr>
          <w:p>
            <w:pPr>
              <w:spacing w:before="0" w:after="0" w:line="240" w:lineRule="auto"/>
              <w:ind w:firstLine="0" w:left="0"/>
              <w:jc w:val="left"/>
            </w:pPr>
            <w:r>
              <w:rPr>
                <w:rFonts w:ascii="Times New Roman" w:hAnsi="Times New Roman" w:cs="Times New Roman" w:eastAsia="Times New Roman"/>
                <w:b w:val="0"/>
                <w:i w:val="0"/>
                <w:sz w:val="24"/>
              </w:rPr>
              <w:t>Биржа вторсырья ПК-Пласт; прайс-лист АО «ПЭТФ»</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«Азот» → «Арнест», CO₂</w:t>
            </w:r>
          </w:p>
        </w:tc>
        <w:tc>
          <w:tcPr>
            <w:tcW w:type="dxa" w:w="950"/>
          </w:tcPr>
          <w:p>
            <w:pPr>
              <w:spacing w:before="0" w:after="0" w:line="240" w:lineRule="auto"/>
              <w:ind w:firstLine="0" w:left="0"/>
              <w:jc w:val="left"/>
            </w:pPr>
            <w:r>
              <w:rPr>
                <w:rFonts w:ascii="Times New Roman" w:hAnsi="Times New Roman" w:cs="Times New Roman" w:eastAsia="Times New Roman"/>
                <w:b w:val="0"/>
                <w:i w:val="0"/>
                <w:sz w:val="24"/>
              </w:rPr>
              <w:t>NP</w:t>
            </w:r>
          </w:p>
        </w:tc>
        <w:tc>
          <w:tcPr>
            <w:tcW w:type="dxa" w:w="1483"/>
          </w:tcPr>
          <w:p>
            <w:pPr>
              <w:spacing w:before="0" w:after="0" w:line="240" w:lineRule="auto"/>
              <w:ind w:firstLine="0" w:left="0"/>
              <w:jc w:val="left"/>
            </w:pPr>
            <w:r>
              <w:rPr>
                <w:rFonts w:ascii="Times New Roman" w:hAnsi="Times New Roman" w:cs="Times New Roman" w:eastAsia="Times New Roman"/>
                <w:b w:val="0"/>
                <w:i w:val="0"/>
                <w:sz w:val="24"/>
              </w:rPr>
              <w:t>4 500–6 000 руб./т</w:t>
            </w:r>
          </w:p>
        </w:tc>
        <w:tc>
          <w:tcPr>
            <w:tcW w:type="dxa" w:w="1083"/>
          </w:tcPr>
          <w:p>
            <w:pPr>
              <w:spacing w:before="0" w:after="0" w:line="240" w:lineRule="auto"/>
              <w:ind w:firstLine="0" w:left="0"/>
              <w:jc w:val="left"/>
            </w:pPr>
            <w:r>
              <w:rPr>
                <w:rFonts w:ascii="Times New Roman" w:hAnsi="Times New Roman" w:cs="Times New Roman" w:eastAsia="Times New Roman"/>
                <w:b w:val="0"/>
                <w:i w:val="0"/>
                <w:sz w:val="24"/>
              </w:rPr>
              <w:t>12 тыс. т/год</w:t>
            </w:r>
          </w:p>
        </w:tc>
        <w:tc>
          <w:tcPr>
            <w:tcW w:type="dxa" w:w="1349"/>
          </w:tcPr>
          <w:p>
            <w:pPr>
              <w:spacing w:before="0" w:after="0" w:line="240" w:lineRule="auto"/>
              <w:ind w:firstLine="0" w:left="0"/>
              <w:jc w:val="left"/>
            </w:pPr>
            <w:r>
              <w:rPr>
                <w:rFonts w:ascii="Times New Roman" w:hAnsi="Times New Roman" w:cs="Times New Roman" w:eastAsia="Times New Roman"/>
                <w:b w:val="0"/>
                <w:i w:val="0"/>
                <w:sz w:val="24"/>
              </w:rPr>
              <w:t>≈ 60</w:t>
            </w:r>
          </w:p>
        </w:tc>
        <w:tc>
          <w:tcPr>
            <w:tcW w:type="dxa" w:w="2222"/>
          </w:tcPr>
          <w:p>
            <w:pPr>
              <w:spacing w:before="0" w:after="0" w:line="240" w:lineRule="auto"/>
              <w:ind w:firstLine="0" w:left="0"/>
              <w:jc w:val="left"/>
            </w:pPr>
            <w:r>
              <w:rPr>
                <w:rFonts w:ascii="Times New Roman" w:hAnsi="Times New Roman" w:cs="Times New Roman" w:eastAsia="Times New Roman"/>
                <w:b w:val="0"/>
                <w:i w:val="0"/>
                <w:sz w:val="24"/>
              </w:rPr>
              <w:t>Контракт NDA; протокол переговорной комиссии</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Отходы → Исключение НВОС</w:t>
            </w:r>
          </w:p>
        </w:tc>
        <w:tc>
          <w:tcPr>
            <w:tcW w:type="dxa" w:w="950"/>
          </w:tcPr>
          <w:p>
            <w:pPr>
              <w:spacing w:before="0" w:after="0" w:line="240" w:lineRule="auto"/>
              <w:ind w:firstLine="0" w:left="0"/>
              <w:jc w:val="left"/>
            </w:pPr>
            <w:r>
              <w:rPr>
                <w:rFonts w:ascii="Times New Roman" w:hAnsi="Times New Roman" w:cs="Times New Roman" w:eastAsia="Times New Roman"/>
                <w:b w:val="0"/>
                <w:i w:val="0"/>
                <w:sz w:val="24"/>
              </w:rPr>
              <w:t>SP</w:t>
            </w:r>
          </w:p>
        </w:tc>
        <w:tc>
          <w:tcPr>
            <w:tcW w:type="dxa" w:w="1483"/>
          </w:tcPr>
          <w:p>
            <w:pPr>
              <w:spacing w:before="0" w:after="0" w:line="240" w:lineRule="auto"/>
              <w:ind w:firstLine="0" w:left="0"/>
              <w:jc w:val="left"/>
            </w:pPr>
            <w:r>
              <w:rPr>
                <w:rFonts w:ascii="Times New Roman" w:hAnsi="Times New Roman" w:cs="Times New Roman" w:eastAsia="Times New Roman"/>
                <w:b w:val="0"/>
                <w:i w:val="0"/>
                <w:sz w:val="24"/>
              </w:rPr>
              <w:t>λ = 663 руб./т (IV кл.)</w:t>
            </w:r>
          </w:p>
        </w:tc>
        <w:tc>
          <w:tcPr>
            <w:tcW w:type="dxa" w:w="1083"/>
          </w:tcPr>
          <w:p>
            <w:pPr>
              <w:spacing w:before="0" w:after="0" w:line="240" w:lineRule="auto"/>
              <w:ind w:firstLine="0" w:left="0"/>
              <w:jc w:val="left"/>
            </w:pPr>
            <w:r>
              <w:rPr>
                <w:rFonts w:ascii="Times New Roman" w:hAnsi="Times New Roman" w:cs="Times New Roman" w:eastAsia="Times New Roman"/>
                <w:b w:val="0"/>
                <w:i w:val="0"/>
                <w:sz w:val="24"/>
              </w:rPr>
              <w:t>60 тыс. т/год</w:t>
            </w:r>
          </w:p>
        </w:tc>
        <w:tc>
          <w:tcPr>
            <w:tcW w:type="dxa" w:w="1349"/>
          </w:tcPr>
          <w:p>
            <w:pPr>
              <w:spacing w:before="0" w:after="0" w:line="240" w:lineRule="auto"/>
              <w:ind w:firstLine="0" w:left="0"/>
              <w:jc w:val="left"/>
            </w:pPr>
            <w:r>
              <w:rPr>
                <w:rFonts w:ascii="Times New Roman" w:hAnsi="Times New Roman" w:cs="Times New Roman" w:eastAsia="Times New Roman"/>
                <w:b w:val="0"/>
                <w:i w:val="0"/>
                <w:sz w:val="24"/>
              </w:rPr>
              <w:t>≈ 40</w:t>
            </w:r>
          </w:p>
        </w:tc>
        <w:tc>
          <w:tcPr>
            <w:tcW w:type="dxa" w:w="2222"/>
          </w:tcPr>
          <w:p>
            <w:pPr>
              <w:spacing w:before="0" w:after="0" w:line="240" w:lineRule="auto"/>
              <w:ind w:firstLine="0" w:left="0"/>
              <w:jc w:val="left"/>
            </w:pPr>
            <w:r>
              <w:rPr>
                <w:rFonts w:ascii="Times New Roman" w:hAnsi="Times New Roman" w:cs="Times New Roman" w:eastAsia="Times New Roman"/>
                <w:b w:val="0"/>
                <w:i w:val="0"/>
                <w:sz w:val="24"/>
              </w:rPr>
              <w:t>Постановление Правительства РФ № 255 (2016, ред. 2023)</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Итого верифицированная экономия ΔE(t)</w:t>
            </w:r>
          </w:p>
        </w:tc>
        <w:tc>
          <w:tcPr>
            <w:tcW w:type="dxa" w:w="950"/>
          </w:tcPr>
          <w:p>
            <w:pPr>
              <w:spacing w:before="0" w:after="0" w:line="240" w:lineRule="auto"/>
              <w:ind w:firstLine="0" w:left="0"/>
              <w:jc w:val="left"/>
            </w:pPr>
            <w:r>
              <w:rPr>
                <w:rFonts w:ascii="Times New Roman" w:hAnsi="Times New Roman" w:cs="Times New Roman" w:eastAsia="Times New Roman"/>
                <w:b w:val="0"/>
                <w:i w:val="0"/>
                <w:sz w:val="24"/>
              </w:rPr>
              <w:t>—</w:t>
            </w:r>
          </w:p>
        </w:tc>
        <w:tc>
          <w:tcPr>
            <w:tcW w:type="dxa" w:w="1483"/>
          </w:tcPr>
          <w:p>
            <w:pPr>
              <w:spacing w:before="0" w:after="0" w:line="240" w:lineRule="auto"/>
              <w:ind w:firstLine="0" w:left="0"/>
              <w:jc w:val="left"/>
            </w:pPr>
            <w:r>
              <w:rPr>
                <w:rFonts w:ascii="Times New Roman" w:hAnsi="Times New Roman" w:cs="Times New Roman" w:eastAsia="Times New Roman"/>
                <w:b w:val="0"/>
                <w:i w:val="0"/>
                <w:sz w:val="24"/>
              </w:rPr>
              <w:t>—</w:t>
            </w:r>
          </w:p>
        </w:tc>
        <w:tc>
          <w:tcPr>
            <w:tcW w:type="dxa" w:w="1083"/>
          </w:tcPr>
          <w:p>
            <w:pPr>
              <w:spacing w:before="0" w:after="0" w:line="240" w:lineRule="auto"/>
              <w:ind w:firstLine="0" w:left="0"/>
              <w:jc w:val="left"/>
            </w:pPr>
            <w:r>
              <w:rPr>
                <w:rFonts w:ascii="Times New Roman" w:hAnsi="Times New Roman" w:cs="Times New Roman" w:eastAsia="Times New Roman"/>
                <w:b w:val="0"/>
                <w:i w:val="0"/>
                <w:sz w:val="24"/>
              </w:rPr>
              <w:t>—</w:t>
            </w:r>
          </w:p>
        </w:tc>
        <w:tc>
          <w:tcPr>
            <w:tcW w:type="dxa" w:w="1349"/>
          </w:tcPr>
          <w:p>
            <w:pPr>
              <w:spacing w:before="0" w:after="0" w:line="240" w:lineRule="auto"/>
              <w:ind w:firstLine="0" w:left="0"/>
              <w:jc w:val="left"/>
            </w:pPr>
            <w:r>
              <w:rPr>
                <w:rFonts w:ascii="Times New Roman" w:hAnsi="Times New Roman" w:cs="Times New Roman" w:eastAsia="Times New Roman"/>
                <w:b w:val="0"/>
                <w:i w:val="0"/>
                <w:sz w:val="24"/>
              </w:rPr>
              <w:t>≈ 313</w:t>
            </w:r>
          </w:p>
        </w:tc>
        <w:tc>
          <w:tcPr>
            <w:tcW w:type="dxa" w:w="2222"/>
          </w:tcPr>
          <w:p>
            <w:pPr>
              <w:spacing w:before="0" w:after="0" w:line="240" w:lineRule="auto"/>
              <w:ind w:firstLine="0" w:left="0"/>
              <w:jc w:val="left"/>
            </w:pPr>
            <w:r>
              <w:rPr>
                <w:rFonts w:ascii="Times New Roman" w:hAnsi="Times New Roman" w:cs="Times New Roman" w:eastAsia="Times New Roman"/>
                <w:b w:val="0"/>
                <w:i w:val="0"/>
                <w:sz w:val="24"/>
              </w:rPr>
              <w:t>— (верхняя граница; базовый сценарий 250 млн руб./год)</w:t>
            </w:r>
          </w:p>
        </w:tc>
      </w:tr>
    </w:tbl>
    <w:p>
      <w:pPr>
        <w:spacing w:before="0" w:after="0" w:line="360" w:lineRule="auto"/>
        <w:ind w:firstLine="709" w:left="0"/>
        <w:jc w:val="both"/>
      </w:pPr>
      <w:r>
        <w:rPr>
          <w:rFonts w:ascii="Times New Roman" w:hAnsi="Times New Roman" w:cs="Times New Roman" w:eastAsia="Times New Roman"/>
          <w:b w:val="0"/>
          <w:i w:val="0"/>
          <w:sz w:val="28"/>
        </w:rPr>
        <w:t>Источник: авторская разработка. Биржевые котировки: ПК-Пласт (2024). Нормативы: ПП РФ № 255 (2023). Тепловые параметры: ПАО «ЭЛ5-Энерго», форма ТП-1. Объёмы потоков: ТОСЭР «Невинномысск» [9].</w:t>
      </w:r>
    </w:p>
    <w:p>
      <w:pPr>
        <w:keepNext/>
        <w:spacing w:before="0" w:after="0" w:line="360" w:lineRule="auto"/>
        <w:ind w:firstLine="709" w:left="0"/>
        <w:jc w:val="both"/>
      </w:pPr>
      <w:r>
        <w:rPr>
          <w:rFonts w:ascii="Times New Roman" w:hAnsi="Times New Roman" w:cs="Times New Roman" w:eastAsia="Times New Roman"/>
          <w:b/>
          <w:i w:val="0"/>
          <w:sz w:val="28"/>
        </w:rPr>
        <w:t>2.8.5. Анализ чувствительности ΔE(t) к методу ценообразования</w:t>
      </w:r>
    </w:p>
    <w:p>
      <w:pPr>
        <w:spacing w:before="0" w:after="0" w:line="360" w:lineRule="auto"/>
        <w:ind w:firstLine="709" w:left="0"/>
        <w:jc w:val="both"/>
      </w:pPr>
      <w:r>
        <w:rPr>
          <w:rFonts w:ascii="Times New Roman" w:hAnsi="Times New Roman" w:cs="Times New Roman" w:eastAsia="Times New Roman"/>
          <w:b w:val="0"/>
          <w:i w:val="0"/>
          <w:sz w:val="28"/>
        </w:rPr>
        <w:t>Принципиально важно установить, насколько выбор метода p_ij(k) влияет на итоговую верифицированную экономию ΔE(t) — и является ли числовой результат модели структурно устойчивым при допустимых вариациях ценовых допущений. Защита не предотвращает ошибку ценового допущения, а уменьшает её последствия за счёт явного декларирования диапазонов.</w:t>
      </w:r>
    </w:p>
    <w:p>
      <w:pPr>
        <w:spacing w:before="0" w:after="0" w:line="360" w:lineRule="auto"/>
        <w:ind w:firstLine="709" w:left="0"/>
        <w:jc w:val="both"/>
      </w:pPr>
      <w:r>
        <w:rPr>
          <w:rFonts w:ascii="Times New Roman" w:hAnsi="Times New Roman" w:cs="Times New Roman" w:eastAsia="Times New Roman"/>
          <w:b w:val="0"/>
          <w:i w:val="0"/>
          <w:sz w:val="28"/>
        </w:rPr>
        <w:t>Сценарий A (оптимистичный): тепло — по верхней границе CP (220 руб./Гкал); CO₂ — по верхней границе NP (6 000 руб./т); ПЭТ — по максимальной котировке MB (35 000 руб./т без дисконта); λ_IV — +20% от базового значения. Итоговая ΔE_A ≈ 375 млн руб./год.</w:t>
      </w:r>
    </w:p>
    <w:p>
      <w:pPr>
        <w:spacing w:before="0" w:after="0" w:line="360" w:lineRule="auto"/>
        <w:ind w:firstLine="709" w:left="0"/>
        <w:jc w:val="both"/>
      </w:pPr>
      <w:r>
        <w:rPr>
          <w:rFonts w:ascii="Times New Roman" w:hAnsi="Times New Roman" w:cs="Times New Roman" w:eastAsia="Times New Roman"/>
          <w:b w:val="0"/>
          <w:i w:val="0"/>
          <w:sz w:val="28"/>
        </w:rPr>
        <w:t>Сценарий B (базовый, принятый в главе 2): p_тепло = 200 руб./Гкал; p_CO₂ = 5 000 руб./т; p_ПЭТ = 30 000 руб./т; λ_IV = 663 руб./т. ΔE_B = 313 млн руб./год (верхняя оценка при Cинд = 10%); консервативная граница ΔE_B_конс = 250 млн руб./год принята в формуле SD(t) с учётом коэффициента φ(Cинд) &lt; 1.</w:t>
      </w:r>
    </w:p>
    <w:p>
      <w:pPr>
        <w:spacing w:before="0" w:after="0" w:line="360" w:lineRule="auto"/>
        <w:ind w:firstLine="709" w:left="0"/>
        <w:jc w:val="both"/>
      </w:pPr>
      <w:r>
        <w:rPr>
          <w:rFonts w:ascii="Times New Roman" w:hAnsi="Times New Roman" w:cs="Times New Roman" w:eastAsia="Times New Roman"/>
          <w:b w:val="0"/>
          <w:i w:val="0"/>
          <w:sz w:val="28"/>
        </w:rPr>
        <w:t>Сценарий C (пессимистичный): тепло — по нижней границе CP (180 руб./Гкал, m = 0); CO₂ — по нижней NP (3 500 руб./т после торга); ПЭТ — MB с максимальным дисконтом (25 000 руб./т); λ_IV — −20%. Итоговая ΔE_C ≈ 195 млн руб./год.</w:t>
      </w:r>
    </w:p>
    <w:p>
      <w:pPr>
        <w:spacing w:before="0" w:after="0" w:line="360" w:lineRule="auto"/>
        <w:ind w:firstLine="709" w:left="0"/>
        <w:jc w:val="both"/>
      </w:pPr>
      <w:r>
        <w:rPr>
          <w:rFonts w:ascii="Times New Roman" w:hAnsi="Times New Roman" w:cs="Times New Roman" w:eastAsia="Times New Roman"/>
          <w:b w:val="0"/>
          <w:i w:val="0"/>
          <w:sz w:val="28"/>
        </w:rPr>
        <w:t>Диапазон ΔE_C … ΔE_A = 195–375 млн руб./год свидетельствует о двукратном разбросе оценок при крайних ценовых сценариях. Данное обстоятельство подтверждает: числовые результаты раздела 2.5 являются корректными лишь при явно заданных ценовых допущениях базового сценария B. Вместе с тем структурный вывод модели — о нелинейном росте SD(t) по мере увеличения Cинд и о трёхрежимной типологии экосистемы — остаётся справедливым во всех трёх сценариях, поскольку определяется формой функции φ(Cинд), а не абсолютными значениями p_ij(k). Граница целесообразных инвестиций в ЭКОПЛАТФОРМУ (порог ROI_гос ≥ ROI_min) достигается при SD ≥ 93 млн руб./год, что соответствует реализации ΔE_C при Cинд ≥ 8%. Таким образом, даже пессимистичный ценовой сценарий не опровергает экономическую жизнеспособность проекта.</w:t>
      </w:r>
    </w:p>
    <w:p>
      <w:pPr>
        <w:keepNext/>
        <w:spacing w:before="0" w:after="0" w:line="360" w:lineRule="auto"/>
        <w:ind w:firstLine="709" w:left="0"/>
        <w:jc w:val="both"/>
      </w:pPr>
      <w:r>
        <w:rPr>
          <w:rFonts w:ascii="Times New Roman" w:hAnsi="Times New Roman" w:cs="Times New Roman" w:eastAsia="Times New Roman"/>
          <w:b/>
          <w:i w:val="0"/>
          <w:sz w:val="28"/>
        </w:rPr>
        <w:t>2.8.6. Институциональные условия верификации p_ij(k): требования к первичным данным</w:t>
      </w:r>
    </w:p>
    <w:p>
      <w:pPr>
        <w:spacing w:before="0" w:after="0" w:line="360" w:lineRule="auto"/>
        <w:ind w:firstLine="709" w:left="0"/>
        <w:jc w:val="both"/>
      </w:pPr>
      <w:r>
        <w:rPr>
          <w:rFonts w:ascii="Times New Roman" w:hAnsi="Times New Roman" w:cs="Times New Roman" w:eastAsia="Times New Roman"/>
          <w:b w:val="0"/>
          <w:i w:val="0"/>
          <w:sz w:val="28"/>
        </w:rPr>
        <w:t>Методологическая строгость модели требует явного указания на источники верификации каждого ценового параметра. В мировой литературе присутствует признание существования оптимума трансфертных цен в промышленных симбиозах, однако отсутствует формализованный перечень первичных данных, необходимых для их подтверждения в российском правовом контексте. Восполняя данный пробел, настоящий раздел устанавливает три требования к информационной базе.</w:t>
      </w:r>
    </w:p>
    <w:p>
      <w:pPr>
        <w:spacing w:before="0" w:after="0" w:line="360" w:lineRule="auto"/>
        <w:ind w:firstLine="709" w:left="0"/>
        <w:jc w:val="both"/>
      </w:pPr>
      <w:r>
        <w:rPr>
          <w:rFonts w:ascii="Times New Roman" w:hAnsi="Times New Roman" w:cs="Times New Roman" w:eastAsia="Times New Roman"/>
          <w:b w:val="0"/>
          <w:i w:val="0"/>
          <w:sz w:val="28"/>
        </w:rPr>
        <w:t>Требование первое: для потоков с методом CP обязательно предоставление управленческой отчётности поставщика (форма ТП-1 для теплоснабжения; материальный баланс установки улавливания CO₂ «Азота») с аудиторским подтверждением статей прямых затрат C_ij(k). Без этого m_ij = 0 является не допущением, а неверифицируемым требованием.</w:t>
      </w:r>
    </w:p>
    <w:p>
      <w:pPr>
        <w:spacing w:before="0" w:after="0" w:line="360" w:lineRule="auto"/>
        <w:ind w:firstLine="709" w:left="0"/>
        <w:jc w:val="both"/>
      </w:pPr>
      <w:r>
        <w:rPr>
          <w:rFonts w:ascii="Times New Roman" w:hAnsi="Times New Roman" w:cs="Times New Roman" w:eastAsia="Times New Roman"/>
          <w:b w:val="0"/>
          <w:i w:val="0"/>
          <w:sz w:val="28"/>
        </w:rPr>
        <w:t>Требование второе: для потоков с методом NP обязательна фиксация протокола переговорной комиссии с участием независимого эксперта-оценщика, устанавливающего нижнюю и верхнюю границы зоны торга (формула 2.27). Данный документ является источником верификации при расчёте ΔE(t) по методу LCA (ISO 14044, раздел 4.3) [1, 6].</w:t>
      </w:r>
    </w:p>
    <w:p>
      <w:pPr>
        <w:spacing w:before="0" w:after="0" w:line="360" w:lineRule="auto"/>
        <w:ind w:firstLine="709" w:left="0"/>
        <w:jc w:val="both"/>
      </w:pPr>
      <w:r>
        <w:rPr>
          <w:rFonts w:ascii="Times New Roman" w:hAnsi="Times New Roman" w:cs="Times New Roman" w:eastAsia="Times New Roman"/>
          <w:b w:val="0"/>
          <w:i w:val="0"/>
          <w:sz w:val="28"/>
        </w:rPr>
        <w:t>Требование третье: для потоков с методом SP ежегодная актуализация λ_k по официальным источникам (база данных Росприроднадзора; официальный текст Постановления Правительства РФ № 255) обязательна, поскольку реализация угроз изменения регуляторной среды может приводить к инцидентам, последствия которых выражаются в пересчёте E₄(t) в сторону снижения на 20–30% при изменении ставок НВОС.</w:t>
      </w:r>
    </w:p>
    <w:p>
      <w:pPr>
        <w:spacing w:before="0" w:after="0" w:line="360" w:lineRule="auto"/>
        <w:ind w:firstLine="709" w:left="0"/>
        <w:jc w:val="both"/>
      </w:pPr>
      <w:r>
        <w:rPr>
          <w:rFonts w:ascii="Times New Roman" w:hAnsi="Times New Roman" w:cs="Times New Roman" w:eastAsia="Times New Roman"/>
          <w:b w:val="0"/>
          <w:i w:val="0"/>
          <w:sz w:val="28"/>
        </w:rPr>
        <w:t>Совокупность трёх требований формирует стандарт верификации p_ij(k), без соблюдения которого числовые значения ΔE(t), приведённые в таблице 2.7, должны рассматриваться как оценочные, а не как доказанные. Данное разграничение принципиально для научной обоснованности модели и соответствует критерию строгости по К. Попперу: утверждения сопровождены условиями их применимости [7].</w:t>
      </w:r>
    </w:p>
    <w:p>
      <w:pPr>
        <w:keepNext/>
        <w:spacing w:before="0" w:after="0" w:line="360" w:lineRule="auto"/>
        <w:ind w:firstLine="709" w:left="0"/>
        <w:jc w:val="both"/>
      </w:pPr>
      <w:r>
        <w:rPr>
          <w:rFonts w:ascii="Times New Roman" w:hAnsi="Times New Roman" w:cs="Times New Roman" w:eastAsia="Times New Roman"/>
          <w:b/>
          <w:i w:val="0"/>
          <w:sz w:val="28"/>
        </w:rPr>
        <w:t>2.8.7. Верификация ценовой модели по четырём критериям научной строгости</w:t>
      </w:r>
    </w:p>
    <w:p>
      <w:pPr>
        <w:spacing w:before="0" w:after="0" w:line="360" w:lineRule="auto"/>
        <w:ind w:firstLine="709" w:left="0"/>
        <w:jc w:val="both"/>
      </w:pPr>
      <w:r>
        <w:rPr>
          <w:rFonts w:ascii="Times New Roman" w:hAnsi="Times New Roman" w:cs="Times New Roman" w:eastAsia="Times New Roman"/>
          <w:b w:val="0"/>
          <w:i w:val="0"/>
          <w:sz w:val="28"/>
        </w:rPr>
        <w:t>Согласно методологическим требованиям раздела 2.1, все утверждения ценовой модели подлежат проверке по четырём критериям. Результаты систематизированы в таблице 2.8.</w:t>
      </w:r>
    </w:p>
    <w:p>
      <w:pPr>
        <w:keepNext/>
        <w:spacing w:before="0" w:after="0" w:line="360" w:lineRule="auto"/>
        <w:ind w:firstLine="0" w:left="0"/>
        <w:jc w:val="right"/>
      </w:pPr>
      <w:r>
        <w:rPr>
          <w:rFonts w:ascii="Times New Roman" w:hAnsi="Times New Roman" w:cs="Times New Roman" w:eastAsia="Times New Roman"/>
          <w:b w:val="0"/>
          <w:i w:val="0"/>
          <w:sz w:val="28"/>
        </w:rPr>
        <w:t>Таблица 2.8</w:t>
      </w:r>
    </w:p>
    <w:p>
      <w:pPr>
        <w:keepNext/>
        <w:spacing w:before="0" w:after="0" w:line="360" w:lineRule="auto"/>
        <w:ind w:firstLine="0" w:left="0"/>
        <w:jc w:val="center"/>
      </w:pPr>
      <w:r>
        <w:rPr>
          <w:rFonts w:ascii="Times New Roman" w:hAnsi="Times New Roman" w:cs="Times New Roman" w:eastAsia="Times New Roman"/>
          <w:b w:val="0"/>
          <w:i w:val="0"/>
          <w:sz w:val="28"/>
        </w:rPr>
        <w:t>Верификация механизма ценообразования p_ij(k) по четырём критериям научной обоснованности</w:t>
      </w:r>
    </w:p>
    <w:tbl>
      <w:tblPr>
        <w:tblStyle w:val="TableGrid"/>
        <w:tblW w:type="auto" w:w="0"/>
        <w:jc w:val="center"/>
        <w:tblLayout w:type="fixed"/>
        <w:tblLook w:firstColumn="1" w:firstRow="1" w:lastColumn="0" w:lastRow="0" w:noHBand="0" w:noVBand="1" w:val="04A0"/>
      </w:tblPr>
      <w:tblGrid>
        <w:gridCol w:w="2268"/>
        <w:gridCol w:w="2551"/>
        <w:gridCol w:w="2268"/>
        <w:gridCol w:w="2268"/>
      </w:tblGrid>
      <w:tr>
        <w:tc>
          <w:tcPr>
            <w:tcW w:type="dxa" w:w="2268"/>
          </w:tcPr>
          <w:p>
            <w:pPr>
              <w:spacing w:before="0" w:after="0" w:line="240" w:lineRule="auto"/>
              <w:ind w:firstLine="0" w:left="0"/>
              <w:jc w:val="center"/>
            </w:pPr>
            <w:r>
              <w:rPr>
                <w:rFonts w:ascii="Times New Roman" w:hAnsi="Times New Roman" w:cs="Times New Roman" w:eastAsia="Times New Roman"/>
                <w:b/>
                <w:i w:val="0"/>
                <w:sz w:val="24"/>
              </w:rPr>
              <w:t>Критерий</w:t>
            </w:r>
          </w:p>
        </w:tc>
        <w:tc>
          <w:tcPr>
            <w:tcW w:type="dxa" w:w="2551"/>
          </w:tcPr>
          <w:p>
            <w:pPr>
              <w:spacing w:before="0" w:after="0" w:line="240" w:lineRule="auto"/>
              <w:ind w:firstLine="0" w:left="0"/>
              <w:jc w:val="center"/>
            </w:pPr>
            <w:r>
              <w:rPr>
                <w:rFonts w:ascii="Times New Roman" w:hAnsi="Times New Roman" w:cs="Times New Roman" w:eastAsia="Times New Roman"/>
                <w:b/>
                <w:i w:val="0"/>
                <w:sz w:val="24"/>
              </w:rPr>
              <w:t>Проверяемое утверждение</w:t>
            </w:r>
          </w:p>
        </w:tc>
        <w:tc>
          <w:tcPr>
            <w:tcW w:type="dxa" w:w="2268"/>
          </w:tcPr>
          <w:p>
            <w:pPr>
              <w:spacing w:before="0" w:after="0" w:line="240" w:lineRule="auto"/>
              <w:ind w:firstLine="0" w:left="0"/>
              <w:jc w:val="center"/>
            </w:pPr>
            <w:r>
              <w:rPr>
                <w:rFonts w:ascii="Times New Roman" w:hAnsi="Times New Roman" w:cs="Times New Roman" w:eastAsia="Times New Roman"/>
                <w:b/>
                <w:i w:val="0"/>
                <w:sz w:val="24"/>
              </w:rPr>
              <w:t>Метод проверки</w:t>
            </w:r>
          </w:p>
        </w:tc>
        <w:tc>
          <w:tcPr>
            <w:tcW w:type="dxa" w:w="2268"/>
          </w:tcPr>
          <w:p>
            <w:pPr>
              <w:spacing w:before="0" w:after="0" w:line="240" w:lineRule="auto"/>
              <w:ind w:firstLine="0" w:left="0"/>
              <w:jc w:val="center"/>
            </w:pPr>
            <w:r>
              <w:rPr>
                <w:rFonts w:ascii="Times New Roman" w:hAnsi="Times New Roman" w:cs="Times New Roman" w:eastAsia="Times New Roman"/>
                <w:b/>
                <w:i w:val="0"/>
                <w:sz w:val="24"/>
              </w:rPr>
              <w:t>Нулевая гипотеза H₀</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Фальсифицируемость (Поппер)</w:t>
            </w:r>
          </w:p>
        </w:tc>
        <w:tc>
          <w:tcPr>
            <w:tcW w:type="dxa" w:w="2551"/>
          </w:tcPr>
          <w:p>
            <w:pPr>
              <w:spacing w:before="0" w:after="0" w:line="240" w:lineRule="auto"/>
              <w:ind w:firstLine="0" w:left="0"/>
              <w:jc w:val="left"/>
            </w:pPr>
            <w:r>
              <w:rPr>
                <w:rFonts w:ascii="Times New Roman" w:hAnsi="Times New Roman" w:cs="Times New Roman" w:eastAsia="Times New Roman"/>
                <w:b w:val="0"/>
                <w:i w:val="0"/>
                <w:sz w:val="24"/>
              </w:rPr>
              <w:t>При замене CP на MB для тепла ΔE(t) изменяется на ±30% — модель чувствительна к выбору метода, но структурно устойчива</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Сценарный анализ чувствительности ΔE к методу p_ij при фиксированном φ(Cинд)</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H₀⁸: ΔE(t) инвариантна к выбору метода ценообразования — опровергается при отклонении &gt; 15%</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Воспроизводимость</w:t>
            </w:r>
          </w:p>
        </w:tc>
        <w:tc>
          <w:tcPr>
            <w:tcW w:type="dxa" w:w="2551"/>
          </w:tcPr>
          <w:p>
            <w:pPr>
              <w:spacing w:before="0" w:after="0" w:line="240" w:lineRule="auto"/>
              <w:ind w:firstLine="0" w:left="0"/>
              <w:jc w:val="left"/>
            </w:pPr>
            <w:r>
              <w:rPr>
                <w:rFonts w:ascii="Times New Roman" w:hAnsi="Times New Roman" w:cs="Times New Roman" w:eastAsia="Times New Roman"/>
                <w:b w:val="0"/>
                <w:i w:val="0"/>
                <w:sz w:val="24"/>
              </w:rPr>
              <w:t>Алгоритм выбора метода p_ij воспроизводится для любого ТОСЭР при известных C_ij, P_ref и λ</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Репликация калибровки на ТОСЭР «Михайловск» по открытым данным ФАС и Росстата</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H₀⁹: выбор метода p_ij зависит от субъективного суждения исследователя, а не от наблюдаемых условий</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Строгость</w:t>
            </w:r>
          </w:p>
        </w:tc>
        <w:tc>
          <w:tcPr>
            <w:tcW w:type="dxa" w:w="2551"/>
          </w:tcPr>
          <w:p>
            <w:pPr>
              <w:spacing w:before="0" w:after="0" w:line="240" w:lineRule="auto"/>
              <w:ind w:firstLine="0" w:left="0"/>
              <w:jc w:val="left"/>
            </w:pPr>
            <w:r>
              <w:rPr>
                <w:rFonts w:ascii="Times New Roman" w:hAnsi="Times New Roman" w:cs="Times New Roman" w:eastAsia="Times New Roman"/>
                <w:b w:val="0"/>
                <w:i w:val="0"/>
                <w:sz w:val="24"/>
              </w:rPr>
              <w:t>Все четыре допущения CP-расчёта (m = 0, независимость потоков, фиксированный λ, отсутствие трансакционных издержек) явно декларированы</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Анализ верхней/нижней границ p_ij при вариации m ∈ [0; 0,15] и λ ±20%</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H₀¹⁰: ΔE(t) не изменяется при m &gt; 0 для CP-метода — опровергается тождественно</w:t>
            </w:r>
          </w:p>
        </w:tc>
      </w:tr>
      <w:tr>
        <w:tc>
          <w:tcPr>
            <w:tcW w:type="dxa" w:w="2268"/>
          </w:tcPr>
          <w:p>
            <w:pPr>
              <w:spacing w:before="0" w:after="0" w:line="240" w:lineRule="auto"/>
              <w:ind w:firstLine="0" w:left="0"/>
              <w:jc w:val="left"/>
            </w:pPr>
            <w:r>
              <w:rPr>
                <w:rFonts w:ascii="Times New Roman" w:hAnsi="Times New Roman" w:cs="Times New Roman" w:eastAsia="Times New Roman"/>
                <w:b w:val="0"/>
                <w:i w:val="0"/>
                <w:sz w:val="24"/>
              </w:rPr>
              <w:t>Объяснительная сила</w:t>
            </w:r>
          </w:p>
        </w:tc>
        <w:tc>
          <w:tcPr>
            <w:tcW w:type="dxa" w:w="2551"/>
          </w:tcPr>
          <w:p>
            <w:pPr>
              <w:spacing w:before="0" w:after="0" w:line="240" w:lineRule="auto"/>
              <w:ind w:firstLine="0" w:left="0"/>
              <w:jc w:val="left"/>
            </w:pPr>
            <w:r>
              <w:rPr>
                <w:rFonts w:ascii="Times New Roman" w:hAnsi="Times New Roman" w:cs="Times New Roman" w:eastAsia="Times New Roman"/>
                <w:b w:val="0"/>
                <w:i w:val="0"/>
                <w:sz w:val="24"/>
              </w:rPr>
              <w:t>Модель объясняет расхождение между «бумажной» экономией ТОСЭР и реально зафиксированными сделками: NP-метод обнажает зону торга, где дивиденд не возникает</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Сравнение F_ij по NP с контрактными данными ОЭЗ «Алабуга» (аммиак-уксусная кислота)</w:t>
            </w:r>
          </w:p>
        </w:tc>
        <w:tc>
          <w:tcPr>
            <w:tcW w:type="dxa" w:w="2268"/>
          </w:tcPr>
          <w:p>
            <w:pPr>
              <w:spacing w:before="0" w:after="0" w:line="240" w:lineRule="auto"/>
              <w:ind w:firstLine="0" w:left="0"/>
              <w:jc w:val="left"/>
            </w:pPr>
            <w:r>
              <w:rPr>
                <w:rFonts w:ascii="Times New Roman" w:hAnsi="Times New Roman" w:cs="Times New Roman" w:eastAsia="Times New Roman"/>
                <w:b w:val="0"/>
                <w:i w:val="0"/>
                <w:sz w:val="24"/>
              </w:rPr>
              <w:t>H₀¹¹: провалы ценообразования в ОЭЗ не связаны с методом установления p_ij</w:t>
            </w:r>
          </w:p>
        </w:tc>
      </w:tr>
    </w:tbl>
    <w:p>
      <w:pPr>
        <w:spacing w:before="0" w:after="0" w:line="360" w:lineRule="auto"/>
        <w:ind w:firstLine="709" w:left="0"/>
        <w:jc w:val="both"/>
      </w:pPr>
      <w:r>
        <w:rPr>
          <w:rFonts w:ascii="Times New Roman" w:hAnsi="Times New Roman" w:cs="Times New Roman" w:eastAsia="Times New Roman"/>
          <w:b w:val="0"/>
          <w:i w:val="0"/>
          <w:sz w:val="28"/>
        </w:rPr>
        <w:t>Источник: авторская разработка на основе [1, 3, 6, 7].</w:t>
      </w:r>
    </w:p>
    <w:p>
      <w:pPr>
        <w:keepNext/>
        <w:spacing w:before="0" w:after="0" w:line="360" w:lineRule="auto"/>
        <w:ind w:firstLine="709" w:left="0"/>
        <w:jc w:val="both"/>
      </w:pPr>
      <w:r>
        <w:rPr>
          <w:rFonts w:ascii="Times New Roman" w:hAnsi="Times New Roman" w:cs="Times New Roman" w:eastAsia="Times New Roman"/>
          <w:b/>
          <w:i w:val="0"/>
          <w:sz w:val="28"/>
        </w:rPr>
        <w:t>2.8.8. Выводы по разделу 2.8</w:t>
      </w:r>
    </w:p>
    <w:p>
      <w:pPr>
        <w:spacing w:before="0" w:after="0" w:line="360" w:lineRule="auto"/>
        <w:ind w:firstLine="709" w:left="0"/>
        <w:jc w:val="both"/>
      </w:pPr>
      <w:r>
        <w:rPr>
          <w:rFonts w:ascii="Times New Roman" w:hAnsi="Times New Roman" w:cs="Times New Roman" w:eastAsia="Times New Roman"/>
          <w:b w:val="0"/>
          <w:i w:val="0"/>
          <w:sz w:val="28"/>
        </w:rPr>
        <w:t>Первое. Установлена методологическая уязвимость переменной p_ij(k) в исходной модели: её введение как данности без спецификации механизма формирования делает числовые результаты ΔE(t) зависимыми от непроверяемых ценовых допущений. Данный пробел устранён через явную таксономию пяти методов трансфертного ценообразования (CP, MB, NP, SP, HP) с формализованными условиями выбора каждого метода.</w:t>
      </w:r>
    </w:p>
    <w:p>
      <w:pPr>
        <w:spacing w:before="0" w:after="0" w:line="360" w:lineRule="auto"/>
        <w:ind w:firstLine="709" w:left="0"/>
        <w:jc w:val="both"/>
      </w:pPr>
      <w:r>
        <w:rPr>
          <w:rFonts w:ascii="Times New Roman" w:hAnsi="Times New Roman" w:cs="Times New Roman" w:eastAsia="Times New Roman"/>
          <w:b w:val="0"/>
          <w:i w:val="0"/>
          <w:sz w:val="28"/>
        </w:rPr>
        <w:t>Второе. Разработан алгоритм выбора метода p_ij(k) на основе трёх диагностических вопросов (наличие рынка → верифицируемость себестоимости → наличие регуляторной ставки), применение которого даёт однозначный результат для каждого из четырёх классов ресурсных потоков Невинномысска.</w:t>
      </w:r>
    </w:p>
    <w:p>
      <w:pPr>
        <w:spacing w:before="0" w:after="0" w:line="360" w:lineRule="auto"/>
        <w:ind w:firstLine="709" w:left="0"/>
        <w:jc w:val="both"/>
      </w:pPr>
      <w:r>
        <w:rPr>
          <w:rFonts w:ascii="Times New Roman" w:hAnsi="Times New Roman" w:cs="Times New Roman" w:eastAsia="Times New Roman"/>
          <w:b w:val="0"/>
          <w:i w:val="0"/>
          <w:sz w:val="28"/>
        </w:rPr>
        <w:t>Третье. Выполнена калибровка p_ij(k) для базового сценария: тепло — CP (200 руб./Гкал), вторсырьё — MB (30 000 руб./т с дисконтом), CO₂ — NP (5 000 руб./т), НВОС — SP (λ = 663 руб./т). Суммарная верхняя оценка ΔE_B = 313 млн руб./год превышает консервативную границу 250 млн руб./год, принятую в расчёте SD(t).</w:t>
      </w:r>
    </w:p>
    <w:p>
      <w:pPr>
        <w:spacing w:before="0" w:after="0" w:line="360" w:lineRule="auto"/>
        <w:ind w:firstLine="709" w:left="0"/>
        <w:jc w:val="both"/>
      </w:pPr>
      <w:r>
        <w:rPr>
          <w:rFonts w:ascii="Times New Roman" w:hAnsi="Times New Roman" w:cs="Times New Roman" w:eastAsia="Times New Roman"/>
          <w:b w:val="0"/>
          <w:i w:val="0"/>
          <w:sz w:val="28"/>
        </w:rPr>
        <w:t>Четвёртое. Анализ чувствительности в трёх сценариях (A: 375, B: 313, C: 195 млн руб./год) подтвердил структурную устойчивость модели: при любом ценовом сценарии SD(t) достигает порога ROI_гос ≥ ROI_min при Cинд ≥ 8%, что не опровергает экономическую жизнеспособность ЭКОПЛАТФОРМЫ. Сформулированы нулевые гипотезы H₀⁸–H₀¹¹, допускающие эмпирическую проверку на данных российских ТОСЭР. Чёткое разграничение между структурно устойчивыми выводами модели и параметрически чувствительными значениями p_ij(k) позволяет выстроить логически непротиворечивую и методологически устойчивую модель анализа, исключающую подмену уровней доказательства.</w:t>
      </w:r>
    </w:p>
    <w:p>
      <w:pPr>
        <w:keepNext/>
        <w:spacing w:before="0" w:after="0" w:line="360" w:lineRule="auto"/>
        <w:ind w:firstLine="709" w:left="0"/>
        <w:jc w:val="both"/>
      </w:pPr>
      <w:r>
        <w:rPr>
          <w:rFonts w:ascii="Times New Roman" w:hAnsi="Times New Roman" w:cs="Times New Roman" w:eastAsia="Times New Roman"/>
          <w:b/>
          <w:i w:val="0"/>
          <w:sz w:val="28"/>
        </w:rPr>
        <w:t>Библиографические ссылки к разделу 2.8</w:t>
      </w:r>
    </w:p>
    <w:p>
      <w:pPr>
        <w:spacing w:before="0" w:after="0" w:line="360" w:lineRule="auto"/>
        <w:ind w:firstLine="709" w:left="0"/>
        <w:jc w:val="both"/>
      </w:pPr>
      <w:r>
        <w:rPr>
          <w:rFonts w:ascii="Times New Roman" w:hAnsi="Times New Roman" w:cs="Times New Roman" w:eastAsia="Times New Roman"/>
          <w:b w:val="0"/>
          <w:i w:val="0"/>
          <w:sz w:val="28"/>
        </w:rPr>
        <w:t>[1] Neves A., Godina R., Azevedo S. G., Matias J. C. O. A comprehensive review of industrial symbiosis // Journal of Cleaner Production. — 2020. — Vol. 247. — Art. 119113. — DOI: 10.1016/j.jclepro.2019.119113.</w:t>
      </w:r>
    </w:p>
    <w:p>
      <w:pPr>
        <w:spacing w:before="0" w:after="0" w:line="360" w:lineRule="auto"/>
        <w:ind w:firstLine="709" w:left="0"/>
        <w:jc w:val="both"/>
      </w:pPr>
      <w:r>
        <w:rPr>
          <w:rFonts w:ascii="Times New Roman" w:hAnsi="Times New Roman" w:cs="Times New Roman" w:eastAsia="Times New Roman"/>
          <w:b w:val="0"/>
          <w:i w:val="0"/>
          <w:sz w:val="28"/>
        </w:rPr>
        <w:t>[2] Oughton C., Kurup B., Anda M., Ho G. Industrial symbiosis to circular economy // Circular Economy and Sustainability. — 2022. — Vol. 2, No. 4. — P. 1317–1344. — DOI: 10.1007/s43615-022-00153-1.</w:t>
      </w:r>
    </w:p>
    <w:p>
      <w:pPr>
        <w:spacing w:before="0" w:after="0" w:line="360" w:lineRule="auto"/>
        <w:ind w:firstLine="709" w:left="0"/>
        <w:jc w:val="both"/>
      </w:pPr>
      <w:r>
        <w:rPr>
          <w:rFonts w:ascii="Times New Roman" w:hAnsi="Times New Roman" w:cs="Times New Roman" w:eastAsia="Times New Roman"/>
          <w:b w:val="0"/>
          <w:i w:val="0"/>
          <w:sz w:val="28"/>
        </w:rPr>
        <w:t>[3] OECD. Transfer Pricing Guidelines for Multinational Enterprises and Tax Administrations 2022. — Paris: OECD Publishing, 2022. — 658 p. — DOI: 10.1787/0e655865-en.</w:t>
      </w:r>
    </w:p>
    <w:p>
      <w:pPr>
        <w:spacing w:before="0" w:after="0" w:line="360" w:lineRule="auto"/>
        <w:ind w:firstLine="709" w:left="0"/>
        <w:jc w:val="both"/>
      </w:pPr>
      <w:r>
        <w:rPr>
          <w:rFonts w:ascii="Times New Roman" w:hAnsi="Times New Roman" w:cs="Times New Roman" w:eastAsia="Times New Roman"/>
          <w:b w:val="0"/>
          <w:i w:val="0"/>
          <w:sz w:val="28"/>
        </w:rPr>
        <w:t>[4] Simioni F.J. et al. Industrial symbiosis and circular economy practices towards sustainability in forest-based clusters // Sustainability. — 2024. — Vol. 16, No. 21. — Art. 9258. — DOI: 10.3390/su16219258.</w:t>
      </w:r>
    </w:p>
    <w:p>
      <w:pPr>
        <w:spacing w:before="0" w:after="0" w:line="360" w:lineRule="auto"/>
        <w:ind w:firstLine="709" w:left="0"/>
        <w:jc w:val="both"/>
      </w:pPr>
      <w:r>
        <w:rPr>
          <w:rFonts w:ascii="Times New Roman" w:hAnsi="Times New Roman" w:cs="Times New Roman" w:eastAsia="Times New Roman"/>
          <w:b w:val="0"/>
          <w:i w:val="0"/>
          <w:sz w:val="28"/>
        </w:rPr>
        <w:t>[5] Lippi G., Evola R.S., Vesce E. Industrial symbiosis patterns in eco-industrial parks: a sectoral analysis based on global empirical data // Journal of Cleaner Production. — 2025. — DOI: 10.1016/j.jclepro.2025.146807.</w:t>
      </w:r>
    </w:p>
    <w:p>
      <w:pPr>
        <w:spacing w:before="0" w:after="0" w:line="360" w:lineRule="auto"/>
        <w:ind w:firstLine="709" w:left="0"/>
        <w:jc w:val="both"/>
      </w:pPr>
      <w:r>
        <w:rPr>
          <w:rFonts w:ascii="Times New Roman" w:hAnsi="Times New Roman" w:cs="Times New Roman" w:eastAsia="Times New Roman"/>
          <w:b w:val="0"/>
          <w:i w:val="0"/>
          <w:sz w:val="28"/>
        </w:rPr>
        <w:t>[6] ISO 14044:2006. Environmental management — Life cycle assessment — Requirements and guidelines. — Geneva: ISO, 2006 (переизд. 2022). — 54 p.</w:t>
      </w:r>
    </w:p>
    <w:p>
      <w:pPr>
        <w:spacing w:before="0" w:after="0" w:line="360" w:lineRule="auto"/>
        <w:ind w:firstLine="709" w:left="0"/>
        <w:jc w:val="both"/>
      </w:pPr>
      <w:r>
        <w:rPr>
          <w:rFonts w:ascii="Times New Roman" w:hAnsi="Times New Roman" w:cs="Times New Roman" w:eastAsia="Times New Roman"/>
          <w:b w:val="0"/>
          <w:i w:val="0"/>
          <w:sz w:val="28"/>
        </w:rPr>
        <w:t>[7] Williamson O.E. The Economic Institutions of Capitalism: Firms, Markets, Relational Contracting. — New York: Free Press, 1985. — 450 p.</w:t>
      </w:r>
    </w:p>
    <w:p>
      <w:pPr>
        <w:spacing w:before="0" w:after="0" w:line="360" w:lineRule="auto"/>
        <w:ind w:firstLine="709" w:left="0"/>
        <w:jc w:val="both"/>
      </w:pPr>
      <w:r>
        <w:rPr>
          <w:rFonts w:ascii="Times New Roman" w:hAnsi="Times New Roman" w:cs="Times New Roman" w:eastAsia="Times New Roman"/>
          <w:b w:val="0"/>
          <w:i w:val="0"/>
          <w:sz w:val="28"/>
        </w:rPr>
        <w:t>[8] Sala S., Ciuffo B., Nijkamp P. A systemic framework for sustainability assessment // Ecological Economics. — 2015. — Vol. 119. — P. 314–325. — DOI: 10.1016/j.ecolecon.2015.09.015.</w:t>
      </w:r>
    </w:p>
    <w:p>
      <w:pPr>
        <w:spacing w:before="0" w:after="0" w:line="360" w:lineRule="auto"/>
        <w:ind w:firstLine="709" w:left="0"/>
        <w:jc w:val="both"/>
      </w:pPr>
      <w:r>
        <w:rPr>
          <w:rFonts w:ascii="Times New Roman" w:hAnsi="Times New Roman" w:cs="Times New Roman" w:eastAsia="Times New Roman"/>
          <w:b w:val="0"/>
          <w:i w:val="0"/>
          <w:sz w:val="28"/>
        </w:rPr>
        <w:t>[9] Информационно-инвестиционный портал Невинномысска. В 2024 году объём инвестиций в Невинномысске превысил 34 миллиарда рублей. — 2025. — URL: https://invest26.ru/news/11902.</w:t>
      </w:r>
    </w:p>
    <w:p>
      <w:pPr>
        <w:spacing w:before="0" w:after="0" w:line="360" w:lineRule="auto"/>
        <w:ind w:firstLine="709" w:left="0"/>
        <w:jc w:val="both"/>
      </w:pPr>
      <w:r>
        <w:rPr>
          <w:rFonts w:ascii="Times New Roman" w:hAnsi="Times New Roman" w:cs="Times New Roman" w:eastAsia="Times New Roman"/>
          <w:b w:val="0"/>
          <w:i w:val="0"/>
          <w:sz w:val="28"/>
        </w:rPr>
        <w:t>[10] Управление Роспотребнадзора по Ставропольскому краю. Государственный доклад «О состоянии санитарно-эпидемиологического благополучия населения в Ставропольском крае в 2024 году». — Ставрополь, 2025.</w:t>
      </w:r>
    </w:p>
    <w:p>
      <w:pPr>
        <w:spacing w:before="0" w:after="0" w:line="360" w:lineRule="auto"/>
        <w:ind w:firstLine="709" w:left="0"/>
        <w:jc w:val="both"/>
      </w:pPr>
      <w:r>
        <w:rPr>
          <w:rFonts w:ascii="Times New Roman" w:hAnsi="Times New Roman" w:cs="Times New Roman" w:eastAsia="Times New Roman"/>
          <w:b w:val="0"/>
          <w:i w:val="0"/>
          <w:sz w:val="28"/>
        </w:rPr>
        <w:t>[11] Popper K.R. The Logic of Scientific Discovery. — New York: Routledge, 2002. — 480 p.</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2026-10-11T00:00:00Z</dcterms:created>
  <dcterms:modified xsi:type="dcterms:W3CDTF">2026-10-11T00:00:00Z</dcterms:modified>
  <cp:category/>
  <cp:contentStatus/>
  <dc:identifier/>
  <dc:language/>
  <cp:version/>
  <cp:lastPrinted>2026-10-11T00:00:00Z</cp:lastPrinted>
</cp:coreProperties>
</file>