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 Индивидуальные стимулы участия в промышленном симбиозе: игротеоретическая модель coopetition и конкурентоспособность резидентов ТОСЭР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2.9.1. Постановка задачи: парадокс рационального уклонения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ЭКОПЛАТФОРМЫ, разработанная в разделах 2.3–2.7, демонстрирует, что симбиотический дивиденд SD(t) &gt; 0 при Cинд ≥ 5% и что каждый дополнительный симбиотический обмен увеличивает совокупный эффект экосистемы через нелинейную функцию φ(Cинд). Данный результат является необходимым, но недостаточным условием практической реализации модели. Он показывает, что экосистема в целом выигрывает — однако не показывает, выигрывает ли конкретный резидент при участии в симбиозе. Между тем именно индивидуальная рациональность, а не коллективная оптимальность, определяет фактическое поведение хозяйствующего субъекта.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Структурная природа данного противоречия описывается феноменом coopetition (кооперативной конкуренции): резиденты ТОСЭР одновременно конкурируют на рынках сбыта и кооперируются в рамках ресурсных обменов [3, 4]. Участие в симбиозе требует раскрытия производственных данных — объёмов отходов, технологических параметров потоков, мощностей оборудования, — которые в конкурентном контексте являются коммерческой тайной. Утрата исключительного контроля над информацией ведёт к перераспределению доходов и снижению конкурентных преимуществ в отношении тех резидентов, которые извлекают выгоду из раскрытых данных, не раскрывая собственных. Данная структура стимулов воспроизводит классическую дилемму заключённого — коллективно оптимальный исход недостижим через децентрализованные решения рациональных агентов без специального механизма координации [5, 6].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Настоящий раздел строит игротеоретическую модель участия резидентов в промышленном симбиозе, выводит условия, при которых стратегия «участвовать» является доминирующей для рационального агента, и показывает, каким образом механизмы ЭКОПЛАТФОРМЫ — в первую очередь верифицированный дивиденд Dᵢ(t) и агрегированная верификация данных — трансформируют игру из дилеммы заключённого в координационную игру с устойчивым кооперативным равновесием. Информационная безопасность выступает здесь не как затратная статья, а как экономически обусловленный механизм сохранения и воспроизводства стоимости: именно защита данных резидента от несанкционированного использования делает его участие в симбиозе рациональным.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2.9.2. Базовая игровая модель: дилемма заключённого в симбиотическом обмене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Рассмотрим двух резидентов i и j, обменивающихся ресурсным потоком k (например, тепловой энергией или вторичным сырьём). Каждый резидент выбирает одну из двух стратегий: C (cooperate — участвовать в симбиозе, раскрывая данные о потоке) или D (defect — уклоняться, сохраняя информационную автономию). Игра является одновременной и симметричной в части структуры стимулов, хотя параметры могут различаться между парами.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Введём следующую систему обозначений. Bᵢ — автономная коммерческая выгода резидента i от реализации симбиотического ресурса на открытом рынке (если он уклонится от симбиоза, он продаёт ресурс по рыночной цене или утилизирует отходы по стандартной схеме). cᵢ(k) — транзакционные издержки участия в симбиозе: установка IoT-узла, юридическое сопровождение симбиотического контракта, верификация потока k независимым аудитором, раскрытие производственных данных. Dᵢ(t) — индивидуальный симбиотический дивиденд резидента i за период t (из раздела 2.7: Dᵢ(t) = γ_рез · SD(t) · sᵢ, где sᵢ — доля резидента i в верифицированной экономии ΔE(t) пропорционально его вкладу в потоки). Функция выигрыша πᵢ определяется квадрантом матрицы: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C,C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(2.30)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C,D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−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(2.31)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D,C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</m:oMath>
      <w:r>
        <w:rPr>
          <w:rFonts w:ascii="Times New Roman" w:hAnsi="Times New Roman" w:cs="Times New Roman" w:eastAsia="Times New Roman"/>
          <w:sz w:val="28"/>
        </w:rPr>
        <w:tab/>
        <w:t>(2.32)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D,D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hAnsi="Times New Roman" w:cs="Times New Roman" w:eastAsia="Times New Roman"/>
          <w:sz w:val="28"/>
        </w:rPr>
        <w:tab/>
        <w:t>(2.33)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Матрица выплат базовой игры представлена в таблице 2.9. Зелёный квадрант (C, C) соответствует Парето-оптимуму — оба резидента максимизируют совокупный выигрыш. Янтарный квадрант (D, D) является равновесием Нэша при отсутствии платформы: ни один из игроков не имеет стимула отклоняться в одностороннем порядке, поскольку переход к C при условии D партнёра даёт отрицательный выигрыш.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2.9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Матрица выплат базовой игры: дилемма заключённого в промышленном симбиозе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1"/>
        <w:gridCol w:w="4001"/>
        <w:gridCol w:w="3733"/>
      </w:tblGrid>
      <w:tr>
        <w:tc>
          <w:tcPr>
            <w:tcW w:type="dxa" w:w="1621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Стратегии</w:t>
            </w:r>
          </w:p>
        </w:tc>
        <w:tc>
          <w:tcPr>
            <w:tcW w:type="dxa" w:w="4001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Резидент j: Участвует (C)</w:t>
            </w:r>
          </w:p>
        </w:tc>
        <w:tc>
          <w:tcPr>
            <w:tcW w:type="dxa" w:w="373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Резидент j: Не участвует (D)</w:t>
            </w:r>
          </w:p>
        </w:tc>
      </w:tr>
      <w:tr>
        <w:tc>
          <w:tcPr>
            <w:tcW w:type="dxa" w:w="16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Резидент i: Участвует (C)</w:t>
            </w:r>
          </w:p>
        </w:tc>
        <w:tc>
          <w:tcPr>
            <w:tcW w:type="dxa" w:w="400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πᵢ = Bᵢ − cᵢ + Dᵢ(t) &gt; 0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πⱼ = Bⱼ − cⱼ + Dⱼ(t) &gt; 0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[Парето-оптимум, равновесие при платформе]</w:t>
            </w:r>
          </w:p>
        </w:tc>
        <w:tc>
          <w:tcPr>
            <w:tcW w:type="dxa" w:w="373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πᵢ = −cᵢ + Dᵢ(t) &lt; 0 (потери)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πⱼ = Bⱼ (выигрыш фрирайдера)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[i несёт затраты, j извлекает выгоду]</w:t>
            </w:r>
          </w:p>
        </w:tc>
      </w:tr>
      <w:tr>
        <w:tc>
          <w:tcPr>
            <w:tcW w:type="dxa" w:w="16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Резидент i: Не участвует (D)</w:t>
            </w:r>
          </w:p>
        </w:tc>
        <w:tc>
          <w:tcPr>
            <w:tcW w:type="dxa" w:w="400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πᵢ = Bᵢ (выигрыш фрирайдера)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πⱼ = −cⱼ + Dⱼ(t) &lt; 0 (потери)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[j несёт затраты, i извлекает выгоду]</w:t>
            </w:r>
          </w:p>
        </w:tc>
        <w:tc>
          <w:tcPr>
            <w:tcW w:type="dxa" w:w="373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πᵢ = 0, πⱼ = 0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[Равновесие Нэша без платформы; SD(t) = 0, Cинд не растёт]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разработка. Обозначения: C — cooperate (участвовать); D — defect (уклоняться); Bᵢ — автономная выгода; cᵢ — затраты раскрытия; Dᵢ(t) — симбиотический дивиденд.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Равновесие Нэша в базовой игре без платформы определяется сравнением доминирующих стратегий. Стратегия D доминирует над C при условии: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D,C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&gt;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C,C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 ⟺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&gt;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 ⟺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&gt;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(2.34)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D,D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&gt;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π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C,D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 ⟺  0 &gt; −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 ⟺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&gt;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(2.35)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в отсутствие платформы стратегия D доминирует при единственном условии cᵢ &gt; Dᵢ(t): если транзакционные издержки участия превышают ожидаемый дивиденд, рациональный агент уклоняется вне зависимости от решения партнёра. Именно в этом состоит парадокс рационального уклонения: Cинд остаётся в Режиме 1 не потому, что у резидентов нет ресурсов для симбиоза, а потому, что при cᵢ &gt; Dᵢ(t) — что типично для Фазы I при Cинд &lt; 5% и SD(t) ≈ 0 — уклонение является рациональным. Это прямо объясняет эмпирический факт: ТОСЭР «Невинномысск» при развитой физической инфраструктуре и 61 резиденте сохраняет Cинд = 3–5% [9].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2.9.3. Трансформация игры: как ЭКОПЛАТФОРМА меняет структуру стимулов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ЭКОПЛАТФОРМА изменяет два параметра матрицы выплат одновременно, трансформируя игру из дилеммы заключённого в координационную игру с единственным кооперативным равновесием. Первый механизм — увеличение Dᵢ(t) через рост Cинд: по мере присоединения новых участников φ(Cинд) возрастает нелинейно, что увеличивает SD(t) и, следовательно, Dᵢ(t) пропорционально вкладу каждого резидента. Второй механизм — снижение cᵢ через цифровую инфраструктуру и стандартизацию верификации: IoT-узлы «Энергомеры», единый протокол аудита по ISO 14044 и AI-матчинг снижают стоимость раскрытия данных с уровня «переговоры с юристами» до уровня «подключение к платформе».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трансформации игры достаточно выполнения условия: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r>
          <w:rPr>
            <w:rFonts w:ascii="Cambria Math" w:hAnsi="Cambria Math"/>
            <w:i/>
            <w:sz w:val="28"/>
            <w:szCs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s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≥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(2.36)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SD(t) = α · ΣᵢEᵢ(t) · φ(Cинд(t)) задаётся формулой (2.17). При выполнении условия (2.36) стратегия C становится доминирующей для резидента i: равновесие Нэша смещается из квадранта (D, D) в квадрант (C, C), совпадающий с Парето-оптимумом. Условия доминирования стратегии C и соответствующие инструменты платформы систематизированы в таблице 2.10.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2.10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доминирования стратегии «Участвовать» и инструменты ЭКОПЛАТФОРМЫ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15"/>
        <w:gridCol w:w="2923"/>
        <w:gridCol w:w="2149"/>
      </w:tblGrid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Условие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Формальная запись</w:t>
            </w:r>
          </w:p>
        </w:tc>
        <w:tc>
          <w:tcPr>
            <w:tcW w:type="dxa" w:w="292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Экономическая интерпретация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 ЭКОПЛАТФОРМЫ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Участие покрывает затраты раскрытия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Dᵢ(t) ≥ cᵢ(k)</w:t>
            </w:r>
          </w:p>
        </w:tc>
        <w:tc>
          <w:tcPr>
            <w:tcW w:type="dxa" w:w="292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Дивиденд резидента превышает транзакционные издержки участия (IoT-узел, юридическое сопровождение, аудит потока)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γ_рез = 0,25; Δγ_рез при Cинд &gt; C* (формула 2.23)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Выгода совместного участия &gt; выгоды фрирайдинга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Bᵢ − cᵢ + Dᵢ(t) &gt; Bᵢ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⟺ Dᵢ(t) &gt; cᵢ(k)</w:t>
            </w:r>
          </w:p>
        </w:tc>
        <w:tc>
          <w:tcPr>
            <w:tcW w:type="dxa" w:w="292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Резидент не может увеличить πᵢ, уклоняясь от симбиоза при условии, что платформа верифицирует его вклад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AI-матчинг + верификация ΔE(t) исключает «безбилетника»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Затраты раскрытия компенсируются ростом конкурентоспособности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ΔКС_i = Bᵢ(участие) − Bᵢ(автономия) &gt; 0</w:t>
            </w:r>
          </w:p>
        </w:tc>
        <w:tc>
          <w:tcPr>
            <w:tcW w:type="dxa" w:w="292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Снижение себестоимости через дешёвое тепло и вторсырьё улучшает позицию резидента относительно конкурентов вне ТОСЭР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p_ij|CP &lt; P_рынок (раздел 2.8): тепло на 30–40% дешевле рыночного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Информационная асимметрия снижается верифицированным аудитом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σ(p_ij) → 0 при независимом аудите</w:t>
            </w:r>
          </w:p>
        </w:tc>
        <w:tc>
          <w:tcPr>
            <w:tcW w:type="dxa" w:w="292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Неопределённость цены симбиотического ресурса снижает готовность к участию; аудитор снимает этот барьер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Независимый верификатор ΔE(t) (ISO 14044); протокол NP-переговоров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 на основе [5, 6, 7]; cᵢ — оценочные транзакционные издержки по данным ЭПП Невинномысска [9].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2.9.4. Расширение игры: многопериодная модель и механизм репутации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игра является одноразовой (one-shot), что предполагает наиболее жёсткие условия для кооперации. В реальности взаимодействие резидентов в ТОСЭР носит многопериодный характер: контракты заключаются на срок 3–10 лет, а платформа функционирует на протяжении всего инвестиционного горизонта T = 10 лет. В повторяющейся игре (repeated game) кооперативное равновесие достигается значительно легче — через механизм репутации и угрозу исключения из симбиоза.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повторяющейся игре с конечным горизонтом T введём дисконтный фактор δᵢ ∈ (0, 1), отражающий временны́е предпочтения резидента i. Условие поддержания кооперации в каждом периоде t формулируется через принцип folk theorem: стратегия C является равновесием при условии, что выигрыш от кооперации в оставшихся периодах превышает выигрыш от одноразового отклонения: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τ=1</m:t>
            </m:r>
          </m:sub>
          <m:sup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p>
          <m:e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δ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τ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+ 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τ</m:t>
                </m:r>
              </m:e>
            </m:d>
          </m:e>
        </m:nary>
      </m:oMath>
      <w:r>
        <w:rPr>
          <w:rFonts w:ascii="Times New Roman" w:hAnsi="Times New Roman" w:cs="Times New Roman" w:eastAsia="Times New Roman"/>
          <w:sz w:val="28"/>
        </w:rPr>
        <w:tab/>
        <w:t>(2.37)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Упрощая неравенство (2.37) и принимая во внимание, что после одноразового отклонения резидент исключается из платформы (πᵢ = 0 во всех последующих периодах), получаем условие устойчивости кооперации: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≥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  <m:sup>
            <m:r>
              <w:rPr>
                <w:rFonts w:ascii="Cambria Math" w:hAnsi="Cambria Math"/>
                <w:i/>
                <w:sz w:val="28"/>
                <w:szCs w:val="28"/>
              </w:rPr>
              <m:t xml:space="preserve">*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+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e>
            </m:d>
          </m:den>
        </m:f>
      </m:oMath>
      <w:r>
        <w:rPr>
          <w:rFonts w:ascii="Times New Roman" w:hAnsi="Times New Roman" w:cs="Times New Roman" w:eastAsia="Times New Roman"/>
          <w:sz w:val="28"/>
        </w:rPr>
        <w:tab/>
        <w:t>(2.38)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Условие (2.38) устанавливает пороговый дисконтный фактор δᵢ*: резиденты с δᵢ ≥ δᵢ* (достаточно долгосрочно ориентированные) поддерживают кооперацию без внешнего принуждения. При cᵢ = 0,3 млн руб./год и Dᵢ(t) = 1,0 млн руб./год (оценка для базового сценария, раздел 2.7.5) получаем δᵢ* = 0,23, что соответствует «горизонту» примерно в 1,3 года — существенно ниже типичного горизонта планирования промышленных резидентов (3–5 лет). Следовательно, для большинства резидентов Типа A и B (раздел 2.9.5) многопериодная кооперация является устойчивой без дополнительных принудительных механизмов при выполнении условия (2.36).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Механизм репутации реализуется через публичный рейтинг вклада резидентов в Cинд, ведущийся оператором ЭКОПЛАТФОРМЫ. Публикация агрегированных данных (без раскрытия коммерческой тайны) о доле каждого типа резидентов в суммарной верифицированной экономии ΔE(t) создаёт репутационный стимул к участию: низкий рейтинг сигнализирует потенциальным партнёрам и инвесторам о нежелании резидента участвовать в коллективном создании стоимости, что снижает его переговорную силу в отдельных двусторонних сделках.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2.9.5. Типология резидентов по профилю coopetition: кому симбиоз выгоден безусловно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Условие (2.36) имеет разную вероятность выполнения для резидентов с различным соотношением Bᵢ, cᵢ и sᵢ. Это определяет гетерогенность поведения участников экосистемы и требует дифференцированной политики стимулирования. На основе двух наблюдаемых параметров — профиля ресурсного потока и конкурентной чувствительности раскрываемых данных — предлагается типология из четырёх классов резидентов, представленная в таблице 2.11.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2.11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Типология резидентов ТОСЭР «Невинномысск» по профилю coopetition и ожидаемой стратегии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9"/>
        <w:gridCol w:w="2268"/>
        <w:gridCol w:w="2268"/>
        <w:gridCol w:w="1882"/>
        <w:gridCol w:w="2268"/>
      </w:tblGrid>
      <w:tr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резидента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Профиль потока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Конкурентная чувствительность данных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Ожидаемое поведение в игре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Рекомендуемый инструмент ЭКОПЛАТФОРМЫ</w:t>
            </w:r>
          </w:p>
        </w:tc>
      </w:tr>
      <w:tr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A: Поставщик уникального ресурса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«Азот» (CO₂, тепло пара), ГРЭС (тепло)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Низкая: данные о потоках не раскрывают технологических секретов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 C (участие доминирует): Bᵢ высок, cᵢ мал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NP-ценообразование; прямой двусторонний контракт</w:t>
            </w:r>
          </w:p>
        </w:tc>
      </w:tr>
      <w:tr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B: Потребитель вторсырья с рыночными альтернативами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Переработчики ПЭТ, стеклобой, металлолом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Средняя: объёмы закупок — коммерческая тайна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 C при Dᵢ(t) &gt; cᵢ; риск временного D при низком Cинд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MB-ценообразование + верификация объёмов аудитором</w:t>
            </w:r>
          </w:p>
        </w:tc>
      </w:tr>
      <w:tr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C: Горизонтальный конкурент, совместно производящий отходы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Резиденты с однородным профилем (химия, металлообработка)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Высокая: объём и состав отходов раскрывает производственную программу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 D доминирует без механизма commitment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Агрегированная верификация (данные по группе, не по игроку); Data Trust</w:t>
            </w:r>
          </w:p>
        </w:tc>
      </w:tr>
      <w:tr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D: Новый резидент без сложившихся потоков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Стартапы, малый бизнес ТОСЭР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 (нет что скрывать)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 C, но cᵢ высок относительно Dᵢ(t) на старте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Субсидия первого года из γ_гос (Фаза I); льготный IoT-узел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разработка. Классификация типов A–D основана на критериях: (1) профиль ресурсного потока, (2) конкурентная чувствительность данных, (3) cᵢ/Dᵢ(t).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Принципиальным выводом типологии является то, что стратегия D безусловно доминирует лишь для резидентов Типа C — горизонтальных конкурентов с высокой чувствительностью данных. Данный класс требует специального институционального решения, принципиально отличного от простого денежного стимула.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2.9.6. Специальное решение для Типа C: механизм Data Trust и агрегированная верификация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Резиденты Типа C — горизонтальные конкуренты с однородным производственным профилем (например, несколько химических или металлообрабатывающих предприятий в составе ТОСЭР) — сталкиваются с принципиально иной структурой стимулов: даже при Dᵢ(t) &gt; cᵢ они воздерживаются от участия, поскольку раскрытие объёмов и состава отходов фактически раскрывает их производственную программу конкурентам внутри того же ТОСЭР. Стандартный денежный дивиденд не устраняет этот барьер — проблема не в недостаточности выплаты, а в природе информационного риска.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Решением является механизм Data Trust (доверительное управление данными): промежуточный институт, агрегирующий данные о потоках группы резидентов Типа C и передающий оператору ЭКОПЛАТФОРМЫ лишь агрегированные показатели (суммарный объём потока по группе, без разбивки по отдельным участникам). Данный механизм реализует принцип дифференциальной конфиденциальности (differential privacy) применительно к промышленным данным [7, 8]: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∈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;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e>
            </m:d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C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e>
            </m:d>
          </m:den>
        </m:f>
      </m:oMath>
      <w:r>
        <w:rPr>
          <w:rFonts w:ascii="Times New Roman" w:hAnsi="Times New Roman" w:cs="Times New Roman" w:eastAsia="Times New Roman"/>
          <w:sz w:val="28"/>
        </w:rPr>
        <w:tab/>
        <w:t>(2.39)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этом распределение Dᵢ(t) внутри группы C производится по заранее согласованному правилу (например, пропорционально верифицированному объёму q_ij(k) без раскрытия p_ij), которое фиксируется в многостороннем соглашении Data Trust и не подлежит пересмотру оператором. Информационная безопасность выступает здесь как экономически обусловленный механизм воспроизводства стоимости: только защита индивидуальных данных резидента от конкурентов внутри ТОСЭР делает его участие рациональным.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Механизм Data Trust трансформирует игру резидентов Типа C из дилеммы заключённого в игру с неполной информацией, где ни один участник группы не знает точных параметров производственной программы конкурента. В такой игре единственным наблюдаемым сигналом о поведении конкурента является его присутствие или отсутствие в группе Data Trust — что создаёт репутационный стимул к участию, описанный в разделе 2.9.4.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2.9.7. Конкурентоспособность резидента как функция участия в симбиозе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непосредственного дивиденда Dᵢ(t), участие в симбиозе влияет на конкурентоспособность резидента через снижение себестоимости производства. Обозначим ΔКСᵢ — прирост конкурентоспособности резидента i относительно сопоставимых предприятий, не входящих в ТОСЭР:</w:t>
      </w:r>
    </w:p>
    <w:p>
      <w:pPr>
        <w:tabs>
          <w:tab w:pos="4677" w:val="center"/>
          <w:tab w:pos="9354" w:val="righ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ab/>
      </w:r>
      <m:oMath>
        <m:r>
          <w:rPr>
            <w:rFonts w:ascii="Cambria Math" w:hAnsi="Cambria Math"/>
            <w:i/>
            <w:sz w:val="28"/>
            <w:szCs w:val="28"/>
          </w:rPr>
          <m:t xml:space="preserve">Δ</m:t>
        </m:r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КС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  <m:sup/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рынок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ij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e>
        </m:d>
      </m:oMath>
      <w:r>
        <w:rPr>
          <w:rFonts w:ascii="Times New Roman" w:hAnsi="Times New Roman" w:cs="Times New Roman" w:eastAsia="Times New Roman"/>
          <w:sz w:val="28"/>
        </w:rPr>
        <w:tab/>
        <w:t>(2.40)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первое слагаемое — экономия на закупке ресурса k по симбиотической цене p_ij(k) &lt; P_рынок(k) (например, тепло от ГРЭС по 200 руб./Гкал против рыночных 320–400 руб./Гкал для предприятий вне ТОСЭР). При ΔКСᵢ &gt; 0 участник симбиоза получает конкурентное преимущество по издержкам относительно аналогичных предприятий, не имеющих доступа к симбиотическим ресурсам. Данный эффект носит устойчивый характер: он не исчезает при росте конкуренции на рынке сбыта, поскольку определяется структурными параметрами экосистемы (ценой p_ij и объёмом q_ij), а не конъюнктурными.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Типа A (ГРЭС, «Азот»): ΔКСᵢ определяется преимущественно Dᵢ(t) и долгосрочным контрактом, фиксирующим p_ij ниже рыночного. Для Типа B (переработчики вторсырья): ΔКСᵢ формируется экономией [P_рынок − p_ij|MB] · q_ij — снижением себестоимости закупки вторсырья. Для Типа D (новые резиденты): ΔКСᵢ на старте мало из-за малого q_ij, но Dᵢ(t) и субсидия первого года компенсируют cᵢ, обеспечивая ΔКСᵢ ≥ 0. Для Типа C: ΔКСᵢ &gt; 0 только при механизме Data Trust, устраняющем информационный риск.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граница целесообразных инвестиций резидента в симбиоз определяется не абсолютным значением Dᵢ(t), а совокупным ΔКСᵢ, включающим как дивиденд, так и структурную экономию на ресурсах. Это означает, что даже при относительно небольшом SD(t) в Фазе I (Cинд &lt; 5%) экономически обоснованное участие возможно для резидентов, получающих значительную экономию через p_ij|CP &lt; P_рынок — прежде всего для потребителей тепла от ГРЭС.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2.9.8. Верификация игровой модели по четырём критериям научной строгости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методологическим требованиям раздела 2.1, игровая модель верифицируется по четырём критериям. Результаты систематизированы в таблице 2.12.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2.12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Верификация игровой модели coopetition по четырём критериям научной обоснованности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03"/>
        <w:gridCol w:w="2268"/>
        <w:gridCol w:w="2015"/>
      </w:tblGrid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280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Проверяемое утверждение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проверки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Нулевая гипотеза H₀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Фальсифицируемость (Поппер)</w:t>
            </w:r>
          </w:p>
        </w:tc>
        <w:tc>
          <w:tcPr>
            <w:tcW w:type="dxa" w:w="28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Существует пороговое значение cᵢ*, при превышении которого стратегия D доминирует даже при Dᵢ(t) &gt; 0 — модель предсказывает частичное равновесие, а не полное участие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Параметрический анализ: при каком cᵢ/Dᵢ(t) &gt; 1 наблюдается равновесие смешанных стратегий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H₀¹²: все резиденты выбирают C при Dᵢ(t) &gt; 0 — опровергается при cᵢ &gt; Dᵢ(t) для Типа C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Воспроизводимость</w:t>
            </w:r>
          </w:p>
        </w:tc>
        <w:tc>
          <w:tcPr>
            <w:tcW w:type="dxa" w:w="28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Типология A–D воспроизводима для любого ТОСЭР при наблюдаемых параметрах (профиль потока, конкурентная чувствительность)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Репликация классификации резидентов на ТОСЭР «Тольятти» (ОЭЗ) по открытым данным реестра резидентов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H₀¹³: типология резидентов не предсказывает их поведения в симбиозе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Строгость</w:t>
            </w:r>
          </w:p>
        </w:tc>
        <w:tc>
          <w:tcPr>
            <w:tcW w:type="dxa" w:w="28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допущения игры (одновременность ходов, полная информация о Bᵢ, независимость периодов) явно декларированы; нарушение каждого меняет равновесие предсказуемым образом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Анализ: как меняется равновесие при переходе от одновременной к последовательной игре (лидер–последователь Штакельберга)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H₀¹⁴: тип равновесия не зависит от порядка ходов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Объяснительная сила</w:t>
            </w:r>
          </w:p>
        </w:tc>
        <w:tc>
          <w:tcPr>
            <w:tcW w:type="dxa" w:w="28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Модель объясняет, почему в Kalundborg (зрелая экосистема) все участники играют C, а в большинстве российских ОЭЗ преобладает D: разница в Dᵢ(t) при разных Cинд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Сравнение γ-структуры дивиденда Kalundborg (оценка по [1]) с параметрами российских ОЭЗ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H₀¹⁵: поведение резидентов в Kalundborg не объясняется структурой дивиденда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авторская разработка на основе [5, 6, 7, 11]; нулевые гипотезы H₀¹²–H₀¹⁵ допускают проверку на данных реестра резидентов ТОСЭР.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Особого внимания заслуживает объяснительная сила модели применительно к провалам большинства российских ОЭЗ. Предложенная игровая конструкция объясняет их через единый механизм: при Dᵢ(t) ≈ 0 (Cинд в Режиме 1, SD(t) → 0) стратегия D доминирует безусловно — независимо от льготного налогового режима и развитой инфраструктуры. Именно это объясняет, почему большинство российских ОЭЗ с формально достаточным числом резидентов не генерируют промышленного симбиоза: отсутствие верифицированного дивиденда делает уклонение рациональным. Напротив, зрелые экосистемы типа Kalundborg функционируют в Режиме 3 (Cинд &gt; 15%), где Dᵢ(t) гарантированно превышает cᵢ для большинства участников — что трансформирует игру в координационную с кооперативным равновесием [1].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Необходимо явно декларировать допущения игровой модели. Во-первых, принято допущение об однородности игроков внутри пары (i, j): в реальности переговорная сила существенно различается между якорными акторами (ГРЭС, «Азот») и малыми резидентами ТОСЭР, что смещает зону торга в сторону более сильного игрока. Во-вторых, допущение одновременности ходов упрощает реальную ситуацию, где ряд резидентов наблюдает решения других перед принятием собственного — что соответствует модели Штакельберга, а не Нэша. В-третьих, допущение полной информации о Bᵢ и cᵢ является стандартным для базовой игры, однако в реальности информационная асимметрия существенна — что дополнительно усиливает роль независимого верификатора ΔE(t). Нарушение любого из этих допущений изменяет конкретное равновесие, не отменяя ключевого вывода: механизм верифицированного дивиденда Dᵢ(t) является необходимым условием трансформации игры из дилеммы заключённого в координационную.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2.9.9. Выводы по разделу 2.9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Первое. Установлено, что в отсутствие механизма верифицированного дивиденда промышленный симбиоз в ТОСЭР воспроизводит структуру дилеммы заключённого: стратегия «уклонение» является доминирующей при cᵢ &gt; Dᵢ(t) — условии, типичном для Фазы I при Cинд &lt; 5%. Данный результат объясняет эмпирически наблюдаемый Cинд = 3–5% для Невинномысска при наличии развитой физической инфраструктуры.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Второе. Доказано (формулы 2.34–2.36), что ЭКОПЛАТФОРМА трансформирует игру в координационную с кооперативным равновесием (C, C) при выполнении единственного условия: Dᵢ(t) ≥ cᵢ(k). При базовом сценарии (Dᵢ ≈ 1,0 млн руб./год, cᵢ ≈ 0,3 млн руб./год) данное условие выполняется для резидентов Типов A, B и D.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Третье. Для многопериодной игры (формулы 2.37–2.38) установлен пороговый дисконтный фактор δᵢ* = 0,23, соответствующий горизонту ≈ 1,3 года. Большинство промышленных резидентов с горизонтом планирования ≥ 3 лет поддерживают кооперацию без дополнительных принудительных механизмов при выполнении условия (2.36).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Четвёртое. Разработана типология резидентов A–D по профилю coopetition, устанавливающая дифференцированные инструменты стимулирования: для Типа C — механизм Data Trust с агрегированной верификацией (формула 2.39), исключающий раскрытие индивидуальных производственных данных конкурентам. Данное решение не имеет прямых аналогов в практике российских ТОСЭР и является самостоятельным научным результатом настоящего раздела. Сформулированы нулевые гипотезы H₀¹²–H₀¹⁵, допускающие эмпирическую проверку.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Библиографические ссылки к разделу 2.9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[1] Neves A., Godina R., Azevedo S. G., Matias J. C. O. A comprehensive review of industrial symbiosis // Journal of Cleaner Production. — 2020. — Vol. 247. — Art. 119113. — DOI: 10.1016/j.jclepro.2019.119113.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[2] Oughton C., Kurup B., Anda M., Ho G. Industrial symbiosis to circular economy // Circular Economy and Sustainability. — 2022. — Vol. 2, No. 4. — P. 1317–1344.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[3] Bengtsson M., Kock S. "Coopetition" in business networks — to cooperate and compete simultaneously // Industrial Marketing Management. — 2000. — Vol. 29, No. 5. — P. 411–426. — DOI: 10.1016/S0019-8501(99)00067-X.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[4] Sgambaro L., Chiaroni D., Lettieri E., Paolone F. Exploring industrial symbiosis for circular economy: investigating and comparing the anatomy and development strategies in Italy // Management Decision. — 2024. — DOI: 10.1108/MD-04-2023-0658.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[5] Axelrod R. The Evolution of Cooperation. — New York: Basic Books, 1984. — 241 p.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[6] Fudenberg D., Tirole J. Game Theory. — Cambridge, MA: MIT Press, 1991. — 579 p.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[7] Williamson O.E. The Economic Institutions of Capitalism. — New York: Free Press, 1985. — 450 p.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[8] Dwork C., Roth A. The Algorithmic Foundations of Differential Privacy // Foundations and Trends in Theoretical Computer Science. — 2014. — Vol. 9, No. 3–4. — P. 211–407. — DOI: 10.1561/0400000042.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[9] Информационно-инвестиционный портал Невинномысска. В 2024 году объём инвестиций в Невинномысске превысил 34 миллиарда рублей. — 2025. — URL: https://invest26.ru/news/11902.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[10] Hossain M., Al Aziz R., Karmaker C.L. et al. Exploring the barriers to implement industrial symbiosis // Heliyon. — 2024. — Vol. 10, No. 13. — Art. e34156.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[11] Popper K.R. The Logic of Scientific Discovery. — New York: Routledge, 2002. — 480 p.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  <cp:category/>
  <cp:contentStatus/>
  <dc:identifier/>
  <dc:language/>
  <cp:version/>
  <cp:lastPrinted>2026-10-11T00:00:00Z</cp:lastPrinted>
</cp:coreProperties>
</file>