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A3A1" w14:textId="77777777" w:rsidR="00BE55E6" w:rsidRPr="00BE55E6" w:rsidRDefault="00BE55E6" w:rsidP="00BE55E6">
      <w:pPr>
        <w:shd w:val="clear" w:color="auto" w:fill="FFFFFF"/>
        <w:spacing w:before="480" w:after="240" w:line="510" w:lineRule="atLeast"/>
        <w:jc w:val="left"/>
        <w:outlineLvl w:val="0"/>
        <w:rPr>
          <w:rFonts w:eastAsia="Times New Roman"/>
          <w:b/>
          <w:bCs/>
          <w:color w:val="0F1115"/>
          <w:kern w:val="36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36"/>
          <w:lang w:eastAsia="ru-RU"/>
          <w14:ligatures w14:val="none"/>
        </w:rPr>
        <w:t>РАЗДЕЛ 3.1. ИННОВАЦИОННЫЙ ПРОЕКТ «БЕРЕГ ВОСХОДА» КАК ТОЧКА СТРУКТУРНОЙ ТРАНСФОРМАЦИИ ЭКОНОМИКИ РЕСПУБЛИКИ КОТ-Д'ИВУАР</w:t>
      </w:r>
    </w:p>
    <w:p w14:paraId="10B13201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Введение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  <w:t>В данном разделе проводится комплексный анализ инвестиционного проекта «Берег Восхода», который позиционируется не как совокупность разрозненных инвестиций, а как единая платформенная экосистема. Актуальность исследования обусловлена необходимостью преодоления сырьевой зависимости («какао-ловушки») и перехода к модели устойчивого роста, базирующейся на шести взаимосвязанных кластерах. Цель раздела — детализировать архитектуру проекта, обосновать инновационность предложенных решений и оценить его макроэкономический эффект.</w:t>
      </w:r>
    </w:p>
    <w:p w14:paraId="78D81405" w14:textId="77777777" w:rsidR="00BE55E6" w:rsidRPr="00BE55E6" w:rsidRDefault="00BE55E6" w:rsidP="00BE55E6">
      <w:pPr>
        <w:shd w:val="clear" w:color="auto" w:fill="FFFFFF"/>
        <w:jc w:val="left"/>
        <w:outlineLvl w:val="1"/>
        <w:rPr>
          <w:rFonts w:eastAsia="Times New Roman"/>
          <w:b/>
          <w:bCs/>
          <w:color w:val="0F1115"/>
          <w:kern w:val="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 xml:space="preserve">3.1.1. Концептуальная рамка и методология оценки </w:t>
      </w:r>
      <w:proofErr w:type="spellStart"/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>мультикластерной</w:t>
      </w:r>
      <w:proofErr w:type="spellEnd"/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 xml:space="preserve"> модели</w:t>
      </w:r>
    </w:p>
    <w:p w14:paraId="148504D9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Разработка кластерной модели «Берег Восхода» базируется на синтезе теории полюсов роста Ф.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Перру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и концепции цифровой платформизации ОЭСР. В отличие от классических индустриальных парков, данный проект предполагает создание не просто производственных мощностей, а </w:t>
      </w: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интегрированной платформы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, снижающей транзакционные издержки и генерирующей сетевые внешние эффекты (Закон Меткалфа).</w:t>
      </w:r>
    </w:p>
    <w:p w14:paraId="4E17A437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Базовое уравнение роста:</w:t>
      </w:r>
    </w:p>
    <w:p w14:paraId="7C03B256" w14:textId="77777777" w:rsidR="00BE55E6" w:rsidRPr="00BE55E6" w:rsidRDefault="00BE55E6" w:rsidP="00BE55E6">
      <w:pPr>
        <w:jc w:val="left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GDP=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6</m:t>
              </m:r>
            </m:sup>
            <m:e/>
          </m:nary>
          <m: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/>
              <w:kern w:val="0"/>
              <w:sz w:val="24"/>
              <w:szCs w:val="24"/>
              <w:lang w:eastAsia="ru-RU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/>
                  <w:kern w:val="0"/>
                  <w:sz w:val="24"/>
                  <w:szCs w:val="24"/>
                  <w:lang w:eastAsia="ru-RU"/>
                  <w14:ligatures w14:val="none"/>
                </w:rPr>
                <m:t>synergy</m:t>
              </m:r>
            </m:sub>
          </m:sSub>
          <m:r>
            <w:rPr>
              <w:rFonts w:eastAsia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34DD7DB6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где 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sz w:val="24"/>
            <w:szCs w:val="24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sz w:val="24"/>
            <w:szCs w:val="24"/>
            <w:lang w:eastAsia="ru-RU"/>
            <w14:ligatures w14:val="none"/>
          </w:rPr>
          <m:t>V</m:t>
        </m:r>
        <m:sSub>
          <m:sSub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— прирост добавленной стоимости i-го кластера,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— инвестиционный мультипликатор, а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synergy</m:t>
            </m:r>
          </m:sub>
        </m:sSub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— синергетический эффект межкластерного взаимодействия (авторские расчеты оценивают его в 1,6 млрд USD).</w:t>
      </w:r>
    </w:p>
    <w:p w14:paraId="302C7B52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Рисунок 3.1.1 — Сводная кластерная архитектура проекта «Берег Восхода»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Схема (см. Рисунок 2.2 в исходных файлах) демонстрирует центральное положение Цифровой платформы (Кластер IV), вокруг которой группируются пять отраслевых кластеров. Платформа выступает не просто обслуживающей структурой, а координационным каркасом, через который проходят все финансовые, логистические и информационные потоки. Двунаправленные стрелки на схеме иллюстрируют непрерывный обмен данными (от сырья до конечного потребителя) и обратную связь для AI-оптимизации. Это подчеркивает эмерджентность системы: эффект целого превышает сумму частей.</w:t>
      </w:r>
    </w:p>
    <w:p w14:paraId="3583C837" w14:textId="77777777" w:rsidR="00BE55E6" w:rsidRPr="00BE55E6" w:rsidRDefault="00BE55E6" w:rsidP="00BE55E6">
      <w:pPr>
        <w:shd w:val="clear" w:color="auto" w:fill="FFFFFF"/>
        <w:jc w:val="left"/>
        <w:outlineLvl w:val="1"/>
        <w:rPr>
          <w:rFonts w:eastAsia="Times New Roman"/>
          <w:b/>
          <w:bCs/>
          <w:color w:val="0F1115"/>
          <w:kern w:val="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>3.1.2. Детализированный анализ инновационной структуры кластеров</w:t>
      </w:r>
    </w:p>
    <w:p w14:paraId="1BA4AE24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3.1.2.1. Кластер I: Агропереработка и какао-индустрия</w:t>
      </w:r>
    </w:p>
    <w:p w14:paraId="17B94B7C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Ключевая инновация кластера заключается в переходе от экспорта сырья (35% переработки в 2024 г.) к экспорту продукции с высокой добавленной стоимостью (75% к 2035 г.). Проект предполагает строительство 8–10 перерабатывающих комплексов, ориентированных на три передела. Особый упор делается на производство фармацевтических и косметических ингредиентов из какао, где маржинальность достигает 12 000 USD/т.</w:t>
      </w:r>
    </w:p>
    <w:p w14:paraId="3A919490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Инновационные решения:</w:t>
      </w:r>
    </w:p>
    <w:p w14:paraId="7DFD1AD8" w14:textId="77777777" w:rsidR="00BE55E6" w:rsidRPr="00BE55E6" w:rsidRDefault="00BE55E6" w:rsidP="00BE55E6">
      <w:pPr>
        <w:numPr>
          <w:ilvl w:val="0"/>
          <w:numId w:val="1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Цифровая прослеживаемость (</w:t>
      </w:r>
      <w:proofErr w:type="spellStart"/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Traceability</w:t>
      </w:r>
      <w:proofErr w:type="spellEnd"/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):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Внедрение блокчейн-технологий для сквозного контроля цепочки «ферма-порт-покупатель». Это обеспечивает соответствие жесткому регламенту ЕС (EUDR), что превращает регуляторное требование в конкурентное преимущество.</w:t>
      </w:r>
    </w:p>
    <w:p w14:paraId="71FBDC0F" w14:textId="77777777" w:rsidR="00BE55E6" w:rsidRPr="00BE55E6" w:rsidRDefault="00BE55E6" w:rsidP="00BE55E6">
      <w:pPr>
        <w:numPr>
          <w:ilvl w:val="0"/>
          <w:numId w:val="1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Безотходное производство: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Переработка отходов (жмых, скорлупа) для передачи в Кластер VI (биоэнергетика), что замыкает производственный цикл и создает дополнительный источник сырья для «зеленой» энергетики.</w:t>
      </w:r>
    </w:p>
    <w:p w14:paraId="66361492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Рисунок 3.1.2 — Цепочка создания стоимости какао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Описание</w:t>
      </w:r>
      <w:proofErr w:type="gramStart"/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На</w:t>
      </w:r>
      <w:proofErr w:type="gram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рисунке представлена лестница добавленной стоимости: от сырого боба (1 500 USD/т) через какао-масло (2 800 USD/т) и полуфабрикаты (5 200 USD/т) до готовой продукции (12 000 USD/т). Схема наглядно показывает, что восьмикратный рост цены достигается именно за счет финальных переделов (фармацевтика, косметика), которые и являются целевыми для проекта.</w:t>
      </w:r>
    </w:p>
    <w:p w14:paraId="43C01F3F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Таблица 3.1.1 — Инвестиционный профиль кластера 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1"/>
        <w:gridCol w:w="1387"/>
        <w:gridCol w:w="1763"/>
        <w:gridCol w:w="3634"/>
      </w:tblGrid>
      <w:tr w:rsidR="00BE55E6" w:rsidRPr="00BE55E6" w14:paraId="1FC70EE4" w14:textId="77777777" w:rsidTr="00BE55E6">
        <w:tc>
          <w:tcPr>
            <w:tcW w:w="0" w:type="auto"/>
            <w:hideMark/>
          </w:tcPr>
          <w:p w14:paraId="3C7B978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Направление инвестиций</w:t>
            </w:r>
          </w:p>
        </w:tc>
        <w:tc>
          <w:tcPr>
            <w:tcW w:w="0" w:type="auto"/>
            <w:hideMark/>
          </w:tcPr>
          <w:p w14:paraId="6C71794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CAPEX, млрд USD</w:t>
            </w:r>
          </w:p>
        </w:tc>
        <w:tc>
          <w:tcPr>
            <w:tcW w:w="0" w:type="auto"/>
            <w:hideMark/>
          </w:tcPr>
          <w:p w14:paraId="58475597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hideMark/>
          </w:tcPr>
          <w:p w14:paraId="43AB5AC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Инновационная составляющая</w:t>
            </w:r>
          </w:p>
        </w:tc>
      </w:tr>
      <w:tr w:rsidR="00BE55E6" w:rsidRPr="00BE55E6" w14:paraId="38909AC7" w14:textId="77777777" w:rsidTr="00BE55E6">
        <w:tc>
          <w:tcPr>
            <w:tcW w:w="0" w:type="auto"/>
            <w:hideMark/>
          </w:tcPr>
          <w:p w14:paraId="3292FEF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Перерабатывающие комплексы</w:t>
            </w:r>
          </w:p>
        </w:tc>
        <w:tc>
          <w:tcPr>
            <w:tcW w:w="0" w:type="auto"/>
            <w:hideMark/>
          </w:tcPr>
          <w:p w14:paraId="4C4B53A5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2,00–2,40</w:t>
            </w:r>
          </w:p>
        </w:tc>
        <w:tc>
          <w:tcPr>
            <w:tcW w:w="0" w:type="auto"/>
            <w:hideMark/>
          </w:tcPr>
          <w:p w14:paraId="00D4B098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СП (Азия, ОАЭ)</w:t>
            </w:r>
          </w:p>
        </w:tc>
        <w:tc>
          <w:tcPr>
            <w:tcW w:w="0" w:type="auto"/>
            <w:hideMark/>
          </w:tcPr>
          <w:p w14:paraId="7A876DEA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Глубокая переработка, выпуск продукции 3-го передела</w:t>
            </w:r>
          </w:p>
        </w:tc>
      </w:tr>
      <w:tr w:rsidR="00BE55E6" w:rsidRPr="00BE55E6" w14:paraId="2015C077" w14:textId="77777777" w:rsidTr="00BE55E6">
        <w:tc>
          <w:tcPr>
            <w:tcW w:w="0" w:type="auto"/>
            <w:hideMark/>
          </w:tcPr>
          <w:p w14:paraId="1E8E918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Портовые терминалы</w:t>
            </w:r>
          </w:p>
        </w:tc>
        <w:tc>
          <w:tcPr>
            <w:tcW w:w="0" w:type="auto"/>
            <w:hideMark/>
          </w:tcPr>
          <w:p w14:paraId="5E7265C0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0,20</w:t>
            </w:r>
          </w:p>
        </w:tc>
        <w:tc>
          <w:tcPr>
            <w:tcW w:w="0" w:type="auto"/>
            <w:hideMark/>
          </w:tcPr>
          <w:p w14:paraId="65B651F0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АфБР, Всемирный банк</w:t>
            </w:r>
          </w:p>
        </w:tc>
        <w:tc>
          <w:tcPr>
            <w:tcW w:w="0" w:type="auto"/>
            <w:hideMark/>
          </w:tcPr>
          <w:p w14:paraId="1E724034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Специализированная инфраструктура для готовой продукции</w:t>
            </w:r>
          </w:p>
        </w:tc>
      </w:tr>
      <w:tr w:rsidR="00BE55E6" w:rsidRPr="00BE55E6" w14:paraId="24A40C4E" w14:textId="77777777" w:rsidTr="00BE55E6">
        <w:tc>
          <w:tcPr>
            <w:tcW w:w="0" w:type="auto"/>
            <w:hideMark/>
          </w:tcPr>
          <w:p w14:paraId="7D856A3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 xml:space="preserve">Цифровая </w:t>
            </w:r>
            <w:proofErr w:type="spellStart"/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трейсабилити</w:t>
            </w:r>
            <w:proofErr w:type="spellEnd"/>
          </w:p>
        </w:tc>
        <w:tc>
          <w:tcPr>
            <w:tcW w:w="0" w:type="auto"/>
            <w:hideMark/>
          </w:tcPr>
          <w:p w14:paraId="0247FF9F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0,10</w:t>
            </w:r>
          </w:p>
        </w:tc>
        <w:tc>
          <w:tcPr>
            <w:tcW w:w="0" w:type="auto"/>
            <w:hideMark/>
          </w:tcPr>
          <w:p w14:paraId="1F262931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ESG-фонды</w:t>
            </w:r>
          </w:p>
        </w:tc>
        <w:tc>
          <w:tcPr>
            <w:tcW w:w="0" w:type="auto"/>
            <w:hideMark/>
          </w:tcPr>
          <w:p w14:paraId="1606F9A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Блокчейн-верификация для EUDR</w:t>
            </w:r>
          </w:p>
        </w:tc>
      </w:tr>
      <w:tr w:rsidR="00BE55E6" w:rsidRPr="00BE55E6" w14:paraId="4A613EEA" w14:textId="77777777" w:rsidTr="00BE55E6">
        <w:tc>
          <w:tcPr>
            <w:tcW w:w="0" w:type="auto"/>
            <w:hideMark/>
          </w:tcPr>
          <w:p w14:paraId="4478CC40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Агротех. лаборатории</w:t>
            </w:r>
          </w:p>
        </w:tc>
        <w:tc>
          <w:tcPr>
            <w:tcW w:w="0" w:type="auto"/>
            <w:hideMark/>
          </w:tcPr>
          <w:p w14:paraId="69408AC4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0,05</w:t>
            </w:r>
          </w:p>
        </w:tc>
        <w:tc>
          <w:tcPr>
            <w:tcW w:w="0" w:type="auto"/>
            <w:hideMark/>
          </w:tcPr>
          <w:p w14:paraId="6C186109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Гос. бюджет</w:t>
            </w:r>
          </w:p>
        </w:tc>
        <w:tc>
          <w:tcPr>
            <w:tcW w:w="0" w:type="auto"/>
            <w:hideMark/>
          </w:tcPr>
          <w:p w14:paraId="7E4F7C5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R&amp;D в селекции и биотехнологиях</w:t>
            </w:r>
          </w:p>
        </w:tc>
      </w:tr>
      <w:tr w:rsidR="00BE55E6" w:rsidRPr="00BE55E6" w14:paraId="10DB7157" w14:textId="77777777" w:rsidTr="00BE55E6">
        <w:tc>
          <w:tcPr>
            <w:tcW w:w="0" w:type="auto"/>
            <w:hideMark/>
          </w:tcPr>
          <w:p w14:paraId="0FB76AD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0A8B10D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2,35–2,75</w:t>
            </w:r>
          </w:p>
        </w:tc>
        <w:tc>
          <w:tcPr>
            <w:tcW w:w="0" w:type="auto"/>
            <w:hideMark/>
          </w:tcPr>
          <w:p w14:paraId="14124501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EDE79F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D97E162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3.1.2.2. Кластер II: Портово-логистический хаб</w:t>
      </w:r>
    </w:p>
    <w:p w14:paraId="56AE5114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Порт Абиджана — крупнейший в Западной Африке, обслуживающий транзит для стран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Сахеля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(Буркина-Фасо, Мали, Нигер). Инновационность проекта заключается не просто в расширении мощностей (с 31 до 52 млн т/год), а в создании </w:t>
      </w: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«умного порта»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8695C5B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инновации:</w:t>
      </w:r>
    </w:p>
    <w:p w14:paraId="7D090511" w14:textId="77777777" w:rsidR="00BE55E6" w:rsidRPr="00BE55E6" w:rsidRDefault="00BE55E6" w:rsidP="00BE55E6">
      <w:pPr>
        <w:numPr>
          <w:ilvl w:val="0"/>
          <w:numId w:val="2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Единое информационное окно (Single </w:t>
      </w:r>
      <w:proofErr w:type="spellStart"/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Window</w:t>
      </w:r>
      <w:proofErr w:type="spellEnd"/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):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Цифровизация таможенных процедур, сокращающая время оформления и снижающая коррупционные риски.</w:t>
      </w:r>
    </w:p>
    <w:p w14:paraId="5E1460AC" w14:textId="77777777" w:rsidR="00BE55E6" w:rsidRPr="00BE55E6" w:rsidRDefault="00BE55E6" w:rsidP="00BE55E6">
      <w:pPr>
        <w:numPr>
          <w:ilvl w:val="0"/>
          <w:numId w:val="2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AI-оптимизация грузопотоков: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Использование алгоритмов искусственного интеллекта для планирования загрузки и маршрутизации, что снижает операционные издержки на 18–22%.</w:t>
      </w:r>
    </w:p>
    <w:p w14:paraId="4ECD9E4B" w14:textId="77777777" w:rsidR="00BE55E6" w:rsidRPr="00BE55E6" w:rsidRDefault="00BE55E6" w:rsidP="00BE55E6">
      <w:pPr>
        <w:numPr>
          <w:ilvl w:val="0"/>
          <w:numId w:val="2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Развитие припортовых индустриальных зон (ПИЗ):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Размещение производств непосредственно у порта минимизирует логистическое плечо для экспортеров.</w:t>
      </w:r>
    </w:p>
    <w:p w14:paraId="413E8E18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3.1.2.3. Кластер III: Индустриально-производственный (СЭЗ)</w:t>
      </w:r>
    </w:p>
    <w:p w14:paraId="17DE094F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Кластер представляет собой сеть специальных экономических зон (СЭЗ), ориентированных на импортозамещение в рамках УЕМОА и экспорт в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AfCFTA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. Совокупный импорт промышленных товаров в регионе составляет 28 млрд USD, и проект нацелен на замещение 13,5% этой доли.</w:t>
      </w:r>
    </w:p>
    <w:p w14:paraId="3C17E654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Инновационный вектор:</w:t>
      </w:r>
    </w:p>
    <w:p w14:paraId="7BEBFB0E" w14:textId="77777777" w:rsidR="00BE55E6" w:rsidRPr="00BE55E6" w:rsidRDefault="00BE55E6" w:rsidP="00BE55E6">
      <w:pPr>
        <w:numPr>
          <w:ilvl w:val="0"/>
          <w:numId w:val="3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Нефтехимия на собственном сырье: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Создание производств полимеров и удобрений на базе шельфовой нефти (38 тыс. </w:t>
      </w:r>
      <w:proofErr w:type="spellStart"/>
      <w:proofErr w:type="gram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барр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./</w:t>
      </w:r>
      <w:proofErr w:type="spellStart"/>
      <w:proofErr w:type="gram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сут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.), что снижает зависимость от импорта.</w:t>
      </w:r>
    </w:p>
    <w:p w14:paraId="270B406C" w14:textId="77777777" w:rsidR="00BE55E6" w:rsidRPr="00BE55E6" w:rsidRDefault="00BE55E6" w:rsidP="00BE55E6">
      <w:pPr>
        <w:numPr>
          <w:ilvl w:val="0"/>
          <w:numId w:val="3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«Зеленые» стандарты производства: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Обязательное соответствие резидентов СЭЗ ESG-требованиям для беспрепятственного выхода на рынки ЕС, что синхронизировано с Кластером VI.</w:t>
      </w:r>
    </w:p>
    <w:p w14:paraId="75B33E48" w14:textId="77777777" w:rsidR="00BE55E6" w:rsidRPr="00BE55E6" w:rsidRDefault="00BE55E6" w:rsidP="00BE55E6">
      <w:pPr>
        <w:numPr>
          <w:ilvl w:val="0"/>
          <w:numId w:val="3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Глубокая локализация: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Перенос в СЭЗ производств не только финальной сборки, но и компонентной базы (текстиль, метизы).</w:t>
      </w:r>
    </w:p>
    <w:p w14:paraId="78694232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3.1.2.4. Кластер IV: Цифровая платформа «Берег Восхода»</w:t>
      </w:r>
    </w:p>
    <w:p w14:paraId="791D63AF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Платформа является системообразующим элементом всего проекта. Ее функция — не автоматизация учета, а институциональная координация экономики. При CAPEX всего 9,5% от общего портфеля (1,25 млрд USD), она генерирует 14% от общей добавленной стоимости (2,5 млрд USD) и усиливает мультипликаторы всех остальных кластеров на 38%.</w:t>
      </w:r>
    </w:p>
    <w:p w14:paraId="77862396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Рисунок 3.1.3 — Архитектура цифровой платформы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Схема иллюстрирует шесть функциональных модулей платформы (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Traceability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AI-аналитика, Единое окно,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FinTech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HR-платформа,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IoT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-мониторинг), интегрированных через API-ядро. Показаны категории пользователей: фермеры (12 000+), предприятия (800+), банки, госструктуры. Нижний уровень схемы демонстрирует прикладные сервисы (Туризм, Рыболовство), которые будут надстраиваться над базовой инфраструктурой, обеспечивая сетевой эффект. Согласно расчетам по закону Меткалфа, ценность платформы </w:t>
      </w:r>
      <m:oMath>
        <m:r>
          <w:rPr>
            <w:rFonts w:ascii="Cambria Math" w:eastAsia="Times New Roman" w:hAnsi="Cambria Math"/>
            <w:kern w:val="0"/>
            <w:sz w:val="24"/>
            <w:szCs w:val="24"/>
            <w:lang w:eastAsia="ru-RU"/>
            <w14:ligatures w14:val="none"/>
          </w:rPr>
          <m:t>V(n)=β×</m:t>
        </m:r>
        <m:sSup>
          <m:sSup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при </w:t>
      </w:r>
      <m:oMath>
        <m:r>
          <w:rPr>
            <w:rFonts w:ascii="Cambria Math" w:eastAsia="Times New Roman" w:hAnsi="Cambria Math"/>
            <w:kern w:val="0"/>
            <w:sz w:val="24"/>
            <w:szCs w:val="24"/>
            <w:lang w:eastAsia="ru-RU"/>
            <w14:ligatures w14:val="none"/>
          </w:rPr>
          <m:t>n≈12000</m:t>
        </m:r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участников составит порядка 2,16 млрд USD.</w:t>
      </w:r>
    </w:p>
    <w:p w14:paraId="70102ACC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3.1.2.5. Кластер V: Образование и R&amp;D</w:t>
      </w:r>
    </w:p>
    <w:p w14:paraId="3746D74F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Данный кластер обеспечивает кадровый суверенитет проекта, нацеленный на замещение иностранных специалистов (до 40% в СЭЗ) местными кадрами. Инновационность подхода — в </w:t>
      </w: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дуальной модели образования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, интегрированной с производством.</w:t>
      </w:r>
    </w:p>
    <w:p w14:paraId="33BECDA3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Структура:</w:t>
      </w:r>
    </w:p>
    <w:p w14:paraId="39E3BB2F" w14:textId="77777777" w:rsidR="00BE55E6" w:rsidRPr="00BE55E6" w:rsidRDefault="00BE55E6" w:rsidP="00BE55E6">
      <w:pPr>
        <w:numPr>
          <w:ilvl w:val="0"/>
          <w:numId w:val="4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Базовое звено: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Технические училища и колледжи для подготовки операторов, агротехников, логистов.</w:t>
      </w:r>
    </w:p>
    <w:p w14:paraId="7090D329" w14:textId="77777777" w:rsidR="00BE55E6" w:rsidRPr="00BE55E6" w:rsidRDefault="00BE55E6" w:rsidP="00BE55E6">
      <w:pPr>
        <w:numPr>
          <w:ilvl w:val="0"/>
          <w:numId w:val="4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Университетское звено: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Подготовка инженеров и экономистов (Университет Феликса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Уфуэ-Буаньи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, INPHB).</w:t>
      </w:r>
    </w:p>
    <w:p w14:paraId="7F01CAF8" w14:textId="77777777" w:rsidR="00BE55E6" w:rsidRPr="00BE55E6" w:rsidRDefault="00BE55E6" w:rsidP="00BE55E6">
      <w:pPr>
        <w:numPr>
          <w:ilvl w:val="0"/>
          <w:numId w:val="4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R&amp;D звено: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Технопарки и инкубаторы при СЭЗ, где студенты и исследователи решают реальные производственные задачи, что способствует трансферу технологий и коммерциализации разработок.</w:t>
      </w:r>
    </w:p>
    <w:p w14:paraId="02D48EB3" w14:textId="77777777" w:rsidR="00BE55E6" w:rsidRPr="00BE55E6" w:rsidRDefault="00BE55E6" w:rsidP="00BE55E6">
      <w:pPr>
        <w:shd w:val="clear" w:color="auto" w:fill="FFFFFF"/>
        <w:spacing w:before="480" w:after="240" w:line="450" w:lineRule="atLeast"/>
        <w:jc w:val="left"/>
        <w:outlineLvl w:val="2"/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3.1.2.6. Кластер VI: Зеленая энергетика и ESG-инфраструктура</w:t>
      </w:r>
    </w:p>
    <w:p w14:paraId="2F730D38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Кластер выполняет функцию «ESG-якоря». Помимо обеспечения растущих потребностей промышленности в энергии (доп. 600–800 МВт для СЭЗ), он генерирует самостоятельный финансовый поток за счет продажи углеродных кредитов.</w:t>
      </w:r>
    </w:p>
    <w:p w14:paraId="6BCEECEB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Рисунок 3.1.4 — Структура кластера зеленой энергетики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Схема показывает три направления ВИЭ: солнечную энергетику (рост с 0,3 до 5,0 ГВт), гидроэнергетику (с 0,2 до 2,2 ГВт) и биоэнергетику на отходах агросектора (1,5 ГВт). Отдельным блоком выделен механизм монетизации углеродных кредитов. Показан финансовый поток от международных рынков (EU ETS) через верификационные стандарты (Gold Standard) обратно в проект. Прогнозируется, что к 2035 году ежегодный доход от продажи углеродных единиц достигнет 1,45 млрд USD.</w:t>
      </w:r>
    </w:p>
    <w:p w14:paraId="7C63E077" w14:textId="77777777" w:rsidR="00BE55E6" w:rsidRPr="00BE55E6" w:rsidRDefault="00BE55E6" w:rsidP="00BE55E6">
      <w:pPr>
        <w:shd w:val="clear" w:color="auto" w:fill="FFFFFF"/>
        <w:jc w:val="left"/>
        <w:outlineLvl w:val="1"/>
        <w:rPr>
          <w:rFonts w:eastAsia="Times New Roman"/>
          <w:b/>
          <w:bCs/>
          <w:color w:val="0F1115"/>
          <w:kern w:val="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>3.1.3. Анализ финансовой архитектуры и инвестиционных мультипликаторов</w:t>
      </w:r>
    </w:p>
    <w:p w14:paraId="1EA7210E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Сводный анализ шести кластеров позволяет оценить совокупный эффект проекта.</w:t>
      </w:r>
    </w:p>
    <w:p w14:paraId="0CABD840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Таблица 3.1.2 — Сводная инвестиционная модель кластеров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8"/>
        <w:gridCol w:w="1810"/>
        <w:gridCol w:w="1537"/>
        <w:gridCol w:w="2150"/>
        <w:gridCol w:w="1370"/>
      </w:tblGrid>
      <w:tr w:rsidR="00BE55E6" w:rsidRPr="00BE55E6" w14:paraId="3011D595" w14:textId="77777777" w:rsidTr="00BE55E6">
        <w:tc>
          <w:tcPr>
            <w:tcW w:w="0" w:type="auto"/>
            <w:hideMark/>
          </w:tcPr>
          <w:p w14:paraId="3793D1A3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Кластер</w:t>
            </w:r>
          </w:p>
        </w:tc>
        <w:tc>
          <w:tcPr>
            <w:tcW w:w="0" w:type="auto"/>
            <w:hideMark/>
          </w:tcPr>
          <w:p w14:paraId="3CDE318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CAPEX, млрд USD</w:t>
            </w:r>
          </w:p>
        </w:tc>
        <w:tc>
          <w:tcPr>
            <w:tcW w:w="0" w:type="auto"/>
            <w:hideMark/>
          </w:tcPr>
          <w:p w14:paraId="331E1328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ΔVA, млрд USD</w:t>
            </w:r>
          </w:p>
        </w:tc>
        <w:tc>
          <w:tcPr>
            <w:tcW w:w="0" w:type="auto"/>
            <w:hideMark/>
          </w:tcPr>
          <w:p w14:paraId="23D1B19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Мультипликатор 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3E9688F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Вклад в ВВП</w:t>
            </w:r>
          </w:p>
        </w:tc>
      </w:tr>
      <w:tr w:rsidR="00BE55E6" w:rsidRPr="00BE55E6" w14:paraId="782094AA" w14:textId="77777777" w:rsidTr="00BE55E6">
        <w:tc>
          <w:tcPr>
            <w:tcW w:w="0" w:type="auto"/>
            <w:hideMark/>
          </w:tcPr>
          <w:p w14:paraId="373B8B2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I. Агропереработка</w:t>
            </w:r>
          </w:p>
        </w:tc>
        <w:tc>
          <w:tcPr>
            <w:tcW w:w="0" w:type="auto"/>
            <w:hideMark/>
          </w:tcPr>
          <w:p w14:paraId="0255F85E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2,75</w:t>
            </w:r>
          </w:p>
        </w:tc>
        <w:tc>
          <w:tcPr>
            <w:tcW w:w="0" w:type="auto"/>
            <w:hideMark/>
          </w:tcPr>
          <w:p w14:paraId="3725CD2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3,5</w:t>
            </w:r>
          </w:p>
        </w:tc>
        <w:tc>
          <w:tcPr>
            <w:tcW w:w="0" w:type="auto"/>
            <w:hideMark/>
          </w:tcPr>
          <w:p w14:paraId="403CCC1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1,80</w:t>
            </w:r>
          </w:p>
        </w:tc>
        <w:tc>
          <w:tcPr>
            <w:tcW w:w="0" w:type="auto"/>
            <w:hideMark/>
          </w:tcPr>
          <w:p w14:paraId="776EFE59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+3,0%</w:t>
            </w:r>
          </w:p>
        </w:tc>
      </w:tr>
      <w:tr w:rsidR="00BE55E6" w:rsidRPr="00BE55E6" w14:paraId="5DD6025E" w14:textId="77777777" w:rsidTr="00BE55E6">
        <w:tc>
          <w:tcPr>
            <w:tcW w:w="0" w:type="auto"/>
            <w:hideMark/>
          </w:tcPr>
          <w:p w14:paraId="14F4332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II. Порт-Логистика</w:t>
            </w:r>
          </w:p>
        </w:tc>
        <w:tc>
          <w:tcPr>
            <w:tcW w:w="0" w:type="auto"/>
            <w:hideMark/>
          </w:tcPr>
          <w:p w14:paraId="775BEAB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2,20</w:t>
            </w:r>
          </w:p>
        </w:tc>
        <w:tc>
          <w:tcPr>
            <w:tcW w:w="0" w:type="auto"/>
            <w:hideMark/>
          </w:tcPr>
          <w:p w14:paraId="1C4920A4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2,5</w:t>
            </w:r>
          </w:p>
        </w:tc>
        <w:tc>
          <w:tcPr>
            <w:tcW w:w="0" w:type="auto"/>
            <w:hideMark/>
          </w:tcPr>
          <w:p w14:paraId="3C75EE3F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1,78</w:t>
            </w:r>
          </w:p>
        </w:tc>
        <w:tc>
          <w:tcPr>
            <w:tcW w:w="0" w:type="auto"/>
            <w:hideMark/>
          </w:tcPr>
          <w:p w14:paraId="1341C958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+2,0%</w:t>
            </w:r>
          </w:p>
        </w:tc>
      </w:tr>
      <w:tr w:rsidR="00BE55E6" w:rsidRPr="00BE55E6" w14:paraId="1B256107" w14:textId="77777777" w:rsidTr="00BE55E6">
        <w:tc>
          <w:tcPr>
            <w:tcW w:w="0" w:type="auto"/>
            <w:hideMark/>
          </w:tcPr>
          <w:p w14:paraId="7625C25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III. Индустриальная зона</w:t>
            </w:r>
          </w:p>
        </w:tc>
        <w:tc>
          <w:tcPr>
            <w:tcW w:w="0" w:type="auto"/>
            <w:hideMark/>
          </w:tcPr>
          <w:p w14:paraId="219D568E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3,50</w:t>
            </w:r>
          </w:p>
        </w:tc>
        <w:tc>
          <w:tcPr>
            <w:tcW w:w="0" w:type="auto"/>
            <w:hideMark/>
          </w:tcPr>
          <w:p w14:paraId="2C0E3C0F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4,5</w:t>
            </w:r>
          </w:p>
        </w:tc>
        <w:tc>
          <w:tcPr>
            <w:tcW w:w="0" w:type="auto"/>
            <w:hideMark/>
          </w:tcPr>
          <w:p w14:paraId="3922E750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1,90</w:t>
            </w:r>
          </w:p>
        </w:tc>
        <w:tc>
          <w:tcPr>
            <w:tcW w:w="0" w:type="auto"/>
            <w:hideMark/>
          </w:tcPr>
          <w:p w14:paraId="0B10B611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+3,5%</w:t>
            </w:r>
          </w:p>
        </w:tc>
      </w:tr>
      <w:tr w:rsidR="00BE55E6" w:rsidRPr="00BE55E6" w14:paraId="0CF9A482" w14:textId="77777777" w:rsidTr="00BE55E6">
        <w:tc>
          <w:tcPr>
            <w:tcW w:w="0" w:type="auto"/>
            <w:hideMark/>
          </w:tcPr>
          <w:p w14:paraId="0407FB8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IV. Цифровая платформа</w:t>
            </w:r>
          </w:p>
        </w:tc>
        <w:tc>
          <w:tcPr>
            <w:tcW w:w="0" w:type="auto"/>
            <w:hideMark/>
          </w:tcPr>
          <w:p w14:paraId="4148FD13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1,25</w:t>
            </w:r>
          </w:p>
        </w:tc>
        <w:tc>
          <w:tcPr>
            <w:tcW w:w="0" w:type="auto"/>
            <w:hideMark/>
          </w:tcPr>
          <w:p w14:paraId="2821A0FD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2,5</w:t>
            </w:r>
          </w:p>
        </w:tc>
        <w:tc>
          <w:tcPr>
            <w:tcW w:w="0" w:type="auto"/>
            <w:hideMark/>
          </w:tcPr>
          <w:p w14:paraId="2D29D0A5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2,05</w:t>
            </w:r>
          </w:p>
        </w:tc>
        <w:tc>
          <w:tcPr>
            <w:tcW w:w="0" w:type="auto"/>
            <w:hideMark/>
          </w:tcPr>
          <w:p w14:paraId="38360F67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+2,0%</w:t>
            </w:r>
          </w:p>
        </w:tc>
      </w:tr>
      <w:tr w:rsidR="00BE55E6" w:rsidRPr="00BE55E6" w14:paraId="56C419BA" w14:textId="77777777" w:rsidTr="00BE55E6">
        <w:tc>
          <w:tcPr>
            <w:tcW w:w="0" w:type="auto"/>
            <w:hideMark/>
          </w:tcPr>
          <w:p w14:paraId="6028CAA5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V. Образование и R&amp;D</w:t>
            </w:r>
          </w:p>
        </w:tc>
        <w:tc>
          <w:tcPr>
            <w:tcW w:w="0" w:type="auto"/>
            <w:hideMark/>
          </w:tcPr>
          <w:p w14:paraId="17F2F75B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0,90</w:t>
            </w:r>
          </w:p>
        </w:tc>
        <w:tc>
          <w:tcPr>
            <w:tcW w:w="0" w:type="auto"/>
            <w:hideMark/>
          </w:tcPr>
          <w:p w14:paraId="5F08289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1,2</w:t>
            </w:r>
          </w:p>
        </w:tc>
        <w:tc>
          <w:tcPr>
            <w:tcW w:w="0" w:type="auto"/>
            <w:hideMark/>
          </w:tcPr>
          <w:p w14:paraId="570ADE9C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1,55</w:t>
            </w:r>
          </w:p>
        </w:tc>
        <w:tc>
          <w:tcPr>
            <w:tcW w:w="0" w:type="auto"/>
            <w:hideMark/>
          </w:tcPr>
          <w:p w14:paraId="570ADCC3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+1,0%</w:t>
            </w:r>
          </w:p>
        </w:tc>
      </w:tr>
      <w:tr w:rsidR="00BE55E6" w:rsidRPr="00BE55E6" w14:paraId="6C8D3EFF" w14:textId="77777777" w:rsidTr="00BE55E6">
        <w:tc>
          <w:tcPr>
            <w:tcW w:w="0" w:type="auto"/>
            <w:hideMark/>
          </w:tcPr>
          <w:p w14:paraId="3C1BDC3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VI. Зеленая энергетика</w:t>
            </w:r>
          </w:p>
        </w:tc>
        <w:tc>
          <w:tcPr>
            <w:tcW w:w="0" w:type="auto"/>
            <w:hideMark/>
          </w:tcPr>
          <w:p w14:paraId="13DB4C0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hideMark/>
          </w:tcPr>
          <w:p w14:paraId="5F003E3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1,8</w:t>
            </w:r>
          </w:p>
        </w:tc>
        <w:tc>
          <w:tcPr>
            <w:tcW w:w="0" w:type="auto"/>
            <w:hideMark/>
          </w:tcPr>
          <w:p w14:paraId="275EF0F6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1,70</w:t>
            </w:r>
          </w:p>
        </w:tc>
        <w:tc>
          <w:tcPr>
            <w:tcW w:w="0" w:type="auto"/>
            <w:hideMark/>
          </w:tcPr>
          <w:p w14:paraId="004EDD5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+1,5%</w:t>
            </w:r>
          </w:p>
        </w:tc>
      </w:tr>
      <w:tr w:rsidR="00BE55E6" w:rsidRPr="00BE55E6" w14:paraId="5AE0B08E" w14:textId="77777777" w:rsidTr="00BE55E6">
        <w:tc>
          <w:tcPr>
            <w:tcW w:w="0" w:type="auto"/>
            <w:hideMark/>
          </w:tcPr>
          <w:p w14:paraId="01B69CED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Синергия (</w:t>
            </w:r>
            <w:proofErr w:type="spellStart"/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Γ_synergy</w:t>
            </w:r>
            <w:proofErr w:type="spellEnd"/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5AEDB55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---</w:t>
            </w:r>
          </w:p>
        </w:tc>
        <w:tc>
          <w:tcPr>
            <w:tcW w:w="0" w:type="auto"/>
            <w:hideMark/>
          </w:tcPr>
          <w:p w14:paraId="30211E4E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1,6</w:t>
            </w:r>
          </w:p>
        </w:tc>
        <w:tc>
          <w:tcPr>
            <w:tcW w:w="0" w:type="auto"/>
            <w:hideMark/>
          </w:tcPr>
          <w:p w14:paraId="01945953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---</w:t>
            </w:r>
          </w:p>
        </w:tc>
        <w:tc>
          <w:tcPr>
            <w:tcW w:w="0" w:type="auto"/>
            <w:hideMark/>
          </w:tcPr>
          <w:p w14:paraId="33338777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+1,5%</w:t>
            </w:r>
          </w:p>
        </w:tc>
      </w:tr>
      <w:tr w:rsidR="00BE55E6" w:rsidRPr="00BE55E6" w14:paraId="0A3CAA9F" w14:textId="77777777" w:rsidTr="00BE55E6">
        <w:tc>
          <w:tcPr>
            <w:tcW w:w="0" w:type="auto"/>
            <w:hideMark/>
          </w:tcPr>
          <w:p w14:paraId="78E21222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13DEA315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13,10</w:t>
            </w:r>
          </w:p>
        </w:tc>
        <w:tc>
          <w:tcPr>
            <w:tcW w:w="0" w:type="auto"/>
            <w:hideMark/>
          </w:tcPr>
          <w:p w14:paraId="5F231280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17,6</w:t>
            </w:r>
          </w:p>
        </w:tc>
        <w:tc>
          <w:tcPr>
            <w:tcW w:w="0" w:type="auto"/>
            <w:hideMark/>
          </w:tcPr>
          <w:p w14:paraId="5F89A957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1,80</w:t>
            </w:r>
            <w:r w:rsidRPr="00BE55E6"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3F325D93" w14:textId="77777777" w:rsidR="00BE55E6" w:rsidRPr="00BE55E6" w:rsidRDefault="00BE55E6" w:rsidP="00BE55E6">
            <w:pPr>
              <w:jc w:val="left"/>
              <w:rPr>
                <w:rFonts w:eastAsia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E55E6">
              <w:rPr>
                <w:rFonts w:eastAsia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+14,5%</w:t>
            </w:r>
          </w:p>
        </w:tc>
      </w:tr>
    </w:tbl>
    <w:p w14:paraId="546A3D8C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* средневзвешенное значение.</w:t>
      </w:r>
    </w:p>
    <w:p w14:paraId="0AC80F03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Анализ таблицы: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  <w:t>Наибольший мультипликатор (2,05) принадлежит Цифровой платформе, что подтверждает гипотезу о высокой эффективности сетевых решений. Наибольший абсолютный вклад в ВВП вносит Индустриальный кластер (+3,5%), что оправдывает его максимальный CAPEX. Важно отметить, что синергетический эффект (1,6 млрд USD) не привязан к какому-либо одному кластеру, а возникает исключительно из их взаимодействия, что делает проект целостной системой.</w:t>
      </w:r>
    </w:p>
    <w:p w14:paraId="37F48FD3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Рисунок 3.1.5 — Мультипликаторы и рентабельность инвестиций (ROI) по кластерам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E55E6">
        <w:rPr>
          <w:rFonts w:eastAsia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Гистограмма демонстрирует два ключевых параметра. По оси X — кластеры, по левой оси Y — значение мультипликатора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, по правой оси Y — ROI. Цифровая платформа лидирует по обоим показателям (k=2,05; ROI≈100%). Индустриальный кластер, обладая высоким мультипликатором (1,90), показывает умеренный ROI (≈28%) из-за высокой капиталоемкости, но критически важен для создания долгосрочной промышленной базы. Низкий ROI образовательного кластера компенсируется его незаменимой ролью в обеспечении устойчивости проекта в долгосрочной перспективе.</w:t>
      </w:r>
    </w:p>
    <w:p w14:paraId="3C3E7229" w14:textId="77777777" w:rsidR="00BE55E6" w:rsidRPr="00BE55E6" w:rsidRDefault="00BE55E6" w:rsidP="00BE55E6">
      <w:pPr>
        <w:shd w:val="clear" w:color="auto" w:fill="FFFFFF"/>
        <w:jc w:val="left"/>
        <w:outlineLvl w:val="1"/>
        <w:rPr>
          <w:rFonts w:eastAsia="Times New Roman"/>
          <w:b/>
          <w:bCs/>
          <w:color w:val="0F1115"/>
          <w:kern w:val="0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lang w:eastAsia="ru-RU"/>
          <w14:ligatures w14:val="none"/>
        </w:rPr>
        <w:t>3.1.4. Выводы по разделу 3.1</w:t>
      </w:r>
    </w:p>
    <w:p w14:paraId="42AE66EF" w14:textId="77777777" w:rsidR="00BE55E6" w:rsidRPr="00BE55E6" w:rsidRDefault="00BE55E6" w:rsidP="00BE55E6">
      <w:pPr>
        <w:shd w:val="clear" w:color="auto" w:fill="FFFFFF"/>
        <w:spacing w:before="240" w:after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Проведенный детализированный анализ шести кластеров проекта «Берег Восхода» позволяет сформулировать следующие научные и практические выводы:</w:t>
      </w:r>
    </w:p>
    <w:p w14:paraId="37AFC913" w14:textId="77777777" w:rsidR="00BE55E6" w:rsidRPr="00BE55E6" w:rsidRDefault="00BE55E6" w:rsidP="00BE55E6">
      <w:pPr>
        <w:numPr>
          <w:ilvl w:val="0"/>
          <w:numId w:val="5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Системность и эмерджентность: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Проект «Берег Восхода» представляет собой не сумму шести отраслевых программ, а единую платформенную экономическую систему. Ключевым условием достижения целевого прироста ВВП в 14,5% является одновременная активация всех шести кластеров. Отказ от любого элемента (например, ESG-блока или цифровой платформы) разрушает синергетические связи (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szCs w:val="24"/>
                <w:lang w:eastAsia="ru-RU"/>
                <w14:ligatures w14:val="none"/>
              </w:rPr>
              <m:t>synergy</m:t>
            </m:r>
          </m:sub>
        </m:sSub>
        <m:r>
          <w:rPr>
            <w:rFonts w:ascii="Cambria Math" w:eastAsia="Times New Roman" w:hAnsi="Cambria Math"/>
            <w:kern w:val="0"/>
            <w:sz w:val="24"/>
            <w:szCs w:val="24"/>
            <w:lang w:eastAsia="ru-RU"/>
            <w14:ligatures w14:val="none"/>
          </w:rPr>
          <m:t>≈1,6</m:t>
        </m:r>
      </m:oMath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млрд USD) и снижает общую эффективность портфеля ниже порога рентабельности.</w:t>
      </w:r>
    </w:p>
    <w:p w14:paraId="6DC1A71B" w14:textId="77777777" w:rsidR="00BE55E6" w:rsidRPr="00BE55E6" w:rsidRDefault="00BE55E6" w:rsidP="00BE55E6">
      <w:pPr>
        <w:numPr>
          <w:ilvl w:val="0"/>
          <w:numId w:val="5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Цифровая платформа как координационный каркас: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Цифровая платформа обладает асимметрично высокой стратегической ценностью. При CAPEX 1,25 млрд USD (9,5% портфеля) она генерирует прямую добавленную стоимость 2,5 млрд USD и повышает мультипликативный эффект остальных кластеров на 38% за счет снижения транзакционных издержек (формула 2.6) и сетевых внешних эффектов (формула 2.7). Это доказывает необходимость синхронного или опережающего развертывания платформы по отношению к инвестициям в физическую инфраструктуру.</w:t>
      </w:r>
    </w:p>
    <w:p w14:paraId="3934A268" w14:textId="77777777" w:rsidR="00BE55E6" w:rsidRPr="00BE55E6" w:rsidRDefault="00BE55E6" w:rsidP="00BE55E6">
      <w:pPr>
        <w:numPr>
          <w:ilvl w:val="0"/>
          <w:numId w:val="5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Инновации как драйвер добавленной стоимости: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Переход к глубокой переработке (фармацевтика, косметика), внедрение блокчейн-прослеживаемости (EUDR) и создание безотходных циклов (отходы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агро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→ биоэнергетика) трансформируют традиционные сектора. Эти инновации позволяют удерживать ренту внутри страны и диверсифицировать экспорт, снижая долю сырья с 65% до 20%.</w:t>
      </w:r>
    </w:p>
    <w:p w14:paraId="33474354" w14:textId="77777777" w:rsidR="00BE55E6" w:rsidRPr="00BE55E6" w:rsidRDefault="00BE55E6" w:rsidP="00BE55E6">
      <w:pPr>
        <w:numPr>
          <w:ilvl w:val="0"/>
          <w:numId w:val="5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ESG-фактор как источник дохода: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«Зеленая» повестка из регуляторного ограничения превращена в самостоятельный экономический актив. Потенциальный доход от углеродных кредитов (до 1,45 млрд USD/год к 2035 г.) и преференциальный доступ к «зеленым» облигациям формируют дополнительный финансовый поток, не учтенный в базовых расчетах добавленной стоимости кластеров, что существенно повышает инвестиционную привлекательность проекта.</w:t>
      </w:r>
    </w:p>
    <w:p w14:paraId="4FEEB54C" w14:textId="77777777" w:rsidR="00BE55E6" w:rsidRPr="00BE55E6" w:rsidRDefault="00BE55E6" w:rsidP="00BE55E6">
      <w:pPr>
        <w:numPr>
          <w:ilvl w:val="0"/>
          <w:numId w:val="5"/>
        </w:numPr>
        <w:shd w:val="clear" w:color="auto" w:fill="FFFFFF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Кадровое обеспечение как фундамент устойчивости: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 Образовательный кластер (V) с его трехуровневой системой (училища — университеты — технопарки) и дуальной моделью обучения является необходимым условием для замещения иностранных специалистов и долгосрочного развития. Без этого кластера высокие мультипликаторы промышленных кластеров не будут реализованы из-за дефицита квалифицированных кадров.</w:t>
      </w:r>
    </w:p>
    <w:p w14:paraId="13ADFEE7" w14:textId="77777777" w:rsidR="00BE55E6" w:rsidRPr="00BE55E6" w:rsidRDefault="00BE55E6" w:rsidP="00BE55E6">
      <w:pPr>
        <w:shd w:val="clear" w:color="auto" w:fill="FFFFFF"/>
        <w:spacing w:before="240"/>
        <w:jc w:val="left"/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Таким образом, проект «Берег Восхода» может служить модельным примером (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case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>study</w:t>
      </w:r>
      <w:proofErr w:type="spellEnd"/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t xml:space="preserve">) структурной трансформации для развивающихся экономик, демонстрируя переход от </w:t>
      </w:r>
      <w:r w:rsidRPr="00BE55E6">
        <w:rPr>
          <w:rFonts w:eastAsia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сырьевой модели к инновационной, диверсифицированной и устойчивой экономике, управляемой на основе цифровых платформ.</w:t>
      </w:r>
    </w:p>
    <w:p w14:paraId="5B45C1B4" w14:textId="77777777" w:rsidR="00113C0A" w:rsidRPr="005B1251" w:rsidRDefault="00113C0A" w:rsidP="00BE55E6"/>
    <w:sectPr w:rsidR="00113C0A" w:rsidRPr="005B1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C4D23"/>
    <w:multiLevelType w:val="multilevel"/>
    <w:tmpl w:val="0CD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F0B31"/>
    <w:multiLevelType w:val="multilevel"/>
    <w:tmpl w:val="1194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2259C"/>
    <w:multiLevelType w:val="multilevel"/>
    <w:tmpl w:val="0404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50CFE"/>
    <w:multiLevelType w:val="multilevel"/>
    <w:tmpl w:val="3C0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3CAF"/>
    <w:multiLevelType w:val="multilevel"/>
    <w:tmpl w:val="A3CC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988348">
    <w:abstractNumId w:val="2"/>
  </w:num>
  <w:num w:numId="2" w16cid:durableId="1481194839">
    <w:abstractNumId w:val="0"/>
  </w:num>
  <w:num w:numId="3" w16cid:durableId="668407078">
    <w:abstractNumId w:val="3"/>
  </w:num>
  <w:num w:numId="4" w16cid:durableId="722876679">
    <w:abstractNumId w:val="4"/>
  </w:num>
  <w:num w:numId="5" w16cid:durableId="202331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E6"/>
    <w:rsid w:val="00067452"/>
    <w:rsid w:val="000F7186"/>
    <w:rsid w:val="00113C0A"/>
    <w:rsid w:val="001A6471"/>
    <w:rsid w:val="00272B96"/>
    <w:rsid w:val="005B1251"/>
    <w:rsid w:val="008A7A44"/>
    <w:rsid w:val="00957B4A"/>
    <w:rsid w:val="00BD6526"/>
    <w:rsid w:val="00BE55E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DB7C"/>
  <w15:chartTrackingRefBased/>
  <w15:docId w15:val="{4BE6AA16-1939-498E-BBF1-B47A7086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5E6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E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5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5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E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5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5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55E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E5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1837</Words>
  <Characters>10475</Characters>
  <Application>Microsoft Office Word</Application>
  <DocSecurity>0</DocSecurity>
  <Lines>87</Lines>
  <Paragraphs>24</Paragraphs>
  <ScaleCrop>false</ScaleCrop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2026-02-21T22:07:00Z</dcterms:created>
  <dcterms:modified xsi:type="dcterms:W3CDTF">2026-02-21T22:10:00Z</dcterms:modified>
</cp:coreProperties>
</file>