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УДК 338.45:332.1</w:t>
      </w:r>
    </w:p>
    <w:p>
      <w:pPr>
        <w:keepNext w:val="false"/>
        <w:spacing w:after="0" w:before="0" w:line="360" w:lineRule="auto"/>
        <w:ind w:firstLine="0"/>
        <w:jc w:val="left"/>
      </w:pPr>
      <w:r>
        <w:rPr>
          <w:rFonts w:ascii="Times New Roman" w:cs="Times New Roman" w:eastAsia="Times New Roman" w:hAnsi="Times New Roman"/>
          <w:b/>
          <w:bCs/>
          <w:i w:val="false"/>
          <w:iCs w:val="false"/>
          <w:sz w:val="24"/>
          <w:szCs w:val="24"/>
        </w:rPr>
        <w:t xml:space="preserve">Гладков Кирилл Геннадьевич</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аспирант 2 курса направления подготовки Экономика</w:t>
      </w:r>
    </w:p>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ФГАОУ ВО «Северо-Кавказский федеральный университет»</w:t>
      </w:r>
    </w:p>
    <w:p>
      <w:pPr>
        <w:keepNext w:val="false"/>
        <w:spacing w:after="0" w:before="0" w:line="360" w:lineRule="auto"/>
        <w:ind w:firstLine="0"/>
        <w:jc w:val="center"/>
      </w:pPr>
      <w:r>
        <w:rPr>
          <w:rFonts w:ascii="Times New Roman" w:cs="Times New Roman" w:eastAsia="Times New Roman" w:hAnsi="Times New Roman"/>
          <w:b/>
          <w:bCs/>
          <w:i w:val="false"/>
          <w:iCs w:val="false"/>
          <w:sz w:val="24"/>
          <w:szCs w:val="24"/>
        </w:rPr>
        <w:t xml:space="preserve">ДИАГНОСТИКА СВЯЗНОСТИ ПРОМЫШЛЕННОЙ ЭКОСИСТЕМЫ РЕГИОНА НА ОСНОВЕ РАЗЛОЖЕНИЯ ИНДЕКСА СИНЕРГЕТИЧЕСКОЙ ПЛОТНОСТИ</w:t>
      </w:r>
    </w:p>
    <w:p>
      <w:pPr>
        <w:keepNext w:val="false"/>
        <w:spacing w:after="0" w:before="0" w:line="360" w:lineRule="auto"/>
        <w:ind w:firstLine="0"/>
        <w:jc w:val="both"/>
      </w:pPr>
      <w:r>
        <w:rPr>
          <w:rFonts w:ascii="Times New Roman" w:cs="Times New Roman" w:eastAsia="Times New Roman" w:hAnsi="Times New Roman"/>
          <w:b/>
          <w:bCs/>
          <w:i w:val="false"/>
          <w:iCs w:val="false"/>
          <w:sz w:val="24"/>
          <w:szCs w:val="24"/>
        </w:rPr>
        <w:t xml:space="preserve">Гладков К.Г. Диагностика связности промышленной экосистемы региона на основе разложения индекса синергетической плотности.</w:t>
      </w:r>
      <w:r>
        <w:rPr>
          <w:rFonts w:ascii="Times New Roman" w:cs="Times New Roman" w:eastAsia="Times New Roman" w:hAnsi="Times New Roman"/>
          <w:b w:val="false"/>
          <w:bCs w:val="false"/>
          <w:i w:val="false"/>
          <w:iCs w:val="false"/>
          <w:sz w:val="24"/>
          <w:szCs w:val="24"/>
        </w:rPr>
        <w:t xml:space="preserve"> В статье предложен способ диагностики промышленной экосистемы, позволяющий отличить нехватку окупаемых межфирменных обменов от неспособности территории заключать уже окупаемые обмены. Индекс синергетической плотности разложен на коэффициент экономической реализуемости и коэффициент организационной реализации; для расчёта знаменателя построена матрица технической совместимости участников промышленного комплекса г. Невинномысска, содержащая 16 направлений обмена. Сопоставление действующих институтов с компонентами разложения показало, что режим ТОСЭР, финансирование экотехнопарка и плата за негативное воздействие влияют на число потенциальных обменов и их окупаемость, но не на долю выгодных обменов, доведённых до договора. Предложена процедура калибровки параметра функции синергетической реализуемости по наблюдаемым данным и сформулированы условия, при которых выводы работы должны быть отвергнуты.</w:t>
      </w:r>
    </w:p>
    <w:p>
      <w:pPr>
        <w:keepNext w:val="false"/>
        <w:spacing w:after="0" w:before="0" w:line="360" w:lineRule="auto"/>
        <w:ind w:firstLine="0"/>
        <w:jc w:val="left"/>
      </w:pPr>
      <w:r>
        <w:rPr>
          <w:rFonts w:ascii="Times New Roman" w:cs="Times New Roman" w:eastAsia="Times New Roman" w:hAnsi="Times New Roman"/>
          <w:b/>
          <w:bCs/>
          <w:i w:val="false"/>
          <w:iCs w:val="false"/>
          <w:sz w:val="24"/>
          <w:szCs w:val="24"/>
        </w:rPr>
        <w:t xml:space="preserve">Gladkov Kirill Gennadievich,</w:t>
      </w:r>
    </w:p>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Second-Year PhD Student in Economics</w:t>
      </w:r>
    </w:p>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North-Caucasus Federal University</w:t>
      </w:r>
    </w:p>
    <w:p>
      <w:pPr>
        <w:keepNext w:val="false"/>
        <w:spacing w:after="0" w:before="0" w:line="360" w:lineRule="auto"/>
        <w:ind w:firstLine="0"/>
        <w:jc w:val="center"/>
      </w:pPr>
      <w:r>
        <w:rPr>
          <w:rFonts w:ascii="Times New Roman" w:cs="Times New Roman" w:eastAsia="Times New Roman" w:hAnsi="Times New Roman"/>
          <w:b/>
          <w:bCs/>
          <w:i w:val="false"/>
          <w:iCs w:val="false"/>
          <w:sz w:val="24"/>
          <w:szCs w:val="24"/>
        </w:rPr>
        <w:t xml:space="preserve">DIAGNOSING THE CONNECTIVITY OF A REGIONAL INDUSTRIAL ECOSYSTEM BY DECOMPOSING THE SYNERGETIC DENSITY INDEX</w:t>
      </w:r>
    </w:p>
    <w:p>
      <w:pPr>
        <w:keepNext w:val="false"/>
        <w:spacing w:after="0" w:before="0" w:line="360" w:lineRule="auto"/>
        <w:ind w:firstLine="0"/>
        <w:jc w:val="both"/>
      </w:pPr>
      <w:r>
        <w:rPr>
          <w:rFonts w:ascii="Times New Roman" w:cs="Times New Roman" w:eastAsia="Times New Roman" w:hAnsi="Times New Roman"/>
          <w:b/>
          <w:bCs/>
          <w:i w:val="false"/>
          <w:iCs w:val="false"/>
          <w:sz w:val="24"/>
          <w:szCs w:val="24"/>
        </w:rPr>
        <w:t xml:space="preserve">Gladkov K.G. Diagnosing the Connectivity of a Regional Industrial Ecosystem by Decomposing the Synergetic Density Index.</w:t>
      </w:r>
      <w:r>
        <w:rPr>
          <w:rFonts w:ascii="Times New Roman" w:cs="Times New Roman" w:eastAsia="Times New Roman" w:hAnsi="Times New Roman"/>
          <w:b w:val="false"/>
          <w:bCs w:val="false"/>
          <w:i w:val="false"/>
          <w:iCs w:val="false"/>
          <w:sz w:val="24"/>
          <w:szCs w:val="24"/>
        </w:rPr>
        <w:t xml:space="preserve"> The article proposes a diagnostic approach that separates a shortage of profitable inter-firm exchanges from a territory’s inability to conclude exchanges that are already profitable. The synergetic density index is decomposed into an economic feasibility ratio and an organisational realisation ratio; to compute the denominator, a technical compatibility matrix with 16 exchange directions is built for the industrial complex of Nevinnomyssk. Comparing existing institutions with the components of the decomposition shows that the advanced development territory regime, eco-technopark funding and the environmental impact charge affect the number of potential exchanges and their payback, but not the share of profitable exchanges brought to a contract. A procedure for calibrating the parameter of the synergetic feasibility function from observed data is proposed, and conditions under which the conclusions should be rejected are stated.</w:t>
      </w:r>
    </w:p>
    <w:p>
      <w:pPr>
        <w:keepNext w:val="false"/>
        <w:spacing w:after="0" w:before="0" w:line="360" w:lineRule="auto"/>
        <w:ind w:firstLine="709"/>
        <w:jc w:val="both"/>
      </w:pPr>
      <w:r>
        <w:rPr>
          <w:rFonts w:ascii="Times New Roman" w:cs="Times New Roman" w:eastAsia="Times New Roman" w:hAnsi="Times New Roman"/>
          <w:b/>
          <w:bCs/>
          <w:i w:val="false"/>
          <w:iCs w:val="false"/>
          <w:sz w:val="24"/>
          <w:szCs w:val="24"/>
        </w:rPr>
        <w:t xml:space="preserve">Постановка проблемы.</w:t>
      </w:r>
      <w:r>
        <w:rPr>
          <w:rFonts w:ascii="Times New Roman" w:cs="Times New Roman" w:eastAsia="Times New Roman" w:hAnsi="Times New Roman"/>
          <w:b w:val="false"/>
          <w:bCs w:val="false"/>
          <w:i w:val="false"/>
          <w:iCs w:val="false"/>
          <w:sz w:val="24"/>
          <w:szCs w:val="24"/>
        </w:rPr>
        <w:t xml:space="preserve"> Промышленный комплекс региона может обладать всеми физическими предпосылками симбиоза и при этом почти не использовать их. Невинномысск в этом отношении показателен. В 2023 г. на город приходилось 28,53 % промышленного производства Ставропольского края </w:t>
      </w:r>
      <w:r>
        <w:rPr>
          <w:rFonts w:ascii="Times New Roman" w:cs="Times New Roman" w:eastAsia="Times New Roman" w:hAnsi="Times New Roman"/>
          <w:b w:val="false"/>
          <w:bCs w:val="false"/>
          <w:i w:val="false"/>
          <w:iCs w:val="false"/>
          <w:sz w:val="24"/>
          <w:szCs w:val="24"/>
        </w:rPr>
        <w:t xml:space="preserve">[1]</w:t>
      </w:r>
      <w:r>
        <w:rPr>
          <w:rFonts w:ascii="Times New Roman" w:cs="Times New Roman" w:eastAsia="Times New Roman" w:hAnsi="Times New Roman"/>
          <w:b w:val="false"/>
          <w:bCs w:val="false"/>
          <w:i w:val="false"/>
          <w:iCs w:val="false"/>
          <w:sz w:val="24"/>
          <w:szCs w:val="24"/>
        </w:rPr>
        <w:t xml:space="preserve">, рядом расположены тепловая электростанция, крупное азотное производство и строящийся экопромышленный парк мощностью 190 тыс. т переработки отходов в год </w:t>
      </w:r>
      <w:r>
        <w:rPr>
          <w:rFonts w:ascii="Times New Roman" w:cs="Times New Roman" w:eastAsia="Times New Roman" w:hAnsi="Times New Roman"/>
          <w:b w:val="false"/>
          <w:bCs w:val="false"/>
          <w:i w:val="false"/>
          <w:iCs w:val="false"/>
          <w:sz w:val="24"/>
          <w:szCs w:val="24"/>
        </w:rPr>
        <w:t xml:space="preserve">[2]</w:t>
      </w:r>
      <w:r>
        <w:rPr>
          <w:rFonts w:ascii="Times New Roman" w:cs="Times New Roman" w:eastAsia="Times New Roman" w:hAnsi="Times New Roman"/>
          <w:b w:val="false"/>
          <w:bCs w:val="false"/>
          <w:i w:val="false"/>
          <w:iCs w:val="false"/>
          <w:sz w:val="24"/>
          <w:szCs w:val="24"/>
        </w:rPr>
        <w:t xml:space="preserve">, в ТОСЭР «Невинномысск» к апрелю 2026 г. работали 52 резидента </w:t>
      </w:r>
      <w:r>
        <w:rPr>
          <w:rFonts w:ascii="Times New Roman" w:cs="Times New Roman" w:eastAsia="Times New Roman" w:hAnsi="Times New Roman"/>
          <w:b w:val="false"/>
          <w:bCs w:val="false"/>
          <w:i w:val="false"/>
          <w:iCs w:val="false"/>
          <w:sz w:val="24"/>
          <w:szCs w:val="24"/>
        </w:rPr>
        <w:t xml:space="preserve">[3]</w:t>
      </w:r>
      <w:r>
        <w:rPr>
          <w:rFonts w:ascii="Times New Roman" w:cs="Times New Roman" w:eastAsia="Times New Roman" w:hAnsi="Times New Roman"/>
          <w:b w:val="false"/>
          <w:bCs w:val="false"/>
          <w:i w:val="false"/>
          <w:iCs w:val="false"/>
          <w:sz w:val="24"/>
          <w:szCs w:val="24"/>
        </w:rPr>
        <w:t xml:space="preserve">. Документально подтверждённых обменов побочными ресурсами между этими участниками в открытых источниках не обнаруживается.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Обычное объяснение сводится к нехватке инвестиций или технологий. Оно удобно, но непроверяемо, пока не ясно, что именно отсутствует: окупаемые обмены или способность их заключать. Первое лечится ценой или субсидией, второе требует институтов, снижающих издержки поиска, согласования и раздела выгоды. Не различая причин, региональная политика рискует финансировать инфраструктуру там, где не хватает договоров.</w:t>
      </w:r>
    </w:p>
    <w:p>
      <w:pPr>
        <w:keepNext w:val="false"/>
        <w:spacing w:after="0" w:before="0" w:line="360" w:lineRule="auto"/>
        <w:ind w:firstLine="709"/>
        <w:jc w:val="both"/>
      </w:pPr>
      <w:r>
        <w:rPr>
          <w:rFonts w:ascii="Times New Roman" w:cs="Times New Roman" w:eastAsia="Times New Roman" w:hAnsi="Times New Roman"/>
          <w:b/>
          <w:bCs/>
          <w:i w:val="false"/>
          <w:iCs w:val="false"/>
          <w:sz w:val="24"/>
          <w:szCs w:val="24"/>
        </w:rPr>
        <w:t xml:space="preserve">Анализ последних исследований и публикаций.</w:t>
      </w:r>
      <w:r>
        <w:rPr>
          <w:rFonts w:ascii="Times New Roman" w:cs="Times New Roman" w:eastAsia="Times New Roman" w:hAnsi="Times New Roman"/>
          <w:b w:val="false"/>
          <w:bCs w:val="false"/>
          <w:i w:val="false"/>
          <w:iCs w:val="false"/>
          <w:sz w:val="24"/>
          <w:szCs w:val="24"/>
        </w:rPr>
        <w:t xml:space="preserve"> Концепция промышленного симбиоза восходит к работам Р. Фроша и Н. Галлопулоса</w:t>
      </w:r>
      <w:r>
        <w:rPr>
          <w:rStyle w:val="FootnoteReference"/>
        </w:rPr>
        <w:footnoteReference w:id="1"/>
      </w:r>
      <w:r>
        <w:rPr>
          <w:rFonts w:ascii="Times New Roman" w:cs="Times New Roman" w:eastAsia="Times New Roman" w:hAnsi="Times New Roman"/>
          <w:b w:val="false"/>
          <w:bCs w:val="false"/>
          <w:i w:val="false"/>
          <w:iCs w:val="false"/>
          <w:sz w:val="24"/>
          <w:szCs w:val="24"/>
        </w:rPr>
        <w:t xml:space="preserve"> и М. Чертоу, которая предложила критерий «3–2»: не менее трёх участников и двух видов обмениваемых ресурсов</w:t>
      </w:r>
      <w:r>
        <w:rPr>
          <w:rStyle w:val="FootnoteReference"/>
        </w:rPr>
        <w:footnoteReference w:id="2"/>
      </w:r>
      <w:r>
        <w:rPr>
          <w:rFonts w:ascii="Times New Roman" w:cs="Times New Roman" w:eastAsia="Times New Roman" w:hAnsi="Times New Roman"/>
          <w:b w:val="false"/>
          <w:bCs w:val="false"/>
          <w:i w:val="false"/>
          <w:iCs w:val="false"/>
          <w:sz w:val="24"/>
          <w:szCs w:val="24"/>
        </w:rPr>
        <w:t xml:space="preserve">. Позднее она же показала, что многие симбиотические связи возникают без проекта и обнаруживаются лишь при специальном обследовании</w:t>
      </w:r>
      <w:r>
        <w:rPr>
          <w:rStyle w:val="FootnoteReference"/>
        </w:rPr>
        <w:footnoteReference w:id="3"/>
      </w:r>
      <w:r>
        <w:rPr>
          <w:rFonts w:ascii="Times New Roman" w:cs="Times New Roman" w:eastAsia="Times New Roman" w:hAnsi="Times New Roman"/>
          <w:b w:val="false"/>
          <w:bCs w:val="false"/>
          <w:i w:val="false"/>
          <w:iCs w:val="false"/>
          <w:sz w:val="24"/>
          <w:szCs w:val="24"/>
        </w:rPr>
        <w:t xml:space="preserve">, то есть число действующих связей нельзя узнать из отчётности.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Современные эмпирические работы смещают внимание от описания отдельных парков к сравнительному анализу. Дж. Липпи, Р. Эвола и Э. Вешше, обобщив глобальные данные по эко-индустриальным паркам, выявили отраслевые закономерности в составе обменов </w:t>
      </w:r>
      <w:r>
        <w:rPr>
          <w:rFonts w:ascii="Times New Roman" w:cs="Times New Roman" w:eastAsia="Times New Roman" w:hAnsi="Times New Roman"/>
          <w:b w:val="false"/>
          <w:bCs w:val="false"/>
          <w:i w:val="false"/>
          <w:iCs w:val="false"/>
          <w:sz w:val="24"/>
          <w:szCs w:val="24"/>
        </w:rPr>
        <w:t xml:space="preserve">[4]</w:t>
      </w:r>
      <w:r>
        <w:rPr>
          <w:rFonts w:ascii="Times New Roman" w:cs="Times New Roman" w:eastAsia="Times New Roman" w:hAnsi="Times New Roman"/>
          <w:b w:val="false"/>
          <w:bCs w:val="false"/>
          <w:i w:val="false"/>
          <w:iCs w:val="false"/>
          <w:sz w:val="24"/>
          <w:szCs w:val="24"/>
        </w:rPr>
        <w:t xml:space="preserve">. Р. Диас, М. Серральа и К. Пиньейру на модели португальского промышленного парка показали, что из множества технически допустимых маршрутов обмена оптимизация отбирает лишь часть </w:t>
      </w:r>
      <w:r>
        <w:rPr>
          <w:rFonts w:ascii="Times New Roman" w:cs="Times New Roman" w:eastAsia="Times New Roman" w:hAnsi="Times New Roman"/>
          <w:b w:val="false"/>
          <w:bCs w:val="false"/>
          <w:i w:val="false"/>
          <w:iCs w:val="false"/>
          <w:sz w:val="24"/>
          <w:szCs w:val="24"/>
        </w:rPr>
        <w:t xml:space="preserve">[5]</w:t>
      </w:r>
      <w:r>
        <w:rPr>
          <w:rFonts w:ascii="Times New Roman" w:cs="Times New Roman" w:eastAsia="Times New Roman" w:hAnsi="Times New Roman"/>
          <w:b w:val="false"/>
          <w:bCs w:val="false"/>
          <w:i w:val="false"/>
          <w:iCs w:val="false"/>
          <w:sz w:val="24"/>
          <w:szCs w:val="24"/>
        </w:rPr>
        <w:t xml:space="preserve">. Л. Харфельдт-Берг, С. Броберг и К. Эрикссон обратили внимание на роль индивидуальных характеристик участников и контекста </w:t>
      </w:r>
      <w:r>
        <w:rPr>
          <w:rFonts w:ascii="Times New Roman" w:cs="Times New Roman" w:eastAsia="Times New Roman" w:hAnsi="Times New Roman"/>
          <w:b w:val="false"/>
          <w:bCs w:val="false"/>
          <w:i w:val="false"/>
          <w:iCs w:val="false"/>
          <w:sz w:val="24"/>
          <w:szCs w:val="24"/>
        </w:rPr>
        <w:t xml:space="preserve">[6]</w:t>
      </w:r>
      <w:r>
        <w:rPr>
          <w:rFonts w:ascii="Times New Roman" w:cs="Times New Roman" w:eastAsia="Times New Roman" w:hAnsi="Times New Roman"/>
          <w:b w:val="false"/>
          <w:bCs w:val="false"/>
          <w:i w:val="false"/>
          <w:iCs w:val="false"/>
          <w:sz w:val="24"/>
          <w:szCs w:val="24"/>
        </w:rPr>
        <w:t xml:space="preserve">, Э. Бум-Кармо и Р. Пеньябаэна-Ниеблес систематизировали барьеры симбиоза в странах с развивающимися рынками </w:t>
      </w:r>
      <w:r>
        <w:rPr>
          <w:rFonts w:ascii="Times New Roman" w:cs="Times New Roman" w:eastAsia="Times New Roman" w:hAnsi="Times New Roman"/>
          <w:b w:val="false"/>
          <w:bCs w:val="false"/>
          <w:i w:val="false"/>
          <w:iCs w:val="false"/>
          <w:sz w:val="24"/>
          <w:szCs w:val="24"/>
        </w:rPr>
        <w:t xml:space="preserve">[7]</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В отечественной литературе промышленные экосистемы исследуются как объект стратегического управления на платформенной основе </w:t>
      </w:r>
      <w:r>
        <w:rPr>
          <w:rFonts w:ascii="Times New Roman" w:cs="Times New Roman" w:eastAsia="Times New Roman" w:hAnsi="Times New Roman"/>
          <w:b w:val="false"/>
          <w:bCs w:val="false"/>
          <w:i w:val="false"/>
          <w:iCs w:val="false"/>
          <w:sz w:val="24"/>
          <w:szCs w:val="24"/>
        </w:rPr>
        <w:t xml:space="preserve">[8]</w:t>
      </w:r>
      <w:r>
        <w:rPr>
          <w:rFonts w:ascii="Times New Roman" w:cs="Times New Roman" w:eastAsia="Times New Roman" w:hAnsi="Times New Roman"/>
          <w:b w:val="false"/>
          <w:bCs w:val="false"/>
          <w:i w:val="false"/>
          <w:iCs w:val="false"/>
          <w:sz w:val="24"/>
          <w:szCs w:val="24"/>
        </w:rPr>
        <w:t xml:space="preserve">, разграничиваются понятия кластера и экосистемы </w:t>
      </w:r>
      <w:r>
        <w:rPr>
          <w:rFonts w:ascii="Times New Roman" w:cs="Times New Roman" w:eastAsia="Times New Roman" w:hAnsi="Times New Roman"/>
          <w:b w:val="false"/>
          <w:bCs w:val="false"/>
          <w:i w:val="false"/>
          <w:iCs w:val="false"/>
          <w:sz w:val="24"/>
          <w:szCs w:val="24"/>
        </w:rPr>
        <w:t xml:space="preserve">[9]</w:t>
      </w:r>
      <w:r>
        <w:rPr>
          <w:rFonts w:ascii="Times New Roman" w:cs="Times New Roman" w:eastAsia="Times New Roman" w:hAnsi="Times New Roman"/>
          <w:b w:val="false"/>
          <w:bCs w:val="false"/>
          <w:i w:val="false"/>
          <w:iCs w:val="false"/>
          <w:sz w:val="24"/>
          <w:szCs w:val="24"/>
        </w:rPr>
        <w:t xml:space="preserve">, выявляются модели формирования симбиоза </w:t>
      </w:r>
      <w:r>
        <w:rPr>
          <w:rFonts w:ascii="Times New Roman" w:cs="Times New Roman" w:eastAsia="Times New Roman" w:hAnsi="Times New Roman"/>
          <w:b w:val="false"/>
          <w:bCs w:val="false"/>
          <w:i w:val="false"/>
          <w:iCs w:val="false"/>
          <w:sz w:val="24"/>
          <w:szCs w:val="24"/>
        </w:rPr>
        <w:t xml:space="preserve">[10]</w:t>
      </w:r>
      <w:r>
        <w:rPr>
          <w:rFonts w:ascii="Times New Roman" w:cs="Times New Roman" w:eastAsia="Times New Roman" w:hAnsi="Times New Roman"/>
          <w:b w:val="false"/>
          <w:bCs w:val="false"/>
          <w:i w:val="false"/>
          <w:iCs w:val="false"/>
          <w:sz w:val="24"/>
          <w:szCs w:val="24"/>
        </w:rPr>
        <w:t xml:space="preserve"> и его возможности для декарбонизации </w:t>
      </w:r>
      <w:r>
        <w:rPr>
          <w:rFonts w:ascii="Times New Roman" w:cs="Times New Roman" w:eastAsia="Times New Roman" w:hAnsi="Times New Roman"/>
          <w:b w:val="false"/>
          <w:bCs w:val="false"/>
          <w:i w:val="false"/>
          <w:iCs w:val="false"/>
          <w:sz w:val="24"/>
          <w:szCs w:val="24"/>
        </w:rPr>
        <w:t xml:space="preserve">[11]</w:t>
      </w:r>
      <w:r>
        <w:rPr>
          <w:rFonts w:ascii="Times New Roman" w:cs="Times New Roman" w:eastAsia="Times New Roman" w:hAnsi="Times New Roman"/>
          <w:b w:val="false"/>
          <w:bCs w:val="false"/>
          <w:i w:val="false"/>
          <w:iCs w:val="false"/>
          <w:sz w:val="24"/>
          <w:szCs w:val="24"/>
        </w:rPr>
        <w:t xml:space="preserve">. Исследования циркулярной экономики Юга России фиксируют фрагментарность региональных механизмов её формирования </w:t>
      </w:r>
      <w:r>
        <w:rPr>
          <w:rFonts w:ascii="Times New Roman" w:cs="Times New Roman" w:eastAsia="Times New Roman" w:hAnsi="Times New Roman"/>
          <w:b w:val="false"/>
          <w:bCs w:val="false"/>
          <w:i w:val="false"/>
          <w:iCs w:val="false"/>
          <w:sz w:val="24"/>
          <w:szCs w:val="24"/>
        </w:rPr>
        <w:t xml:space="preserve">[12]</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Нерешённой остаётся задача диагностики: индекс связности, если он и рассчитывается, не указывает, на какое звено воздействовать, а работы о барьерах не соотносят препятствия с измеримыми компонентами связности.</w:t>
      </w:r>
    </w:p>
    <w:p>
      <w:pPr>
        <w:keepNext w:val="false"/>
        <w:spacing w:after="0" w:before="0" w:line="360" w:lineRule="auto"/>
        <w:ind w:firstLine="709"/>
        <w:jc w:val="both"/>
      </w:pPr>
      <w:r>
        <w:rPr>
          <w:rFonts w:ascii="Times New Roman" w:cs="Times New Roman" w:eastAsia="Times New Roman" w:hAnsi="Times New Roman"/>
          <w:b/>
          <w:bCs/>
          <w:i w:val="false"/>
          <w:iCs w:val="false"/>
          <w:sz w:val="24"/>
          <w:szCs w:val="24"/>
        </w:rPr>
        <w:t xml:space="preserve">Цель исследования</w:t>
      </w:r>
      <w:r>
        <w:rPr>
          <w:rFonts w:ascii="Times New Roman" w:cs="Times New Roman" w:eastAsia="Times New Roman" w:hAnsi="Times New Roman"/>
          <w:b w:val="false"/>
          <w:bCs w:val="false"/>
          <w:i w:val="false"/>
          <w:iCs w:val="false"/>
          <w:sz w:val="24"/>
          <w:szCs w:val="24"/>
        </w:rPr>
        <w:t xml:space="preserve"> состоит в разработке способа диагностики связности промышленной экосистемы региона, разделяющего экономическую и организационную причины низкой реализации межфирменных обменов, и в его апробации на материале промышленного комплекса г. Невинномысска.</w:t>
      </w:r>
    </w:p>
    <w:p>
      <w:pPr>
        <w:keepNext w:val="false"/>
        <w:spacing w:after="0" w:before="0" w:line="360" w:lineRule="auto"/>
        <w:ind w:firstLine="709"/>
        <w:jc w:val="both"/>
      </w:pPr>
      <w:r>
        <w:rPr>
          <w:rFonts w:ascii="Times New Roman" w:cs="Times New Roman" w:eastAsia="Times New Roman" w:hAnsi="Times New Roman"/>
          <w:b/>
          <w:bCs/>
          <w:i w:val="false"/>
          <w:iCs w:val="false"/>
          <w:sz w:val="24"/>
          <w:szCs w:val="24"/>
        </w:rPr>
        <w:t xml:space="preserve">Изложение основного материала.</w:t>
      </w:r>
      <w:r>
        <w:rPr>
          <w:rFonts w:ascii="Times New Roman" w:cs="Times New Roman" w:eastAsia="Times New Roman" w:hAnsi="Times New Roman"/>
          <w:b w:val="false"/>
          <w:bCs w:val="false"/>
          <w:i w:val="false"/>
          <w:iCs w:val="false"/>
          <w:sz w:val="24"/>
          <w:szCs w:val="24"/>
        </w:rPr>
        <w:t xml:space="preserve"> Исходным является различение трёх состояний обмена ресурсом вида k между участниками i и j. Технически возможный обмен существует, если выход участника i по составу, качеству и режиму совместим со входом участника j. Экономически обоснованный обмен — технически возможный обмен с неотрицательной чистой приведённой стоимостью при цене, приемлемой для обеих сторон. Фактически действующий обмен оформлен договором и подтверждён учётом объёмов.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Связность экосистемы измеряется индексом синергетической плотности:</w:t>
      </w:r>
    </w:p>
    <w:p>
      <w:pPr>
        <w:tabs>
          <w:tab w:val="center" w:pos="4819"/>
          <w:tab w:val="right" w:pos="9637"/>
        </w:tabs>
        <w:spacing w:after="0" w:before="0" w:line="360" w:lineRule="auto"/>
        <w:ind w:firstLine="0"/>
        <w:jc w:val="left"/>
      </w:pPr>
      <w:r>
        <w:rPr>
          <w:rFonts w:ascii="Times New Roman" w:cs="Times New Roman" w:eastAsia="Times New Roman" w:hAnsi="Times New Roman"/>
          <w:sz w:val="24"/>
          <w:szCs w:val="24"/>
        </w:rPr>
        <w:t xml:space="preserve">	</w:t>
      </w:r>
      <m:oMath xmlns:m="http://schemas.openxmlformats.org/officeDocument/2006/math" xmlns:w="http://schemas.openxmlformats.org/wordprocessingml/2006/main">
        <m:sSub>
          <m:e>
            <m:r>
              <w:rPr>
                <w:rFonts w:ascii="Cambria Math" w:hAnsi="Cambria Math"/>
                <w:i/>
                <w:sz w:val="24"/>
                <w:szCs w:val="24"/>
              </w:rPr>
              <m:t xml:space="preserve">C</m:t>
            </m:r>
          </m:e>
          <m:sub>
            <m:r>
              <m:rPr>
                <m:sty m:val="p"/>
              </m:rPr>
              <w:rPr>
                <w:rFonts w:ascii="Cambria Math" w:hAnsi="Cambria Math"/>
                <w:i w:val="0"/>
                <w:sz w:val="24"/>
                <w:szCs w:val="24"/>
              </w:rPr>
              <m:t xml:space="preserve">инд</m:t>
            </m:r>
          </m:sub>
        </m:sSub>
        <m:r>
          <m:rPr>
            <m:sty m:val="p"/>
          </m:rPr>
          <w:rPr>
            <w:rFonts w:ascii="Cambria Math" w:hAnsi="Cambria Math"/>
            <w:i w:val="0"/>
            <w:sz w:val="24"/>
            <w:szCs w:val="24"/>
          </w:rPr>
          <m:t xml:space="preserve"> = </m:t>
        </m:r>
        <m:f>
          <m:num>
            <m:sSub>
              <m:e>
                <m:r>
                  <w:rPr>
                    <w:rFonts w:ascii="Cambria Math" w:hAnsi="Cambria Math"/>
                    <w:i/>
                    <w:sz w:val="24"/>
                    <w:szCs w:val="24"/>
                  </w:rPr>
                  <m:t xml:space="preserve">R</m:t>
                </m:r>
              </m:e>
              <m:sub>
                <m:r>
                  <m:rPr>
                    <m:sty m:val="p"/>
                  </m:rPr>
                  <w:rPr>
                    <w:rFonts w:ascii="Cambria Math" w:hAnsi="Cambria Math"/>
                    <w:i w:val="0"/>
                    <w:sz w:val="24"/>
                    <w:szCs w:val="24"/>
                  </w:rPr>
                  <m:t xml:space="preserve">факт</m:t>
                </m:r>
              </m:sub>
            </m:sSub>
          </m:num>
          <m:den>
            <m:sSub>
              <m:e>
                <m:r>
                  <w:rPr>
                    <w:rFonts w:ascii="Cambria Math" w:hAnsi="Cambria Math"/>
                    <w:i/>
                    <w:sz w:val="24"/>
                    <w:szCs w:val="24"/>
                  </w:rPr>
                  <m:t xml:space="preserve">R</m:t>
                </m:r>
              </m:e>
              <m:sub>
                <m:r>
                  <m:rPr>
                    <m:sty m:val="p"/>
                  </m:rPr>
                  <w:rPr>
                    <w:rFonts w:ascii="Cambria Math" w:hAnsi="Cambria Math"/>
                    <w:i w:val="0"/>
                    <w:sz w:val="24"/>
                    <w:szCs w:val="24"/>
                  </w:rPr>
                  <m:t xml:space="preserve">пот</m:t>
                </m:r>
              </m:sub>
            </m:sSub>
          </m:den>
        </m:f>
      </m:oMath>
      <w:r>
        <w:rPr>
          <w:rFonts w:ascii="Times New Roman" w:cs="Times New Roman" w:eastAsia="Times New Roman" w:hAnsi="Times New Roman"/>
          <w:sz w:val="24"/>
          <w:szCs w:val="24"/>
        </w:rPr>
        <w:t xml:space="preserve">	(1)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где C</w:t>
      </w:r>
      <w:r>
        <w:rPr>
          <w:rFonts w:ascii="Times New Roman" w:cs="Times New Roman" w:eastAsia="Times New Roman" w:hAnsi="Times New Roman"/>
          <w:b w:val="false"/>
          <w:bCs w:val="false"/>
          <w:i w:val="false"/>
          <w:iCs w:val="false"/>
          <w:sz w:val="24"/>
          <w:szCs w:val="24"/>
          <w:vertAlign w:val="subscript"/>
        </w:rPr>
        <w:t xml:space="preserve">инд</w:t>
      </w:r>
      <w:r>
        <w:rPr>
          <w:rFonts w:ascii="Times New Roman" w:cs="Times New Roman" w:eastAsia="Times New Roman" w:hAnsi="Times New Roman"/>
          <w:b w:val="false"/>
          <w:bCs w:val="false"/>
          <w:i w:val="false"/>
          <w:iCs w:val="false"/>
          <w:sz w:val="24"/>
          <w:szCs w:val="24"/>
        </w:rPr>
        <w:t xml:space="preserve"> — индекс синергетической плотности, доли единицы; R</w:t>
      </w:r>
      <w:r>
        <w:rPr>
          <w:rFonts w:ascii="Times New Roman" w:cs="Times New Roman" w:eastAsia="Times New Roman" w:hAnsi="Times New Roman"/>
          <w:b w:val="false"/>
          <w:bCs w:val="false"/>
          <w:i w:val="false"/>
          <w:iCs w:val="false"/>
          <w:sz w:val="24"/>
          <w:szCs w:val="24"/>
          <w:vertAlign w:val="subscript"/>
        </w:rPr>
        <w:t xml:space="preserve">факт</w:t>
      </w:r>
      <w:r>
        <w:rPr>
          <w:rFonts w:ascii="Times New Roman" w:cs="Times New Roman" w:eastAsia="Times New Roman" w:hAnsi="Times New Roman"/>
          <w:b w:val="false"/>
          <w:bCs w:val="false"/>
          <w:i w:val="false"/>
          <w:iCs w:val="false"/>
          <w:sz w:val="24"/>
          <w:szCs w:val="24"/>
        </w:rPr>
        <w:t xml:space="preserve"> — число фактически действующих обменов; R</w:t>
      </w:r>
      <w:r>
        <w:rPr>
          <w:rFonts w:ascii="Times New Roman" w:cs="Times New Roman" w:eastAsia="Times New Roman" w:hAnsi="Times New Roman"/>
          <w:b w:val="false"/>
          <w:bCs w:val="false"/>
          <w:i w:val="false"/>
          <w:iCs w:val="false"/>
          <w:sz w:val="24"/>
          <w:szCs w:val="24"/>
          <w:vertAlign w:val="subscript"/>
        </w:rPr>
        <w:t xml:space="preserve">пот</w:t>
      </w:r>
      <w:r>
        <w:rPr>
          <w:rFonts w:ascii="Times New Roman" w:cs="Times New Roman" w:eastAsia="Times New Roman" w:hAnsi="Times New Roman"/>
          <w:b w:val="false"/>
          <w:bCs w:val="false"/>
          <w:i w:val="false"/>
          <w:iCs w:val="false"/>
          <w:sz w:val="24"/>
          <w:szCs w:val="24"/>
        </w:rPr>
        <w:t xml:space="preserve"> — число технически возможных обменов при данном составе участников.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Знаменатель задаётся матрицей совместимости выходов и входов участников:</w:t>
      </w:r>
    </w:p>
    <w:p>
      <w:pPr>
        <w:tabs>
          <w:tab w:val="center" w:pos="4819"/>
          <w:tab w:val="right" w:pos="9637"/>
        </w:tabs>
        <w:spacing w:after="0" w:before="0" w:line="360" w:lineRule="auto"/>
        <w:ind w:firstLine="0"/>
        <w:jc w:val="left"/>
      </w:pPr>
      <w:r>
        <w:rPr>
          <w:rFonts w:ascii="Times New Roman" w:cs="Times New Roman" w:eastAsia="Times New Roman" w:hAnsi="Times New Roman"/>
          <w:sz w:val="24"/>
          <w:szCs w:val="24"/>
        </w:rPr>
        <w:t xml:space="preserve">	</w:t>
      </w:r>
      <m:oMath xmlns:m="http://schemas.openxmlformats.org/officeDocument/2006/math" xmlns:w="http://schemas.openxmlformats.org/wordprocessingml/2006/main">
        <m:sSub>
          <m:e>
            <m:r>
              <w:rPr>
                <w:rFonts w:ascii="Cambria Math" w:hAnsi="Cambria Math"/>
                <w:i/>
                <w:sz w:val="24"/>
                <w:szCs w:val="24"/>
              </w:rPr>
              <m:t xml:space="preserve">R</m:t>
            </m:r>
          </m:e>
          <m:sub>
            <m:r>
              <m:rPr>
                <m:sty m:val="p"/>
              </m:rPr>
              <w:rPr>
                <w:rFonts w:ascii="Cambria Math" w:hAnsi="Cambria Math"/>
                <w:i w:val="0"/>
                <w:sz w:val="24"/>
                <w:szCs w:val="24"/>
              </w:rPr>
              <m:t xml:space="preserve">пот</m:t>
            </m:r>
          </m:sub>
        </m:sSub>
        <m:r>
          <m:rPr>
            <m:sty m:val="p"/>
          </m:rPr>
          <w:rPr>
            <w:rFonts w:ascii="Cambria Math" w:hAnsi="Cambria Math"/>
            <w:i w:val="0"/>
            <w:sz w:val="24"/>
            <w:szCs w:val="24"/>
          </w:rPr>
          <m:t xml:space="preserve"> = </m:t>
        </m:r>
        <m:nary>
          <m:naryPr>
            <m:chr m:val="∑"/>
            <m:limLoc m:val="undOvr"/>
          </m:naryPr>
          <m:sub>
            <m:r>
              <w:rPr>
                <w:rFonts w:ascii="Cambria Math" w:hAnsi="Cambria Math"/>
                <w:i/>
                <w:sz w:val="24"/>
                <w:szCs w:val="24"/>
              </w:rPr>
              <m:t xml:space="preserve">k</m:t>
            </m:r>
            <m:r>
              <m:rPr>
                <m:sty m:val="p"/>
              </m:rPr>
              <w:rPr>
                <w:rFonts w:ascii="Cambria Math" w:hAnsi="Cambria Math"/>
                <w:i w:val="0"/>
                <w:sz w:val="24"/>
                <w:szCs w:val="24"/>
              </w:rPr>
              <m:t xml:space="preserve">=1</m:t>
            </m:r>
          </m:sub>
          <m:sup>
            <m:r>
              <w:rPr>
                <w:rFonts w:ascii="Cambria Math" w:hAnsi="Cambria Math"/>
                <w:i/>
                <w:sz w:val="24"/>
                <w:szCs w:val="24"/>
              </w:rPr>
              <m:t xml:space="preserve">K</m:t>
            </m:r>
          </m:sup>
          <m:e>
            <m:nary>
              <m:naryPr>
                <m:chr m:val="∑"/>
                <m:limLoc m:val="undOvr"/>
              </m:naryPr>
              <m:sub>
                <m:r>
                  <w:rPr>
                    <w:rFonts w:ascii="Cambria Math" w:hAnsi="Cambria Math"/>
                    <w:i/>
                    <w:sz w:val="24"/>
                    <w:szCs w:val="24"/>
                  </w:rPr>
                  <m:t xml:space="preserve">i</m:t>
                </m:r>
                <m:r>
                  <m:rPr>
                    <m:sty m:val="p"/>
                  </m:rPr>
                  <w:rPr>
                    <w:rFonts w:ascii="Cambria Math" w:hAnsi="Cambria Math"/>
                    <w:i w:val="0"/>
                    <w:sz w:val="24"/>
                    <w:szCs w:val="24"/>
                  </w:rPr>
                  <m:t xml:space="preserve">=1</m:t>
                </m:r>
              </m:sub>
              <m:sup>
                <m:r>
                  <w:rPr>
                    <w:rFonts w:ascii="Cambria Math" w:hAnsi="Cambria Math"/>
                    <w:i/>
                    <w:sz w:val="24"/>
                    <w:szCs w:val="24"/>
                  </w:rPr>
                  <m:t xml:space="preserve">n</m:t>
                </m:r>
              </m:sup>
              <m:e>
                <m:nary>
                  <m:naryPr>
                    <m:chr m:val="∑"/>
                    <m:limLoc m:val="undOvr"/>
                  </m:naryPr>
                  <m:sub>
                    <m:r>
                      <w:rPr>
                        <w:rFonts w:ascii="Cambria Math" w:hAnsi="Cambria Math"/>
                        <w:i/>
                        <w:sz w:val="24"/>
                        <w:szCs w:val="24"/>
                      </w:rPr>
                      <m:t xml:space="preserve">j</m:t>
                    </m:r>
                    <m:r>
                      <m:rPr>
                        <m:sty m:val="p"/>
                      </m:rPr>
                      <w:rPr>
                        <w:rFonts w:ascii="Cambria Math" w:hAnsi="Cambria Math"/>
                        <w:i w:val="0"/>
                        <w:sz w:val="24"/>
                        <w:szCs w:val="24"/>
                      </w:rPr>
                      <m:t xml:space="preserve">=1, </m:t>
                    </m:r>
                    <m:r>
                      <w:rPr>
                        <w:rFonts w:ascii="Cambria Math" w:hAnsi="Cambria Math"/>
                        <w:i/>
                        <w:sz w:val="24"/>
                        <w:szCs w:val="24"/>
                      </w:rPr>
                      <m:t xml:space="preserve">j</m:t>
                    </m:r>
                    <m:r>
                      <m:rPr>
                        <m:sty m:val="p"/>
                      </m:rPr>
                      <w:rPr>
                        <w:rFonts w:ascii="Cambria Math" w:hAnsi="Cambria Math"/>
                        <w:i w:val="0"/>
                        <w:sz w:val="24"/>
                        <w:szCs w:val="24"/>
                      </w:rPr>
                      <m:t xml:space="preserve">≠</m:t>
                    </m:r>
                    <m:r>
                      <w:rPr>
                        <w:rFonts w:ascii="Cambria Math" w:hAnsi="Cambria Math"/>
                        <w:i/>
                        <w:sz w:val="24"/>
                        <w:szCs w:val="24"/>
                      </w:rPr>
                      <m:t xml:space="preserve">i</m:t>
                    </m:r>
                  </m:sub>
                  <m:sup>
                    <m:r>
                      <w:rPr>
                        <w:rFonts w:ascii="Cambria Math" w:hAnsi="Cambria Math"/>
                        <w:i/>
                        <w:sz w:val="24"/>
                        <w:szCs w:val="24"/>
                      </w:rPr>
                      <m:t xml:space="preserve">n</m:t>
                    </m:r>
                  </m:sup>
                  <m:e>
                    <m:sSubSup>
                      <m:e>
                        <m:r>
                          <w:rPr>
                            <w:rFonts w:ascii="Cambria Math" w:hAnsi="Cambria Math"/>
                            <w:i/>
                            <w:sz w:val="24"/>
                            <w:szCs w:val="24"/>
                          </w:rPr>
                          <m:t xml:space="preserve">a</m:t>
                        </m:r>
                      </m:e>
                      <m:sub>
                        <m:r>
                          <w:rPr>
                            <w:rFonts w:ascii="Cambria Math" w:hAnsi="Cambria Math"/>
                            <w:i/>
                            <w:sz w:val="24"/>
                            <w:szCs w:val="24"/>
                          </w:rPr>
                          <m:t xml:space="preserve">ij</m:t>
                        </m:r>
                      </m:sub>
                      <m:sup>
                        <m:r>
                          <w:rPr>
                            <w:rFonts w:ascii="Cambria Math" w:hAnsi="Cambria Math"/>
                            <w:i/>
                            <w:sz w:val="24"/>
                            <w:szCs w:val="24"/>
                          </w:rPr>
                          <m:t xml:space="preserve">k</m:t>
                        </m:r>
                      </m:sup>
                    </m:sSubSup>
                  </m:e>
                </m:nary>
              </m:e>
            </m:nary>
          </m:e>
        </m:nary>
      </m:oMath>
      <w:r>
        <w:rPr>
          <w:rFonts w:ascii="Times New Roman" w:cs="Times New Roman" w:eastAsia="Times New Roman" w:hAnsi="Times New Roman"/>
          <w:sz w:val="24"/>
          <w:szCs w:val="24"/>
        </w:rPr>
        <w:t xml:space="preserve">	(2)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где K — число видов ресурсов; n — число участников; a</w:t>
      </w:r>
      <w:r>
        <w:rPr>
          <w:rFonts w:ascii="Times New Roman" w:cs="Times New Roman" w:eastAsia="Times New Roman" w:hAnsi="Times New Roman"/>
          <w:b w:val="false"/>
          <w:bCs w:val="false"/>
          <w:i w:val="false"/>
          <w:iCs w:val="false"/>
          <w:sz w:val="24"/>
          <w:szCs w:val="24"/>
          <w:vertAlign w:val="subscript"/>
        </w:rPr>
        <w:t xml:space="preserve">ij</w:t>
      </w:r>
      <w:r>
        <w:rPr>
          <w:rFonts w:ascii="Times New Roman" w:cs="Times New Roman" w:eastAsia="Times New Roman" w:hAnsi="Times New Roman"/>
          <w:b w:val="false"/>
          <w:bCs w:val="false"/>
          <w:i w:val="false"/>
          <w:iCs w:val="false"/>
          <w:sz w:val="24"/>
          <w:szCs w:val="24"/>
          <w:vertAlign w:val="superscript"/>
        </w:rPr>
        <w:t xml:space="preserve">k</w:t>
      </w:r>
      <w:r>
        <w:rPr>
          <w:rFonts w:ascii="Times New Roman" w:cs="Times New Roman" w:eastAsia="Times New Roman" w:hAnsi="Times New Roman"/>
          <w:b w:val="false"/>
          <w:bCs w:val="false"/>
          <w:i w:val="false"/>
          <w:iCs w:val="false"/>
          <w:sz w:val="24"/>
          <w:szCs w:val="24"/>
        </w:rPr>
        <w:t xml:space="preserve"> — индикатор технической совместимости, равный 1, если ресурс вида k на выходе участника i пригоден для использования участником j, и 0 в противном случае.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Число экономически обоснованных обменов вычисляется по той же матрице с условием окупаемости:</w:t>
      </w:r>
    </w:p>
    <w:p>
      <w:pPr>
        <w:tabs>
          <w:tab w:val="center" w:pos="4819"/>
          <w:tab w:val="right" w:pos="9637"/>
        </w:tabs>
        <w:spacing w:after="0" w:before="0" w:line="360" w:lineRule="auto"/>
        <w:ind w:firstLine="0"/>
        <w:jc w:val="left"/>
      </w:pPr>
      <w:r>
        <w:rPr>
          <w:rFonts w:ascii="Times New Roman" w:cs="Times New Roman" w:eastAsia="Times New Roman" w:hAnsi="Times New Roman"/>
          <w:sz w:val="24"/>
          <w:szCs w:val="24"/>
        </w:rPr>
        <w:t xml:space="preserve">	</w:t>
      </w:r>
      <m:oMath xmlns:m="http://schemas.openxmlformats.org/officeDocument/2006/math" xmlns:w="http://schemas.openxmlformats.org/wordprocessingml/2006/main">
        <m:sSub>
          <m:e>
            <m:r>
              <w:rPr>
                <w:rFonts w:ascii="Cambria Math" w:hAnsi="Cambria Math"/>
                <w:i/>
                <w:sz w:val="24"/>
                <w:szCs w:val="24"/>
              </w:rPr>
              <m:t xml:space="preserve">R</m:t>
            </m:r>
          </m:e>
          <m:sub>
            <m:r>
              <m:rPr>
                <m:sty m:val="p"/>
              </m:rPr>
              <w:rPr>
                <w:rFonts w:ascii="Cambria Math" w:hAnsi="Cambria Math"/>
                <w:i w:val="0"/>
                <w:sz w:val="24"/>
                <w:szCs w:val="24"/>
              </w:rPr>
              <m:t xml:space="preserve">эк</m:t>
            </m:r>
          </m:sub>
        </m:sSub>
        <m:r>
          <m:rPr>
            <m:sty m:val="p"/>
          </m:rPr>
          <w:rPr>
            <w:rFonts w:ascii="Cambria Math" w:hAnsi="Cambria Math"/>
            <w:i w:val="0"/>
            <w:sz w:val="24"/>
            <w:szCs w:val="24"/>
          </w:rPr>
          <m:t xml:space="preserve"> = </m:t>
        </m:r>
        <m:nary>
          <m:naryPr>
            <m:chr m:val="∑"/>
            <m:limLoc m:val="undOvr"/>
          </m:naryPr>
          <m:sub>
            <m:r>
              <w:rPr>
                <w:rFonts w:ascii="Cambria Math" w:hAnsi="Cambria Math"/>
                <w:i/>
                <w:sz w:val="24"/>
                <w:szCs w:val="24"/>
              </w:rPr>
              <m:t xml:space="preserve">k</m:t>
            </m:r>
            <m:r>
              <m:rPr>
                <m:sty m:val="p"/>
              </m:rPr>
              <w:rPr>
                <w:rFonts w:ascii="Cambria Math" w:hAnsi="Cambria Math"/>
                <w:i w:val="0"/>
                <w:sz w:val="24"/>
                <w:szCs w:val="24"/>
              </w:rPr>
              <m:t xml:space="preserve">=1</m:t>
            </m:r>
          </m:sub>
          <m:sup>
            <m:r>
              <w:rPr>
                <w:rFonts w:ascii="Cambria Math" w:hAnsi="Cambria Math"/>
                <w:i/>
                <w:sz w:val="24"/>
                <w:szCs w:val="24"/>
              </w:rPr>
              <m:t xml:space="preserve">K</m:t>
            </m:r>
          </m:sup>
          <m:e>
            <m:nary>
              <m:naryPr>
                <m:chr m:val="∑"/>
                <m:limLoc m:val="undOvr"/>
              </m:naryPr>
              <m:sub>
                <m:r>
                  <w:rPr>
                    <w:rFonts w:ascii="Cambria Math" w:hAnsi="Cambria Math"/>
                    <w:i/>
                    <w:sz w:val="24"/>
                    <w:szCs w:val="24"/>
                  </w:rPr>
                  <m:t xml:space="preserve">i</m:t>
                </m:r>
                <m:r>
                  <m:rPr>
                    <m:sty m:val="p"/>
                  </m:rPr>
                  <w:rPr>
                    <w:rFonts w:ascii="Cambria Math" w:hAnsi="Cambria Math"/>
                    <w:i w:val="0"/>
                    <w:sz w:val="24"/>
                    <w:szCs w:val="24"/>
                  </w:rPr>
                  <m:t xml:space="preserve">=1</m:t>
                </m:r>
              </m:sub>
              <m:sup>
                <m:r>
                  <w:rPr>
                    <w:rFonts w:ascii="Cambria Math" w:hAnsi="Cambria Math"/>
                    <w:i/>
                    <w:sz w:val="24"/>
                    <w:szCs w:val="24"/>
                  </w:rPr>
                  <m:t xml:space="preserve">n</m:t>
                </m:r>
              </m:sup>
              <m:e>
                <m:nary>
                  <m:naryPr>
                    <m:chr m:val="∑"/>
                    <m:limLoc m:val="undOvr"/>
                  </m:naryPr>
                  <m:sub>
                    <m:r>
                      <w:rPr>
                        <w:rFonts w:ascii="Cambria Math" w:hAnsi="Cambria Math"/>
                        <w:i/>
                        <w:sz w:val="24"/>
                        <w:szCs w:val="24"/>
                      </w:rPr>
                      <m:t xml:space="preserve">j</m:t>
                    </m:r>
                    <m:r>
                      <m:rPr>
                        <m:sty m:val="p"/>
                      </m:rPr>
                      <w:rPr>
                        <w:rFonts w:ascii="Cambria Math" w:hAnsi="Cambria Math"/>
                        <w:i w:val="0"/>
                        <w:sz w:val="24"/>
                        <w:szCs w:val="24"/>
                      </w:rPr>
                      <m:t xml:space="preserve">=1, </m:t>
                    </m:r>
                    <m:r>
                      <w:rPr>
                        <w:rFonts w:ascii="Cambria Math" w:hAnsi="Cambria Math"/>
                        <w:i/>
                        <w:sz w:val="24"/>
                        <w:szCs w:val="24"/>
                      </w:rPr>
                      <m:t xml:space="preserve">j</m:t>
                    </m:r>
                    <m:r>
                      <m:rPr>
                        <m:sty m:val="p"/>
                      </m:rPr>
                      <w:rPr>
                        <w:rFonts w:ascii="Cambria Math" w:hAnsi="Cambria Math"/>
                        <w:i w:val="0"/>
                        <w:sz w:val="24"/>
                        <w:szCs w:val="24"/>
                      </w:rPr>
                      <m:t xml:space="preserve">≠</m:t>
                    </m:r>
                    <m:r>
                      <w:rPr>
                        <w:rFonts w:ascii="Cambria Math" w:hAnsi="Cambria Math"/>
                        <w:i/>
                        <w:sz w:val="24"/>
                        <w:szCs w:val="24"/>
                      </w:rPr>
                      <m:t xml:space="preserve">i</m:t>
                    </m:r>
                  </m:sub>
                  <m:sup>
                    <m:r>
                      <w:rPr>
                        <w:rFonts w:ascii="Cambria Math" w:hAnsi="Cambria Math"/>
                        <w:i/>
                        <w:sz w:val="24"/>
                        <w:szCs w:val="24"/>
                      </w:rPr>
                      <m:t xml:space="preserve">n</m:t>
                    </m:r>
                  </m:sup>
                  <m:e>
                    <m:sSubSup>
                      <m:e>
                        <m:r>
                          <w:rPr>
                            <w:rFonts w:ascii="Cambria Math" w:hAnsi="Cambria Math"/>
                            <w:i/>
                            <w:sz w:val="24"/>
                            <w:szCs w:val="24"/>
                          </w:rPr>
                          <m:t xml:space="preserve">a</m:t>
                        </m:r>
                      </m:e>
                      <m:sub>
                        <m:r>
                          <w:rPr>
                            <w:rFonts w:ascii="Cambria Math" w:hAnsi="Cambria Math"/>
                            <w:i/>
                            <w:sz w:val="24"/>
                            <w:szCs w:val="24"/>
                          </w:rPr>
                          <m:t xml:space="preserve">ij</m:t>
                        </m:r>
                      </m:sub>
                      <m:sup>
                        <m:r>
                          <w:rPr>
                            <w:rFonts w:ascii="Cambria Math" w:hAnsi="Cambria Math"/>
                            <w:i/>
                            <w:sz w:val="24"/>
                            <w:szCs w:val="24"/>
                          </w:rPr>
                          <m:t xml:space="preserve">k</m:t>
                        </m:r>
                      </m:sup>
                    </m:sSubSup>
                    <m:r>
                      <m:rPr>
                        <m:sty m:val="p"/>
                      </m:rPr>
                      <w:rPr>
                        <w:rFonts w:ascii="Cambria Math" w:hAnsi="Cambria Math"/>
                        <w:i w:val="0"/>
                        <w:sz w:val="24"/>
                        <w:szCs w:val="24"/>
                      </w:rPr>
                      <m:t xml:space="preserve">·</m:t>
                    </m:r>
                    <m:sSubSup>
                      <m:e>
                        <m:r>
                          <w:rPr>
                            <w:rFonts w:ascii="Cambria Math" w:hAnsi="Cambria Math"/>
                            <w:i/>
                            <w:sz w:val="24"/>
                            <w:szCs w:val="24"/>
                          </w:rPr>
                          <m:t xml:space="preserve">b</m:t>
                        </m:r>
                      </m:e>
                      <m:sub>
                        <m:r>
                          <w:rPr>
                            <w:rFonts w:ascii="Cambria Math" w:hAnsi="Cambria Math"/>
                            <w:i/>
                            <w:sz w:val="24"/>
                            <w:szCs w:val="24"/>
                          </w:rPr>
                          <m:t xml:space="preserve">ij</m:t>
                        </m:r>
                      </m:sub>
                      <m:sup>
                        <m:r>
                          <w:rPr>
                            <w:rFonts w:ascii="Cambria Math" w:hAnsi="Cambria Math"/>
                            <w:i/>
                            <w:sz w:val="24"/>
                            <w:szCs w:val="24"/>
                          </w:rPr>
                          <m:t xml:space="preserve">k</m:t>
                        </m:r>
                      </m:sup>
                    </m:sSubSup>
                  </m:e>
                </m:nary>
              </m:e>
            </m:nary>
          </m:e>
        </m:nary>
      </m:oMath>
      <w:r>
        <w:rPr>
          <w:rFonts w:ascii="Times New Roman" w:cs="Times New Roman" w:eastAsia="Times New Roman" w:hAnsi="Times New Roman"/>
          <w:sz w:val="24"/>
          <w:szCs w:val="24"/>
        </w:rPr>
        <w:t xml:space="preserve">	(3)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где R</w:t>
      </w:r>
      <w:r>
        <w:rPr>
          <w:rFonts w:ascii="Times New Roman" w:cs="Times New Roman" w:eastAsia="Times New Roman" w:hAnsi="Times New Roman"/>
          <w:b w:val="false"/>
          <w:bCs w:val="false"/>
          <w:i w:val="false"/>
          <w:iCs w:val="false"/>
          <w:sz w:val="24"/>
          <w:szCs w:val="24"/>
          <w:vertAlign w:val="subscript"/>
        </w:rPr>
        <w:t xml:space="preserve">эк</w:t>
      </w:r>
      <w:r>
        <w:rPr>
          <w:rFonts w:ascii="Times New Roman" w:cs="Times New Roman" w:eastAsia="Times New Roman" w:hAnsi="Times New Roman"/>
          <w:b w:val="false"/>
          <w:bCs w:val="false"/>
          <w:i w:val="false"/>
          <w:iCs w:val="false"/>
          <w:sz w:val="24"/>
          <w:szCs w:val="24"/>
        </w:rPr>
        <w:t xml:space="preserve"> — число экономически обоснованных обменов; b</w:t>
      </w:r>
      <w:r>
        <w:rPr>
          <w:rFonts w:ascii="Times New Roman" w:cs="Times New Roman" w:eastAsia="Times New Roman" w:hAnsi="Times New Roman"/>
          <w:b w:val="false"/>
          <w:bCs w:val="false"/>
          <w:i w:val="false"/>
          <w:iCs w:val="false"/>
          <w:sz w:val="24"/>
          <w:szCs w:val="24"/>
          <w:vertAlign w:val="subscript"/>
        </w:rPr>
        <w:t xml:space="preserve">ij</w:t>
      </w:r>
      <w:r>
        <w:rPr>
          <w:rFonts w:ascii="Times New Roman" w:cs="Times New Roman" w:eastAsia="Times New Roman" w:hAnsi="Times New Roman"/>
          <w:b w:val="false"/>
          <w:bCs w:val="false"/>
          <w:i w:val="false"/>
          <w:iCs w:val="false"/>
          <w:sz w:val="24"/>
          <w:szCs w:val="24"/>
          <w:vertAlign w:val="superscript"/>
        </w:rPr>
        <w:t xml:space="preserve">k</w:t>
      </w:r>
      <w:r>
        <w:rPr>
          <w:rFonts w:ascii="Times New Roman" w:cs="Times New Roman" w:eastAsia="Times New Roman" w:hAnsi="Times New Roman"/>
          <w:b w:val="false"/>
          <w:bCs w:val="false"/>
          <w:i w:val="false"/>
          <w:iCs w:val="false"/>
          <w:sz w:val="24"/>
          <w:szCs w:val="24"/>
        </w:rPr>
        <w:t xml:space="preserve"> — индикатор окупаемости, равный 1, если чистая приведённая стоимость обмена при цене внутри коридора приемлемости сторон неотрицательна, и 0 в противном случае.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Поскольку R</w:t>
      </w:r>
      <w:r>
        <w:rPr>
          <w:rFonts w:ascii="Times New Roman" w:cs="Times New Roman" w:eastAsia="Times New Roman" w:hAnsi="Times New Roman"/>
          <w:b w:val="false"/>
          <w:bCs w:val="false"/>
          <w:i w:val="false"/>
          <w:iCs w:val="false"/>
          <w:sz w:val="24"/>
          <w:szCs w:val="24"/>
          <w:vertAlign w:val="subscript"/>
        </w:rPr>
        <w:t xml:space="preserve">факт</w:t>
      </w:r>
      <w:r>
        <w:rPr>
          <w:rFonts w:ascii="Times New Roman" w:cs="Times New Roman" w:eastAsia="Times New Roman" w:hAnsi="Times New Roman"/>
          <w:b w:val="false"/>
          <w:bCs w:val="false"/>
          <w:i w:val="false"/>
          <w:iCs w:val="false"/>
          <w:sz w:val="24"/>
          <w:szCs w:val="24"/>
        </w:rPr>
        <w:t xml:space="preserve"> ≤ R</w:t>
      </w:r>
      <w:r>
        <w:rPr>
          <w:rFonts w:ascii="Times New Roman" w:cs="Times New Roman" w:eastAsia="Times New Roman" w:hAnsi="Times New Roman"/>
          <w:b w:val="false"/>
          <w:bCs w:val="false"/>
          <w:i w:val="false"/>
          <w:iCs w:val="false"/>
          <w:sz w:val="24"/>
          <w:szCs w:val="24"/>
          <w:vertAlign w:val="subscript"/>
        </w:rPr>
        <w:t xml:space="preserve">эк</w:t>
      </w:r>
      <w:r>
        <w:rPr>
          <w:rFonts w:ascii="Times New Roman" w:cs="Times New Roman" w:eastAsia="Times New Roman" w:hAnsi="Times New Roman"/>
          <w:b w:val="false"/>
          <w:bCs w:val="false"/>
          <w:i w:val="false"/>
          <w:iCs w:val="false"/>
          <w:sz w:val="24"/>
          <w:szCs w:val="24"/>
        </w:rPr>
        <w:t xml:space="preserve"> ≤ R</w:t>
      </w:r>
      <w:r>
        <w:rPr>
          <w:rFonts w:ascii="Times New Roman" w:cs="Times New Roman" w:eastAsia="Times New Roman" w:hAnsi="Times New Roman"/>
          <w:b w:val="false"/>
          <w:bCs w:val="false"/>
          <w:i w:val="false"/>
          <w:iCs w:val="false"/>
          <w:sz w:val="24"/>
          <w:szCs w:val="24"/>
          <w:vertAlign w:val="subscript"/>
        </w:rPr>
        <w:t xml:space="preserve">пот</w:t>
      </w:r>
      <w:r>
        <w:rPr>
          <w:rFonts w:ascii="Times New Roman" w:cs="Times New Roman" w:eastAsia="Times New Roman" w:hAnsi="Times New Roman"/>
          <w:b w:val="false"/>
          <w:bCs w:val="false"/>
          <w:i w:val="false"/>
          <w:iCs w:val="false"/>
          <w:sz w:val="24"/>
          <w:szCs w:val="24"/>
        </w:rPr>
        <w:t xml:space="preserve">, индекс раскладывается на два множителя:</w:t>
      </w:r>
    </w:p>
    <w:p>
      <w:pPr>
        <w:tabs>
          <w:tab w:val="center" w:pos="4819"/>
          <w:tab w:val="right" w:pos="9637"/>
        </w:tabs>
        <w:spacing w:after="0" w:before="0" w:line="360" w:lineRule="auto"/>
        <w:ind w:firstLine="0"/>
        <w:jc w:val="left"/>
      </w:pPr>
      <w:r>
        <w:rPr>
          <w:rFonts w:ascii="Times New Roman" w:cs="Times New Roman" w:eastAsia="Times New Roman" w:hAnsi="Times New Roman"/>
          <w:sz w:val="24"/>
          <w:szCs w:val="24"/>
        </w:rPr>
        <w:t xml:space="preserve">	</w:t>
      </w:r>
      <m:oMath xmlns:m="http://schemas.openxmlformats.org/officeDocument/2006/math" xmlns:w="http://schemas.openxmlformats.org/wordprocessingml/2006/main">
        <m:sSub>
          <m:e>
            <m:r>
              <w:rPr>
                <w:rFonts w:ascii="Cambria Math" w:hAnsi="Cambria Math"/>
                <w:i/>
                <w:sz w:val="24"/>
                <w:szCs w:val="24"/>
              </w:rPr>
              <m:t xml:space="preserve">C</m:t>
            </m:r>
          </m:e>
          <m:sub>
            <m:r>
              <m:rPr>
                <m:sty m:val="p"/>
              </m:rPr>
              <w:rPr>
                <w:rFonts w:ascii="Cambria Math" w:hAnsi="Cambria Math"/>
                <w:i w:val="0"/>
                <w:sz w:val="24"/>
                <w:szCs w:val="24"/>
              </w:rPr>
              <m:t xml:space="preserve">инд</m:t>
            </m:r>
          </m:sub>
        </m:sSub>
        <m:r>
          <m:rPr>
            <m:sty m:val="p"/>
          </m:rPr>
          <w:rPr>
            <w:rFonts w:ascii="Cambria Math" w:hAnsi="Cambria Math"/>
            <w:i w:val="0"/>
            <w:sz w:val="24"/>
            <w:szCs w:val="24"/>
          </w:rPr>
          <m:t xml:space="preserve"> = </m:t>
        </m:r>
        <m:f>
          <m:num>
            <m:sSub>
              <m:e>
                <m:r>
                  <w:rPr>
                    <w:rFonts w:ascii="Cambria Math" w:hAnsi="Cambria Math"/>
                    <w:i/>
                    <w:sz w:val="24"/>
                    <w:szCs w:val="24"/>
                  </w:rPr>
                  <m:t xml:space="preserve">R</m:t>
                </m:r>
              </m:e>
              <m:sub>
                <m:r>
                  <m:rPr>
                    <m:sty m:val="p"/>
                  </m:rPr>
                  <w:rPr>
                    <w:rFonts w:ascii="Cambria Math" w:hAnsi="Cambria Math"/>
                    <w:i w:val="0"/>
                    <w:sz w:val="24"/>
                    <w:szCs w:val="24"/>
                  </w:rPr>
                  <m:t xml:space="preserve">эк</m:t>
                </m:r>
              </m:sub>
            </m:sSub>
          </m:num>
          <m:den>
            <m:sSub>
              <m:e>
                <m:r>
                  <w:rPr>
                    <w:rFonts w:ascii="Cambria Math" w:hAnsi="Cambria Math"/>
                    <w:i/>
                    <w:sz w:val="24"/>
                    <w:szCs w:val="24"/>
                  </w:rPr>
                  <m:t xml:space="preserve">R</m:t>
                </m:r>
              </m:e>
              <m:sub>
                <m:r>
                  <m:rPr>
                    <m:sty m:val="p"/>
                  </m:rPr>
                  <w:rPr>
                    <w:rFonts w:ascii="Cambria Math" w:hAnsi="Cambria Math"/>
                    <w:i w:val="0"/>
                    <w:sz w:val="24"/>
                    <w:szCs w:val="24"/>
                  </w:rPr>
                  <m:t xml:space="preserve">пот</m:t>
                </m:r>
              </m:sub>
            </m:sSub>
          </m:den>
        </m:f>
        <m:r>
          <m:rPr>
            <m:sty m:val="p"/>
          </m:rPr>
          <w:rPr>
            <w:rFonts w:ascii="Cambria Math" w:hAnsi="Cambria Math"/>
            <w:i w:val="0"/>
            <w:sz w:val="24"/>
            <w:szCs w:val="24"/>
          </w:rPr>
          <m:t xml:space="preserve">·</m:t>
        </m:r>
        <m:f>
          <m:num>
            <m:sSub>
              <m:e>
                <m:r>
                  <w:rPr>
                    <w:rFonts w:ascii="Cambria Math" w:hAnsi="Cambria Math"/>
                    <w:i/>
                    <w:sz w:val="24"/>
                    <w:szCs w:val="24"/>
                  </w:rPr>
                  <m:t xml:space="preserve">R</m:t>
                </m:r>
              </m:e>
              <m:sub>
                <m:r>
                  <m:rPr>
                    <m:sty m:val="p"/>
                  </m:rPr>
                  <w:rPr>
                    <w:rFonts w:ascii="Cambria Math" w:hAnsi="Cambria Math"/>
                    <w:i w:val="0"/>
                    <w:sz w:val="24"/>
                    <w:szCs w:val="24"/>
                  </w:rPr>
                  <m:t xml:space="preserve">факт</m:t>
                </m:r>
              </m:sub>
            </m:sSub>
          </m:num>
          <m:den>
            <m:sSub>
              <m:e>
                <m:r>
                  <w:rPr>
                    <w:rFonts w:ascii="Cambria Math" w:hAnsi="Cambria Math"/>
                    <w:i/>
                    <w:sz w:val="24"/>
                    <w:szCs w:val="24"/>
                  </w:rPr>
                  <m:t xml:space="preserve">R</m:t>
                </m:r>
              </m:e>
              <m:sub>
                <m:r>
                  <m:rPr>
                    <m:sty m:val="p"/>
                  </m:rPr>
                  <w:rPr>
                    <w:rFonts w:ascii="Cambria Math" w:hAnsi="Cambria Math"/>
                    <w:i w:val="0"/>
                    <w:sz w:val="24"/>
                    <w:szCs w:val="24"/>
                  </w:rPr>
                  <m:t xml:space="preserve">эк</m:t>
                </m:r>
              </m:sub>
            </m:sSub>
          </m:den>
        </m:f>
        <m:r>
          <m:rPr>
            <m:sty m:val="p"/>
          </m:rPr>
          <w:rPr>
            <w:rFonts w:ascii="Cambria Math" w:hAnsi="Cambria Math"/>
            <w:i w:val="0"/>
            <w:sz w:val="24"/>
            <w:szCs w:val="24"/>
          </w:rPr>
          <m:t xml:space="preserve"> = </m:t>
        </m:r>
        <m:sSub>
          <m:e>
            <m:r>
              <w:rPr>
                <w:rFonts w:ascii="Cambria Math" w:hAnsi="Cambria Math"/>
                <w:i/>
                <w:sz w:val="24"/>
                <w:szCs w:val="24"/>
              </w:rPr>
              <m:t xml:space="preserve">η</m:t>
            </m:r>
          </m:e>
          <m:sub>
            <m:r>
              <m:rPr>
                <m:sty m:val="p"/>
              </m:rPr>
              <w:rPr>
                <w:rFonts w:ascii="Cambria Math" w:hAnsi="Cambria Math"/>
                <w:i w:val="0"/>
                <w:sz w:val="24"/>
                <w:szCs w:val="24"/>
              </w:rPr>
              <m:t xml:space="preserve">эк</m:t>
            </m:r>
          </m:sub>
        </m:sSub>
        <m:r>
          <m:rPr>
            <m:sty m:val="p"/>
          </m:rPr>
          <w:rPr>
            <w:rFonts w:ascii="Cambria Math" w:hAnsi="Cambria Math"/>
            <w:i w:val="0"/>
            <w:sz w:val="24"/>
            <w:szCs w:val="24"/>
          </w:rPr>
          <m:t xml:space="preserve">·</m:t>
        </m:r>
        <m:sSub>
          <m:e>
            <m:r>
              <w:rPr>
                <w:rFonts w:ascii="Cambria Math" w:hAnsi="Cambria Math"/>
                <w:i/>
                <w:sz w:val="24"/>
                <w:szCs w:val="24"/>
              </w:rPr>
              <m:t xml:space="preserve">η</m:t>
            </m:r>
          </m:e>
          <m:sub>
            <m:r>
              <m:rPr>
                <m:sty m:val="p"/>
              </m:rPr>
              <w:rPr>
                <w:rFonts w:ascii="Cambria Math" w:hAnsi="Cambria Math"/>
                <w:i w:val="0"/>
                <w:sz w:val="24"/>
                <w:szCs w:val="24"/>
              </w:rPr>
              <m:t xml:space="preserve">орг</m:t>
            </m:r>
          </m:sub>
        </m:sSub>
      </m:oMath>
      <w:r>
        <w:rPr>
          <w:rFonts w:ascii="Times New Roman" w:cs="Times New Roman" w:eastAsia="Times New Roman" w:hAnsi="Times New Roman"/>
          <w:sz w:val="24"/>
          <w:szCs w:val="24"/>
        </w:rPr>
        <w:t xml:space="preserve">	(4)</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где η</w:t>
      </w:r>
      <w:r>
        <w:rPr>
          <w:rFonts w:ascii="Times New Roman" w:cs="Times New Roman" w:eastAsia="Times New Roman" w:hAnsi="Times New Roman"/>
          <w:b w:val="false"/>
          <w:bCs w:val="false"/>
          <w:i w:val="false"/>
          <w:iCs w:val="false"/>
          <w:sz w:val="24"/>
          <w:szCs w:val="24"/>
          <w:vertAlign w:val="subscript"/>
        </w:rPr>
        <w:t xml:space="preserve">эк</w:t>
      </w:r>
      <w:r>
        <w:rPr>
          <w:rFonts w:ascii="Times New Roman" w:cs="Times New Roman" w:eastAsia="Times New Roman" w:hAnsi="Times New Roman"/>
          <w:b w:val="false"/>
          <w:bCs w:val="false"/>
          <w:i w:val="false"/>
          <w:iCs w:val="false"/>
          <w:sz w:val="24"/>
          <w:szCs w:val="24"/>
        </w:rPr>
        <w:t xml:space="preserve"> — коэффициент экономической реализуемости, доля технически возможных обменов, которые окупаются; η</w:t>
      </w:r>
      <w:r>
        <w:rPr>
          <w:rFonts w:ascii="Times New Roman" w:cs="Times New Roman" w:eastAsia="Times New Roman" w:hAnsi="Times New Roman"/>
          <w:b w:val="false"/>
          <w:bCs w:val="false"/>
          <w:i w:val="false"/>
          <w:iCs w:val="false"/>
          <w:sz w:val="24"/>
          <w:szCs w:val="24"/>
          <w:vertAlign w:val="subscript"/>
        </w:rPr>
        <w:t xml:space="preserve">орг</w:t>
      </w:r>
      <w:r>
        <w:rPr>
          <w:rFonts w:ascii="Times New Roman" w:cs="Times New Roman" w:eastAsia="Times New Roman" w:hAnsi="Times New Roman"/>
          <w:b w:val="false"/>
          <w:bCs w:val="false"/>
          <w:i w:val="false"/>
          <w:iCs w:val="false"/>
          <w:sz w:val="24"/>
          <w:szCs w:val="24"/>
        </w:rPr>
        <w:t xml:space="preserve"> — коэффициент организационной реализации, доля окупаемых обменов, которые действительно заключены.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Разложение (4) превращает одно число в диагноз. Низкий η</w:t>
      </w:r>
      <w:r>
        <w:rPr>
          <w:rFonts w:ascii="Times New Roman" w:cs="Times New Roman" w:eastAsia="Times New Roman" w:hAnsi="Times New Roman"/>
          <w:b w:val="false"/>
          <w:bCs w:val="false"/>
          <w:i w:val="false"/>
          <w:iCs w:val="false"/>
          <w:sz w:val="24"/>
          <w:szCs w:val="24"/>
          <w:vertAlign w:val="subscript"/>
        </w:rPr>
        <w:t xml:space="preserve">эк</w:t>
      </w:r>
      <w:r>
        <w:rPr>
          <w:rFonts w:ascii="Times New Roman" w:cs="Times New Roman" w:eastAsia="Times New Roman" w:hAnsi="Times New Roman"/>
          <w:b w:val="false"/>
          <w:bCs w:val="false"/>
          <w:i w:val="false"/>
          <w:iCs w:val="false"/>
          <w:sz w:val="24"/>
          <w:szCs w:val="24"/>
        </w:rPr>
        <w:t xml:space="preserve"> указывает, что обменам недостаёт окупаемости, и инструментами служат цена, субсидия или иная технология. Низкий η</w:t>
      </w:r>
      <w:r>
        <w:rPr>
          <w:rFonts w:ascii="Times New Roman" w:cs="Times New Roman" w:eastAsia="Times New Roman" w:hAnsi="Times New Roman"/>
          <w:b w:val="false"/>
          <w:bCs w:val="false"/>
          <w:i w:val="false"/>
          <w:iCs w:val="false"/>
          <w:sz w:val="24"/>
          <w:szCs w:val="24"/>
          <w:vertAlign w:val="subscript"/>
        </w:rPr>
        <w:t xml:space="preserve">орг</w:t>
      </w:r>
      <w:r>
        <w:rPr>
          <w:rFonts w:ascii="Times New Roman" w:cs="Times New Roman" w:eastAsia="Times New Roman" w:hAnsi="Times New Roman"/>
          <w:b w:val="false"/>
          <w:bCs w:val="false"/>
          <w:i w:val="false"/>
          <w:iCs w:val="false"/>
          <w:sz w:val="24"/>
          <w:szCs w:val="24"/>
        </w:rPr>
        <w:t xml:space="preserve"> означает, что выгодные обмены не заключаются из-за издержек поиска, недоверия, отсутствия правил раздела выгоды. Р. Коуз объяснял незаключённые выгодные сделки именно трансакционными издержками</w:t>
      </w:r>
      <w:r>
        <w:rPr>
          <w:rStyle w:val="FootnoteReference"/>
        </w:rPr>
        <w:footnoteReference w:id="4"/>
      </w:r>
      <w:r>
        <w:rPr>
          <w:rFonts w:ascii="Times New Roman" w:cs="Times New Roman" w:eastAsia="Times New Roman" w:hAnsi="Times New Roman"/>
          <w:b w:val="false"/>
          <w:bCs w:val="false"/>
          <w:i w:val="false"/>
          <w:iCs w:val="false"/>
          <w:sz w:val="24"/>
          <w:szCs w:val="24"/>
        </w:rPr>
        <w:t xml:space="preserve">, а О. Уильямсон связал их с неполнотой контрактов и специфичностью активов</w:t>
      </w:r>
      <w:r>
        <w:rPr>
          <w:rStyle w:val="FootnoteReference"/>
        </w:rPr>
        <w:footnoteReference w:id="5"/>
      </w:r>
      <w:r>
        <w:rPr>
          <w:rFonts w:ascii="Times New Roman" w:cs="Times New Roman" w:eastAsia="Times New Roman" w:hAnsi="Times New Roman"/>
          <w:b w:val="false"/>
          <w:bCs w:val="false"/>
          <w:i w:val="false"/>
          <w:iCs w:val="false"/>
          <w:sz w:val="24"/>
          <w:szCs w:val="24"/>
        </w:rPr>
        <w:t xml:space="preserve">. Соотношение трёх состояний обмена показано на рисунке 1.</w:t>
      </w:r>
    </w:p>
    <w:p>
      <w:pPr>
        <w:keepNext/>
        <w:jc w:val="center"/>
      </w:pPr>
      <w:r>
        <w:drawing>
          <wp:inline distT="0" distB="0" distL="0" distR="0">
            <wp:extent cx="5143500" cy="2809875"/>
            <wp:effectExtent t="0" r="0" b="0" l="0"/>
            <wp:docPr id="1" name="fig1.svg" descr="fig1.svg" title="fig1.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5143500" cy="280987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Рисунок 1 – Три состояния межфирменного обмена и разложение индекса синергетической плотности (составлено автором с использованием </w:t>
      </w:r>
      <w:r>
        <w:rPr>
          <w:rFonts w:ascii="Times New Roman" w:cs="Times New Roman" w:eastAsia="Times New Roman" w:hAnsi="Times New Roman"/>
          <w:b w:val="false"/>
          <w:bCs w:val="false"/>
          <w:i w:val="false"/>
          <w:iCs w:val="false"/>
          <w:sz w:val="24"/>
          <w:szCs w:val="24"/>
        </w:rPr>
        <w:t xml:space="preserve">[5]</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Рисунок 1 подчёркивает, что разрыв между потенциалом и практикой состоит из двух частей разной природы. В португальском парке из 26 допустимых маршрутов модель отбирает 12 </w:t>
      </w:r>
      <w:r>
        <w:rPr>
          <w:rFonts w:ascii="Times New Roman" w:cs="Times New Roman" w:eastAsia="Times New Roman" w:hAnsi="Times New Roman"/>
          <w:b w:val="false"/>
          <w:bCs w:val="false"/>
          <w:i w:val="false"/>
          <w:iCs w:val="false"/>
          <w:sz w:val="24"/>
          <w:szCs w:val="24"/>
        </w:rPr>
        <w:t xml:space="preserve">[5]</w:t>
      </w:r>
      <w:r>
        <w:rPr>
          <w:rFonts w:ascii="Times New Roman" w:cs="Times New Roman" w:eastAsia="Times New Roman" w:hAnsi="Times New Roman"/>
          <w:b w:val="false"/>
          <w:bCs w:val="false"/>
          <w:i w:val="false"/>
          <w:iCs w:val="false"/>
          <w:sz w:val="24"/>
          <w:szCs w:val="24"/>
        </w:rPr>
        <w:t xml:space="preserve">; утверждение о «более чем 150 потенциальных обменах» относится только к верхнему уровню воронки.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Для промышленного комплекса Невинномысска построена укрупнённая матрица технической совместимости (таблица 1). Участники объединены в шесть групп, ресурсы — в пять видов: низкопотенциальное тепло (Т), технологический пар (П), диоксид углерода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вторичное сырьё (В) и техническая вода (Вд).</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4"/>
          <w:szCs w:val="24"/>
        </w:rPr>
        <w:t xml:space="preserve">Таблица 1</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Укрупнённая матрица технической совместимости участников промышленного комплекса г. Невинномысска (поставщик → потребитель)</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589"/>
        <w:gridCol w:w="1107"/>
        <w:gridCol w:w="1107"/>
        <w:gridCol w:w="1107"/>
        <w:gridCol w:w="1164"/>
        <w:gridCol w:w="1282"/>
        <w:gridCol w:w="1281"/>
      </w:tblGrid>
      <w:tr>
        <w:trPr>
          <w:cantSplit/>
          <w:tblHeader/>
        </w:trPr>
        <w:tc>
          <w:tcPr>
            <w:tcW w:type="dxa" w:w="25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Поставщик \ Потребитель</w:t>
            </w:r>
          </w:p>
        </w:tc>
        <w:tc>
          <w:tcPr>
            <w:tcW w:type="dxa" w:w="11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ГРЭС</w:t>
            </w:r>
          </w:p>
        </w:tc>
        <w:tc>
          <w:tcPr>
            <w:tcW w:type="dxa" w:w="11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«Азот»</w:t>
            </w:r>
          </w:p>
        </w:tc>
        <w:tc>
          <w:tcPr>
            <w:tcW w:type="dxa" w:w="11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ЭПП</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ГК «Арнест»</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Резиденты ТОСЭР</w:t>
            </w:r>
          </w:p>
        </w:tc>
        <w:tc>
          <w:tcPr>
            <w:tcW w:type="dxa" w:w="12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Городское хозяйство</w:t>
            </w:r>
          </w:p>
        </w:tc>
      </w:tr>
      <w:tr>
        <w:trPr>
          <w:cantSplit/>
          <w:tblHeader w:val="false"/>
        </w:trPr>
        <w:tc>
          <w:tcPr>
            <w:tcW w:type="dxa" w:w="258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ГРЭС</w:t>
            </w:r>
          </w:p>
        </w:tc>
        <w:tc>
          <w:tcPr>
            <w:tcW w:type="dxa" w:w="11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11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П, Вд</w:t>
            </w:r>
          </w:p>
        </w:tc>
        <w:tc>
          <w:tcPr>
            <w:tcW w:type="dxa" w:w="11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П</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Т, П</w:t>
            </w:r>
          </w:p>
        </w:tc>
        <w:tc>
          <w:tcPr>
            <w:tcW w:type="dxa" w:w="128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Т</w:t>
            </w:r>
          </w:p>
        </w:tc>
      </w:tr>
      <w:tr>
        <w:trPr>
          <w:cantSplit/>
          <w:tblHeader w:val="false"/>
        </w:trPr>
        <w:tc>
          <w:tcPr>
            <w:tcW w:type="dxa" w:w="258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«Азот»</w:t>
            </w:r>
          </w:p>
        </w:tc>
        <w:tc>
          <w:tcPr>
            <w:tcW w:type="dxa" w:w="11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11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11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В</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CO</w:t>
            </w:r>
            <w:r>
              <w:rPr>
                <w:rFonts w:ascii="Times New Roman" w:cs="Times New Roman" w:eastAsia="Times New Roman" w:hAnsi="Times New Roman"/>
                <w:b w:val="false"/>
                <w:bCs w:val="false"/>
                <w:i w:val="false"/>
                <w:iCs w:val="false"/>
                <w:sz w:val="22"/>
                <w:szCs w:val="22"/>
                <w:vertAlign w:val="subscript"/>
              </w:rPr>
              <w:t xml:space="preserve">2</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Т, CO</w:t>
            </w:r>
            <w:r>
              <w:rPr>
                <w:rFonts w:ascii="Times New Roman" w:cs="Times New Roman" w:eastAsia="Times New Roman" w:hAnsi="Times New Roman"/>
                <w:b w:val="false"/>
                <w:bCs w:val="false"/>
                <w:i w:val="false"/>
                <w:iCs w:val="false"/>
                <w:sz w:val="22"/>
                <w:szCs w:val="22"/>
                <w:vertAlign w:val="subscript"/>
              </w:rPr>
              <w:t xml:space="preserve">2</w:t>
            </w:r>
          </w:p>
        </w:tc>
        <w:tc>
          <w:tcPr>
            <w:tcW w:type="dxa" w:w="128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Т</w:t>
            </w:r>
          </w:p>
        </w:tc>
      </w:tr>
      <w:tr>
        <w:trPr>
          <w:cantSplit/>
          <w:tblHeader w:val="false"/>
        </w:trPr>
        <w:tc>
          <w:tcPr>
            <w:tcW w:type="dxa" w:w="258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ЭПП</w:t>
            </w:r>
          </w:p>
        </w:tc>
        <w:tc>
          <w:tcPr>
            <w:tcW w:type="dxa" w:w="11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11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11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В</w:t>
            </w:r>
          </w:p>
        </w:tc>
        <w:tc>
          <w:tcPr>
            <w:tcW w:type="dxa" w:w="128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r>
      <w:tr>
        <w:trPr>
          <w:cantSplit/>
          <w:tblHeader w:val="false"/>
        </w:trPr>
        <w:tc>
          <w:tcPr>
            <w:tcW w:type="dxa" w:w="258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ГК «Арнест»</w:t>
            </w:r>
          </w:p>
        </w:tc>
        <w:tc>
          <w:tcPr>
            <w:tcW w:type="dxa" w:w="11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11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11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В</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128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r>
      <w:tr>
        <w:trPr>
          <w:cantSplit/>
          <w:tblHeader w:val="false"/>
        </w:trPr>
        <w:tc>
          <w:tcPr>
            <w:tcW w:type="dxa" w:w="258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Резиденты ТОСЭР</w:t>
            </w:r>
          </w:p>
        </w:tc>
        <w:tc>
          <w:tcPr>
            <w:tcW w:type="dxa" w:w="11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11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11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В</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128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r>
      <w:tr>
        <w:trPr>
          <w:cantSplit/>
          <w:tblHeader w:val="false"/>
        </w:trPr>
        <w:tc>
          <w:tcPr>
            <w:tcW w:type="dxa" w:w="258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Городское хозяйство</w:t>
            </w:r>
          </w:p>
        </w:tc>
        <w:tc>
          <w:tcPr>
            <w:tcW w:type="dxa" w:w="11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Вд</w:t>
            </w:r>
          </w:p>
        </w:tc>
        <w:tc>
          <w:tcPr>
            <w:tcW w:type="dxa" w:w="11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11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В</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128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2"/>
          <w:szCs w:val="22"/>
        </w:rPr>
        <w:t xml:space="preserve">Источник: составлено автором; экспертная оценка технической совместимости по открытым данным о профиле производств </w:t>
      </w:r>
      <w:r>
        <w:rPr>
          <w:rFonts w:ascii="Times New Roman" w:cs="Times New Roman" w:eastAsia="Times New Roman" w:hAnsi="Times New Roman"/>
          <w:b w:val="false"/>
          <w:bCs w:val="false"/>
          <w:i w:val="false"/>
          <w:iCs w:val="false"/>
          <w:sz w:val="22"/>
          <w:szCs w:val="22"/>
        </w:rPr>
        <w:t xml:space="preserve">[1, 2]</w:t>
      </w:r>
      <w:r>
        <w:rPr>
          <w:rFonts w:ascii="Times New Roman" w:cs="Times New Roman" w:eastAsia="Times New Roman" w:hAnsi="Times New Roman"/>
          <w:b w:val="false"/>
          <w:bCs w:val="false"/>
          <w:i w:val="false"/>
          <w:iCs w:val="false"/>
          <w:sz w:val="22"/>
          <w:szCs w:val="22"/>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Из таблицы 1 следует, что при укрупнении до шести групп R</w:t>
      </w:r>
      <w:r>
        <w:rPr>
          <w:rFonts w:ascii="Times New Roman" w:cs="Times New Roman" w:eastAsia="Times New Roman" w:hAnsi="Times New Roman"/>
          <w:b w:val="false"/>
          <w:bCs w:val="false"/>
          <w:i w:val="false"/>
          <w:iCs w:val="false"/>
          <w:sz w:val="24"/>
          <w:szCs w:val="24"/>
          <w:vertAlign w:val="subscript"/>
        </w:rPr>
        <w:t xml:space="preserve">пот</w:t>
      </w:r>
      <w:r>
        <w:rPr>
          <w:rFonts w:ascii="Times New Roman" w:cs="Times New Roman" w:eastAsia="Times New Roman" w:hAnsi="Times New Roman"/>
          <w:b w:val="false"/>
          <w:bCs w:val="false"/>
          <w:i w:val="false"/>
          <w:iCs w:val="false"/>
          <w:sz w:val="24"/>
          <w:szCs w:val="24"/>
        </w:rPr>
        <w:t xml:space="preserve"> = 16: пять направлений приходится на вторичное сырьё, четыре на тепло, три на пар, по два на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и техническую воду. Матрица несимметрична: ГРЭС и «Невинномысский Азот» выступают преимущественно поставщиками, экопромышленный парк — потребителем. При раскрытии группы резидентов на отдельные предприятия число пар возрастает кратно, и оценка «свыше 150 обменов» получается именно так. Действующих обменов среди 16 направлений по открытым данным не выявлено. Это не доказывает их отсутствия: поставки пара и воды на химических площадках обычны, но не раскрываются. Оценку C</w:t>
      </w:r>
      <w:r>
        <w:rPr>
          <w:rFonts w:ascii="Times New Roman" w:cs="Times New Roman" w:eastAsia="Times New Roman" w:hAnsi="Times New Roman"/>
          <w:b w:val="false"/>
          <w:bCs w:val="false"/>
          <w:i w:val="false"/>
          <w:iCs w:val="false"/>
          <w:sz w:val="24"/>
          <w:szCs w:val="24"/>
          <w:vertAlign w:val="subscript"/>
        </w:rPr>
        <w:t xml:space="preserve">инд</w:t>
      </w:r>
      <w:r>
        <w:rPr>
          <w:rFonts w:ascii="Times New Roman" w:cs="Times New Roman" w:eastAsia="Times New Roman" w:hAnsi="Times New Roman"/>
          <w:b w:val="false"/>
          <w:bCs w:val="false"/>
          <w:i w:val="false"/>
          <w:iCs w:val="false"/>
          <w:sz w:val="24"/>
          <w:szCs w:val="24"/>
        </w:rPr>
        <w:t xml:space="preserve"> = 0,03–0,05, встречающуюся в публикациях о кластере, до обследования предприятий следует считать гипотезой.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Разложение позволяет проверить, на какой компонент воздействуют действующие институты. Результат сопоставления приведён в таблице 2.</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4"/>
          <w:szCs w:val="24"/>
        </w:rPr>
        <w:t xml:space="preserve">Таблица 2</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Влияние действующих институтов на компоненты индекса синергетической плотности</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200"/>
        <w:gridCol w:w="2148"/>
        <w:gridCol w:w="3889"/>
        <w:gridCol w:w="1400"/>
      </w:tblGrid>
      <w:tr>
        <w:trPr>
          <w:cantSplit/>
          <w:tblHeader/>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Институт</w:t>
            </w:r>
          </w:p>
        </w:tc>
        <w:tc>
          <w:tcPr>
            <w:tcW w:type="dxa" w:w="21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Нормативная основа</w:t>
            </w:r>
          </w:p>
        </w:tc>
        <w:tc>
          <w:tcPr>
            <w:tcW w:type="dxa" w:w="38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Механизм воздействия</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Компонент разложения</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Режим ТОСЭР</w:t>
            </w:r>
          </w:p>
        </w:tc>
        <w:tc>
          <w:tcPr>
            <w:tcW w:type="dxa" w:w="21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473-ФЗ </w:t>
            </w:r>
            <w:r>
              <w:rPr>
                <w:rFonts w:ascii="Times New Roman" w:cs="Times New Roman" w:eastAsia="Times New Roman" w:hAnsi="Times New Roman"/>
                <w:b w:val="false"/>
                <w:bCs w:val="false"/>
                <w:i w:val="false"/>
                <w:iCs w:val="false"/>
                <w:sz w:val="22"/>
                <w:szCs w:val="22"/>
              </w:rPr>
              <w:t xml:space="preserve">[13]</w:t>
            </w:r>
            <w:r>
              <w:rPr>
                <w:rFonts w:ascii="Times New Roman" w:cs="Times New Roman" w:eastAsia="Times New Roman" w:hAnsi="Times New Roman"/>
                <w:b w:val="false"/>
                <w:bCs w:val="false"/>
                <w:i w:val="false"/>
                <w:iCs w:val="false"/>
                <w:sz w:val="22"/>
                <w:szCs w:val="22"/>
              </w:rPr>
              <w:t xml:space="preserve">; ПП РФ № 1606 </w:t>
            </w:r>
            <w:r>
              <w:rPr>
                <w:rFonts w:ascii="Times New Roman" w:cs="Times New Roman" w:eastAsia="Times New Roman" w:hAnsi="Times New Roman"/>
                <w:b w:val="false"/>
                <w:bCs w:val="false"/>
                <w:i w:val="false"/>
                <w:iCs w:val="false"/>
                <w:sz w:val="22"/>
                <w:szCs w:val="22"/>
              </w:rPr>
              <w:t xml:space="preserve">[14]</w:t>
            </w:r>
          </w:p>
        </w:tc>
        <w:tc>
          <w:tcPr>
            <w:tcW w:type="dxa" w:w="388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Льготы отдельному резиденту, привлечение новых участников</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w:t>
            </w:r>
            <w:r>
              <w:rPr>
                <w:rFonts w:ascii="Times New Roman" w:cs="Times New Roman" w:eastAsia="Times New Roman" w:hAnsi="Times New Roman"/>
                <w:b w:val="false"/>
                <w:bCs w:val="false"/>
                <w:i w:val="false"/>
                <w:iCs w:val="false"/>
                <w:sz w:val="22"/>
                <w:szCs w:val="22"/>
                <w:vertAlign w:val="subscript"/>
              </w:rPr>
              <w:t xml:space="preserve">пот</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Государственно-частное партнёрство</w:t>
            </w:r>
          </w:p>
        </w:tc>
        <w:tc>
          <w:tcPr>
            <w:tcW w:type="dxa" w:w="21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224-ФЗ </w:t>
            </w:r>
            <w:r>
              <w:rPr>
                <w:rFonts w:ascii="Times New Roman" w:cs="Times New Roman" w:eastAsia="Times New Roman" w:hAnsi="Times New Roman"/>
                <w:b w:val="false"/>
                <w:bCs w:val="false"/>
                <w:i w:val="false"/>
                <w:iCs w:val="false"/>
                <w:sz w:val="22"/>
                <w:szCs w:val="22"/>
              </w:rPr>
              <w:t xml:space="preserve">[15]</w:t>
            </w:r>
          </w:p>
        </w:tc>
        <w:tc>
          <w:tcPr>
            <w:tcW w:type="dxa" w:w="388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Долгосрочное соглашение публичного партнёра с одним частным партнёром</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w:t>
            </w:r>
            <w:r>
              <w:rPr>
                <w:rFonts w:ascii="Times New Roman" w:cs="Times New Roman" w:eastAsia="Times New Roman" w:hAnsi="Times New Roman"/>
                <w:b w:val="false"/>
                <w:bCs w:val="false"/>
                <w:i w:val="false"/>
                <w:iCs w:val="false"/>
                <w:sz w:val="22"/>
                <w:szCs w:val="22"/>
                <w:vertAlign w:val="subscript"/>
              </w:rPr>
              <w:t xml:space="preserve">пот</w:t>
            </w:r>
            <w:r>
              <w:rPr>
                <w:rFonts w:ascii="Times New Roman" w:cs="Times New Roman" w:eastAsia="Times New Roman" w:hAnsi="Times New Roman"/>
                <w:b w:val="false"/>
                <w:bCs w:val="false"/>
                <w:i w:val="false"/>
                <w:iCs w:val="false"/>
                <w:sz w:val="22"/>
                <w:szCs w:val="22"/>
              </w:rPr>
              <w:t xml:space="preserve">, частично η</w:t>
            </w:r>
            <w:r>
              <w:rPr>
                <w:rFonts w:ascii="Times New Roman" w:cs="Times New Roman" w:eastAsia="Times New Roman" w:hAnsi="Times New Roman"/>
                <w:b w:val="false"/>
                <w:bCs w:val="false"/>
                <w:i w:val="false"/>
                <w:iCs w:val="false"/>
                <w:sz w:val="22"/>
                <w:szCs w:val="22"/>
                <w:vertAlign w:val="subscript"/>
              </w:rPr>
              <w:t xml:space="preserve">эк</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Плата за негативное воздействие</w:t>
            </w:r>
          </w:p>
        </w:tc>
        <w:tc>
          <w:tcPr>
            <w:tcW w:type="dxa" w:w="21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89-ФЗ </w:t>
            </w:r>
            <w:r>
              <w:rPr>
                <w:rFonts w:ascii="Times New Roman" w:cs="Times New Roman" w:eastAsia="Times New Roman" w:hAnsi="Times New Roman"/>
                <w:b w:val="false"/>
                <w:bCs w:val="false"/>
                <w:i w:val="false"/>
                <w:iCs w:val="false"/>
                <w:sz w:val="22"/>
                <w:szCs w:val="22"/>
              </w:rPr>
              <w:t xml:space="preserve">[16]</w:t>
            </w:r>
            <w:r>
              <w:rPr>
                <w:rFonts w:ascii="Times New Roman" w:cs="Times New Roman" w:eastAsia="Times New Roman" w:hAnsi="Times New Roman"/>
                <w:b w:val="false"/>
                <w:bCs w:val="false"/>
                <w:i w:val="false"/>
                <w:iCs w:val="false"/>
                <w:sz w:val="22"/>
                <w:szCs w:val="22"/>
              </w:rPr>
              <w:t xml:space="preserve">; ПП РФ № 255 </w:t>
            </w:r>
            <w:r>
              <w:rPr>
                <w:rFonts w:ascii="Times New Roman" w:cs="Times New Roman" w:eastAsia="Times New Roman" w:hAnsi="Times New Roman"/>
                <w:b w:val="false"/>
                <w:bCs w:val="false"/>
                <w:i w:val="false"/>
                <w:iCs w:val="false"/>
                <w:sz w:val="22"/>
                <w:szCs w:val="22"/>
              </w:rPr>
              <w:t xml:space="preserve">[17]</w:t>
            </w:r>
          </w:p>
        </w:tc>
        <w:tc>
          <w:tcPr>
            <w:tcW w:type="dxa" w:w="388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Удешевление переработки по сравнению с размещением отходов</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η</w:t>
            </w:r>
            <w:r>
              <w:rPr>
                <w:rFonts w:ascii="Times New Roman" w:cs="Times New Roman" w:eastAsia="Times New Roman" w:hAnsi="Times New Roman"/>
                <w:b w:val="false"/>
                <w:bCs w:val="false"/>
                <w:i w:val="false"/>
                <w:iCs w:val="false"/>
                <w:sz w:val="22"/>
                <w:szCs w:val="22"/>
                <w:vertAlign w:val="subscript"/>
              </w:rPr>
              <w:t xml:space="preserve">эк</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Финансирование экотехнопарка</w:t>
            </w:r>
          </w:p>
        </w:tc>
        <w:tc>
          <w:tcPr>
            <w:tcW w:type="dxa" w:w="21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Публикации о проекте </w:t>
            </w:r>
            <w:r>
              <w:rPr>
                <w:rFonts w:ascii="Times New Roman" w:cs="Times New Roman" w:eastAsia="Times New Roman" w:hAnsi="Times New Roman"/>
                <w:b w:val="false"/>
                <w:bCs w:val="false"/>
                <w:i w:val="false"/>
                <w:iCs w:val="false"/>
                <w:sz w:val="22"/>
                <w:szCs w:val="22"/>
              </w:rPr>
              <w:t xml:space="preserve">[2]</w:t>
            </w:r>
          </w:p>
        </w:tc>
        <w:tc>
          <w:tcPr>
            <w:tcW w:type="dxa" w:w="388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Создание инфраструктуры переработки</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w:t>
            </w:r>
            <w:r>
              <w:rPr>
                <w:rFonts w:ascii="Times New Roman" w:cs="Times New Roman" w:eastAsia="Times New Roman" w:hAnsi="Times New Roman"/>
                <w:b w:val="false"/>
                <w:bCs w:val="false"/>
                <w:i w:val="false"/>
                <w:iCs w:val="false"/>
                <w:sz w:val="22"/>
                <w:szCs w:val="22"/>
                <w:vertAlign w:val="subscript"/>
              </w:rPr>
              <w:t xml:space="preserve">пот</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Экоплатформа (предлагаемая)</w:t>
            </w:r>
          </w:p>
        </w:tc>
        <w:tc>
          <w:tcPr>
            <w:tcW w:type="dxa" w:w="21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Договорная модель участников</w:t>
            </w:r>
          </w:p>
        </w:tc>
        <w:tc>
          <w:tcPr>
            <w:tcW w:type="dxa" w:w="388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Учёт потоков, типовые договоры, правило раздела эффекта</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η</w:t>
            </w:r>
            <w:r>
              <w:rPr>
                <w:rFonts w:ascii="Times New Roman" w:cs="Times New Roman" w:eastAsia="Times New Roman" w:hAnsi="Times New Roman"/>
                <w:b w:val="false"/>
                <w:bCs w:val="false"/>
                <w:i w:val="false"/>
                <w:iCs w:val="false"/>
                <w:sz w:val="22"/>
                <w:szCs w:val="22"/>
                <w:vertAlign w:val="subscript"/>
              </w:rPr>
              <w:t xml:space="preserve">орг</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2"/>
          <w:szCs w:val="22"/>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Таблица 2 приводит к выводу, который и составляет основной результат диагностики. Ни один из действующих институтов не направлен на η</w:t>
      </w:r>
      <w:r>
        <w:rPr>
          <w:rFonts w:ascii="Times New Roman" w:cs="Times New Roman" w:eastAsia="Times New Roman" w:hAnsi="Times New Roman"/>
          <w:b w:val="false"/>
          <w:bCs w:val="false"/>
          <w:i w:val="false"/>
          <w:iCs w:val="false"/>
          <w:sz w:val="24"/>
          <w:szCs w:val="24"/>
          <w:vertAlign w:val="subscript"/>
        </w:rPr>
        <w:t xml:space="preserve">орг</w:t>
      </w:r>
      <w:r>
        <w:rPr>
          <w:rFonts w:ascii="Times New Roman" w:cs="Times New Roman" w:eastAsia="Times New Roman" w:hAnsi="Times New Roman"/>
          <w:b w:val="false"/>
          <w:bCs w:val="false"/>
          <w:i w:val="false"/>
          <w:iCs w:val="false"/>
          <w:sz w:val="24"/>
          <w:szCs w:val="24"/>
        </w:rPr>
        <w:t xml:space="preserve">. Режим ТОСЭР адресован отдельному инвестору и не содержит категории совместного проекта нескольких резидентов. Соглашение о ГЧП заключается с одним частным партнёром, тогда как обмен побочными ресурсами связывает многих. Плата за негативное воздействие стимулирует передачу отходов, но экономию получает их образователь, а затраты переработки несёт принимающая сторона, и без механизма раздела стимул работает только там, где эта асимметрия случайно уравновешена ценой. Незанятой оказывается ниша между окупаемым и заключённым обменом; её и должна занять экоплатформа как оператор учёта и распределения эффекта.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Индекс C</w:t>
      </w:r>
      <w:r>
        <w:rPr>
          <w:rFonts w:ascii="Times New Roman" w:cs="Times New Roman" w:eastAsia="Times New Roman" w:hAnsi="Times New Roman"/>
          <w:b w:val="false"/>
          <w:bCs w:val="false"/>
          <w:i w:val="false"/>
          <w:iCs w:val="false"/>
          <w:sz w:val="24"/>
          <w:szCs w:val="24"/>
          <w:vertAlign w:val="subscript"/>
        </w:rPr>
        <w:t xml:space="preserve">инд</w:t>
      </w:r>
      <w:r>
        <w:rPr>
          <w:rFonts w:ascii="Times New Roman" w:cs="Times New Roman" w:eastAsia="Times New Roman" w:hAnsi="Times New Roman"/>
          <w:b w:val="false"/>
          <w:bCs w:val="false"/>
          <w:i w:val="false"/>
          <w:iCs w:val="false"/>
          <w:sz w:val="24"/>
          <w:szCs w:val="24"/>
        </w:rPr>
        <w:t xml:space="preserve"> сам по себе не говорит, какая доля потенциального эффекта реализована. Для связи плотности сети с эффектом используется функция синергетической реализуемости:</w:t>
      </w:r>
    </w:p>
    <w:p>
      <w:pPr>
        <w:tabs>
          <w:tab w:val="center" w:pos="4819"/>
          <w:tab w:val="right" w:pos="9637"/>
        </w:tabs>
        <w:spacing w:after="0" w:before="0" w:line="360" w:lineRule="auto"/>
        <w:ind w:firstLine="0"/>
        <w:jc w:val="left"/>
      </w:pPr>
      <w:r>
        <w:rPr>
          <w:rFonts w:ascii="Times New Roman" w:cs="Times New Roman" w:eastAsia="Times New Roman" w:hAnsi="Times New Roman"/>
          <w:sz w:val="24"/>
          <w:szCs w:val="24"/>
        </w:rPr>
        <w:t xml:space="preserve">	</w:t>
      </w:r>
      <m:oMath xmlns:m="http://schemas.openxmlformats.org/officeDocument/2006/math" xmlns:w="http://schemas.openxmlformats.org/wordprocessingml/2006/main">
        <m:r>
          <w:rPr>
            <w:rFonts w:ascii="Cambria Math" w:hAnsi="Cambria Math"/>
            <w:i/>
            <w:sz w:val="24"/>
            <w:szCs w:val="24"/>
          </w:rPr>
          <m:t xml:space="preserve">φ</m:t>
        </m:r>
        <m:d>
          <m:dPr>
            <m:begChr m:val="("/>
            <m:endChr m:val=")"/>
          </m:dPr>
          <m:e>
            <m:sSub>
              <m:e>
                <m:r>
                  <w:rPr>
                    <w:rFonts w:ascii="Cambria Math" w:hAnsi="Cambria Math"/>
                    <w:i/>
                    <w:sz w:val="24"/>
                    <w:szCs w:val="24"/>
                  </w:rPr>
                  <m:t xml:space="preserve">C</m:t>
                </m:r>
              </m:e>
              <m:sub>
                <m:r>
                  <m:rPr>
                    <m:sty m:val="p"/>
                  </m:rPr>
                  <w:rPr>
                    <w:rFonts w:ascii="Cambria Math" w:hAnsi="Cambria Math"/>
                    <w:i w:val="0"/>
                    <w:sz w:val="24"/>
                    <w:szCs w:val="24"/>
                  </w:rPr>
                  <m:t xml:space="preserve">инд</m:t>
                </m:r>
              </m:sub>
            </m:sSub>
          </m:e>
        </m:d>
        <m:r>
          <m:rPr>
            <m:sty m:val="p"/>
          </m:rPr>
          <w:rPr>
            <w:rFonts w:ascii="Cambria Math" w:hAnsi="Cambria Math"/>
            <w:i w:val="0"/>
            <w:sz w:val="24"/>
            <w:szCs w:val="24"/>
          </w:rPr>
          <m:t xml:space="preserve"> = 1 − </m:t>
        </m:r>
        <m:sSup>
          <m:e>
            <m:r>
              <m:rPr>
                <m:sty m:val="p"/>
              </m:rPr>
              <w:rPr>
                <w:rFonts w:ascii="Cambria Math" w:hAnsi="Cambria Math"/>
                <w:i w:val="0"/>
                <w:sz w:val="24"/>
                <w:szCs w:val="24"/>
              </w:rPr>
              <m:t xml:space="preserve">e</m:t>
            </m:r>
          </m:e>
          <m:sup>
            <m:r>
              <m:rPr>
                <m:sty m:val="p"/>
              </m:rPr>
              <w:rPr>
                <w:rFonts w:ascii="Cambria Math" w:hAnsi="Cambria Math"/>
                <w:i w:val="0"/>
                <w:sz w:val="24"/>
                <w:szCs w:val="24"/>
              </w:rPr>
              <m:t xml:space="preserve">−</m:t>
            </m:r>
            <m:r>
              <w:rPr>
                <w:rFonts w:ascii="Cambria Math" w:hAnsi="Cambria Math"/>
                <w:i/>
                <w:sz w:val="24"/>
                <w:szCs w:val="24"/>
              </w:rPr>
              <m:t xml:space="preserve">k</m:t>
            </m:r>
            <m:r>
              <m:rPr>
                <m:sty m:val="p"/>
              </m:rPr>
              <w:rPr>
                <w:rFonts w:ascii="Cambria Math" w:hAnsi="Cambria Math"/>
                <w:i w:val="0"/>
                <w:sz w:val="24"/>
                <w:szCs w:val="24"/>
              </w:rPr>
              <m:t xml:space="preserve">·</m:t>
            </m:r>
            <m:sSub>
              <m:e>
                <m:r>
                  <w:rPr>
                    <w:rFonts w:ascii="Cambria Math" w:hAnsi="Cambria Math"/>
                    <w:i/>
                    <w:sz w:val="24"/>
                    <w:szCs w:val="24"/>
                  </w:rPr>
                  <m:t xml:space="preserve">C</m:t>
                </m:r>
              </m:e>
              <m:sub>
                <m:r>
                  <m:rPr>
                    <m:sty m:val="p"/>
                  </m:rPr>
                  <w:rPr>
                    <w:rFonts w:ascii="Cambria Math" w:hAnsi="Cambria Math"/>
                    <w:i w:val="0"/>
                    <w:sz w:val="24"/>
                    <w:szCs w:val="24"/>
                  </w:rPr>
                  <m:t xml:space="preserve">инд</m:t>
                </m:r>
              </m:sub>
            </m:sSub>
          </m:sup>
        </m:sSup>
      </m:oMath>
      <w:r>
        <w:rPr>
          <w:rFonts w:ascii="Times New Roman" w:cs="Times New Roman" w:eastAsia="Times New Roman" w:hAnsi="Times New Roman"/>
          <w:sz w:val="24"/>
          <w:szCs w:val="24"/>
        </w:rPr>
        <w:t xml:space="preserve">	(5)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где φ(C</w:t>
      </w:r>
      <w:r>
        <w:rPr>
          <w:rFonts w:ascii="Times New Roman" w:cs="Times New Roman" w:eastAsia="Times New Roman" w:hAnsi="Times New Roman"/>
          <w:b w:val="false"/>
          <w:bCs w:val="false"/>
          <w:i w:val="false"/>
          <w:iCs w:val="false"/>
          <w:sz w:val="24"/>
          <w:szCs w:val="24"/>
          <w:vertAlign w:val="subscript"/>
        </w:rPr>
        <w:t xml:space="preserve">инд</w:t>
      </w:r>
      <w:r>
        <w:rPr>
          <w:rFonts w:ascii="Times New Roman" w:cs="Times New Roman" w:eastAsia="Times New Roman" w:hAnsi="Times New Roman"/>
          <w:b w:val="false"/>
          <w:bCs w:val="false"/>
          <w:i w:val="false"/>
          <w:iCs w:val="false"/>
          <w:sz w:val="24"/>
          <w:szCs w:val="24"/>
        </w:rPr>
        <w:t xml:space="preserve">) — доля потенциального эффекта, реализуемая при данной плотности сети; e — основание натурального логарифма; k — параметр институциональной среды, отражающий скорость перехода связности в эффект.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Форма (5) выражает убывающую отдачу: первые обмены касаются крупных потоков пара и воды, последующие — всё более мелких, что согласуется с историей Калуннборга</w:t>
      </w:r>
      <w:r>
        <w:rPr>
          <w:rStyle w:val="FootnoteReference"/>
        </w:rPr>
        <w:footnoteReference w:id="6"/>
      </w:r>
      <w:r>
        <w:rPr>
          <w:rFonts w:ascii="Times New Roman" w:cs="Times New Roman" w:eastAsia="Times New Roman" w:hAnsi="Times New Roman"/>
          <w:b w:val="false"/>
          <w:bCs w:val="false"/>
          <w:i w:val="false"/>
          <w:iCs w:val="false"/>
          <w:sz w:val="24"/>
          <w:szCs w:val="24"/>
        </w:rPr>
        <w:t xml:space="preserve">. Однако совместимость с наблюдениями не доказывает именно экспоненциальной зависимости, поэтому функция рассматривается как гипотеза. В сценарных расчётах параметр k принимается равным 3, 5 и 7 для органической, умеренной и координируемой среды. Чтобы перейти от сценарного значения к оценённому, предлагается калибровка по наблюдаемой паре значений:</w:t>
      </w:r>
    </w:p>
    <w:p>
      <w:pPr>
        <w:tabs>
          <w:tab w:val="center" w:pos="4819"/>
          <w:tab w:val="right" w:pos="9637"/>
        </w:tabs>
        <w:spacing w:after="0" w:before="0" w:line="360" w:lineRule="auto"/>
        <w:ind w:firstLine="0"/>
        <w:jc w:val="left"/>
      </w:pPr>
      <w:r>
        <w:rPr>
          <w:rFonts w:ascii="Times New Roman" w:cs="Times New Roman" w:eastAsia="Times New Roman" w:hAnsi="Times New Roman"/>
          <w:sz w:val="24"/>
          <w:szCs w:val="24"/>
        </w:rPr>
        <w:t xml:space="preserve">	</w:t>
      </w:r>
      <m:oMath xmlns:m="http://schemas.openxmlformats.org/officeDocument/2006/math" xmlns:w="http://schemas.openxmlformats.org/wordprocessingml/2006/main">
        <m:r>
          <w:rPr>
            <w:rFonts w:ascii="Cambria Math" w:hAnsi="Cambria Math"/>
            <w:i/>
            <w:sz w:val="24"/>
            <w:szCs w:val="24"/>
          </w:rPr>
          <m:t xml:space="preserve">k</m:t>
        </m:r>
        <m:r>
          <m:rPr>
            <m:sty m:val="p"/>
          </m:rPr>
          <w:rPr>
            <w:rFonts w:ascii="Cambria Math" w:hAnsi="Cambria Math"/>
            <w:i w:val="0"/>
            <w:sz w:val="24"/>
            <w:szCs w:val="24"/>
          </w:rPr>
          <m:t xml:space="preserve"> = − </m:t>
        </m:r>
        <m:f>
          <m:num>
            <m:r>
              <m:rPr>
                <m:sty m:val="p"/>
              </m:rPr>
              <w:rPr>
                <w:rFonts w:ascii="Cambria Math" w:hAnsi="Cambria Math"/>
                <w:i w:val="0"/>
                <w:sz w:val="24"/>
                <w:szCs w:val="24"/>
              </w:rPr>
              <m:t xml:space="preserve">ln</m:t>
            </m:r>
            <m:d>
              <m:dPr>
                <m:begChr m:val="("/>
                <m:endChr m:val=")"/>
              </m:dPr>
              <m:e>
                <m:r>
                  <m:rPr>
                    <m:sty m:val="p"/>
                  </m:rPr>
                  <w:rPr>
                    <w:rFonts w:ascii="Cambria Math" w:hAnsi="Cambria Math"/>
                    <w:i w:val="0"/>
                    <w:sz w:val="24"/>
                    <w:szCs w:val="24"/>
                  </w:rPr>
                  <m:t xml:space="preserve">1 − </m:t>
                </m:r>
                <m:sSub>
                  <m:e>
                    <m:r>
                      <w:rPr>
                        <w:rFonts w:ascii="Cambria Math" w:hAnsi="Cambria Math"/>
                        <w:i/>
                        <w:sz w:val="24"/>
                        <w:szCs w:val="24"/>
                      </w:rPr>
                      <m:t xml:space="preserve">φ</m:t>
                    </m:r>
                  </m:e>
                  <m:sub>
                    <m:r>
                      <m:rPr>
                        <m:sty m:val="p"/>
                      </m:rPr>
                      <w:rPr>
                        <w:rFonts w:ascii="Cambria Math" w:hAnsi="Cambria Math"/>
                        <w:i w:val="0"/>
                        <w:sz w:val="24"/>
                        <w:szCs w:val="24"/>
                      </w:rPr>
                      <m:t xml:space="preserve">набл</m:t>
                    </m:r>
                  </m:sub>
                </m:sSub>
              </m:e>
            </m:d>
          </m:num>
          <m:den>
            <m:sSub>
              <m:e>
                <m:r>
                  <w:rPr>
                    <w:rFonts w:ascii="Cambria Math" w:hAnsi="Cambria Math"/>
                    <w:i/>
                    <w:sz w:val="24"/>
                    <w:szCs w:val="24"/>
                  </w:rPr>
                  <m:t xml:space="preserve">C</m:t>
                </m:r>
              </m:e>
              <m:sub>
                <m:r>
                  <m:rPr>
                    <m:sty m:val="p"/>
                  </m:rPr>
                  <w:rPr>
                    <w:rFonts w:ascii="Cambria Math" w:hAnsi="Cambria Math"/>
                    <w:i w:val="0"/>
                    <w:sz w:val="24"/>
                    <w:szCs w:val="24"/>
                  </w:rPr>
                  <m:t xml:space="preserve">набл</m:t>
                </m:r>
              </m:sub>
            </m:sSub>
          </m:den>
        </m:f>
      </m:oMath>
      <w:r>
        <w:rPr>
          <w:rFonts w:ascii="Times New Roman" w:cs="Times New Roman" w:eastAsia="Times New Roman" w:hAnsi="Times New Roman"/>
          <w:sz w:val="24"/>
          <w:szCs w:val="24"/>
        </w:rPr>
        <w:t xml:space="preserve">	(6)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где φ</w:t>
      </w:r>
      <w:r>
        <w:rPr>
          <w:rFonts w:ascii="Times New Roman" w:cs="Times New Roman" w:eastAsia="Times New Roman" w:hAnsi="Times New Roman"/>
          <w:b w:val="false"/>
          <w:bCs w:val="false"/>
          <w:i w:val="false"/>
          <w:iCs w:val="false"/>
          <w:sz w:val="24"/>
          <w:szCs w:val="24"/>
          <w:vertAlign w:val="subscript"/>
        </w:rPr>
        <w:t xml:space="preserve">набл</w:t>
      </w:r>
      <w:r>
        <w:rPr>
          <w:rFonts w:ascii="Times New Roman" w:cs="Times New Roman" w:eastAsia="Times New Roman" w:hAnsi="Times New Roman"/>
          <w:b w:val="false"/>
          <w:bCs w:val="false"/>
          <w:i w:val="false"/>
          <w:iCs w:val="false"/>
          <w:sz w:val="24"/>
          <w:szCs w:val="24"/>
        </w:rPr>
        <w:t xml:space="preserve"> — наблюдаемая доля реализованного потенциала, равная отношению подтверждённого эффекта действующих обменов к эффекту всех экономически обоснованных обменов; C</w:t>
      </w:r>
      <w:r>
        <w:rPr>
          <w:rFonts w:ascii="Times New Roman" w:cs="Times New Roman" w:eastAsia="Times New Roman" w:hAnsi="Times New Roman"/>
          <w:b w:val="false"/>
          <w:bCs w:val="false"/>
          <w:i w:val="false"/>
          <w:iCs w:val="false"/>
          <w:sz w:val="24"/>
          <w:szCs w:val="24"/>
          <w:vertAlign w:val="subscript"/>
        </w:rPr>
        <w:t xml:space="preserve">набл</w:t>
      </w:r>
      <w:r>
        <w:rPr>
          <w:rFonts w:ascii="Times New Roman" w:cs="Times New Roman" w:eastAsia="Times New Roman" w:hAnsi="Times New Roman"/>
          <w:b w:val="false"/>
          <w:bCs w:val="false"/>
          <w:i w:val="false"/>
          <w:iCs w:val="false"/>
          <w:sz w:val="24"/>
          <w:szCs w:val="24"/>
        </w:rPr>
        <w:t xml:space="preserve"> — наблюдаемое значение индекса в том же периоде.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Формула (6) получена обращением (5). Если при C</w:t>
      </w:r>
      <w:r>
        <w:rPr>
          <w:rFonts w:ascii="Times New Roman" w:cs="Times New Roman" w:eastAsia="Times New Roman" w:hAnsi="Times New Roman"/>
          <w:b w:val="false"/>
          <w:bCs w:val="false"/>
          <w:i w:val="false"/>
          <w:iCs w:val="false"/>
          <w:sz w:val="24"/>
          <w:szCs w:val="24"/>
          <w:vertAlign w:val="subscript"/>
        </w:rPr>
        <w:t xml:space="preserve">набл</w:t>
      </w:r>
      <w:r>
        <w:rPr>
          <w:rFonts w:ascii="Times New Roman" w:cs="Times New Roman" w:eastAsia="Times New Roman" w:hAnsi="Times New Roman"/>
          <w:b w:val="false"/>
          <w:bCs w:val="false"/>
          <w:i w:val="false"/>
          <w:iCs w:val="false"/>
          <w:sz w:val="24"/>
          <w:szCs w:val="24"/>
        </w:rPr>
        <w:t xml:space="preserve"> = 0,10 подтверждённый эффект составляет 39 % потенциала, k = 4,9, что близко к умеренной среде; при 50 % получаем k = 6,9. Ряд оценок k за несколько периодов позволяет проверить гипотезу об институциональном обучении: рост k после запуска координирующего оператора её подтверждает, постоянство или снижение — опровергает.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Предложенная диагностика допускает опровержение по трём линиям. Если обследование предприятий покажет, что η</w:t>
      </w:r>
      <w:r>
        <w:rPr>
          <w:rFonts w:ascii="Times New Roman" w:cs="Times New Roman" w:eastAsia="Times New Roman" w:hAnsi="Times New Roman"/>
          <w:b w:val="false"/>
          <w:bCs w:val="false"/>
          <w:i w:val="false"/>
          <w:iCs w:val="false"/>
          <w:sz w:val="24"/>
          <w:szCs w:val="24"/>
          <w:vertAlign w:val="subscript"/>
        </w:rPr>
        <w:t xml:space="preserve">эк</w:t>
      </w:r>
      <w:r>
        <w:rPr>
          <w:rFonts w:ascii="Times New Roman" w:cs="Times New Roman" w:eastAsia="Times New Roman" w:hAnsi="Times New Roman"/>
          <w:b w:val="false"/>
          <w:bCs w:val="false"/>
          <w:i w:val="false"/>
          <w:iCs w:val="false"/>
          <w:sz w:val="24"/>
          <w:szCs w:val="24"/>
        </w:rPr>
        <w:t xml:space="preserve"> близок к η</w:t>
      </w:r>
      <w:r>
        <w:rPr>
          <w:rFonts w:ascii="Times New Roman" w:cs="Times New Roman" w:eastAsia="Times New Roman" w:hAnsi="Times New Roman"/>
          <w:b w:val="false"/>
          <w:bCs w:val="false"/>
          <w:i w:val="false"/>
          <w:iCs w:val="false"/>
          <w:sz w:val="24"/>
          <w:szCs w:val="24"/>
          <w:vertAlign w:val="subscript"/>
        </w:rPr>
        <w:t xml:space="preserve">орг</w:t>
      </w:r>
      <w:r>
        <w:rPr>
          <w:rFonts w:ascii="Times New Roman" w:cs="Times New Roman" w:eastAsia="Times New Roman" w:hAnsi="Times New Roman"/>
          <w:b w:val="false"/>
          <w:bCs w:val="false"/>
          <w:i w:val="false"/>
          <w:iCs w:val="false"/>
          <w:sz w:val="24"/>
          <w:szCs w:val="24"/>
        </w:rPr>
        <w:t xml:space="preserve"> или ниже его, основной тезис о дефиците организационной составляющей неверен, и приоритет должен быть отдан ценовым и инвестиционным инструментам. Если после запуска экоплатформы η</w:t>
      </w:r>
      <w:r>
        <w:rPr>
          <w:rFonts w:ascii="Times New Roman" w:cs="Times New Roman" w:eastAsia="Times New Roman" w:hAnsi="Times New Roman"/>
          <w:b w:val="false"/>
          <w:bCs w:val="false"/>
          <w:i w:val="false"/>
          <w:iCs w:val="false"/>
          <w:sz w:val="24"/>
          <w:szCs w:val="24"/>
          <w:vertAlign w:val="subscript"/>
        </w:rPr>
        <w:t xml:space="preserve">орг</w:t>
      </w:r>
      <w:r>
        <w:rPr>
          <w:rFonts w:ascii="Times New Roman" w:cs="Times New Roman" w:eastAsia="Times New Roman" w:hAnsi="Times New Roman"/>
          <w:b w:val="false"/>
          <w:bCs w:val="false"/>
          <w:i w:val="false"/>
          <w:iCs w:val="false"/>
          <w:sz w:val="24"/>
          <w:szCs w:val="24"/>
        </w:rPr>
        <w:t xml:space="preserve"> не растёт при неизменном η</w:t>
      </w:r>
      <w:r>
        <w:rPr>
          <w:rFonts w:ascii="Times New Roman" w:cs="Times New Roman" w:eastAsia="Times New Roman" w:hAnsi="Times New Roman"/>
          <w:b w:val="false"/>
          <w:bCs w:val="false"/>
          <w:i w:val="false"/>
          <w:iCs w:val="false"/>
          <w:sz w:val="24"/>
          <w:szCs w:val="24"/>
          <w:vertAlign w:val="subscript"/>
        </w:rPr>
        <w:t xml:space="preserve">эк</w:t>
      </w:r>
      <w:r>
        <w:rPr>
          <w:rFonts w:ascii="Times New Roman" w:cs="Times New Roman" w:eastAsia="Times New Roman" w:hAnsi="Times New Roman"/>
          <w:b w:val="false"/>
          <w:bCs w:val="false"/>
          <w:i w:val="false"/>
          <w:iCs w:val="false"/>
          <w:sz w:val="24"/>
          <w:szCs w:val="24"/>
        </w:rPr>
        <w:t xml:space="preserve">, платформа не выполняет своей функции. Если оценки k, полученные по формуле (6), не согласуются между периодами при неизменной институциональной среде, экспоненциальная форма (5) должна быть заменена.</w:t>
      </w:r>
    </w:p>
    <w:p>
      <w:pPr>
        <w:keepNext w:val="false"/>
        <w:spacing w:after="0" w:before="0" w:line="360" w:lineRule="auto"/>
        <w:ind w:firstLine="709"/>
        <w:jc w:val="both"/>
      </w:pPr>
      <w:r>
        <w:rPr>
          <w:rFonts w:ascii="Times New Roman" w:cs="Times New Roman" w:eastAsia="Times New Roman" w:hAnsi="Times New Roman"/>
          <w:b/>
          <w:bCs/>
          <w:i w:val="false"/>
          <w:iCs w:val="false"/>
          <w:sz w:val="24"/>
          <w:szCs w:val="24"/>
        </w:rPr>
        <w:t xml:space="preserve">Выводы и предложения.</w:t>
      </w:r>
      <w:r>
        <w:rPr>
          <w:rFonts w:ascii="Times New Roman" w:cs="Times New Roman" w:eastAsia="Times New Roman" w:hAnsi="Times New Roman"/>
          <w:b w:val="false"/>
          <w:bCs w:val="false"/>
          <w:i w:val="false"/>
          <w:iCs w:val="false"/>
          <w:sz w:val="24"/>
          <w:szCs w:val="24"/>
        </w:rPr>
        <w:t xml:space="preserve"> Разложение индекса синергетической плотности на коэффициенты экономической реализуемости и организационной реализации превращает показатель связности в диагностический: оно указывает, нужно ли территории удешевлять обмены или учиться их заключать. Для Невинномысска построена матрица технической совместимости, задающая 16 направлений обмена, ни одно из которых по открытым данным не может быть отнесено к действующим. Действующие институты воздействуют на R</w:t>
      </w:r>
      <w:r>
        <w:rPr>
          <w:rFonts w:ascii="Times New Roman" w:cs="Times New Roman" w:eastAsia="Times New Roman" w:hAnsi="Times New Roman"/>
          <w:b w:val="false"/>
          <w:bCs w:val="false"/>
          <w:i w:val="false"/>
          <w:iCs w:val="false"/>
          <w:sz w:val="24"/>
          <w:szCs w:val="24"/>
          <w:vertAlign w:val="subscript"/>
        </w:rPr>
        <w:t xml:space="preserve">пот</w:t>
      </w:r>
      <w:r>
        <w:rPr>
          <w:rFonts w:ascii="Times New Roman" w:cs="Times New Roman" w:eastAsia="Times New Roman" w:hAnsi="Times New Roman"/>
          <w:b w:val="false"/>
          <w:bCs w:val="false"/>
          <w:i w:val="false"/>
          <w:iCs w:val="false"/>
          <w:sz w:val="24"/>
          <w:szCs w:val="24"/>
        </w:rPr>
        <w:t xml:space="preserve"> и η</w:t>
      </w:r>
      <w:r>
        <w:rPr>
          <w:rFonts w:ascii="Times New Roman" w:cs="Times New Roman" w:eastAsia="Times New Roman" w:hAnsi="Times New Roman"/>
          <w:b w:val="false"/>
          <w:bCs w:val="false"/>
          <w:i w:val="false"/>
          <w:iCs w:val="false"/>
          <w:sz w:val="24"/>
          <w:szCs w:val="24"/>
          <w:vertAlign w:val="subscript"/>
        </w:rPr>
        <w:t xml:space="preserve">эк</w:t>
      </w:r>
      <w:r>
        <w:rPr>
          <w:rFonts w:ascii="Times New Roman" w:cs="Times New Roman" w:eastAsia="Times New Roman" w:hAnsi="Times New Roman"/>
          <w:b w:val="false"/>
          <w:bCs w:val="false"/>
          <w:i w:val="false"/>
          <w:iCs w:val="false"/>
          <w:sz w:val="24"/>
          <w:szCs w:val="24"/>
        </w:rPr>
        <w:t xml:space="preserve">, но не на η</w:t>
      </w:r>
      <w:r>
        <w:rPr>
          <w:rFonts w:ascii="Times New Roman" w:cs="Times New Roman" w:eastAsia="Times New Roman" w:hAnsi="Times New Roman"/>
          <w:b w:val="false"/>
          <w:bCs w:val="false"/>
          <w:i w:val="false"/>
          <w:iCs w:val="false"/>
          <w:sz w:val="24"/>
          <w:szCs w:val="24"/>
          <w:vertAlign w:val="subscript"/>
        </w:rPr>
        <w:t xml:space="preserve">орг</w:t>
      </w:r>
      <w:r>
        <w:rPr>
          <w:rFonts w:ascii="Times New Roman" w:cs="Times New Roman" w:eastAsia="Times New Roman" w:hAnsi="Times New Roman"/>
          <w:b w:val="false"/>
          <w:bCs w:val="false"/>
          <w:i w:val="false"/>
          <w:iCs w:val="false"/>
          <w:sz w:val="24"/>
          <w:szCs w:val="24"/>
        </w:rPr>
        <w:t xml:space="preserve">, и эту нишу должна занять экоплатформа. Калибровка параметра k по формуле (6) переводит функцию синергетической реализуемости из постулата в проверяемую гипотезу. Практическое применение подхода начинается с инвентаризации потоков и ведения реестра действующих договоров.</w:t>
      </w:r>
    </w:p>
    <w:p>
      <w:pPr>
        <w:keepNext/>
        <w:spacing w:after="0" w:before="0" w:line="360" w:lineRule="auto"/>
        <w:ind w:firstLine="0"/>
        <w:jc w:val="center"/>
      </w:pPr>
      <w:r>
        <w:rPr>
          <w:rFonts w:ascii="Times New Roman" w:cs="Times New Roman" w:eastAsia="Times New Roman" w:hAnsi="Times New Roman"/>
          <w:b/>
          <w:bCs/>
          <w:i w:val="false"/>
          <w:iCs w:val="false"/>
          <w:sz w:val="24"/>
          <w:szCs w:val="24"/>
        </w:rPr>
        <w:t xml:space="preserve">Список использованных источников и литературы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1. Информация о социально-экономическом развитии города Невинномысска по итогам 2023 года / Администрация г. Невинномысска. URL: nevinnomyssk-r07.gosweb.gosuslugi.ru (дата обращения: 11.10.2026).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2. Переработке дадут свет // Российская газета. 2025. 15 апр. URL: rg.ru/2025/04/15/reg-skfo/pererabotke-dadut-svet.html (дата обращения: 11.10.2026).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3. Дорогу резиденту // Российская газета. 2026. 15 апр. URL: rg.ru/2026/04/15/reg-skfo/dorogu-rezidentu.html (дата обращения: 11.10.2026).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4. Lippi G., Evola R.S., Vesce E. Industrial symbiosis patterns in eco-industrial parks: a sectoral analysis based on global empirical data // Journal of Cleaner Production. 2025. Vol. 529. Art. 146807. DOI: 10.1016/j.jclepro.2025.146807.</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5. Dias R.N., Serralha M.F., Pinheiro C.I.C. Modeling Industrial Symbiosis to Reduce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Emissions in a Portuguese Industrial Park // Industrial &amp; Engineering Chemistry Research. 2026. Vol. 65. P. 2836–2847. DOI: 10.1021/acs.iecr.5c03145.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6. Harfeldt-Berg L., Broberg S., Ericsson K. The importance of individual actor characteristics and contextual aspects for promoting industrial symbiosis networks // Sustainability. 2022. Vol. 14, no. 9. Art. 4927. DOI: 10.3390/su14094927.</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7. Boom-Cárcamo E., Peñabaena-Niebles R. Analysis of the development of industrial symbiosis in emerging and frontier market countries: barriers and drivers // Sustainability. 2022. Vol. 14, no. 7. Art. 4223. DOI: 10.3390/su14074223.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8. Глухов В.В., Бабкин А.В., Шкарупета Е.В., Плотников В.А. Стратегическое управление промышленными экосистемами на основе платформенной концепции // Экономика и управление. 2021. Т. 27, № 10. С. 751–765. DOI: 10.35854/1998-1627-2021-10-751-765.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9. Титова Н.Ю., Зиглина В.Е. Различия и сходства понятий «промышленные кластеры» и «промышленные экосистемы» // Вестник Астраханского государственного технического университета. Серия: Экономика. 2021. № 3. С. 7–16. DOI: 10.24143/2073-5537-2021-3-7-16.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10. Белых А.Л. Модели формирования промышленного симбиоза // Управление. 2023. Т. 11, № 1. С. 51–63. DOI: 10.26425/2309-3633-2023-11-1-51-63.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11. Блам И.Ю., Ковалев С.Ю. Промышленный симбиоз как инструмент декарбонизации // ЭКО. 2022. № 7. С. 67–79. DOI: 10.30680/ECO0131-7652-2022-7-67-79.</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12. Никитаева А.Ю., Шестопалова О.С. Оценка уровня развития циркулярной экономики в регионах России // Региональная экономика. Юг России. 2022. Т. 10, № 3. С. 97–109. DOI: 10.15688/re.volsu.2022.3.10.</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13. О территориях опережающего социально-экономического развития в Российской Федерации: Федеральный закон от 29.12.2014 № 473-ФЗ (ред. действующая).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14. О создании территории опережающего социально-экономического развития «Невинномысск»: Постановление Правительства РФ от 22.12.2017 № 1606.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15. О государственно-частном партнерстве, муниципально-частном партнерстве в Российской Федерации и внесении изменений в отдельные законодательные акты Российской Федерации: Федеральный закон от 13.07.2015 № 224-ФЗ (ред. действующая).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16. Об отходах производства и потребления: Федеральный закон от 24.06.1998 № 89-ФЗ (ред. действующая).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4"/>
          <w:szCs w:val="24"/>
        </w:rPr>
        <w:t xml:space="preserve">17. Об исчислении и взимании платы за негативное воздействие на окружающую среду: Постановление Правительства РФ от 03.03.2017 № 255 (ред. действующая).</w:t>
      </w:r>
    </w:p>
    <w:p>
      <w:pPr>
        <w:keepNext w:val="false"/>
        <w:spacing w:after="0" w:before="0" w:line="360" w:lineRule="auto"/>
        <w:ind w:firstLine="0"/>
        <w:jc w:val="both"/>
      </w:pPr>
      <w:r>
        <w:rPr>
          <w:rFonts w:ascii="Times New Roman" w:cs="Times New Roman" w:eastAsia="Times New Roman" w:hAnsi="Times New Roman"/>
          <w:b/>
          <w:bCs/>
          <w:i w:val="false"/>
          <w:iCs w:val="false"/>
          <w:sz w:val="24"/>
          <w:szCs w:val="24"/>
        </w:rPr>
        <w:t xml:space="preserve">Ключевые слова:</w:t>
      </w:r>
      <w:r>
        <w:rPr>
          <w:rFonts w:ascii="Times New Roman" w:cs="Times New Roman" w:eastAsia="Times New Roman" w:hAnsi="Times New Roman"/>
          <w:b w:val="false"/>
          <w:bCs w:val="false"/>
          <w:i w:val="false"/>
          <w:iCs w:val="false"/>
          <w:sz w:val="24"/>
          <w:szCs w:val="24"/>
        </w:rPr>
        <w:t xml:space="preserve"> промышленная экосистема, промышленный симбиоз, индекс синергетической плотности, организационная реализация, ТОСЭР «Невинномысск», экоплатформа.</w:t>
      </w:r>
    </w:p>
    <w:p>
      <w:pPr>
        <w:keepNext w:val="false"/>
        <w:spacing w:after="0" w:before="0" w:line="360" w:lineRule="auto"/>
        <w:ind w:firstLine="0"/>
        <w:jc w:val="both"/>
      </w:pPr>
      <w:r>
        <w:rPr>
          <w:rFonts w:ascii="Times New Roman" w:cs="Times New Roman" w:eastAsia="Times New Roman" w:hAnsi="Times New Roman"/>
          <w:b/>
          <w:bCs/>
          <w:i w:val="false"/>
          <w:iCs w:val="false"/>
          <w:sz w:val="24"/>
          <w:szCs w:val="24"/>
        </w:rPr>
        <w:t xml:space="preserve">Keywords:</w:t>
      </w:r>
      <w:r>
        <w:rPr>
          <w:rFonts w:ascii="Times New Roman" w:cs="Times New Roman" w:eastAsia="Times New Roman" w:hAnsi="Times New Roman"/>
          <w:b w:val="false"/>
          <w:bCs w:val="false"/>
          <w:i w:val="false"/>
          <w:iCs w:val="false"/>
          <w:sz w:val="24"/>
          <w:szCs w:val="24"/>
        </w:rPr>
        <w:t xml:space="preserve"> industrial ecosystem, industrial symbiosis, synergetic density index, organisational realisation, Nevinnomyssk advanced development territory, eco-platform.</w:t>
      </w:r>
    </w:p>
    <w:sectPr>
      <w:footerReference w:type="default" r:id="rId7"/>
      <w:pgSz w:w="11906" w:h="16838" w:orient="portrait"/>
      <w:pgMar w:top="1134" w:right="851"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Frosch R.A., Gallopoulos N.E. Strategies for Manufacturing // Scientific American. 1989. Vol. 261, no. 3. P. 144–152. DOI: 10.1038/scientificamerican0989-144.</w:t>
      </w:r>
    </w:p>
  </w:footnote>
  <w:footnote w:id="2">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Chertow M.R. Industrial Symbiosis: Literature and Taxonomy // Annual Review of Energy and the Environment. 2000. Vol. 25. P. 313–337. DOI: 10.1146/annurev.energy.25.1.313.</w:t>
      </w:r>
    </w:p>
  </w:footnote>
  <w:footnote w:id="3">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Chertow M.R. «Uncovering» Industrial Symbiosis // Journal of Industrial Ecology. 2007. Vol. 11, no. 1. P. 11–30. DOI: 10.1162/jiec.2007.1110.</w:t>
      </w:r>
    </w:p>
  </w:footnote>
  <w:footnote w:id="4">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Coase R.H. The Nature of the Firm // Economica. 1937. Vol. 4, no. 16. P. 386–405.</w:t>
      </w:r>
    </w:p>
  </w:footnote>
  <w:footnote w:id="5">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Williamson O.E. The Economic Institutions of Capitalism: Firms, Markets, Relational Contracting. New York: Free Press, 1985.</w:t>
      </w:r>
    </w:p>
  </w:footnote>
  <w:footnote w:id="6">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Jacobsen N.B. Industrial Symbiosis in Kalundborg, Denmark: A Quantitative Assessment of Economic and Environmental Aspects // Journal of Industrial Ecology. 2006. Vol. 10, no. 1–2. P. 239–255. DOI: 10.1162/108819806775545411.</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before="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360" w:lineRule="auto"/>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0" w:before="0" w:line="360" w:lineRule="auto"/>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0" w:before="0" w:line="360" w:lineRule="auto"/>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0789b576a186559f684df82fbbd7690dbf24833.svg"/><Relationship Id="rId9" Type="http://schemas.openxmlformats.org/officeDocument/2006/relationships/image" Target="media/e44fff055d15b840c2784380581a04dc8b6f354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2026-10-12T20:17:26.688Z</dcterms:created>
  <dcterms:modified xsi:type="dcterms:W3CDTF">2026-10-12T20:17:26.689Z</dcterms:modified>
</cp:coreProperties>
</file>

<file path=docProps/custom.xml><?xml version="1.0" encoding="utf-8"?>
<Properties xmlns="http://schemas.openxmlformats.org/officeDocument/2006/custom-properties" xmlns:vt="http://schemas.openxmlformats.org/officeDocument/2006/docPropsVTypes"/>
</file>