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УДК 338.45:332.1</w:t>
      </w:r>
    </w:p>
    <w:p>
      <w:pPr>
        <w:keepNext w:val="false"/>
        <w:spacing w:after="0" w:before="0" w:line="360" w:lineRule="auto"/>
        <w:ind w:firstLine="0"/>
        <w:jc w:val="left"/>
      </w:pPr>
      <w:r>
        <w:rPr>
          <w:rFonts w:ascii="Times New Roman" w:cs="Times New Roman" w:eastAsia="Times New Roman" w:hAnsi="Times New Roman"/>
          <w:b/>
          <w:bCs/>
          <w:i w:val="false"/>
          <w:iCs w:val="false"/>
          <w:sz w:val="24"/>
          <w:szCs w:val="24"/>
        </w:rPr>
        <w:t xml:space="preserve">Гладков Кирилл Геннадьевич</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аспирант 2 курса направления подготовки Экономика</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ФГАОУ ВО «Северо-Кавказский федеральный университет»</w:t>
      </w:r>
    </w:p>
    <w:p>
      <w:pPr>
        <w:keepNext w:val="false"/>
        <w:spacing w:after="0" w:before="0" w:line="360" w:lineRule="auto"/>
        <w:ind w:firstLine="0"/>
        <w:jc w:val="center"/>
      </w:pPr>
      <w:r>
        <w:rPr>
          <w:rFonts w:ascii="Times New Roman" w:cs="Times New Roman" w:eastAsia="Times New Roman" w:hAnsi="Times New Roman"/>
          <w:b/>
          <w:bCs/>
          <w:i w:val="false"/>
          <w:iCs w:val="false"/>
          <w:sz w:val="24"/>
          <w:szCs w:val="24"/>
        </w:rPr>
        <w:t xml:space="preserve">МЕТОДИЧЕСКИЙ ПОДХОД К ОЦЕНКЕ ДОПОЛНИТЕЛЬНОГО ЭФФЕКТА ПРОМЫШЛЕННОГО СИМБИОЗА И РАСПРЕДЕЛЕНИЮ СИМБИОТИЧЕСКОГО ДИВИДЕНДА В ЭКОСИСТЕМЕ РЕГИОНА</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Гладков К.Г. Методический подход к оценке дополнительного эффекта промышленного симбиоза и распределению симбиотического дивиденда в экосистеме региона.</w:t>
      </w:r>
      <w:r>
        <w:rPr>
          <w:rFonts w:ascii="Times New Roman" w:cs="Times New Roman" w:eastAsia="Times New Roman" w:hAnsi="Times New Roman"/>
          <w:b w:val="false"/>
          <w:bCs w:val="false"/>
          <w:i w:val="false"/>
          <w:iCs w:val="false"/>
          <w:sz w:val="24"/>
          <w:szCs w:val="24"/>
        </w:rPr>
        <w:t xml:space="preserve"> В статье предложен методический подход к оценке экономического результата межфирменных обменов побочными ресурсами, основанный на сравнении с контрфактическим состоянием «без координирующей платформы», исключении внутренних трансфертов и явном вычете затрат на создание связей. Подход апробирован на демонстрационном сценарии для промышленного комплекса г. Невинномысска, включающем передачу низкопотенциального тепла, диоксида углерода, вторичного сырья и сокращение размещения отходов. Валовая экономия базового сценария составила 239,7 млн руб. в год, дополнительный эффект — 117,4 млн руб., симбиотический дивиденд при доле 0,10 — 11,7 млн руб. Построены ценовые коридоры обменов и показано, что положение коридора по тепловому потоку определяется тем, кто финансирует теплотрассу. Установлено, что дивиденд не может служить источником возврата капитальных вложений и выполняет функцию стимула.</w:t>
      </w:r>
    </w:p>
    <w:p>
      <w:pPr>
        <w:keepNext w:val="false"/>
        <w:spacing w:after="0" w:before="0" w:line="360" w:lineRule="auto"/>
        <w:ind w:firstLine="0"/>
        <w:jc w:val="left"/>
      </w:pPr>
      <w:r>
        <w:rPr>
          <w:rFonts w:ascii="Times New Roman" w:cs="Times New Roman" w:eastAsia="Times New Roman" w:hAnsi="Times New Roman"/>
          <w:b/>
          <w:bCs/>
          <w:i w:val="false"/>
          <w:iCs w:val="false"/>
          <w:sz w:val="24"/>
          <w:szCs w:val="24"/>
        </w:rPr>
        <w:t xml:space="preserve">Gladkov Kirill Gennadievich,</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Second-Year PhD Student in Economics</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North-Caucasus Federal University</w:t>
      </w:r>
    </w:p>
    <w:p>
      <w:pPr>
        <w:keepNext w:val="false"/>
        <w:spacing w:after="0" w:before="0" w:line="360" w:lineRule="auto"/>
        <w:ind w:firstLine="0"/>
        <w:jc w:val="center"/>
      </w:pPr>
      <w:r>
        <w:rPr>
          <w:rFonts w:ascii="Times New Roman" w:cs="Times New Roman" w:eastAsia="Times New Roman" w:hAnsi="Times New Roman"/>
          <w:b/>
          <w:bCs/>
          <w:i w:val="false"/>
          <w:iCs w:val="false"/>
          <w:sz w:val="24"/>
          <w:szCs w:val="24"/>
        </w:rPr>
        <w:t xml:space="preserve">A METHODOLOGICAL APPROACH TO ESTIMATING THE ADDITIONAL EFFECT OF INDUSTRIAL SYMBIOSIS AND DISTRIBUTING THE SYMBIOTIC DIVIDEND IN A REGIONAL ECOSYSTEM</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Gladkov K.G. A Methodological Approach to Estimating the Additional Effect of Industrial Symbiosis and Distributing the Symbiotic Dividend in a Regional Ecosystem.</w:t>
      </w:r>
      <w:r>
        <w:rPr>
          <w:rFonts w:ascii="Times New Roman" w:cs="Times New Roman" w:eastAsia="Times New Roman" w:hAnsi="Times New Roman"/>
          <w:b w:val="false"/>
          <w:bCs w:val="false"/>
          <w:i w:val="false"/>
          <w:iCs w:val="false"/>
          <w:sz w:val="24"/>
          <w:szCs w:val="24"/>
        </w:rPr>
        <w:t xml:space="preserve"> The article proposes a methodological approach to estimating the economic result of inter-firm by-product exchanges based on comparison with a counterfactual state without a coordinating platform, exclusion of internal transfers and explicit deduction of the costs of creating links. The approach is tested on a demonstration scenario for the industrial complex of Nevinnomyssk covering low-grade heat, carbon dioxide, secondary raw materials and reduced waste disposal. In the base scenario gross savings amount to 239.7 million roubles per year, the additional effect to 117.4 million roubles and the symbiotic dividend at a share of 0.10 to 11.7 million roubles. Price corridors for the exchanges are constructed, and it is shown that the position of the heat corridor depends on who finances the heat pipeline. The dividend cannot serve as a source of capital recovery and acts as an incentive.</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Постановка проблемы.</w:t>
      </w:r>
      <w:r>
        <w:rPr>
          <w:rFonts w:ascii="Times New Roman" w:cs="Times New Roman" w:eastAsia="Times New Roman" w:hAnsi="Times New Roman"/>
          <w:b w:val="false"/>
          <w:bCs w:val="false"/>
          <w:i w:val="false"/>
          <w:iCs w:val="false"/>
          <w:sz w:val="24"/>
          <w:szCs w:val="24"/>
        </w:rPr>
        <w:t xml:space="preserve"> Оценки промышленного симбиоза, которые приводятся в обоснование региональных проектов, обычно получены сложением технологических потенциалов: объём сбрасываемого тепла умножается на тариф, объём отходов — на ставку платы за их размещение. Такая сумма всегда положительна и потому ничего не доказывает. Она не учитывает, что платёж покупателя ресурса есть выручка его поставщика и для системы в целом равен нулю, что связи требуют вложений и сопровождения, а часть экономии возникла бы и без организованного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Для промышленного комплекса Невинномысска вопрос имеет практическое значение. На территории строится экопромышленный парк стоимостью около 930 млн руб. </w:t>
      </w: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b w:val="false"/>
          <w:bCs w:val="false"/>
          <w:i w:val="false"/>
          <w:iCs w:val="false"/>
          <w:sz w:val="24"/>
          <w:szCs w:val="24"/>
        </w:rPr>
        <w:t xml:space="preserve">, обсуждается создание цифрового оператора ресурсных обменов, а его обоснование опирается на оценки эффекта, полученные без вычета затрат. Если такой оператор будет создан, понадобятся правила, по которым подтверждённый эффект распределяется между предприятиями, оператором и бюджетом территории.</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Анализ последних исследований и публикаций.</w:t>
      </w:r>
      <w:r>
        <w:rPr>
          <w:rFonts w:ascii="Times New Roman" w:cs="Times New Roman" w:eastAsia="Times New Roman" w:hAnsi="Times New Roman"/>
          <w:b w:val="false"/>
          <w:bCs w:val="false"/>
          <w:i w:val="false"/>
          <w:iCs w:val="false"/>
          <w:sz w:val="24"/>
          <w:szCs w:val="24"/>
        </w:rPr>
        <w:t xml:space="preserve"> М. Чертоу и Д. Ломбарди предложили оценивать выгоды совместно расположенных предприятий по разнице издержек каждого участника «в симбиозе» и «вне симбиоза»</w:t>
      </w:r>
      <w:r>
        <w:rPr>
          <w:rStyle w:val="FootnoteReference"/>
        </w:rPr>
        <w:footnoteReference w:id="1"/>
      </w:r>
      <w:r>
        <w:rPr>
          <w:rFonts w:ascii="Times New Roman" w:cs="Times New Roman" w:eastAsia="Times New Roman" w:hAnsi="Times New Roman"/>
          <w:b w:val="false"/>
          <w:bCs w:val="false"/>
          <w:i w:val="false"/>
          <w:iCs w:val="false"/>
          <w:sz w:val="24"/>
          <w:szCs w:val="24"/>
        </w:rPr>
        <w:t xml:space="preserve">. М. Чизи и Р. Наполи, проанализировав 61 работу 2019–2023 гг., пришли к выводу, что затраты и выгоды симбиоза в большинстве исследований не идентифицируются и не измеряются </w:t>
      </w: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b w:val="false"/>
          <w:bCs w:val="false"/>
          <w:i w:val="false"/>
          <w:iCs w:val="false"/>
          <w:sz w:val="24"/>
          <w:szCs w:val="24"/>
        </w:rPr>
        <w:t xml:space="preserve">. Международная рамка эко-индустриальных парков требует сопоставления результатов с базовой линией, установленной до начала программы </w:t>
      </w: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Распределение выгод исследуется преимущественно методами кооперативных игр. Ф. Фадзил и соавторы применили их к разделу прибыли при совместном использовании квот на выбросы в сети симбиоза </w:t>
      </w: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b w:val="false"/>
          <w:bCs w:val="false"/>
          <w:i w:val="false"/>
          <w:iCs w:val="false"/>
          <w:sz w:val="24"/>
          <w:szCs w:val="24"/>
        </w:rPr>
        <w:t xml:space="preserve">, М. Окби и Д. Аль-Моханнади связали оптимизационную модель эко-индустриального парка с блокчейном, в котором смарт-контракты исполняют правила расчётов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 М. Моллика, Л. Фраккашия и А. Настази показали, что выбор предприятия между кооперацией в симбиозе и конкурирующей стратегией определяется рыночными условиями </w:t>
      </w: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b w:val="false"/>
          <w:bCs w:val="false"/>
          <w:i w:val="false"/>
          <w:iCs w:val="false"/>
          <w:sz w:val="24"/>
          <w:szCs w:val="24"/>
        </w:rPr>
        <w:t xml:space="preserve">. В отечественной литературе симбиоз рассматривается как инструмент декарбонизации </w:t>
      </w: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b w:val="false"/>
          <w:bCs w:val="false"/>
          <w:i w:val="false"/>
          <w:iCs w:val="false"/>
          <w:sz w:val="24"/>
          <w:szCs w:val="24"/>
        </w:rPr>
        <w:t xml:space="preserve"> и элемент циркулярной бизнес-модели </w:t>
      </w: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Методически неразработанными остаются три вопроса: как отделить созданную обменом стоимость от её перераспределения ценой, как учесть затраты на создание связей в годовом эффекте и какая часть эффекта может распределяться через общий механизм, не разрушая стимулов сторон обмена.</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Цель исследования</w:t>
      </w:r>
      <w:r>
        <w:rPr>
          <w:rFonts w:ascii="Times New Roman" w:cs="Times New Roman" w:eastAsia="Times New Roman" w:hAnsi="Times New Roman"/>
          <w:b w:val="false"/>
          <w:bCs w:val="false"/>
          <w:i w:val="false"/>
          <w:iCs w:val="false"/>
          <w:sz w:val="24"/>
          <w:szCs w:val="24"/>
        </w:rPr>
        <w:t xml:space="preserve"> — разработать методический подход к оценке дополнительного экономического эффекта промышленного симбиоза и распределению симбиотического дивиденда в экосистеме региона и апробировать его на демонстрационном сценарии для г. Невинномысска.</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Изложение основного материала.</w:t>
      </w:r>
      <w:r>
        <w:rPr>
          <w:rFonts w:ascii="Times New Roman" w:cs="Times New Roman" w:eastAsia="Times New Roman" w:hAnsi="Times New Roman"/>
          <w:b w:val="false"/>
          <w:bCs w:val="false"/>
          <w:i w:val="false"/>
          <w:iCs w:val="false"/>
          <w:sz w:val="24"/>
          <w:szCs w:val="24"/>
        </w:rPr>
        <w:t xml:space="preserve"> Дополнительный эффект определяется изменением денежных потоков участников относительно контрфактического состояния без организованного обмена при тех же внешних ценах и объёмах выпуска основной продукции:</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r>
          <w:rPr>
            <w:rFonts w:ascii="Cambria Math" w:hAnsi="Cambria Math"/>
            <w:i/>
            <w:sz w:val="24"/>
            <w:szCs w:val="24"/>
          </w:rPr>
          <m:t xml:space="preserve">ΔE</m:t>
        </m:r>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sSub>
          <m:e>
            <m:r>
              <w:rPr>
                <w:rFonts w:ascii="Cambria Math" w:hAnsi="Cambria Math"/>
                <w:i/>
                <w:sz w:val="24"/>
                <w:szCs w:val="24"/>
              </w:rPr>
              <m:t xml:space="preserve">ΔR</m:t>
            </m:r>
          </m:e>
          <m:sub>
            <m:r>
              <m:rPr>
                <m:sty m:val="p"/>
              </m:rPr>
              <w:rPr>
                <w:rFonts w:ascii="Cambria Math" w:hAnsi="Cambria Math"/>
                <w:i w:val="0"/>
                <w:sz w:val="24"/>
                <w:szCs w:val="24"/>
              </w:rPr>
              <m:t xml:space="preserve">внеш</m:t>
            </m:r>
          </m:sub>
        </m:sSub>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sSub>
          <m:e>
            <m:r>
              <w:rPr>
                <w:rFonts w:ascii="Cambria Math" w:hAnsi="Cambria Math"/>
                <w:i/>
                <w:sz w:val="24"/>
                <w:szCs w:val="24"/>
              </w:rPr>
              <m:t xml:space="preserve">ΔC</m:t>
            </m:r>
          </m:e>
          <m:sub>
            <m:r>
              <m:rPr>
                <m:sty m:val="p"/>
              </m:rPr>
              <w:rPr>
                <w:rFonts w:ascii="Cambria Math" w:hAnsi="Cambria Math"/>
                <w:i w:val="0"/>
                <w:sz w:val="24"/>
                <w:szCs w:val="24"/>
              </w:rPr>
              <m:t xml:space="preserve">изб</m:t>
            </m:r>
          </m:sub>
        </m:sSub>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sSub>
          <m:e>
            <m:r>
              <w:rPr>
                <w:rFonts w:ascii="Cambria Math" w:hAnsi="Cambria Math"/>
                <w:i/>
                <w:sz w:val="24"/>
                <w:szCs w:val="24"/>
              </w:rPr>
              <m:t xml:space="preserve">C</m:t>
            </m:r>
          </m:e>
          <m:sub>
            <m:r>
              <m:rPr>
                <m:sty m:val="p"/>
              </m:rPr>
              <w:rPr>
                <w:rFonts w:ascii="Cambria Math" w:hAnsi="Cambria Math"/>
                <w:i w:val="0"/>
                <w:sz w:val="24"/>
                <w:szCs w:val="24"/>
              </w:rPr>
              <m:t xml:space="preserve">инфр</m:t>
            </m:r>
          </m:sub>
        </m:sSub>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sSub>
          <m:e>
            <m:r>
              <w:rPr>
                <w:rFonts w:ascii="Cambria Math" w:hAnsi="Cambria Math"/>
                <w:i/>
                <w:sz w:val="24"/>
                <w:szCs w:val="24"/>
              </w:rPr>
              <m:t xml:space="preserve">C</m:t>
            </m:r>
          </m:e>
          <m:sub>
            <m:r>
              <m:rPr>
                <m:sty m:val="p"/>
              </m:rPr>
              <w:rPr>
                <w:rFonts w:ascii="Cambria Math" w:hAnsi="Cambria Math"/>
                <w:i w:val="0"/>
                <w:sz w:val="24"/>
                <w:szCs w:val="24"/>
              </w:rPr>
              <m:t xml:space="preserve">опер</m:t>
            </m:r>
          </m:sub>
        </m:sSub>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sSub>
          <m:e>
            <m:r>
              <w:rPr>
                <w:rFonts w:ascii="Cambria Math" w:hAnsi="Cambria Math"/>
                <w:i/>
                <w:sz w:val="24"/>
                <w:szCs w:val="24"/>
              </w:rPr>
              <m:t xml:space="preserve">C</m:t>
            </m:r>
          </m:e>
          <m:sub>
            <m:r>
              <m:rPr>
                <m:sty m:val="p"/>
              </m:rPr>
              <w:rPr>
                <w:rFonts w:ascii="Cambria Math" w:hAnsi="Cambria Math"/>
                <w:i w:val="0"/>
                <w:sz w:val="24"/>
                <w:szCs w:val="24"/>
              </w:rPr>
              <m:t xml:space="preserve">сдел</m:t>
            </m:r>
          </m:sub>
        </m:sSub>
        <m:d>
          <m:dPr>
            <m:begChr m:val="("/>
            <m:endChr m:val=")"/>
          </m:dPr>
          <m:e>
            <m:r>
              <w:rPr>
                <w:rFonts w:ascii="Cambria Math" w:hAnsi="Cambria Math"/>
                <w:i/>
                <w:sz w:val="24"/>
                <w:szCs w:val="24"/>
              </w:rPr>
              <m:t xml:space="preserve">t</m:t>
            </m:r>
          </m:e>
        </m:d>
      </m:oMath>
      <w:r>
        <w:rPr>
          <w:rFonts w:ascii="Times New Roman" w:cs="Times New Roman" w:eastAsia="Times New Roman" w:hAnsi="Times New Roman"/>
          <w:sz w:val="24"/>
          <w:szCs w:val="24"/>
        </w:rPr>
        <w:t xml:space="preserve">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ΔE(t) — дополнительный эффект за период t, млн руб.; ΔR</w:t>
      </w:r>
      <w:r>
        <w:rPr>
          <w:rFonts w:ascii="Times New Roman" w:cs="Times New Roman" w:eastAsia="Times New Roman" w:hAnsi="Times New Roman"/>
          <w:b w:val="false"/>
          <w:bCs w:val="false"/>
          <w:i w:val="false"/>
          <w:iCs w:val="false"/>
          <w:sz w:val="24"/>
          <w:szCs w:val="24"/>
          <w:vertAlign w:val="subscript"/>
        </w:rPr>
        <w:t xml:space="preserve">внеш</w:t>
      </w:r>
      <w:r>
        <w:rPr>
          <w:rFonts w:ascii="Times New Roman" w:cs="Times New Roman" w:eastAsia="Times New Roman" w:hAnsi="Times New Roman"/>
          <w:b w:val="false"/>
          <w:bCs w:val="false"/>
          <w:i w:val="false"/>
          <w:iCs w:val="false"/>
          <w:sz w:val="24"/>
          <w:szCs w:val="24"/>
        </w:rPr>
        <w:t xml:space="preserve"> — прирост выручки участников от внешних контрагентов; ΔC</w:t>
      </w:r>
      <w:r>
        <w:rPr>
          <w:rFonts w:ascii="Times New Roman" w:cs="Times New Roman" w:eastAsia="Times New Roman" w:hAnsi="Times New Roman"/>
          <w:b w:val="false"/>
          <w:bCs w:val="false"/>
          <w:i w:val="false"/>
          <w:iCs w:val="false"/>
          <w:sz w:val="24"/>
          <w:szCs w:val="24"/>
          <w:vertAlign w:val="subscript"/>
        </w:rPr>
        <w:t xml:space="preserve">изб</w:t>
      </w:r>
      <w:r>
        <w:rPr>
          <w:rFonts w:ascii="Times New Roman" w:cs="Times New Roman" w:eastAsia="Times New Roman" w:hAnsi="Times New Roman"/>
          <w:b w:val="false"/>
          <w:bCs w:val="false"/>
          <w:i w:val="false"/>
          <w:iCs w:val="false"/>
          <w:sz w:val="24"/>
          <w:szCs w:val="24"/>
        </w:rPr>
        <w:t xml:space="preserve"> — предотвращённые внешние затраты (замещённые закупки, не внесённая плата за размещение отходов); C</w:t>
      </w:r>
      <w:r>
        <w:rPr>
          <w:rFonts w:ascii="Times New Roman" w:cs="Times New Roman" w:eastAsia="Times New Roman" w:hAnsi="Times New Roman"/>
          <w:b w:val="false"/>
          <w:bCs w:val="false"/>
          <w:i w:val="false"/>
          <w:iCs w:val="false"/>
          <w:sz w:val="24"/>
          <w:szCs w:val="24"/>
          <w:vertAlign w:val="subscript"/>
        </w:rPr>
        <w:t xml:space="preserve">инфр</w:t>
      </w:r>
      <w:r>
        <w:rPr>
          <w:rFonts w:ascii="Times New Roman" w:cs="Times New Roman" w:eastAsia="Times New Roman" w:hAnsi="Times New Roman"/>
          <w:b w:val="false"/>
          <w:bCs w:val="false"/>
          <w:i w:val="false"/>
          <w:iCs w:val="false"/>
          <w:sz w:val="24"/>
          <w:szCs w:val="24"/>
        </w:rPr>
        <w:t xml:space="preserve"> — приведённые к году капитальные затраты на инфраструктуру обмена; C</w:t>
      </w:r>
      <w:r>
        <w:rPr>
          <w:rFonts w:ascii="Times New Roman" w:cs="Times New Roman" w:eastAsia="Times New Roman" w:hAnsi="Times New Roman"/>
          <w:b w:val="false"/>
          <w:bCs w:val="false"/>
          <w:i w:val="false"/>
          <w:iCs w:val="false"/>
          <w:sz w:val="24"/>
          <w:szCs w:val="24"/>
          <w:vertAlign w:val="subscript"/>
        </w:rPr>
        <w:t xml:space="preserve">опер</w:t>
      </w:r>
      <w:r>
        <w:rPr>
          <w:rFonts w:ascii="Times New Roman" w:cs="Times New Roman" w:eastAsia="Times New Roman" w:hAnsi="Times New Roman"/>
          <w:b w:val="false"/>
          <w:bCs w:val="false"/>
          <w:i w:val="false"/>
          <w:iCs w:val="false"/>
          <w:sz w:val="24"/>
          <w:szCs w:val="24"/>
        </w:rPr>
        <w:t xml:space="preserve"> — эксплуатационные затраты координирующей платформы; C</w:t>
      </w:r>
      <w:r>
        <w:rPr>
          <w:rFonts w:ascii="Times New Roman" w:cs="Times New Roman" w:eastAsia="Times New Roman" w:hAnsi="Times New Roman"/>
          <w:b w:val="false"/>
          <w:bCs w:val="false"/>
          <w:i w:val="false"/>
          <w:iCs w:val="false"/>
          <w:sz w:val="24"/>
          <w:szCs w:val="24"/>
          <w:vertAlign w:val="subscript"/>
        </w:rPr>
        <w:t xml:space="preserve">сдел</w:t>
      </w:r>
      <w:r>
        <w:rPr>
          <w:rFonts w:ascii="Times New Roman" w:cs="Times New Roman" w:eastAsia="Times New Roman" w:hAnsi="Times New Roman"/>
          <w:b w:val="false"/>
          <w:bCs w:val="false"/>
          <w:i w:val="false"/>
          <w:iCs w:val="false"/>
          <w:sz w:val="24"/>
          <w:szCs w:val="24"/>
        </w:rPr>
        <w:t xml:space="preserve"> — издержки сделок, аудита и юридического сопровождения.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Валовая экономия по потоку k вычисляется как разность между альтернативной стоимостью ресурса для потребителя и затратами его передачи:</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E</m:t>
            </m:r>
          </m:e>
          <m:sub>
            <m:r>
              <w:rPr>
                <w:rFonts w:ascii="Cambria Math" w:hAnsi="Cambria Math"/>
                <w:i/>
                <w:sz w:val="24"/>
                <w:szCs w:val="24"/>
              </w:rPr>
              <m:t xml:space="preserve">k</m:t>
            </m:r>
          </m:sub>
        </m:sSub>
        <m:r>
          <m:rPr>
            <m:sty m:val="p"/>
          </m:rPr>
          <w:rPr>
            <w:rFonts w:ascii="Cambria Math" w:hAnsi="Cambria Math"/>
            <w:i w:val="0"/>
            <w:sz w:val="24"/>
            <w:szCs w:val="24"/>
          </w:rPr>
          <m:t xml:space="preserve"> = </m:t>
        </m:r>
        <m:sSub>
          <m:e>
            <m:r>
              <w:rPr>
                <w:rFonts w:ascii="Cambria Math" w:hAnsi="Cambria Math"/>
                <w:i/>
                <w:sz w:val="24"/>
                <w:szCs w:val="24"/>
              </w:rPr>
              <m:t xml:space="preserve">Q</m:t>
            </m:r>
          </m:e>
          <m:sub>
            <m:r>
              <w:rPr>
                <w:rFonts w:ascii="Cambria Math" w:hAnsi="Cambria Math"/>
                <w:i/>
                <w:sz w:val="24"/>
                <w:szCs w:val="24"/>
              </w:rPr>
              <m:t xml:space="preserve">k</m:t>
            </m:r>
          </m:sub>
        </m:sSub>
        <m:r>
          <m:rPr>
            <m:sty m:val="p"/>
          </m:rPr>
          <w:rPr>
            <w:rFonts w:ascii="Cambria Math" w:hAnsi="Cambria Math"/>
            <w:i w:val="0"/>
            <w:sz w:val="24"/>
            <w:szCs w:val="24"/>
          </w:rPr>
          <m:t xml:space="preserve">·</m:t>
        </m:r>
        <m:d>
          <m:dPr>
            <m:begChr m:val="("/>
            <m:endChr m:val=")"/>
          </m:dPr>
          <m:e>
            <m:sSub>
              <m:e>
                <m:r>
                  <w:rPr>
                    <w:rFonts w:ascii="Cambria Math" w:hAnsi="Cambria Math"/>
                    <w:i/>
                    <w:sz w:val="24"/>
                    <w:szCs w:val="24"/>
                  </w:rPr>
                  <m:t xml:space="preserve">p</m:t>
                </m:r>
              </m:e>
              <m:sub>
                <m:r>
                  <m:rPr>
                    <m:sty m:val="p"/>
                  </m:rPr>
                  <w:rPr>
                    <w:rFonts w:ascii="Cambria Math" w:hAnsi="Cambria Math"/>
                    <w:i w:val="0"/>
                    <w:sz w:val="24"/>
                    <w:szCs w:val="24"/>
                  </w:rPr>
                  <m:t xml:space="preserve">альт,</m:t>
                </m:r>
                <m:r>
                  <w:rPr>
                    <w:rFonts w:ascii="Cambria Math" w:hAnsi="Cambria Math"/>
                    <w:i/>
                    <w:sz w:val="24"/>
                    <w:szCs w:val="24"/>
                  </w:rPr>
                  <m:t xml:space="preserve">k</m:t>
                </m:r>
              </m:sub>
            </m:sSub>
            <m:r>
              <m:rPr>
                <m:sty m:val="p"/>
              </m:rPr>
              <w:rPr>
                <w:rFonts w:ascii="Cambria Math" w:hAnsi="Cambria Math"/>
                <w:i w:val="0"/>
                <w:sz w:val="24"/>
                <w:szCs w:val="24"/>
              </w:rPr>
              <m:t xml:space="preserve"> − </m:t>
            </m:r>
            <m:sSub>
              <m:e>
                <m:r>
                  <w:rPr>
                    <w:rFonts w:ascii="Cambria Math" w:hAnsi="Cambria Math"/>
                    <w:i/>
                    <w:sz w:val="24"/>
                    <w:szCs w:val="24"/>
                  </w:rPr>
                  <m:t xml:space="preserve">c</m:t>
                </m:r>
              </m:e>
              <m:sub>
                <m:r>
                  <w:rPr>
                    <w:rFonts w:ascii="Cambria Math" w:hAnsi="Cambria Math"/>
                    <w:i/>
                    <w:sz w:val="24"/>
                    <w:szCs w:val="24"/>
                  </w:rPr>
                  <m:t xml:space="preserve">k</m:t>
                </m:r>
              </m:sub>
            </m:sSub>
          </m:e>
        </m:d>
      </m:oMath>
      <w:r>
        <w:rPr>
          <w:rFonts w:ascii="Times New Roman" w:cs="Times New Roman" w:eastAsia="Times New Roman" w:hAnsi="Times New Roman"/>
          <w:sz w:val="24"/>
          <w:szCs w:val="24"/>
        </w:rPr>
        <w:t xml:space="preserve">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E</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валовая годовая экономия по потоку k; Q</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фактически переданный объём ресурса; p</w:t>
      </w:r>
      <w:r>
        <w:rPr>
          <w:rFonts w:ascii="Times New Roman" w:cs="Times New Roman" w:eastAsia="Times New Roman" w:hAnsi="Times New Roman"/>
          <w:b w:val="false"/>
          <w:bCs w:val="false"/>
          <w:i w:val="false"/>
          <w:iCs w:val="false"/>
          <w:sz w:val="24"/>
          <w:szCs w:val="24"/>
          <w:vertAlign w:val="subscript"/>
        </w:rPr>
        <w:t xml:space="preserve">альт,k</w:t>
      </w:r>
      <w:r>
        <w:rPr>
          <w:rFonts w:ascii="Times New Roman" w:cs="Times New Roman" w:eastAsia="Times New Roman" w:hAnsi="Times New Roman"/>
          <w:b w:val="false"/>
          <w:bCs w:val="false"/>
          <w:i w:val="false"/>
          <w:iCs w:val="false"/>
          <w:sz w:val="24"/>
          <w:szCs w:val="24"/>
        </w:rPr>
        <w:t xml:space="preserve"> — стоимость замещаемого ресурса для потребителя; c</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переменные затраты подготовки и транспортировки единицы ресурса.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 формуле (2) отсутствует цена обмена. Если потребитель покупает тепло по цене p, его экономия равна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p, а дополнительная выручка поставщика p − c; сумма от цены не зависит. Капитальные вложения распределяются по годам аннуитетным способом:</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C</m:t>
            </m:r>
          </m:e>
          <m:sub>
            <m:r>
              <m:rPr>
                <m:sty m:val="p"/>
              </m:rPr>
              <w:rPr>
                <w:rFonts w:ascii="Cambria Math" w:hAnsi="Cambria Math"/>
                <w:i w:val="0"/>
                <w:sz w:val="24"/>
                <w:szCs w:val="24"/>
              </w:rPr>
              <m:t xml:space="preserve">инфр</m:t>
            </m:r>
          </m:sub>
        </m:sSub>
        <m:r>
          <m:rPr>
            <m:sty m:val="p"/>
          </m:rPr>
          <w:rPr>
            <w:rFonts w:ascii="Cambria Math" w:hAnsi="Cambria Math"/>
            <w:i w:val="0"/>
            <w:sz w:val="24"/>
            <w:szCs w:val="24"/>
          </w:rPr>
          <m:t xml:space="preserve"> = </m:t>
        </m:r>
        <m:nary>
          <m:naryPr>
            <m:chr m:val="∑"/>
            <m:limLoc m:val="undOvr"/>
            <m:supHide m:val="1"/>
          </m:naryPr>
          <m:sub>
            <m:r>
              <w:rPr>
                <w:rFonts w:ascii="Cambria Math" w:hAnsi="Cambria Math"/>
                <w:i/>
                <w:sz w:val="24"/>
                <w:szCs w:val="24"/>
              </w:rPr>
              <m:t xml:space="preserve">m</m:t>
            </m:r>
          </m:sub>
          <m:sup/>
          <m:e>
            <m:sSub>
              <m:e>
                <m:r>
                  <w:rPr>
                    <w:rFonts w:ascii="Cambria Math" w:hAnsi="Cambria Math"/>
                    <w:i/>
                    <w:sz w:val="24"/>
                    <w:szCs w:val="24"/>
                  </w:rPr>
                  <m:t xml:space="preserve">K</m:t>
                </m:r>
              </m:e>
              <m:sub>
                <m:r>
                  <w:rPr>
                    <w:rFonts w:ascii="Cambria Math" w:hAnsi="Cambria Math"/>
                    <w:i/>
                    <w:sz w:val="24"/>
                    <w:szCs w:val="24"/>
                  </w:rPr>
                  <m:t xml:space="preserve">m</m:t>
                </m:r>
              </m:sub>
            </m:sSub>
            <m:r>
              <m:rPr>
                <m:sty m:val="p"/>
              </m:rPr>
              <w:rPr>
                <w:rFonts w:ascii="Cambria Math" w:hAnsi="Cambria Math"/>
                <w:i w:val="0"/>
                <w:sz w:val="24"/>
                <w:szCs w:val="24"/>
              </w:rPr>
              <m:t xml:space="preserve">·</m:t>
            </m:r>
            <m:f>
              <m:num>
                <m:r>
                  <w:rPr>
                    <w:rFonts w:ascii="Cambria Math" w:hAnsi="Cambria Math"/>
                    <w:i/>
                    <w:sz w:val="24"/>
                    <w:szCs w:val="24"/>
                  </w:rPr>
                  <m:t xml:space="preserve">r</m:t>
                </m:r>
              </m:num>
              <m:den>
                <m:r>
                  <m:rPr>
                    <m:sty m:val="p"/>
                  </m:rPr>
                  <w:rPr>
                    <w:rFonts w:ascii="Cambria Math" w:hAnsi="Cambria Math"/>
                    <w:i w:val="0"/>
                    <w:sz w:val="24"/>
                    <w:szCs w:val="24"/>
                  </w:rPr>
                  <m:t xml:space="preserve">1 − </m:t>
                </m:r>
                <m:sSup>
                  <m:e>
                    <m:d>
                      <m:dPr>
                        <m:begChr m:val="("/>
                        <m:endChr m:val=")"/>
                      </m:dPr>
                      <m:e>
                        <m:r>
                          <m:rPr>
                            <m:sty m:val="p"/>
                          </m:rPr>
                          <w:rPr>
                            <w:rFonts w:ascii="Cambria Math" w:hAnsi="Cambria Math"/>
                            <w:i w:val="0"/>
                            <w:sz w:val="24"/>
                            <w:szCs w:val="24"/>
                          </w:rPr>
                          <m:t xml:space="preserve">1 + </m:t>
                        </m:r>
                        <m:r>
                          <w:rPr>
                            <w:rFonts w:ascii="Cambria Math" w:hAnsi="Cambria Math"/>
                            <w:i/>
                            <w:sz w:val="24"/>
                            <w:szCs w:val="24"/>
                          </w:rPr>
                          <m:t xml:space="preserve">r</m:t>
                        </m:r>
                      </m:e>
                    </m:d>
                  </m:e>
                  <m:sup>
                    <m:r>
                      <m:rPr>
                        <m:sty m:val="p"/>
                      </m:rPr>
                      <w:rPr>
                        <w:rFonts w:ascii="Cambria Math" w:hAnsi="Cambria Math"/>
                        <w:i w:val="0"/>
                        <w:sz w:val="24"/>
                        <w:szCs w:val="24"/>
                      </w:rPr>
                      <m:t xml:space="preserve">−</m:t>
                    </m:r>
                    <m:sSub>
                      <m:e>
                        <m:r>
                          <w:rPr>
                            <w:rFonts w:ascii="Cambria Math" w:hAnsi="Cambria Math"/>
                            <w:i/>
                            <w:sz w:val="24"/>
                            <w:szCs w:val="24"/>
                          </w:rPr>
                          <m:t xml:space="preserve">n</m:t>
                        </m:r>
                      </m:e>
                      <m:sub>
                        <m:r>
                          <w:rPr>
                            <w:rFonts w:ascii="Cambria Math" w:hAnsi="Cambria Math"/>
                            <w:i/>
                            <w:sz w:val="24"/>
                            <w:szCs w:val="24"/>
                          </w:rPr>
                          <m:t xml:space="preserve">m</m:t>
                        </m:r>
                      </m:sub>
                    </m:sSub>
                  </m:sup>
                </m:sSup>
              </m:den>
            </m:f>
          </m:e>
        </m:nary>
      </m:oMath>
      <w:r>
        <w:rPr>
          <w:rFonts w:ascii="Times New Roman" w:cs="Times New Roman" w:eastAsia="Times New Roman" w:hAnsi="Times New Roman"/>
          <w:sz w:val="24"/>
          <w:szCs w:val="24"/>
        </w:rPr>
        <w:t xml:space="preserve">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K</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 вложения в m-й объект (теплотрасса, узел подготовки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программно-аппаратный комплекс платформы); r — ставка дисконтирования; n</w:t>
      </w:r>
      <w:r>
        <w:rPr>
          <w:rFonts w:ascii="Times New Roman" w:cs="Times New Roman" w:eastAsia="Times New Roman" w:hAnsi="Times New Roman"/>
          <w:b w:val="false"/>
          <w:bCs w:val="false"/>
          <w:i w:val="false"/>
          <w:iCs w:val="false"/>
          <w:sz w:val="24"/>
          <w:szCs w:val="24"/>
          <w:vertAlign w:val="subscript"/>
        </w:rPr>
        <w:t xml:space="preserve">m</w:t>
      </w:r>
      <w:r>
        <w:rPr>
          <w:rFonts w:ascii="Times New Roman" w:cs="Times New Roman" w:eastAsia="Times New Roman" w:hAnsi="Times New Roman"/>
          <w:b w:val="false"/>
          <w:bCs w:val="false"/>
          <w:i w:val="false"/>
          <w:iCs w:val="false"/>
          <w:sz w:val="24"/>
          <w:szCs w:val="24"/>
        </w:rPr>
        <w:t xml:space="preserve"> — срок службы объекта,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Подход апробирован на демонстрационном сценарии из четырёх потоков. Параметры приняты автором как допущения, за исключением базовой ставки платы за размещение отходов IV класса 663,2 руб./т </w:t>
      </w: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b w:val="false"/>
          <w:bCs w:val="false"/>
          <w:i w:val="false"/>
          <w:iCs w:val="false"/>
          <w:sz w:val="24"/>
          <w:szCs w:val="24"/>
        </w:rPr>
        <w:t xml:space="preserve"> и мощности экопромпарка </w:t>
      </w: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b w:val="false"/>
          <w:bCs w:val="false"/>
          <w:i w:val="false"/>
          <w:iCs w:val="false"/>
          <w:sz w:val="24"/>
          <w:szCs w:val="24"/>
        </w:rPr>
        <w:t xml:space="preserve">. Ставка взята без ежегодного коэффициента индексации, что делает оценку консервативной. Расчёт приведён в таблице 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4"/>
          <w:szCs w:val="24"/>
        </w:rPr>
        <w:t xml:space="preserve">Таблица 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Расчёт дополнительного эффекта в базовом сценарии, млн руб. в год</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554"/>
        <w:gridCol w:w="3335"/>
        <w:gridCol w:w="1164"/>
        <w:gridCol w:w="1612"/>
        <w:gridCol w:w="972"/>
      </w:tblGrid>
      <w:tr>
        <w:trPr>
          <w:cantSplit/>
          <w:tblHeader/>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Компонент</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Исходные данные</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Валовая экономия</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Аннуитет вложений</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Чистый вклад</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Тепло ГРЭС</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438 тыс. Гкал · 0,5 · (360 − 50) руб./Гкал</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67,9</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39,4 (300 млн руб., 15 лет)</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28,4</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w:t>
            </w:r>
            <w:r>
              <w:rPr>
                <w:rFonts w:ascii="Times New Roman" w:cs="Times New Roman" w:eastAsia="Times New Roman" w:hAnsi="Times New Roman"/>
                <w:b w:val="false"/>
                <w:bCs w:val="false"/>
                <w:i w:val="false"/>
                <w:iCs w:val="false"/>
                <w:sz w:val="22"/>
                <w:szCs w:val="22"/>
                <w:vertAlign w:val="subscript"/>
              </w:rPr>
              <w:t xml:space="preserve">2</w:t>
            </w:r>
            <w:r>
              <w:rPr>
                <w:rFonts w:ascii="Times New Roman" w:cs="Times New Roman" w:eastAsia="Times New Roman" w:hAnsi="Times New Roman"/>
                <w:b w:val="false"/>
                <w:bCs w:val="false"/>
                <w:i w:val="false"/>
                <w:iCs w:val="false"/>
                <w:sz w:val="22"/>
                <w:szCs w:val="22"/>
              </w:rPr>
              <w:t xml:space="preserve"> «Невинномысского Азота»</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12 тыс. т · (8000 − 2000) руб./т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72,0</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13,1 (100 млн руб., 15 лет)</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58,9</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Вторичное сырьё ЭПП</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30 тыс. т · 2000 руб./т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60,0</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60,0</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Сокращение размещения отходов</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60 тыс. т · 663,2 руб./т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39,8</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39,8</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Итого по потокам</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239,7</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52,6</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187,1</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Платформа</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Вложения 120 млн руб. (7 лет), эксплуатация 30, сделки и аудит 15</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24,6</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−69,6</w:t>
            </w:r>
          </w:p>
        </w:tc>
      </w:tr>
      <w:tr>
        <w:trPr>
          <w:cantSplit/>
          <w:tblHeader w:val="false"/>
        </w:trPr>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Дополнительный эффект ΔE</w:t>
            </w:r>
          </w:p>
        </w:tc>
        <w:tc>
          <w:tcPr>
            <w:tcW w:type="dxa" w:w="333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117,4</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2"/>
          <w:szCs w:val="22"/>
        </w:rPr>
        <w:t xml:space="preserve">Источник: рассчитано автором по формулам (1)–(3) при r = 0,10.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Данные таблицы 1 показывают, что чистый эффект составляет менее половины валовой экономии. Затраты платформы и сделок поглощают 29 % валовой величины. Тепловой поток, которому в обсуждении кластера обычно отводится первое место, даёт наименьший чистый вклад: более половины его экономии уходит на окупаемость теплотрассы. Переход от валовой экономии к дивиденду показан на рисунке 1.</w:t>
      </w:r>
    </w:p>
    <w:p>
      <w:pPr>
        <w:keepNext/>
        <w:jc w:val="center"/>
      </w:pPr>
      <w:r>
        <w:drawing>
          <wp:inline distT="0" distB="0" distL="0" distR="0">
            <wp:extent cx="5143500" cy="2990850"/>
            <wp:effectExtent t="0" r="0" b="0" l="0"/>
            <wp:docPr id="1" name="fig1.svg" descr="fig1.svg" title="fig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143500" cy="2990850"/>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Рисунок 1 – Переход от валовой экономии к дополнительному эффекту и симбиотическому дивиденду в базовом сценарии (рассчитано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На рисунке 1 видно, что в распределительный механизм поступает около 5 % валовой экономии, а остальная часть чистого эффекта остаётся у сторон обмена через цену. Чистая приведённая стоимость проекта за 10 лет при первоначальных вложениях 520 млн руб. составляет 676 млн руб., внутренняя норма доходности — около 36 %. При одновременном переходе всех параметров к худшим значениям нижнего сценария эффект становится отрицательным (−51,8 млн руб.). Вероятностный расчёт методом Монте-Карло (20 000 испытаний, треугольные распределения) показал, что вероятность положительного эффекта превышает 0,96 даже при корреляции параметров 0,8; наибольшее влияние оказывают экономия на логистике вторичного сырья, доступность теплового потока и затраты платформы. Вывод об устойчивости относится только к принятому диапазону параметров</w:t>
      </w:r>
      <w:r>
        <w:rPr>
          <w:rStyle w:val="FootnoteReference"/>
        </w:rPr>
        <w:footnoteReference w:id="2"/>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Симбиотический дивиденд начисляется на подтверждённый положительный эффект:</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r>
          <w:rPr>
            <w:rFonts w:ascii="Cambria Math" w:hAnsi="Cambria Math"/>
            <w:i/>
            <w:sz w:val="24"/>
            <w:szCs w:val="24"/>
          </w:rPr>
          <m:t xml:space="preserve">SD</m:t>
        </m:r>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r>
          <w:rPr>
            <w:rFonts w:ascii="Cambria Math" w:hAnsi="Cambria Math"/>
            <w:i/>
            <w:sz w:val="24"/>
            <w:szCs w:val="24"/>
          </w:rPr>
          <m:t xml:space="preserve">α</m:t>
        </m:r>
        <m:r>
          <m:rPr>
            <m:sty m:val="p"/>
          </m:rPr>
          <w:rPr>
            <w:rFonts w:ascii="Cambria Math" w:hAnsi="Cambria Math"/>
            <w:i w:val="0"/>
            <w:sz w:val="24"/>
            <w:szCs w:val="24"/>
          </w:rPr>
          <m:t xml:space="preserve">·</m:t>
        </m:r>
        <m:r>
          <m:rPr>
            <m:sty m:val="p"/>
          </m:rPr>
          <w:rPr>
            <w:rFonts w:ascii="Cambria Math" w:hAnsi="Cambria Math"/>
            <w:i w:val="0"/>
            <w:sz w:val="24"/>
            <w:szCs w:val="24"/>
          </w:rPr>
          <m:t xml:space="preserve">max</m:t>
        </m:r>
        <m:d>
          <m:dPr>
            <m:begChr m:val="["/>
            <m:endChr m:val="]"/>
          </m:dPr>
          <m:e>
            <m:r>
              <m:rPr>
                <m:sty m:val="p"/>
              </m:rPr>
              <w:rPr>
                <w:rFonts w:ascii="Cambria Math" w:hAnsi="Cambria Math"/>
                <w:i w:val="0"/>
                <w:sz w:val="24"/>
                <w:szCs w:val="24"/>
              </w:rPr>
              <m:t xml:space="preserve">0; </m:t>
            </m:r>
            <m:sSub>
              <m:e>
                <m:r>
                  <w:rPr>
                    <w:rFonts w:ascii="Cambria Math" w:hAnsi="Cambria Math"/>
                    <w:i/>
                    <w:sz w:val="24"/>
                    <w:szCs w:val="24"/>
                  </w:rPr>
                  <m:t xml:space="preserve">ΔE</m:t>
                </m:r>
              </m:e>
              <m:sub>
                <m:r>
                  <m:rPr>
                    <m:sty m:val="p"/>
                  </m:rPr>
                  <w:rPr>
                    <w:rFonts w:ascii="Cambria Math" w:hAnsi="Cambria Math"/>
                    <w:i w:val="0"/>
                    <w:sz w:val="24"/>
                    <w:szCs w:val="24"/>
                  </w:rPr>
                  <m:t xml:space="preserve">подтв</m:t>
                </m:r>
              </m:sub>
            </m:sSub>
            <m:d>
              <m:dPr>
                <m:begChr m:val="("/>
                <m:endChr m:val=")"/>
              </m:dPr>
              <m:e>
                <m:r>
                  <w:rPr>
                    <w:rFonts w:ascii="Cambria Math" w:hAnsi="Cambria Math"/>
                    <w:i/>
                    <w:sz w:val="24"/>
                    <w:szCs w:val="24"/>
                  </w:rPr>
                  <m:t xml:space="preserve">t</m:t>
                </m:r>
              </m:e>
            </m:d>
          </m:e>
        </m:d>
      </m:oMath>
      <w:r>
        <w:rPr>
          <w:rFonts w:ascii="Times New Roman" w:cs="Times New Roman" w:eastAsia="Times New Roman" w:hAnsi="Times New Roman"/>
          <w:sz w:val="24"/>
          <w:szCs w:val="24"/>
        </w:rPr>
        <w:t xml:space="preserve">	(4)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SD(t) — симбиотический дивиденд; α — доля подтверждённого эффекта, направляемая в общий распределительный механизм и фиксируемая соглашением до начала периода (0,08–0,12); ΔE</w:t>
      </w:r>
      <w:r>
        <w:rPr>
          <w:rFonts w:ascii="Times New Roman" w:cs="Times New Roman" w:eastAsia="Times New Roman" w:hAnsi="Times New Roman"/>
          <w:b w:val="false"/>
          <w:bCs w:val="false"/>
          <w:i w:val="false"/>
          <w:iCs w:val="false"/>
          <w:sz w:val="24"/>
          <w:szCs w:val="24"/>
          <w:vertAlign w:val="subscript"/>
        </w:rPr>
        <w:t xml:space="preserve">подтв</w:t>
      </w:r>
      <w:r>
        <w:rPr>
          <w:rFonts w:ascii="Times New Roman" w:cs="Times New Roman" w:eastAsia="Times New Roman" w:hAnsi="Times New Roman"/>
          <w:b w:val="false"/>
          <w:bCs w:val="false"/>
          <w:i w:val="false"/>
          <w:iCs w:val="false"/>
          <w:sz w:val="24"/>
          <w:szCs w:val="24"/>
        </w:rPr>
        <w:t xml:space="preserve"> — эффект (1), подтверждённый независимым аудитом.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При отрицательном эффекте дивиденд не начисляется и не переносится на будущие периоды. В базовом сценарии SD = 11,7 млн руб., при α от 0,08 до 0,12 — от 9,4 до 14,1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Основная часть эффекта распределяется ценой обмена, и цена должна лежать в коридоре взаимной выгоды:</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c</m:t>
            </m:r>
          </m:e>
          <m:sub>
            <m:r>
              <w:rPr>
                <w:rFonts w:ascii="Cambria Math" w:hAnsi="Cambria Math"/>
                <w:i/>
                <w:sz w:val="24"/>
                <w:szCs w:val="24"/>
              </w:rPr>
              <m:t xml:space="preserve">ij</m:t>
            </m:r>
          </m:sub>
        </m:sSub>
        <m:r>
          <m:rPr>
            <m:sty m:val="p"/>
          </m:rPr>
          <w:rPr>
            <w:rFonts w:ascii="Cambria Math" w:hAnsi="Cambria Math"/>
            <w:i w:val="0"/>
            <w:sz w:val="24"/>
            <w:szCs w:val="24"/>
          </w:rPr>
          <m:t xml:space="preserve"> + </m:t>
        </m:r>
        <m:sSub>
          <m:e>
            <m:r>
              <w:rPr>
                <w:rFonts w:ascii="Cambria Math" w:hAnsi="Cambria Math"/>
                <w:i/>
                <w:sz w:val="24"/>
                <w:szCs w:val="24"/>
              </w:rPr>
              <m:t xml:space="preserve">o</m:t>
            </m:r>
          </m:e>
          <m:sub>
            <m:r>
              <w:rPr>
                <w:rFonts w:ascii="Cambria Math" w:hAnsi="Cambria Math"/>
                <w:i/>
                <w:sz w:val="24"/>
                <w:szCs w:val="24"/>
              </w:rPr>
              <m:t xml:space="preserve">i</m:t>
            </m:r>
          </m:sub>
        </m:sSub>
        <m:r>
          <m:rPr>
            <m:sty m:val="p"/>
          </m:rPr>
          <w:rPr>
            <w:rFonts w:ascii="Cambria Math" w:hAnsi="Cambria Math"/>
            <w:i w:val="0"/>
            <w:sz w:val="24"/>
            <w:szCs w:val="24"/>
          </w:rPr>
          <m:t xml:space="preserve"> ≤ </m:t>
        </m:r>
        <m:sSub>
          <m:e>
            <m:r>
              <w:rPr>
                <w:rFonts w:ascii="Cambria Math" w:hAnsi="Cambria Math"/>
                <w:i/>
                <w:sz w:val="24"/>
                <w:szCs w:val="24"/>
              </w:rPr>
              <m:t xml:space="preserve">p</m:t>
            </m:r>
          </m:e>
          <m:sub>
            <m:r>
              <w:rPr>
                <w:rFonts w:ascii="Cambria Math" w:hAnsi="Cambria Math"/>
                <w:i/>
                <w:sz w:val="24"/>
                <w:szCs w:val="24"/>
              </w:rPr>
              <m:t xml:space="preserve">ij</m:t>
            </m:r>
          </m:sub>
        </m:sSub>
        <m:r>
          <m:rPr>
            <m:sty m:val="p"/>
          </m:rPr>
          <w:rPr>
            <w:rFonts w:ascii="Cambria Math" w:hAnsi="Cambria Math"/>
            <w:i w:val="0"/>
            <w:sz w:val="24"/>
            <w:szCs w:val="24"/>
          </w:rPr>
          <m:t xml:space="preserve"> ≤ </m:t>
        </m:r>
        <m:sSub>
          <m:e>
            <m:r>
              <w:rPr>
                <w:rFonts w:ascii="Cambria Math" w:hAnsi="Cambria Math"/>
                <w:i/>
                <w:sz w:val="24"/>
                <w:szCs w:val="24"/>
              </w:rPr>
              <m:t xml:space="preserve">p</m:t>
            </m:r>
          </m:e>
          <m:sub>
            <m:r>
              <m:rPr>
                <m:sty m:val="p"/>
              </m:rPr>
              <w:rPr>
                <w:rFonts w:ascii="Cambria Math" w:hAnsi="Cambria Math"/>
                <w:i w:val="0"/>
                <w:sz w:val="24"/>
                <w:szCs w:val="24"/>
              </w:rPr>
              <m:t xml:space="preserve">альт,</m:t>
            </m:r>
            <m:r>
              <w:rPr>
                <w:rFonts w:ascii="Cambria Math" w:hAnsi="Cambria Math"/>
                <w:i/>
                <w:sz w:val="24"/>
                <w:szCs w:val="24"/>
              </w:rPr>
              <m:t xml:space="preserve">j</m:t>
            </m:r>
          </m:sub>
        </m:sSub>
        <m:r>
          <m:rPr>
            <m:sty m:val="p"/>
          </m:rPr>
          <w:rPr>
            <w:rFonts w:ascii="Cambria Math" w:hAnsi="Cambria Math"/>
            <w:i w:val="0"/>
            <w:sz w:val="24"/>
            <w:szCs w:val="24"/>
          </w:rPr>
          <m:t xml:space="preserve"> − </m:t>
        </m:r>
        <m:sSub>
          <m:e>
            <m:r>
              <w:rPr>
                <w:rFonts w:ascii="Cambria Math" w:hAnsi="Cambria Math"/>
                <w:i/>
                <w:sz w:val="24"/>
                <w:szCs w:val="24"/>
              </w:rPr>
              <m:t xml:space="preserve">c</m:t>
            </m:r>
          </m:e>
          <m:sub>
            <m:r>
              <m:rPr>
                <m:sty m:val="p"/>
              </m:rPr>
              <w:rPr>
                <w:rFonts w:ascii="Cambria Math" w:hAnsi="Cambria Math"/>
                <w:i w:val="0"/>
                <w:sz w:val="24"/>
                <w:szCs w:val="24"/>
              </w:rPr>
              <m:t xml:space="preserve">подг,</m:t>
            </m:r>
            <m:r>
              <w:rPr>
                <w:rFonts w:ascii="Cambria Math" w:hAnsi="Cambria Math"/>
                <w:i/>
                <w:sz w:val="24"/>
                <w:szCs w:val="24"/>
              </w:rPr>
              <m:t xml:space="preserve">j</m:t>
            </m:r>
          </m:sub>
        </m:sSub>
      </m:oMath>
      <w:r>
        <w:rPr>
          <w:rFonts w:ascii="Times New Roman" w:cs="Times New Roman" w:eastAsia="Times New Roman" w:hAnsi="Times New Roman"/>
          <w:sz w:val="24"/>
          <w:szCs w:val="24"/>
        </w:rPr>
        <w:t xml:space="preserve">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c</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дополнительные затраты поставщика i на передачу ресурса потребителю j, включая его долю вложений;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альтернативная стоимость ресурса для поставщика (для сбрасываемых потоков равна нулю);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договорная цена; p</w:t>
      </w:r>
      <w:r>
        <w:rPr>
          <w:rFonts w:ascii="Times New Roman" w:cs="Times New Roman" w:eastAsia="Times New Roman" w:hAnsi="Times New Roman"/>
          <w:b w:val="false"/>
          <w:bCs w:val="false"/>
          <w:i w:val="false"/>
          <w:iCs w:val="false"/>
          <w:sz w:val="24"/>
          <w:szCs w:val="24"/>
          <w:vertAlign w:val="subscript"/>
        </w:rPr>
        <w:t xml:space="preserve">альт,j</w:t>
      </w:r>
      <w:r>
        <w:rPr>
          <w:rFonts w:ascii="Times New Roman" w:cs="Times New Roman" w:eastAsia="Times New Roman" w:hAnsi="Times New Roman"/>
          <w:b w:val="false"/>
          <w:bCs w:val="false"/>
          <w:i w:val="false"/>
          <w:iCs w:val="false"/>
          <w:sz w:val="24"/>
          <w:szCs w:val="24"/>
        </w:rPr>
        <w:t xml:space="preserve"> — стоимость замещаемого ресурса для потребителя; c</w:t>
      </w:r>
      <w:r>
        <w:rPr>
          <w:rFonts w:ascii="Times New Roman" w:cs="Times New Roman" w:eastAsia="Times New Roman" w:hAnsi="Times New Roman"/>
          <w:b w:val="false"/>
          <w:bCs w:val="false"/>
          <w:i w:val="false"/>
          <w:iCs w:val="false"/>
          <w:sz w:val="24"/>
          <w:szCs w:val="24"/>
          <w:vertAlign w:val="subscript"/>
        </w:rPr>
        <w:t xml:space="preserve">подг,j</w:t>
      </w:r>
      <w:r>
        <w:rPr>
          <w:rFonts w:ascii="Times New Roman" w:cs="Times New Roman" w:eastAsia="Times New Roman" w:hAnsi="Times New Roman"/>
          <w:b w:val="false"/>
          <w:bCs w:val="false"/>
          <w:i w:val="false"/>
          <w:iCs w:val="false"/>
          <w:sz w:val="24"/>
          <w:szCs w:val="24"/>
        </w:rPr>
        <w:t xml:space="preserve"> — затраты потребителя на подготовку к приёму ресурса.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При равной переговорной силе решение Нэша помещает цену в середину коридора</w:t>
      </w:r>
      <w:r>
        <w:rPr>
          <w:rStyle w:val="FootnoteReference"/>
        </w:rPr>
        <w:footnoteReference w:id="3"/>
      </w:r>
      <w:r>
        <w:rPr>
          <w:rFonts w:ascii="Times New Roman" w:cs="Times New Roman" w:eastAsia="Times New Roman" w:hAnsi="Times New Roman"/>
          <w:b w:val="false"/>
          <w:bCs w:val="false"/>
          <w:i w:val="false"/>
          <w:iCs w:val="false"/>
          <w:sz w:val="24"/>
          <w:szCs w:val="24"/>
        </w:rPr>
        <w:t xml:space="preserve">. Для ресурсов без рынка ориентиром служат затраты поставщика, при наличии конкурентного рынка — рыночная цена</w:t>
      </w:r>
      <w:r>
        <w:rPr>
          <w:rStyle w:val="FootnoteReference"/>
        </w:rPr>
        <w:footnoteReference w:id="4"/>
      </w:r>
      <w:r>
        <w:rPr>
          <w:rFonts w:ascii="Times New Roman" w:cs="Times New Roman" w:eastAsia="Times New Roman" w:hAnsi="Times New Roman"/>
          <w:b w:val="false"/>
          <w:bCs w:val="false"/>
          <w:i w:val="false"/>
          <w:iCs w:val="false"/>
          <w:sz w:val="24"/>
          <w:szCs w:val="24"/>
        </w:rPr>
        <w:t xml:space="preserve">; для групп взаимозависимых лиц действует принцип «вытянутой руки» </w:t>
      </w: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b w:val="false"/>
          <w:bCs w:val="false"/>
          <w:i w:val="false"/>
          <w:iCs w:val="false"/>
          <w:sz w:val="24"/>
          <w:szCs w:val="24"/>
        </w:rPr>
        <w:t xml:space="preserve">. Коридоры для потоков сценария приведены в таблице 2.</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4"/>
          <w:szCs w:val="24"/>
        </w:rPr>
        <w:t xml:space="preserve">Таблица 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Ценовые коридоры потоков базового сценария</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938"/>
        <w:gridCol w:w="2668"/>
        <w:gridCol w:w="2577"/>
        <w:gridCol w:w="1454"/>
      </w:tblGrid>
      <w:tr>
        <w:trPr>
          <w:cantSplit/>
          <w:tblHeader/>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Поток</w:t>
            </w:r>
          </w:p>
        </w:tc>
        <w:tc>
          <w:tcPr>
            <w:tcW w:type="dxa" w:w="26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Нижняя граница</w:t>
            </w:r>
          </w:p>
        </w:tc>
        <w:tc>
          <w:tcPr>
            <w:tcW w:type="dxa" w:w="25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Верхняя граница</w:t>
            </w:r>
          </w:p>
        </w:tc>
        <w:tc>
          <w:tcPr>
            <w:tcW w:type="dxa" w:w="14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Ширина × объём, млн руб./год</w:t>
            </w:r>
          </w:p>
        </w:tc>
      </w:tr>
      <w:tr>
        <w:trPr>
          <w:cantSplit/>
          <w:tblHeader w:val="false"/>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Тепло, теплотрассу финансирует потребитель</w:t>
            </w:r>
          </w:p>
        </w:tc>
        <w:tc>
          <w:tcPr>
            <w:tcW w:type="dxa" w:w="2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50 руб./Гкал</w:t>
            </w:r>
          </w:p>
        </w:tc>
        <w:tc>
          <w:tcPr>
            <w:tcW w:type="dxa" w:w="25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360 − 180 = 180 руб./Гкал</w:t>
            </w:r>
          </w:p>
        </w:tc>
        <w:tc>
          <w:tcPr>
            <w:tcW w:type="dxa" w:w="14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28,5</w:t>
            </w:r>
          </w:p>
        </w:tc>
      </w:tr>
      <w:tr>
        <w:trPr>
          <w:cantSplit/>
          <w:tblHeader w:val="false"/>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Тепло, теплотрассу финансирует поставщик</w:t>
            </w:r>
          </w:p>
        </w:tc>
        <w:tc>
          <w:tcPr>
            <w:tcW w:type="dxa" w:w="2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50 + 180 = 230 руб./Гкал</w:t>
            </w:r>
          </w:p>
        </w:tc>
        <w:tc>
          <w:tcPr>
            <w:tcW w:type="dxa" w:w="25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360 руб./Гкал</w:t>
            </w:r>
          </w:p>
        </w:tc>
        <w:tc>
          <w:tcPr>
            <w:tcW w:type="dxa" w:w="14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28,5</w:t>
            </w:r>
          </w:p>
        </w:tc>
      </w:tr>
      <w:tr>
        <w:trPr>
          <w:cantSplit/>
          <w:tblHeader w:val="false"/>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w:t>
            </w:r>
            <w:r>
              <w:rPr>
                <w:rFonts w:ascii="Times New Roman" w:cs="Times New Roman" w:eastAsia="Times New Roman" w:hAnsi="Times New Roman"/>
                <w:b w:val="false"/>
                <w:bCs w:val="false"/>
                <w:i w:val="false"/>
                <w:iCs w:val="false"/>
                <w:sz w:val="22"/>
                <w:szCs w:val="22"/>
                <w:vertAlign w:val="subscript"/>
              </w:rPr>
              <w:t xml:space="preserve">2</w:t>
            </w:r>
          </w:p>
        </w:tc>
        <w:tc>
          <w:tcPr>
            <w:tcW w:type="dxa" w:w="2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2000 + 1096 ≈ 3100 руб./т</w:t>
            </w:r>
          </w:p>
        </w:tc>
        <w:tc>
          <w:tcPr>
            <w:tcW w:type="dxa" w:w="25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8000 руб./т</w:t>
            </w:r>
          </w:p>
        </w:tc>
        <w:tc>
          <w:tcPr>
            <w:tcW w:type="dxa" w:w="14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58,9</w:t>
            </w:r>
          </w:p>
        </w:tc>
      </w:tr>
      <w:tr>
        <w:trPr>
          <w:cantSplit/>
          <w:tblHeader w:val="false"/>
        </w:trPr>
        <w:tc>
          <w:tcPr>
            <w:tcW w:type="dxa" w:w="2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Вторичное сырьё</w:t>
            </w:r>
          </w:p>
        </w:tc>
        <w:tc>
          <w:tcPr>
            <w:tcW w:type="dxa" w:w="26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w:t>
            </w:r>
            <w:r>
              <w:rPr>
                <w:rFonts w:ascii="Times New Roman" w:cs="Times New Roman" w:eastAsia="Times New Roman" w:hAnsi="Times New Roman"/>
                <w:b w:val="false"/>
                <w:bCs w:val="false"/>
                <w:i w:val="false"/>
                <w:iCs w:val="false"/>
                <w:sz w:val="22"/>
                <w:szCs w:val="22"/>
                <w:vertAlign w:val="subscript"/>
              </w:rPr>
              <w:t xml:space="preserve">ref</w:t>
            </w:r>
            <w:r>
              <w:rPr>
                <w:rFonts w:ascii="Times New Roman" w:cs="Times New Roman" w:eastAsia="Times New Roman" w:hAnsi="Times New Roman"/>
                <w:b w:val="false"/>
                <w:bCs w:val="false"/>
                <w:i w:val="false"/>
                <w:iCs w:val="false"/>
                <w:sz w:val="22"/>
                <w:szCs w:val="22"/>
              </w:rPr>
              <w:t xml:space="preserve"> − 2000 руб./т</w:t>
            </w:r>
          </w:p>
        </w:tc>
        <w:tc>
          <w:tcPr>
            <w:tcW w:type="dxa" w:w="257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w:t>
            </w:r>
            <w:r>
              <w:rPr>
                <w:rFonts w:ascii="Times New Roman" w:cs="Times New Roman" w:eastAsia="Times New Roman" w:hAnsi="Times New Roman"/>
                <w:b w:val="false"/>
                <w:bCs w:val="false"/>
                <w:i w:val="false"/>
                <w:iCs w:val="false"/>
                <w:sz w:val="22"/>
                <w:szCs w:val="22"/>
                <w:vertAlign w:val="subscript"/>
              </w:rPr>
              <w:t xml:space="preserve">ref</w:t>
            </w:r>
            <w:r>
              <w:rPr>
                <w:rFonts w:ascii="Times New Roman" w:cs="Times New Roman" w:eastAsia="Times New Roman" w:hAnsi="Times New Roman"/>
                <w:b w:val="false"/>
                <w:bCs w:val="false"/>
                <w:i w:val="false"/>
                <w:iCs w:val="false"/>
                <w:sz w:val="22"/>
                <w:szCs w:val="22"/>
              </w:rPr>
              <w:t xml:space="preserve"> (рыночная котировка)</w:t>
            </w:r>
          </w:p>
        </w:tc>
        <w:tc>
          <w:tcPr>
            <w:tcW w:type="dxa" w:w="14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60,0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2"/>
          <w:szCs w:val="22"/>
        </w:rPr>
        <w:t xml:space="preserve">Источник: рассчитано автором по формулам (3) и (5); удельная доля вложений — аннуитет, делённый на годовой объём.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Из таблицы 2 следует, что все коридоры непусты, а ширина коридора по теплу не зависит от того, кто финансирует теплотрассу, но от этого зависит его положение. Цена 200 руб./Гкал, которую нередко рассматривают как ориентир, лежит вне коридора в обоих вариантах и приемлема лишь при разделении вложений. Если же теплотрассу финансирует публичный партнёр, коридор расширяется до 50–360 руб./Гкал. Передача тепла сторонним потребителям подлежит регулированию теплоснабжения </w:t>
      </w: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b w:val="false"/>
          <w:bCs w:val="false"/>
          <w:i w:val="false"/>
          <w:iCs w:val="false"/>
          <w:sz w:val="24"/>
          <w:szCs w:val="24"/>
        </w:rPr>
        <w:t xml:space="preserve">, поэтому статус цены необходимо согласовать с органом тарифного регулирования до проектирования сети. Для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решающим является срок договора: узел подготовки окупается за семь и более лет, и без условия о компенсации при досрочном расторжении поставщик рискует остаться с неокупленным активом, что представляет собой классическую проблему вымогательства при специфических активах</w:t>
      </w:r>
      <w:r>
        <w:rPr>
          <w:rStyle w:val="FootnoteReference"/>
        </w:rPr>
        <w:footnoteReference w:id="5"/>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Дивиденд распределяется между группами получателей при условии полноты:</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nary>
          <m:naryPr>
            <m:chr m:val="∑"/>
            <m:limLoc m:val="undOvr"/>
            <m:supHide m:val="1"/>
          </m:naryPr>
          <m:sub>
            <m:r>
              <w:rPr>
                <w:rFonts w:ascii="Cambria Math" w:hAnsi="Cambria Math"/>
                <w:i/>
                <w:sz w:val="24"/>
                <w:szCs w:val="24"/>
              </w:rPr>
              <m:t xml:space="preserve">h</m:t>
            </m:r>
          </m:sub>
          <m:sup/>
          <m:e>
            <m:sSub>
              <m:e>
                <m:r>
                  <w:rPr>
                    <w:rFonts w:ascii="Cambria Math" w:hAnsi="Cambria Math"/>
                    <w:i/>
                    <w:sz w:val="24"/>
                    <w:szCs w:val="24"/>
                  </w:rPr>
                  <m:t xml:space="preserve">γ</m:t>
                </m:r>
              </m:e>
              <m:sub>
                <m:r>
                  <w:rPr>
                    <w:rFonts w:ascii="Cambria Math" w:hAnsi="Cambria Math"/>
                    <w:i/>
                    <w:sz w:val="24"/>
                    <w:szCs w:val="24"/>
                  </w:rPr>
                  <m:t xml:space="preserve">h</m:t>
                </m:r>
              </m:sub>
            </m:sSub>
          </m:e>
        </m:nary>
        <m:r>
          <m:rPr>
            <m:sty m:val="p"/>
          </m:rPr>
          <w:rPr>
            <w:rFonts w:ascii="Cambria Math" w:hAnsi="Cambria Math"/>
            <w:i w:val="0"/>
            <w:sz w:val="24"/>
            <w:szCs w:val="24"/>
          </w:rPr>
          <m:t xml:space="preserve"> = 1;   </m:t>
        </m:r>
        <m:sSub>
          <m:e>
            <m:r>
              <w:rPr>
                <w:rFonts w:ascii="Cambria Math" w:hAnsi="Cambria Math"/>
                <w:i/>
                <w:sz w:val="24"/>
                <w:szCs w:val="24"/>
              </w:rPr>
              <m:t xml:space="preserve">D</m:t>
            </m:r>
          </m:e>
          <m:sub>
            <m:r>
              <w:rPr>
                <w:rFonts w:ascii="Cambria Math" w:hAnsi="Cambria Math"/>
                <w:i/>
                <w:sz w:val="24"/>
                <w:szCs w:val="24"/>
              </w:rPr>
              <m:t xml:space="preserve">h</m:t>
            </m:r>
          </m:sub>
        </m:sSub>
        <m:d>
          <m:dPr>
            <m:begChr m:val="("/>
            <m:endChr m:val=")"/>
          </m:dPr>
          <m:e>
            <m:r>
              <w:rPr>
                <w:rFonts w:ascii="Cambria Math" w:hAnsi="Cambria Math"/>
                <w:i/>
                <w:sz w:val="24"/>
                <w:szCs w:val="24"/>
              </w:rPr>
              <m:t xml:space="preserve">t</m:t>
            </m:r>
          </m:e>
        </m:d>
        <m:r>
          <m:rPr>
            <m:sty m:val="p"/>
          </m:rPr>
          <w:rPr>
            <w:rFonts w:ascii="Cambria Math" w:hAnsi="Cambria Math"/>
            <w:i w:val="0"/>
            <w:sz w:val="24"/>
            <w:szCs w:val="24"/>
          </w:rPr>
          <m:t xml:space="preserve"> = </m:t>
        </m:r>
        <m:sSub>
          <m:e>
            <m:r>
              <w:rPr>
                <w:rFonts w:ascii="Cambria Math" w:hAnsi="Cambria Math"/>
                <w:i/>
                <w:sz w:val="24"/>
                <w:szCs w:val="24"/>
              </w:rPr>
              <m:t xml:space="preserve">γ</m:t>
            </m:r>
          </m:e>
          <m:sub>
            <m:r>
              <w:rPr>
                <w:rFonts w:ascii="Cambria Math" w:hAnsi="Cambria Math"/>
                <w:i/>
                <w:sz w:val="24"/>
                <w:szCs w:val="24"/>
              </w:rPr>
              <m:t xml:space="preserve">h</m:t>
            </m:r>
          </m:sub>
        </m:sSub>
        <m:r>
          <m:rPr>
            <m:sty m:val="p"/>
          </m:rPr>
          <w:rPr>
            <w:rFonts w:ascii="Cambria Math" w:hAnsi="Cambria Math"/>
            <w:i w:val="0"/>
            <w:sz w:val="24"/>
            <w:szCs w:val="24"/>
          </w:rPr>
          <m:t xml:space="preserve">·</m:t>
        </m:r>
        <m:r>
          <w:rPr>
            <w:rFonts w:ascii="Cambria Math" w:hAnsi="Cambria Math"/>
            <w:i/>
            <w:sz w:val="24"/>
            <w:szCs w:val="24"/>
          </w:rPr>
          <m:t xml:space="preserve">SD</m:t>
        </m:r>
        <m:d>
          <m:dPr>
            <m:begChr m:val="("/>
            <m:endChr m:val=")"/>
          </m:dPr>
          <m:e>
            <m:r>
              <w:rPr>
                <w:rFonts w:ascii="Cambria Math" w:hAnsi="Cambria Math"/>
                <w:i/>
                <w:sz w:val="24"/>
                <w:szCs w:val="24"/>
              </w:rPr>
              <m:t xml:space="preserve">t</m:t>
            </m:r>
          </m:e>
        </m:d>
      </m:oMath>
      <w:r>
        <w:rPr>
          <w:rFonts w:ascii="Times New Roman" w:cs="Times New Roman" w:eastAsia="Times New Roman" w:hAnsi="Times New Roman"/>
          <w:sz w:val="24"/>
          <w:szCs w:val="24"/>
        </w:rPr>
        <w:t xml:space="preserve">	(6)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договорная доля группы получателей h; D</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 начисление группе за период t.</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При долях 0,30 для публичного партнёра, по 0,25 для оператора и резидентов и 0,20 для экологического фонда группы получат 3,5; 2,9; 2,9 и 2,3 млн руб. в год. Проверка вектором Шепли</w:t>
      </w:r>
      <w:r>
        <w:rPr>
          <w:rStyle w:val="FootnoteReference"/>
        </w:rPr>
        <w:footnoteReference w:id="6"/>
      </w:r>
      <w:r>
        <w:rPr>
          <w:rFonts w:ascii="Times New Roman" w:cs="Times New Roman" w:eastAsia="Times New Roman" w:hAnsi="Times New Roman"/>
          <w:b w:val="false"/>
          <w:bCs w:val="false"/>
          <w:i w:val="false"/>
          <w:iCs w:val="false"/>
          <w:sz w:val="24"/>
          <w:szCs w:val="24"/>
        </w:rPr>
        <w:t xml:space="preserve"> для игры пяти участников (ГРЭС, «Азот», ЭПП, резиденты, оператор) дала резидентам наибольшую долю эффекта (31–36 %), а оператору — от 4,5 до 12 % в зависимости от того, какую часть эффекта участники получили бы прямыми обменами без платформы. Экспертные доли, занижающие долю резидентов, следует проверять на соответствие их вкладу.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Абсолютные величины дивиденда определяют его роль. За десять лет публичный партнёр получит около 35 млн руб., тогда как стоимость экопромпарка составляет около 930 млн руб. Оператор, рассчитывающий вернуть из дивиденда вложения 120 млн руб., получил бы отрицательную приведённую стоимость около −106 млн руб. за семь лет. Вложения должны окупаться сервисным платежом участников или бюджетным финансированием, а дивиденд — служить премией за подтверждённый результат. Бюджет к тому же теряет около 40 млн руб. платы за размещение отходов в год; для него обоснование участия лежит в снижении экологической нагрузки и росте налоговой базы резидентов, а не в денежном возврате</w:t>
      </w:r>
      <w:r>
        <w:rPr>
          <w:rStyle w:val="FootnoteReference"/>
        </w:rPr>
        <w:footnoteReference w:id="7"/>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Выводы подхода могут быть опровергнуты. Если обследование предприятий покажет экономию на логистике вторичного сырья ниже 1000 руб./т при доступности тепла ниже 0,3, оценка эффекта должна быть пересмотрена, а вероятность убытка возрастёт. Если вектор Шепли, рассчитанный по фактическим данным, отведёт оператору долю, близкую к нулю, платформа не создаёт стоимости сверх прямых обменов и её затраты не оправданы.</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Выводы и предложения.</w:t>
      </w:r>
      <w:r>
        <w:rPr>
          <w:rFonts w:ascii="Times New Roman" w:cs="Times New Roman" w:eastAsia="Times New Roman" w:hAnsi="Times New Roman"/>
          <w:b w:val="false"/>
          <w:bCs w:val="false"/>
          <w:i w:val="false"/>
          <w:iCs w:val="false"/>
          <w:sz w:val="24"/>
          <w:szCs w:val="24"/>
        </w:rPr>
        <w:t xml:space="preserve"> Предложенный методический подход отделяет созданную обменом стоимость от её перераспределения ценой, вычитает затраты на создание и сопровождение связей и начисляет дивиденд только на подтверждённый положительный эффект. Демонстрационный расчёт для Невинномысска дал валовую экономию 239,7 млн руб. в год при чистом эффекте 117,4 млн руб. и дивиденде 11,7 млн руб.; наиболее капиталоёмким и наименее выгодным оказался тепловой поток. Ценовые коридоры непусты для всех потоков, но условия теплового обмена зависят от распределения вложений в теплотрассу и требуют согласования с тарифным регулятором. Дивиденд не возвращает капитальных вложений ни оператору, ни государству и должен рассматриваться как инструмент стимулов. Перед применением подхода к проектным решениям необходимо заменить допущения сценария данными обследования предприятий.</w:t>
      </w:r>
    </w:p>
    <w:p>
      <w:pPr>
        <w:keepNext/>
        <w:spacing w:after="0" w:before="0" w:line="360" w:lineRule="auto"/>
        <w:ind w:firstLine="0"/>
        <w:jc w:val="center"/>
      </w:pPr>
      <w:r>
        <w:rPr>
          <w:rFonts w:ascii="Times New Roman" w:cs="Times New Roman" w:eastAsia="Times New Roman" w:hAnsi="Times New Roman"/>
          <w:b/>
          <w:bCs/>
          <w:i w:val="false"/>
          <w:iCs w:val="false"/>
          <w:sz w:val="24"/>
          <w:szCs w:val="24"/>
        </w:rPr>
        <w:t xml:space="preserve">Список использованных источников и литературы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 Переработке дадут свет // Российская газета. 2025. 15 апр. URL: rg.ru/2025/04/15/reg-skfo/pererabotke-dadut-svet.html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2. Cisi M., Napoli R. Economic evaluation framework for Industrial Symbiosis through network lenses: a systematic literature review // European Journal of Social Impact and Circular Economy. 2024. Vol. 5, no. 3. P. 1–27. DOI: 10.13135/2704-9906/10926.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3. UNIDO, World Bank Group, GIZ. An International Framework for Eco-Industrial Parks. Version 2.0. Washington, DC: World Bank, 2021.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4. Fadzil F.A., Andiappan V., Ng D.K.S., Ng L.Y., Hamid A. Sharing carbon permits in industrial symbiosis: A game theory-based optimisation model // Journal of Cleaner Production. 2022. Vol. 357. Art. 131820. DOI: 10.1016/j.jclepro.2022.131820.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5. Oqbi M., Al-Mohannadi D.M. An integrated optimization-blockchain framework for transparent and fair eco-industrial park design under carbon constraints // Computers &amp; Chemical Engineering. 2026. Vol. 214. Art. 109786. DOI: 10.1016/j.compchemeng.2026.109786.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6. Mollica M., Fraccascia L., Nastasi A. To cooperate, or not to cooperate, that is the question. Strategic analysis for the implementation of industrial symbiosis // Resources, Conservation and Recycling. 2024. Vol. 211. Art. 107893. DOI: 10.1016/j.resconrec.2024.107893.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7. Блам И.Ю., Ковалев С.Ю. Промышленный симбиоз как инструмент декарбонизации // ЭКО. 2022. № 7. С. 67–79. DOI: 10.30680/ECO0131-7652-2022-7-67-79.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8. Фокина И.И., Герцик Ю.Г. Анализ понятия промышленного симбиоза для создания циркулярной бизнес-модели // Лидерство и менеджмент. 2023. Т. 10, № 4. С. 1175–1192. DOI: 10.18334/lim.10.4.119294.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9. О ставках платы за негативное воздействие на окружающую среду и дополнительных коэффициентах: Постановление Правительства РФ от 13.09.2016 № 913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10. OECD Transfer Pricing Guidelines for Multinational Enterprises and Tax Administrations 2022. Paris: OECD Publishing, 2022. DOI: 10.1787/0e655865-en.</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11. О теплоснабжении: Федеральный закон от 27.07.2010 № 190-ФЗ (ред. действующая).</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Ключевые слова:</w:t>
      </w:r>
      <w:r>
        <w:rPr>
          <w:rFonts w:ascii="Times New Roman" w:cs="Times New Roman" w:eastAsia="Times New Roman" w:hAnsi="Times New Roman"/>
          <w:b w:val="false"/>
          <w:bCs w:val="false"/>
          <w:i w:val="false"/>
          <w:iCs w:val="false"/>
          <w:sz w:val="24"/>
          <w:szCs w:val="24"/>
        </w:rPr>
        <w:t xml:space="preserve"> промышленный симбиоз, дополнительный экономический эффект, симбиотический дивиденд, ценовой коридор, промышленная экосистема, Невинномысск.</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industrial symbiosis, additional economic effect, symbiotic dividend, price corridor, industrial ecosystem, Nevinnomyssk.</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Saltelli A., Ratto M., Andres T., Campolongo F., Cariboni J., Gatelli D., Saisana M., Tarantola S. Global Sensitivity Analysis: The Primer. Chichester: Wiley, 2008.</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Nash J.F. The Bargaining Problem // Econometrica. 1950. Vol. 18, no. 2. P. 155–162.</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Hirshleifer J. On the Economics of Transfer Pricing // The Journal of Business. 1956. Vol. 29, no. 3. P. 172–184.</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Klein B., Crawford R.G., Alchian A.A. Vertical Integration, Appropriable Rents, and the Competitive Contracting Process // The Journal of Law and Economics. 1978. Vol. 21, no. 2. P. 297–326.</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Engel E., Fischer R.D., Galetovic A. The Economics of Public-Private Partnerships: A Basic Guide. Cambridge: Cambridge University Press, 2014.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5876d83b607d6df91415fab6d097e78c8ba7c8.svg"/><Relationship Id="rId9" Type="http://schemas.openxmlformats.org/officeDocument/2006/relationships/image" Target="media/b4fd4b1b8f0f4295275bc5f1b60e080bc70ae8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2026-10-12T20:17:28.587Z</dcterms:created>
  <dcterms:modified xsi:type="dcterms:W3CDTF">2026-10-12T20:17:28.587Z</dcterms:modified>
</cp:coreProperties>
</file>

<file path=docProps/custom.xml><?xml version="1.0" encoding="utf-8"?>
<Properties xmlns="http://schemas.openxmlformats.org/officeDocument/2006/custom-properties" xmlns:vt="http://schemas.openxmlformats.org/officeDocument/2006/docPropsVTypes"/>
</file>