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УДК 338.45:332.1</w:t>
      </w:r>
    </w:p>
    <w:p>
      <w:pPr>
        <w:keepNext w:val="false"/>
        <w:spacing w:after="0" w:before="0" w:line="360" w:lineRule="auto"/>
        <w:ind w:firstLine="0"/>
        <w:jc w:val="left"/>
      </w:pPr>
      <w:r>
        <w:rPr>
          <w:rFonts w:ascii="Times New Roman" w:cs="Times New Roman" w:eastAsia="Times New Roman" w:hAnsi="Times New Roman"/>
          <w:b/>
          <w:bCs/>
          <w:i w:val="false"/>
          <w:iCs w:val="false"/>
          <w:sz w:val="24"/>
          <w:szCs w:val="24"/>
        </w:rPr>
        <w:t xml:space="preserve">Гладков Кирилл Геннадьевич</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аспирант 2 курса направления подготовки Экономика</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ФГАОУ ВО «Северо-Кавказский федеральный университет»</w:t>
      </w:r>
    </w:p>
    <w:p>
      <w:pPr>
        <w:keepNext w:val="false"/>
        <w:spacing w:after="0" w:before="0" w:line="360" w:lineRule="auto"/>
        <w:ind w:firstLine="0"/>
        <w:jc w:val="center"/>
      </w:pPr>
      <w:r>
        <w:rPr>
          <w:rFonts w:ascii="Times New Roman" w:cs="Times New Roman" w:eastAsia="Times New Roman" w:hAnsi="Times New Roman"/>
          <w:b/>
          <w:bCs/>
          <w:i w:val="false"/>
          <w:iCs w:val="false"/>
          <w:sz w:val="24"/>
          <w:szCs w:val="24"/>
        </w:rPr>
        <w:t xml:space="preserve">ДВУХУРОВНЕВАЯ МОДЕЛЬ РАВНОВЕСНОЙ СВЯЗНОСТИ ПРОМЫШЛЕННОЙ ЭКОСИСТЕМЫ С ЯКОРНЫМ ПРЕДПРИЯТИЕМ</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Гладков К.Г. Двухуровневая модель равновесной связности промышленной экосистемы с якорным предприятием.</w:t>
      </w:r>
      <w:r>
        <w:rPr>
          <w:rFonts w:ascii="Times New Roman" w:cs="Times New Roman" w:eastAsia="Times New Roman" w:hAnsi="Times New Roman"/>
          <w:b w:val="false"/>
          <w:bCs w:val="false"/>
          <w:i w:val="false"/>
          <w:iCs w:val="false"/>
          <w:sz w:val="24"/>
          <w:szCs w:val="24"/>
        </w:rPr>
        <w:t xml:space="preserve"> В статье объясняется, почему связность промышленной экосистемы, складывающаяся из индивидуальных решений резидентов, останавливается ниже оптимального уровня. Предложена двухуровневая модель: резидент ТОСЭР решает об участии в обмене с учётом выигрыша в цене, доли симбиотического дивиденда, затрат подключения и предела продаж градообразующей организации, а оператор экоплатформы и публичный партнёр выбирают параметры механизма при ограничении на финансирование ликвидации накопленного ущерба. Равновесная связность определена как наименьшая неподвижная точка отображения ожидаемой связности в фактическую. Показано, что предел продаж якорю в 50 % не совпадает с критической долей зависимости резидента при остановке якоря, и выведено условие, при котором симбиоз не увеличивает выбросы за счёт роста выпуска.</w:t>
      </w:r>
    </w:p>
    <w:p>
      <w:pPr>
        <w:keepNext w:val="false"/>
        <w:spacing w:after="0" w:before="0" w:line="360" w:lineRule="auto"/>
        <w:ind w:firstLine="0"/>
        <w:jc w:val="left"/>
      </w:pPr>
      <w:r>
        <w:rPr>
          <w:rFonts w:ascii="Times New Roman" w:cs="Times New Roman" w:eastAsia="Times New Roman" w:hAnsi="Times New Roman"/>
          <w:b/>
          <w:bCs/>
          <w:i w:val="false"/>
          <w:iCs w:val="false"/>
          <w:sz w:val="24"/>
          <w:szCs w:val="24"/>
        </w:rPr>
        <w:t xml:space="preserve">Gladkov Kirill Gennadievich,</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Second-Year PhD Student in Economics</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North-Caucasus Federal University</w:t>
      </w:r>
    </w:p>
    <w:p>
      <w:pPr>
        <w:keepNext w:val="false"/>
        <w:spacing w:after="0" w:before="0" w:line="360" w:lineRule="auto"/>
        <w:ind w:firstLine="0"/>
        <w:jc w:val="center"/>
      </w:pPr>
      <w:r>
        <w:rPr>
          <w:rFonts w:ascii="Times New Roman" w:cs="Times New Roman" w:eastAsia="Times New Roman" w:hAnsi="Times New Roman"/>
          <w:b/>
          <w:bCs/>
          <w:i w:val="false"/>
          <w:iCs w:val="false"/>
          <w:sz w:val="24"/>
          <w:szCs w:val="24"/>
        </w:rPr>
        <w:t xml:space="preserve">A BILEVEL MODEL OF EQUILIBRIUM CONNECTIVITY IN AN INDUSTRIAL ECOSYSTEM WITH AN ANCHOR ENTERPRISE</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Gladkov K.G. A Bilevel Model of Equilibrium Connectivity in an Industrial Ecosystem with an Anchor Enterprise.</w:t>
      </w:r>
      <w:r>
        <w:rPr>
          <w:rFonts w:ascii="Times New Roman" w:cs="Times New Roman" w:eastAsia="Times New Roman" w:hAnsi="Times New Roman"/>
          <w:b w:val="false"/>
          <w:bCs w:val="false"/>
          <w:i w:val="false"/>
          <w:iCs w:val="false"/>
          <w:sz w:val="24"/>
          <w:szCs w:val="24"/>
        </w:rPr>
        <w:t xml:space="preserve"> The article explains why the connectivity of an industrial ecosystem formed by individual decisions of residents stops below the optimal level. A bilevel model is proposed: a resident of an advanced development territory decides whether to join an exchange given the price gain, the share of the symbiotic dividend, connection costs and the limit on sales to the town-forming enterprise, while the eco-platform operator and the public partner choose the mechanism parameters subject to a constraint on funding environmental remediation. Equilibrium connectivity is defined as the least fixed point of the mapping from expected to actual connectivity. The 50 % limit on sales to the anchor is shown not to coincide with the critical dependence share during an anchor shutdown, and a condition under which symbiosis does not raise emissions through output expansion is derived.</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Постановка проблемы.</w:t>
      </w:r>
      <w:r>
        <w:rPr>
          <w:rFonts w:ascii="Times New Roman" w:cs="Times New Roman" w:eastAsia="Times New Roman" w:hAnsi="Times New Roman"/>
          <w:b w:val="false"/>
          <w:bCs w:val="false"/>
          <w:i w:val="false"/>
          <w:iCs w:val="false"/>
          <w:sz w:val="24"/>
          <w:szCs w:val="24"/>
        </w:rPr>
        <w:t xml:space="preserve"> Экономически оптимальная связность промышленной сети описывает ту сеть, которую построил бы планировщик, распоряжающийся решениями всех участников. В промышленном комплексе Невинномысска такого планировщика нет. Резидент ТОСЭР, а их к апрелю 2026 г. насчитывалось 52 </w:t>
      </w: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b w:val="false"/>
          <w:bCs w:val="false"/>
          <w:i w:val="false"/>
          <w:iCs w:val="false"/>
          <w:sz w:val="24"/>
          <w:szCs w:val="24"/>
        </w:rPr>
        <w:t xml:space="preserve">, подключается к обмену побочными ресурсами, когда это выгодно ему самому, а выгода зависит от того, сколько участников уже подключилось и какую часть общего эффекта получит он. Фактическая связность складывается из индивидуальных решений и может остановиться ниже оптимальной. Назовём её равновесной связностью и обозначим C</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оставив обозначение C</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за оптимальной.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Специфика Невинномысска добавляет к этой задаче три обстоятельства. Большая часть потенциальных потоков зависит от одного якорного предприятия — АО «Невинномысский Азот». Город относится к моногородам, и режим ТОСЭР ограничивает продажи резидента градообразующей организации. Наконец, расчёты предыдущего этапа исследования показали, что доля симбиотического дивиденда, поступающая публичному получателю (3,6–3,9 млн руб. в год), не покрывает оценочной годовой потребности в ликвидации накопленного экологического ущерба (15,5 млн руб.).</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Анализ последних исследований и публикаций.</w:t>
      </w:r>
      <w:r>
        <w:rPr>
          <w:rFonts w:ascii="Times New Roman" w:cs="Times New Roman" w:eastAsia="Times New Roman" w:hAnsi="Times New Roman"/>
          <w:b w:val="false"/>
          <w:bCs w:val="false"/>
          <w:i w:val="false"/>
          <w:iCs w:val="false"/>
          <w:sz w:val="24"/>
          <w:szCs w:val="24"/>
        </w:rPr>
        <w:t xml:space="preserve"> Иерархическая постановка «администрация парка — предприятия» в литературе по эко-индустриальным паркам развита достаточно подробно. Г. Даш и соавторы построили двухуровневую модель сети лесопромышленного симбиоза, в которой администрация минимизирует расход первичного сырья, а заводы — собственные затраты </w:t>
      </w: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b w:val="false"/>
          <w:bCs w:val="false"/>
          <w:i w:val="false"/>
          <w:iCs w:val="false"/>
          <w:sz w:val="24"/>
          <w:szCs w:val="24"/>
        </w:rPr>
        <w:t xml:space="preserve">. В стохастическом варианте той же модели колебания спроса ухудшили экологическую цель администрации и одновременно увеличили прибыль компаний, подталкивая их к росту выпуска </w:t>
      </w: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b w:val="false"/>
          <w:bCs w:val="false"/>
          <w:i w:val="false"/>
          <w:iCs w:val="false"/>
          <w:sz w:val="24"/>
          <w:szCs w:val="24"/>
        </w:rPr>
        <w:t xml:space="preserve">. Х. Чин и соавторы соединили кооперативную игру с анализом равновесной ставки налога и распределили между заводами субсидии на водный симбиоз </w:t>
      </w: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b w:val="false"/>
          <w:bCs w:val="false"/>
          <w:i w:val="false"/>
          <w:iCs w:val="false"/>
          <w:sz w:val="24"/>
          <w:szCs w:val="24"/>
        </w:rPr>
        <w:t xml:space="preserve">. М. Моллика, Л. Фраккашия и А. Настази на агентной модели онлайн-платформы симбиоза установили, что при укреплении доверия к платформе подписчиков удаётся привлекать умеренной платой </w:t>
      </w: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Риск остановки ключевого участника учитывается главным образом в работах о межзаводской теплоинтеграции. И. Тянь и Ш. Ли встроили ограничения ядра на основе значения Оуэна в модель сети теплообменников, обеспечив каждому заводу приемлемую выгоду при вероятности внеплановой остановки от 0 до 100 % </w:t>
      </w: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b w:val="false"/>
          <w:bCs w:val="false"/>
          <w:i w:val="false"/>
          <w:iCs w:val="false"/>
          <w:sz w:val="24"/>
          <w:szCs w:val="24"/>
        </w:rPr>
        <w:t xml:space="preserve">; риск-скорректированный вектор Шепли для распределения затрат предложили Ю. Цзинь и соавторы</w:t>
      </w:r>
      <w:r>
        <w:rPr>
          <w:rStyle w:val="FootnoteReference"/>
        </w:rPr>
        <w:footnoteReference w:id="1"/>
      </w:r>
      <w:r>
        <w:rPr>
          <w:rFonts w:ascii="Times New Roman" w:cs="Times New Roman" w:eastAsia="Times New Roman" w:hAnsi="Times New Roman"/>
          <w:b w:val="false"/>
          <w:bCs w:val="false"/>
          <w:i w:val="false"/>
          <w:iCs w:val="false"/>
          <w:sz w:val="24"/>
          <w:szCs w:val="24"/>
        </w:rPr>
        <w:t xml:space="preserve">. Сравнение 35 сетей симбиоза разных стран показало, что связность и централизация, повышающие эффективность, одновременно сужают область устойчивости сети к каскадным отказам </w:t>
      </w: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Цель исследования</w:t>
      </w:r>
      <w:r>
        <w:rPr>
          <w:rFonts w:ascii="Times New Roman" w:cs="Times New Roman" w:eastAsia="Times New Roman" w:hAnsi="Times New Roman"/>
          <w:b w:val="false"/>
          <w:bCs w:val="false"/>
          <w:i w:val="false"/>
          <w:iCs w:val="false"/>
          <w:sz w:val="24"/>
          <w:szCs w:val="24"/>
        </w:rPr>
        <w:t xml:space="preserve"> — построить двухуровневую модель формирования равновесной связности промышленной экосистемы с якорным предприятием, учитывающую норму режима ТОСЭР в моногороде, риск остановки якоря и бюджетное ограничение публичного партнёра, и вывести из неё проверяемые следствия.</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Изложение основного материала.</w:t>
      </w:r>
      <w:r>
        <w:rPr>
          <w:rFonts w:ascii="Times New Roman" w:cs="Times New Roman" w:eastAsia="Times New Roman" w:hAnsi="Times New Roman"/>
          <w:b w:val="false"/>
          <w:bCs w:val="false"/>
          <w:i w:val="false"/>
          <w:iCs w:val="false"/>
          <w:sz w:val="24"/>
          <w:szCs w:val="24"/>
        </w:rPr>
        <w:t xml:space="preserve"> На нижнем уровне модели резидент j сравнивает выигрыш от участия с нулём. Выигрыш включает экономию в цене обмена, долю дивиденда и затраты подключения, часть которых может компенсировать публичный партнёр:</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U</m:t>
            </m:r>
          </m:e>
          <m:sub>
            <m:r>
              <w:rPr>
                <w:rFonts w:ascii="Cambria Math" w:hAnsi="Cambria Math"/>
                <w:i/>
                <w:sz w:val="24"/>
                <w:szCs w:val="24"/>
              </w:rPr>
              <m:t xml:space="preserve">j</m:t>
            </m:r>
          </m:sub>
        </m:sSub>
        <m:d>
          <m:dPr>
            <m:begChr m:val="("/>
            <m:endChr m:val=")"/>
          </m:dPr>
          <m:e>
            <m:r>
              <w:rPr>
                <w:rFonts w:ascii="Cambria Math" w:hAnsi="Cambria Math"/>
                <w:i/>
                <w:sz w:val="24"/>
                <w:szCs w:val="24"/>
              </w:rPr>
              <m:t xml:space="preserve">C</m:t>
            </m:r>
            <m:r>
              <m:rPr>
                <m:sty m:val="p"/>
              </m:rPr>
              <w:rPr>
                <w:rFonts w:ascii="Cambria Math" w:hAnsi="Cambria Math"/>
                <w:i w:val="0"/>
                <w:sz w:val="24"/>
                <w:szCs w:val="24"/>
              </w:rPr>
              <m:t xml:space="preserve">; </m:t>
            </m:r>
            <m:r>
              <w:rPr>
                <w:rFonts w:ascii="Cambria Math" w:hAnsi="Cambria Math"/>
                <w:i/>
                <w:sz w:val="24"/>
                <w:szCs w:val="24"/>
              </w:rPr>
              <m:t xml:space="preserve">θ</m:t>
            </m:r>
          </m:e>
        </m:d>
        <m:r>
          <m:rPr>
            <m:sty m:val="p"/>
          </m:rPr>
          <w:rPr>
            <w:rFonts w:ascii="Cambria Math" w:hAnsi="Cambria Math"/>
            <w:i w:val="0"/>
            <w:sz w:val="24"/>
            <w:szCs w:val="24"/>
          </w:rPr>
          <m:t xml:space="preserve"> = </m:t>
        </m:r>
        <m:sSub>
          <m:e>
            <m:r>
              <w:rPr>
                <w:rFonts w:ascii="Cambria Math" w:hAnsi="Cambria Math"/>
                <w:i/>
                <w:sz w:val="24"/>
                <w:szCs w:val="24"/>
              </w:rPr>
              <m:t xml:space="preserve">g</m:t>
            </m:r>
          </m:e>
          <m:sub>
            <m:r>
              <w:rPr>
                <w:rFonts w:ascii="Cambria Math" w:hAnsi="Cambria Math"/>
                <w:i/>
                <w:sz w:val="24"/>
                <w:szCs w:val="24"/>
              </w:rPr>
              <m:t xml:space="preserve">j</m:t>
            </m:r>
          </m:sub>
        </m:sSub>
        <m:d>
          <m:dPr>
            <m:begChr m:val="("/>
            <m:endChr m:val=")"/>
          </m:dPr>
          <m:e>
            <m:r>
              <w:rPr>
                <w:rFonts w:ascii="Cambria Math" w:hAnsi="Cambria Math"/>
                <w:i/>
                <w:sz w:val="24"/>
                <w:szCs w:val="24"/>
              </w:rPr>
              <m:t xml:space="preserve">C</m:t>
            </m:r>
          </m:e>
        </m:d>
        <m:r>
          <m:rPr>
            <m:sty m:val="p"/>
          </m:rPr>
          <w:rPr>
            <w:rFonts w:ascii="Cambria Math" w:hAnsi="Cambria Math"/>
            <w:i w:val="0"/>
            <w:sz w:val="24"/>
            <w:szCs w:val="24"/>
          </w:rPr>
          <m:t xml:space="preserve"> + </m:t>
        </m:r>
        <m:sSub>
          <m:e>
            <m:r>
              <w:rPr>
                <w:rFonts w:ascii="Cambria Math" w:hAnsi="Cambria Math"/>
                <w:i/>
                <w:sz w:val="24"/>
                <w:szCs w:val="24"/>
              </w:rPr>
              <m:t xml:space="preserve">w</m:t>
            </m:r>
          </m:e>
          <m:sub>
            <m:r>
              <w:rPr>
                <w:rFonts w:ascii="Cambria Math" w:hAnsi="Cambria Math"/>
                <w:i/>
                <w:sz w:val="24"/>
                <w:szCs w:val="24"/>
              </w:rPr>
              <m:t xml:space="preserve">j</m:t>
            </m:r>
          </m:sub>
        </m:sSub>
        <m:r>
          <m:rPr>
            <m:sty m:val="p"/>
          </m:rPr>
          <w:rPr>
            <w:rFonts w:ascii="Cambria Math" w:hAnsi="Cambria Math"/>
            <w:i w:val="0"/>
            <w:sz w:val="24"/>
            <w:szCs w:val="24"/>
          </w:rPr>
          <m:t xml:space="preserve">·</m:t>
        </m:r>
        <m:sSub>
          <m:e>
            <m:r>
              <w:rPr>
                <w:rFonts w:ascii="Cambria Math" w:hAnsi="Cambria Math"/>
                <w:i/>
                <w:sz w:val="24"/>
                <w:szCs w:val="24"/>
              </w:rPr>
              <m:t xml:space="preserve">γ</m:t>
            </m:r>
          </m:e>
          <m:sub>
            <m:r>
              <m:rPr>
                <m:sty m:val="p"/>
              </m:rPr>
              <w:rPr>
                <w:rFonts w:ascii="Cambria Math" w:hAnsi="Cambria Math"/>
                <w:i w:val="0"/>
                <w:sz w:val="24"/>
                <w:szCs w:val="24"/>
              </w:rPr>
              <m:t xml:space="preserve">рез</m:t>
            </m:r>
          </m:sub>
        </m:sSub>
        <m:r>
          <m:rPr>
            <m:sty m:val="p"/>
          </m:rPr>
          <w:rPr>
            <w:rFonts w:ascii="Cambria Math" w:hAnsi="Cambria Math"/>
            <w:i w:val="0"/>
            <w:sz w:val="24"/>
            <w:szCs w:val="24"/>
          </w:rPr>
          <m:t xml:space="preserve">·</m:t>
        </m:r>
        <m:r>
          <w:rPr>
            <w:rFonts w:ascii="Cambria Math" w:hAnsi="Cambria Math"/>
            <w:i/>
            <w:sz w:val="24"/>
            <w:szCs w:val="24"/>
          </w:rPr>
          <m:t xml:space="preserve">SD</m:t>
        </m:r>
        <m:d>
          <m:dPr>
            <m:begChr m:val="("/>
            <m:endChr m:val=")"/>
          </m:dPr>
          <m:e>
            <m:r>
              <w:rPr>
                <w:rFonts w:ascii="Cambria Math" w:hAnsi="Cambria Math"/>
                <w:i/>
                <w:sz w:val="24"/>
                <w:szCs w:val="24"/>
              </w:rPr>
              <m:t xml:space="preserve">C</m:t>
            </m:r>
          </m:e>
        </m:d>
        <m:r>
          <m:rPr>
            <m:sty m:val="p"/>
          </m:rPr>
          <w:rPr>
            <w:rFonts w:ascii="Cambria Math" w:hAnsi="Cambria Math"/>
            <w:i w:val="0"/>
            <w:sz w:val="24"/>
            <w:szCs w:val="24"/>
          </w:rPr>
          <m:t xml:space="preserve"> − </m:t>
        </m:r>
        <m:d>
          <m:dPr>
            <m:begChr m:val="("/>
            <m:endChr m:val=")"/>
          </m:dPr>
          <m:e>
            <m:r>
              <m:rPr>
                <m:sty m:val="p"/>
              </m:rPr>
              <w:rPr>
                <w:rFonts w:ascii="Cambria Math" w:hAnsi="Cambria Math"/>
                <w:i w:val="0"/>
                <w:sz w:val="24"/>
                <w:szCs w:val="24"/>
              </w:rPr>
              <m:t xml:space="preserve">1 − </m:t>
            </m:r>
            <m:r>
              <w:rPr>
                <w:rFonts w:ascii="Cambria Math" w:hAnsi="Cambria Math"/>
                <w:i/>
                <w:sz w:val="24"/>
                <w:szCs w:val="24"/>
              </w:rPr>
              <m:t xml:space="preserve">σ</m:t>
            </m:r>
          </m:e>
        </m:d>
        <m:r>
          <m:rPr>
            <m:sty m:val="p"/>
          </m:rPr>
          <w:rPr>
            <w:rFonts w:ascii="Cambria Math" w:hAnsi="Cambria Math"/>
            <w:i w:val="0"/>
            <w:sz w:val="24"/>
            <w:szCs w:val="24"/>
          </w:rPr>
          <m:t xml:space="preserve">·</m:t>
        </m:r>
        <m:sSub>
          <m:e>
            <m:r>
              <w:rPr>
                <w:rFonts w:ascii="Cambria Math" w:hAnsi="Cambria Math"/>
                <w:i/>
                <w:sz w:val="24"/>
                <w:szCs w:val="24"/>
              </w:rPr>
              <m:t xml:space="preserve">c</m:t>
            </m:r>
          </m:e>
          <m:sub>
            <m:r>
              <w:rPr>
                <w:rFonts w:ascii="Cambria Math" w:hAnsi="Cambria Math"/>
                <w:i/>
                <w:sz w:val="24"/>
                <w:szCs w:val="24"/>
              </w:rPr>
              <m:t xml:space="preserve">j</m:t>
            </m:r>
          </m:sub>
        </m:sSub>
        <m:r>
          <m:rPr>
            <m:sty m:val="p"/>
          </m:rPr>
          <w:rPr>
            <w:rFonts w:ascii="Cambria Math" w:hAnsi="Cambria Math"/>
            <w:i w:val="0"/>
            <w:sz w:val="24"/>
            <w:szCs w:val="24"/>
          </w:rPr>
          <m:t xml:space="preserve"> ≥ 0</m:t>
        </m:r>
      </m:oMath>
      <w:r>
        <w:rPr>
          <w:rFonts w:ascii="Times New Roman" w:cs="Times New Roman" w:eastAsia="Times New Roman" w:hAnsi="Times New Roman"/>
          <w:sz w:val="24"/>
          <w:szCs w:val="24"/>
        </w:rPr>
        <w:t xml:space="preserve">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U</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чистый годовой выигрыш резидента j при связности C и параметрах механизма θ, млн руб.; g</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(C) — выигрыш резидента в цене обмена внутри коридора взаимной выгоды; w</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вес резидента в группе, равный отношению его подтверждённого эффекта к эффекту группы; γ</w:t>
      </w:r>
      <w:r>
        <w:rPr>
          <w:rFonts w:ascii="Times New Roman" w:cs="Times New Roman" w:eastAsia="Times New Roman" w:hAnsi="Times New Roman"/>
          <w:b w:val="false"/>
          <w:bCs w:val="false"/>
          <w:i w:val="false"/>
          <w:iCs w:val="false"/>
          <w:sz w:val="24"/>
          <w:szCs w:val="24"/>
          <w:vertAlign w:val="subscript"/>
        </w:rPr>
        <w:t xml:space="preserve">рез</w:t>
      </w:r>
      <w:r>
        <w:rPr>
          <w:rFonts w:ascii="Times New Roman" w:cs="Times New Roman" w:eastAsia="Times New Roman" w:hAnsi="Times New Roman"/>
          <w:b w:val="false"/>
          <w:bCs w:val="false"/>
          <w:i w:val="false"/>
          <w:iCs w:val="false"/>
          <w:sz w:val="24"/>
          <w:szCs w:val="24"/>
        </w:rPr>
        <w:t xml:space="preserve"> — доля группы резидентов в дивиденде; SD(C) — симбиотический дивиденд, растущий со связностью; σ — доля затрат подключения, компенсируемая публичным партнёром, 0 ≤ σ ≤ 1; c</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годовые затраты подключения (приборы учёта, согласование, раскрытие данных о потоках).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Связность входит в (1) дважды, через цену и через дивиденд, поэтому решение каждого резидента зависит от решений остальных. Второе условие участия задаёт режим ТОСЭР. Инвестиционный проект резидента в моногороде не может предусматривать договоры с градообразующей организацией и её дочерними обществами, выручка по которым превышает 50 % всей выручки от реализации проекта </w:t>
      </w: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b w:val="false"/>
          <w:bCs w:val="false"/>
          <w:i w:val="false"/>
          <w:iCs w:val="false"/>
          <w:sz w:val="24"/>
          <w:szCs w:val="24"/>
        </w:rPr>
        <w:t xml:space="preserve">. Долю считают от выручки по проекту, и касается она только продаж градообразующей организации, но не закупок у неё:</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λ</m:t>
            </m:r>
          </m:e>
          <m:sub>
            <m:r>
              <w:rPr>
                <w:rFonts w:ascii="Cambria Math" w:hAnsi="Cambria Math"/>
                <w:i/>
                <w:sz w:val="24"/>
                <w:szCs w:val="24"/>
              </w:rPr>
              <m:t xml:space="preserve">j</m:t>
            </m:r>
          </m:sub>
        </m:sSub>
        <m:r>
          <m:rPr>
            <m:sty m:val="p"/>
          </m:rPr>
          <w:rPr>
            <w:rFonts w:ascii="Cambria Math" w:hAnsi="Cambria Math"/>
            <w:i w:val="0"/>
            <w:sz w:val="24"/>
            <w:szCs w:val="24"/>
          </w:rPr>
          <m:t xml:space="preserve"> = </m:t>
        </m:r>
        <m:f>
          <m:num>
            <m:sSubSup>
              <m:e>
                <m:r>
                  <w:rPr>
                    <w:rFonts w:ascii="Cambria Math" w:hAnsi="Cambria Math"/>
                    <w:i/>
                    <w:sz w:val="24"/>
                    <w:szCs w:val="24"/>
                  </w:rPr>
                  <m:t xml:space="preserve">R</m:t>
                </m:r>
              </m:e>
              <m:sub>
                <m:r>
                  <w:rPr>
                    <w:rFonts w:ascii="Cambria Math" w:hAnsi="Cambria Math"/>
                    <w:i/>
                    <w:sz w:val="24"/>
                    <w:szCs w:val="24"/>
                  </w:rPr>
                  <m:t xml:space="preserve">j</m:t>
                </m:r>
                <m:r>
                  <m:rPr>
                    <m:sty m:val="p"/>
                  </m:rPr>
                  <w:rPr>
                    <w:rFonts w:ascii="Cambria Math" w:hAnsi="Cambria Math"/>
                    <w:i w:val="0"/>
                    <w:sz w:val="24"/>
                    <w:szCs w:val="24"/>
                  </w:rPr>
                  <m:t xml:space="preserve">,</m:t>
                </m:r>
                <m:r>
                  <w:rPr>
                    <w:rFonts w:ascii="Cambria Math" w:hAnsi="Cambria Math"/>
                    <w:i/>
                    <w:sz w:val="24"/>
                    <w:szCs w:val="24"/>
                  </w:rPr>
                  <m:t xml:space="preserve">A</m:t>
                </m:r>
              </m:sub>
              <m:sup>
                <m:r>
                  <m:rPr>
                    <m:sty m:val="p"/>
                  </m:rPr>
                  <w:rPr>
                    <w:rFonts w:ascii="Cambria Math" w:hAnsi="Cambria Math"/>
                    <w:i w:val="0"/>
                    <w:sz w:val="24"/>
                    <w:szCs w:val="24"/>
                  </w:rPr>
                  <m:t xml:space="preserve">пр</m:t>
                </m:r>
              </m:sup>
            </m:sSubSup>
          </m:num>
          <m:den>
            <m:sSubSup>
              <m:e>
                <m:r>
                  <w:rPr>
                    <w:rFonts w:ascii="Cambria Math" w:hAnsi="Cambria Math"/>
                    <w:i/>
                    <w:sz w:val="24"/>
                    <w:szCs w:val="24"/>
                  </w:rPr>
                  <m:t xml:space="preserve">R</m:t>
                </m:r>
              </m:e>
              <m:sub>
                <m:r>
                  <w:rPr>
                    <w:rFonts w:ascii="Cambria Math" w:hAnsi="Cambria Math"/>
                    <w:i/>
                    <w:sz w:val="24"/>
                    <w:szCs w:val="24"/>
                  </w:rPr>
                  <m:t xml:space="preserve">j</m:t>
                </m:r>
              </m:sub>
              <m:sup>
                <m:r>
                  <m:rPr>
                    <m:sty m:val="p"/>
                  </m:rPr>
                  <w:rPr>
                    <w:rFonts w:ascii="Cambria Math" w:hAnsi="Cambria Math"/>
                    <w:i w:val="0"/>
                    <w:sz w:val="24"/>
                    <w:szCs w:val="24"/>
                  </w:rPr>
                  <m:t xml:space="preserve">пр</m:t>
                </m:r>
              </m:sup>
            </m:sSubSup>
          </m:den>
        </m:f>
        <m:r>
          <m:rPr>
            <m:sty m:val="p"/>
          </m:rPr>
          <w:rPr>
            <w:rFonts w:ascii="Cambria Math" w:hAnsi="Cambria Math"/>
            <w:i w:val="0"/>
            <w:sz w:val="24"/>
            <w:szCs w:val="24"/>
          </w:rPr>
          <m:t xml:space="preserve"> ≤ </m:t>
        </m:r>
        <m:acc>
          <m:accPr>
            <m:chr m:val="̄"/>
          </m:accPr>
          <m:e>
            <m:r>
              <w:rPr>
                <w:rFonts w:ascii="Cambria Math" w:hAnsi="Cambria Math"/>
                <w:i/>
                <w:sz w:val="24"/>
                <w:szCs w:val="24"/>
              </w:rPr>
              <m:t xml:space="preserve">λ</m:t>
            </m:r>
          </m:e>
        </m:acc>
        <m:r>
          <m:rPr>
            <m:sty m:val="p"/>
          </m:rPr>
          <w:rPr>
            <w:rFonts w:ascii="Cambria Math" w:hAnsi="Cambria Math"/>
            <w:i w:val="0"/>
            <w:sz w:val="24"/>
            <w:szCs w:val="24"/>
          </w:rPr>
          <m:t xml:space="preserve"> = 0,5</m:t>
        </m:r>
      </m:oMath>
      <w:r>
        <w:rPr>
          <w:rFonts w:ascii="Times New Roman" w:cs="Times New Roman" w:eastAsia="Times New Roman" w:hAnsi="Times New Roman"/>
          <w:sz w:val="24"/>
          <w:szCs w:val="24"/>
        </w:rPr>
        <w:t xml:space="preserve">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λ</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доля продаж резидента якорному предприятию и его дочерним обществам; R</w:t>
      </w:r>
      <w:r>
        <w:rPr>
          <w:rFonts w:ascii="Times New Roman" w:cs="Times New Roman" w:eastAsia="Times New Roman" w:hAnsi="Times New Roman"/>
          <w:b w:val="false"/>
          <w:bCs w:val="false"/>
          <w:i w:val="false"/>
          <w:iCs w:val="false"/>
          <w:sz w:val="24"/>
          <w:szCs w:val="24"/>
          <w:vertAlign w:val="subscript"/>
        </w:rPr>
        <w:t xml:space="preserve">j,A</w:t>
      </w:r>
      <w:r>
        <w:rPr>
          <w:rFonts w:ascii="Times New Roman" w:cs="Times New Roman" w:eastAsia="Times New Roman" w:hAnsi="Times New Roman"/>
          <w:b w:val="false"/>
          <w:bCs w:val="false"/>
          <w:i w:val="false"/>
          <w:iCs w:val="false"/>
          <w:sz w:val="24"/>
          <w:szCs w:val="24"/>
          <w:vertAlign w:val="superscript"/>
        </w:rPr>
        <w:t xml:space="preserve">пр</w:t>
      </w:r>
      <w:r>
        <w:rPr>
          <w:rFonts w:ascii="Times New Roman" w:cs="Times New Roman" w:eastAsia="Times New Roman" w:hAnsi="Times New Roman"/>
          <w:b w:val="false"/>
          <w:bCs w:val="false"/>
          <w:i w:val="false"/>
          <w:iCs w:val="false"/>
          <w:sz w:val="24"/>
          <w:szCs w:val="24"/>
        </w:rPr>
        <w:t xml:space="preserve"> — выручка резидента от таких продаж по инвестиционному проекту, млн руб.; R</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vertAlign w:val="superscript"/>
        </w:rPr>
        <w:t xml:space="preserve">пр</w:t>
      </w:r>
      <w:r>
        <w:rPr>
          <w:rFonts w:ascii="Times New Roman" w:cs="Times New Roman" w:eastAsia="Times New Roman" w:hAnsi="Times New Roman"/>
          <w:b w:val="false"/>
          <w:bCs w:val="false"/>
          <w:i w:val="false"/>
          <w:iCs w:val="false"/>
          <w:sz w:val="24"/>
          <w:szCs w:val="24"/>
        </w:rPr>
        <w:t xml:space="preserve"> — вся выручка резидента от реализации проекта, млн руб.; λ̄ — нормативный предел.</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Асимметрия нормы делит потоки экосистемы на два класса. Резидент, получающий от «Азота»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или низкопотенциальное тепло, ограничением (2) не затронут. Резидент, продающий якорю услуги или сырьё, упирается в предел 50 %. Для экоплатформы отсюда следует правило: обмен, в котором якорь выступает покупателем, проектируется сразу со вторым покупателем той же продукции.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Условия (1) и (2) задают отображение, переводящее ожидаемую связность в фактическую:</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r>
          <w:rPr>
            <w:rFonts w:ascii="Cambria Math" w:hAnsi="Cambria Math"/>
            <w:i/>
            <w:sz w:val="24"/>
            <w:szCs w:val="24"/>
          </w:rPr>
          <m:t xml:space="preserve">Γ</m:t>
        </m:r>
        <m:d>
          <m:dPr>
            <m:begChr m:val="("/>
            <m:endChr m:val=")"/>
          </m:dPr>
          <m:e>
            <m:r>
              <w:rPr>
                <w:rFonts w:ascii="Cambria Math" w:hAnsi="Cambria Math"/>
                <w:i/>
                <w:sz w:val="24"/>
                <w:szCs w:val="24"/>
              </w:rPr>
              <m:t xml:space="preserve">C</m:t>
            </m:r>
            <m:r>
              <m:rPr>
                <m:sty m:val="p"/>
              </m:rPr>
              <w:rPr>
                <w:rFonts w:ascii="Cambria Math" w:hAnsi="Cambria Math"/>
                <w:i w:val="0"/>
                <w:sz w:val="24"/>
                <w:szCs w:val="24"/>
              </w:rPr>
              <m:t xml:space="preserve">; </m:t>
            </m:r>
            <m:r>
              <w:rPr>
                <w:rFonts w:ascii="Cambria Math" w:hAnsi="Cambria Math"/>
                <w:i/>
                <w:sz w:val="24"/>
                <w:szCs w:val="24"/>
              </w:rPr>
              <m:t xml:space="preserve">θ</m:t>
            </m:r>
          </m:e>
        </m:d>
        <m:r>
          <m:rPr>
            <m:sty m:val="p"/>
          </m:rPr>
          <w:rPr>
            <w:rFonts w:ascii="Cambria Math" w:hAnsi="Cambria Math"/>
            <w:i w:val="0"/>
            <w:sz w:val="24"/>
            <w:szCs w:val="24"/>
          </w:rPr>
          <m:t xml:space="preserve"> = </m:t>
        </m:r>
        <m:f>
          <m:num>
            <m:r>
              <m:rPr>
                <m:sty m:val="p"/>
              </m:rPr>
              <w:rPr>
                <w:rFonts w:ascii="Cambria Math" w:hAnsi="Cambria Math"/>
                <w:i w:val="0"/>
                <w:sz w:val="24"/>
                <w:szCs w:val="24"/>
              </w:rPr>
              <m:t xml:space="preserve">1</m:t>
            </m:r>
          </m:num>
          <m:den>
            <m:sSub>
              <m:e>
                <m:r>
                  <w:rPr>
                    <w:rFonts w:ascii="Cambria Math" w:hAnsi="Cambria Math"/>
                    <w:i/>
                    <w:sz w:val="24"/>
                    <w:szCs w:val="24"/>
                  </w:rPr>
                  <m:t xml:space="preserve">N</m:t>
                </m:r>
              </m:e>
              <m:sub>
                <m:r>
                  <m:rPr>
                    <m:sty m:val="p"/>
                  </m:rPr>
                  <w:rPr>
                    <w:rFonts w:ascii="Cambria Math" w:hAnsi="Cambria Math"/>
                    <w:i w:val="0"/>
                    <w:sz w:val="24"/>
                    <w:szCs w:val="24"/>
                  </w:rPr>
                  <m:t xml:space="preserve">доп</m:t>
                </m:r>
              </m:sub>
            </m:sSub>
          </m:den>
        </m:f>
        <m:nary>
          <m:naryPr>
            <m:chr m:val="∑"/>
            <m:limLoc m:val="undOvr"/>
            <m:supHide m:val="1"/>
          </m:naryPr>
          <m:sub>
            <m:r>
              <w:rPr>
                <w:rFonts w:ascii="Cambria Math" w:hAnsi="Cambria Math"/>
                <w:i/>
                <w:sz w:val="24"/>
                <w:szCs w:val="24"/>
              </w:rPr>
              <m:t xml:space="preserve">j</m:t>
            </m:r>
          </m:sub>
          <m:sup/>
          <m:e>
            <m:sSub>
              <m:e>
                <m:r>
                  <w:rPr>
                    <w:rFonts w:ascii="Cambria Math" w:hAnsi="Cambria Math"/>
                    <w:i/>
                    <w:sz w:val="24"/>
                    <w:szCs w:val="24"/>
                  </w:rPr>
                  <m:t xml:space="preserve">n</m:t>
                </m:r>
              </m:e>
              <m:sub>
                <m:r>
                  <w:rPr>
                    <w:rFonts w:ascii="Cambria Math" w:hAnsi="Cambria Math"/>
                    <w:i/>
                    <w:sz w:val="24"/>
                    <w:szCs w:val="24"/>
                  </w:rPr>
                  <m:t xml:space="preserve">j</m:t>
                </m:r>
              </m:sub>
            </m:sSub>
            <m:r>
              <m:rPr>
                <m:sty m:val="p"/>
              </m:rPr>
              <w:rPr>
                <w:rFonts w:ascii="Cambria Math" w:hAnsi="Cambria Math"/>
                <w:i w:val="0"/>
                <w:sz w:val="24"/>
                <w:szCs w:val="24"/>
              </w:rPr>
              <m:t xml:space="preserve">·</m:t>
            </m:r>
            <m:r>
              <w:rPr>
                <w:rFonts w:ascii="Cambria Math" w:hAnsi="Cambria Math"/>
                <w:i/>
                <w:sz w:val="24"/>
                <w:szCs w:val="24"/>
              </w:rPr>
              <m:t xml:space="preserve">I</m:t>
            </m:r>
            <m:d>
              <m:dPr>
                <m:begChr m:val="["/>
                <m:endChr m:val="]"/>
              </m:dPr>
              <m:e>
                <m:sSub>
                  <m:e>
                    <m:r>
                      <w:rPr>
                        <w:rFonts w:ascii="Cambria Math" w:hAnsi="Cambria Math"/>
                        <w:i/>
                        <w:sz w:val="24"/>
                        <w:szCs w:val="24"/>
                      </w:rPr>
                      <m:t xml:space="preserve">U</m:t>
                    </m:r>
                  </m:e>
                  <m:sub>
                    <m:r>
                      <w:rPr>
                        <w:rFonts w:ascii="Cambria Math" w:hAnsi="Cambria Math"/>
                        <w:i/>
                        <w:sz w:val="24"/>
                        <w:szCs w:val="24"/>
                      </w:rPr>
                      <m:t xml:space="preserve">j</m:t>
                    </m:r>
                  </m:sub>
                </m:sSub>
                <m:d>
                  <m:dPr>
                    <m:begChr m:val="("/>
                    <m:endChr m:val=")"/>
                  </m:dPr>
                  <m:e>
                    <m:r>
                      <w:rPr>
                        <w:rFonts w:ascii="Cambria Math" w:hAnsi="Cambria Math"/>
                        <w:i/>
                        <w:sz w:val="24"/>
                        <w:szCs w:val="24"/>
                      </w:rPr>
                      <m:t xml:space="preserve">C</m:t>
                    </m:r>
                    <m:r>
                      <m:rPr>
                        <m:sty m:val="p"/>
                      </m:rPr>
                      <w:rPr>
                        <w:rFonts w:ascii="Cambria Math" w:hAnsi="Cambria Math"/>
                        <w:i w:val="0"/>
                        <w:sz w:val="24"/>
                        <w:szCs w:val="24"/>
                      </w:rPr>
                      <m:t xml:space="preserve">; </m:t>
                    </m:r>
                    <m:r>
                      <w:rPr>
                        <w:rFonts w:ascii="Cambria Math" w:hAnsi="Cambria Math"/>
                        <w:i/>
                        <w:sz w:val="24"/>
                        <w:szCs w:val="24"/>
                      </w:rPr>
                      <m:t xml:space="preserve">θ</m:t>
                    </m:r>
                  </m:e>
                </m:d>
                <m:r>
                  <m:rPr>
                    <m:sty m:val="p"/>
                  </m:rPr>
                  <w:rPr>
                    <w:rFonts w:ascii="Cambria Math" w:hAnsi="Cambria Math"/>
                    <w:i w:val="0"/>
                    <w:sz w:val="24"/>
                    <w:szCs w:val="24"/>
                  </w:rPr>
                  <m:t xml:space="preserve"> ≥ 0</m:t>
                </m:r>
              </m:e>
            </m:d>
            <m:r>
              <m:rPr>
                <m:sty m:val="p"/>
              </m:rPr>
              <w:rPr>
                <w:rFonts w:ascii="Cambria Math" w:hAnsi="Cambria Math"/>
                <w:i w:val="0"/>
                <w:sz w:val="24"/>
                <w:szCs w:val="24"/>
              </w:rPr>
              <m:t xml:space="preserve">·</m:t>
            </m:r>
            <m:r>
              <w:rPr>
                <w:rFonts w:ascii="Cambria Math" w:hAnsi="Cambria Math"/>
                <w:i/>
                <w:sz w:val="24"/>
                <w:szCs w:val="24"/>
              </w:rPr>
              <m:t xml:space="preserve">I</m:t>
            </m:r>
            <m:d>
              <m:dPr>
                <m:begChr m:val="["/>
                <m:endChr m:val="]"/>
              </m:dPr>
              <m:e>
                <m:sSub>
                  <m:e>
                    <m:r>
                      <w:rPr>
                        <w:rFonts w:ascii="Cambria Math" w:hAnsi="Cambria Math"/>
                        <w:i/>
                        <w:sz w:val="24"/>
                        <w:szCs w:val="24"/>
                      </w:rPr>
                      <m:t xml:space="preserve">λ</m:t>
                    </m:r>
                  </m:e>
                  <m:sub>
                    <m:r>
                      <w:rPr>
                        <w:rFonts w:ascii="Cambria Math" w:hAnsi="Cambria Math"/>
                        <w:i/>
                        <w:sz w:val="24"/>
                        <w:szCs w:val="24"/>
                      </w:rPr>
                      <m:t xml:space="preserve">j</m:t>
                    </m:r>
                  </m:sub>
                </m:sSub>
                <m:r>
                  <m:rPr>
                    <m:sty m:val="p"/>
                  </m:rPr>
                  <w:rPr>
                    <w:rFonts w:ascii="Cambria Math" w:hAnsi="Cambria Math"/>
                    <w:i w:val="0"/>
                    <w:sz w:val="24"/>
                    <w:szCs w:val="24"/>
                  </w:rPr>
                  <m:t xml:space="preserve"> ≤ </m:t>
                </m:r>
                <m:acc>
                  <m:accPr>
                    <m:chr m:val="̄"/>
                  </m:accPr>
                  <m:e>
                    <m:r>
                      <w:rPr>
                        <w:rFonts w:ascii="Cambria Math" w:hAnsi="Cambria Math"/>
                        <w:i/>
                        <w:sz w:val="24"/>
                        <w:szCs w:val="24"/>
                      </w:rPr>
                      <m:t xml:space="preserve">λ</m:t>
                    </m:r>
                  </m:e>
                </m:acc>
              </m:e>
            </m:d>
          </m:e>
        </m:nary>
      </m:oMath>
      <w:r>
        <w:rPr>
          <w:rFonts w:ascii="Times New Roman" w:cs="Times New Roman" w:eastAsia="Times New Roman" w:hAnsi="Times New Roman"/>
          <w:sz w:val="24"/>
          <w:szCs w:val="24"/>
        </w:rPr>
        <w:t xml:space="preserve">	(3)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Γ(C; θ) — связность, возникающая, если каждый резидент принимает решение, ожидая связность C; N</w:t>
      </w:r>
      <w:r>
        <w:rPr>
          <w:rFonts w:ascii="Times New Roman" w:cs="Times New Roman" w:eastAsia="Times New Roman" w:hAnsi="Times New Roman"/>
          <w:b w:val="false"/>
          <w:bCs w:val="false"/>
          <w:i w:val="false"/>
          <w:iCs w:val="false"/>
          <w:sz w:val="24"/>
          <w:szCs w:val="24"/>
          <w:vertAlign w:val="subscript"/>
        </w:rPr>
        <w:t xml:space="preserve">доп</w:t>
      </w:r>
      <w:r>
        <w:rPr>
          <w:rFonts w:ascii="Times New Roman" w:cs="Times New Roman" w:eastAsia="Times New Roman" w:hAnsi="Times New Roman"/>
          <w:b w:val="false"/>
          <w:bCs w:val="false"/>
          <w:i w:val="false"/>
          <w:iCs w:val="false"/>
          <w:sz w:val="24"/>
          <w:szCs w:val="24"/>
        </w:rPr>
        <w:t xml:space="preserve"> — число допустимых связей; n</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число допустимых связей с участием резидента j; I[·] — индикатор, равный единице при выполнении условия в скобках и нулю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Если выигрыш в цене и дивиденд не убывают с ростом связности, отображение Γ также не убывает, и по теореме Тарского множество его неподвижных точек на отрезке [0; 1] непусто и имеет наименьший элемент</w:t>
      </w:r>
      <w:r>
        <w:rPr>
          <w:rStyle w:val="FootnoteReference"/>
        </w:rPr>
        <w:footnoteReference w:id="2"/>
      </w:r>
      <w:r>
        <w:rPr>
          <w:rFonts w:ascii="Times New Roman" w:cs="Times New Roman" w:eastAsia="Times New Roman" w:hAnsi="Times New Roman"/>
          <w:b w:val="false"/>
          <w:bCs w:val="false"/>
          <w:i w:val="false"/>
          <w:iCs w:val="false"/>
          <w:sz w:val="24"/>
          <w:szCs w:val="24"/>
        </w:rPr>
        <w:t xml:space="preserve">. Сеть, стартующая с нулевой связности, как это наблюдается в Невинномысске, приходит к наименьшей из них:</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p>
          <m:e>
            <m:r>
              <w:rPr>
                <w:rFonts w:ascii="Cambria Math" w:hAnsi="Cambria Math"/>
                <w:i/>
                <w:sz w:val="24"/>
                <w:szCs w:val="24"/>
              </w:rPr>
              <m:t xml:space="preserve">C</m:t>
            </m:r>
          </m:e>
          <m:sup>
            <m:r>
              <m:rPr>
                <m:sty m:val="p"/>
              </m:rPr>
              <w:rPr>
                <w:rFonts w:ascii="Cambria Math" w:hAnsi="Cambria Math"/>
                <w:i w:val="0"/>
                <w:sz w:val="24"/>
                <w:szCs w:val="24"/>
              </w:rPr>
              <m:t xml:space="preserve">∗∗</m:t>
            </m:r>
          </m:sup>
        </m:sSup>
        <m:r>
          <m:rPr>
            <m:sty m:val="p"/>
          </m:rPr>
          <w:rPr>
            <w:rFonts w:ascii="Cambria Math" w:hAnsi="Cambria Math"/>
            <w:i w:val="0"/>
            <w:sz w:val="24"/>
            <w:szCs w:val="24"/>
          </w:rPr>
          <m:t xml:space="preserve"> = </m:t>
        </m:r>
        <m:r>
          <m:rPr>
            <m:sty m:val="p"/>
          </m:rPr>
          <w:rPr>
            <w:rFonts w:ascii="Cambria Math" w:hAnsi="Cambria Math"/>
            <w:i w:val="0"/>
            <w:sz w:val="24"/>
            <w:szCs w:val="24"/>
          </w:rPr>
          <m:t xml:space="preserve">min</m:t>
        </m:r>
        <m:d>
          <m:dPr>
            <m:begChr m:val="{"/>
            <m:endChr m:val="}"/>
          </m:dPr>
          <m:e>
            <m:r>
              <w:rPr>
                <w:rFonts w:ascii="Cambria Math" w:hAnsi="Cambria Math"/>
                <w:i/>
                <w:sz w:val="24"/>
                <w:szCs w:val="24"/>
              </w:rPr>
              <m:t xml:space="preserve">C</m:t>
            </m:r>
            <m:r>
              <m:rPr>
                <m:sty m:val="p"/>
              </m:rPr>
              <w:rPr>
                <w:rFonts w:ascii="Cambria Math" w:hAnsi="Cambria Math"/>
                <w:i w:val="0"/>
                <w:sz w:val="24"/>
                <w:szCs w:val="24"/>
              </w:rPr>
              <m:t xml:space="preserve"> ∈ [0; 1] : </m:t>
            </m:r>
            <m:r>
              <w:rPr>
                <w:rFonts w:ascii="Cambria Math" w:hAnsi="Cambria Math"/>
                <w:i/>
                <w:sz w:val="24"/>
                <w:szCs w:val="24"/>
              </w:rPr>
              <m:t xml:space="preserve">C</m:t>
            </m:r>
            <m:r>
              <m:rPr>
                <m:sty m:val="p"/>
              </m:rPr>
              <w:rPr>
                <w:rFonts w:ascii="Cambria Math" w:hAnsi="Cambria Math"/>
                <w:i w:val="0"/>
                <w:sz w:val="24"/>
                <w:szCs w:val="24"/>
              </w:rPr>
              <m:t xml:space="preserve"> = </m:t>
            </m:r>
            <m:r>
              <w:rPr>
                <w:rFonts w:ascii="Cambria Math" w:hAnsi="Cambria Math"/>
                <w:i/>
                <w:sz w:val="24"/>
                <w:szCs w:val="24"/>
              </w:rPr>
              <m:t xml:space="preserve">Γ</m:t>
            </m:r>
            <m:d>
              <m:dPr>
                <m:begChr m:val="("/>
                <m:endChr m:val=")"/>
              </m:dPr>
              <m:e>
                <m:r>
                  <w:rPr>
                    <w:rFonts w:ascii="Cambria Math" w:hAnsi="Cambria Math"/>
                    <w:i/>
                    <w:sz w:val="24"/>
                    <w:szCs w:val="24"/>
                  </w:rPr>
                  <m:t xml:space="preserve">C</m:t>
                </m:r>
                <m:r>
                  <m:rPr>
                    <m:sty m:val="p"/>
                  </m:rPr>
                  <w:rPr>
                    <w:rFonts w:ascii="Cambria Math" w:hAnsi="Cambria Math"/>
                    <w:i w:val="0"/>
                    <w:sz w:val="24"/>
                    <w:szCs w:val="24"/>
                  </w:rPr>
                  <m:t xml:space="preserve">; </m:t>
                </m:r>
                <m:r>
                  <w:rPr>
                    <w:rFonts w:ascii="Cambria Math" w:hAnsi="Cambria Math"/>
                    <w:i/>
                    <w:sz w:val="24"/>
                    <w:szCs w:val="24"/>
                  </w:rPr>
                  <m:t xml:space="preserve">θ</m:t>
                </m:r>
              </m:e>
            </m:d>
          </m:e>
        </m:d>
      </m:oMath>
      <w:r>
        <w:rPr>
          <w:rFonts w:ascii="Times New Roman" w:cs="Times New Roman" w:eastAsia="Times New Roman" w:hAnsi="Times New Roman"/>
          <w:sz w:val="24"/>
          <w:szCs w:val="24"/>
        </w:rPr>
        <w:t xml:space="preserve">	(4)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C</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 равновесная связность при параметрах механизма 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Множественность равновесий в сетях со взаимодополняющими связями описали М. Джексон и А. Волински</w:t>
      </w:r>
      <w:r>
        <w:rPr>
          <w:rStyle w:val="FootnoteReference"/>
        </w:rPr>
        <w:footnoteReference w:id="3"/>
      </w:r>
      <w:r>
        <w:rPr>
          <w:rFonts w:ascii="Times New Roman" w:cs="Times New Roman" w:eastAsia="Times New Roman" w:hAnsi="Times New Roman"/>
          <w:b w:val="false"/>
          <w:bCs w:val="false"/>
          <w:i w:val="false"/>
          <w:iCs w:val="false"/>
          <w:sz w:val="24"/>
          <w:szCs w:val="24"/>
        </w:rPr>
        <w:t xml:space="preserve">. Без внешнего толчка сеть остаётся в нижнем равновесии, даже если верхнее выгодно всем. Разрыв между оптимальной и равновесной связностью:</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Δ</m:t>
            </m:r>
          </m:e>
          <m:sub>
            <m:r>
              <w:rPr>
                <w:rFonts w:ascii="Cambria Math" w:hAnsi="Cambria Math"/>
                <w:i/>
                <w:sz w:val="24"/>
                <w:szCs w:val="24"/>
              </w:rPr>
              <m:t xml:space="preserve">C</m:t>
            </m:r>
          </m:sub>
        </m:sSub>
        <m:d>
          <m:dPr>
            <m:begChr m:val="("/>
            <m:endChr m:val=")"/>
          </m:dPr>
          <m:e>
            <m:r>
              <w:rPr>
                <w:rFonts w:ascii="Cambria Math" w:hAnsi="Cambria Math"/>
                <w:i/>
                <w:sz w:val="24"/>
                <w:szCs w:val="24"/>
              </w:rPr>
              <m:t xml:space="preserve">θ</m:t>
            </m:r>
          </m:e>
        </m:d>
        <m:r>
          <m:rPr>
            <m:sty m:val="p"/>
          </m:rPr>
          <w:rPr>
            <w:rFonts w:ascii="Cambria Math" w:hAnsi="Cambria Math"/>
            <w:i w:val="0"/>
            <w:sz w:val="24"/>
            <w:szCs w:val="24"/>
          </w:rPr>
          <m:t xml:space="preserve"> = </m:t>
        </m:r>
        <m:sSup>
          <m:e>
            <m:r>
              <w:rPr>
                <w:rFonts w:ascii="Cambria Math" w:hAnsi="Cambria Math"/>
                <w:i/>
                <w:sz w:val="24"/>
                <w:szCs w:val="24"/>
              </w:rPr>
              <m:t xml:space="preserve">C</m:t>
            </m:r>
          </m:e>
          <m:sup>
            <m:r>
              <m:rPr>
                <m:sty m:val="p"/>
              </m:rPr>
              <w:rPr>
                <w:rFonts w:ascii="Cambria Math" w:hAnsi="Cambria Math"/>
                <w:i w:val="0"/>
                <w:sz w:val="24"/>
                <w:szCs w:val="24"/>
              </w:rPr>
              <m:t xml:space="preserve">∗</m:t>
            </m:r>
          </m:sup>
        </m:sSup>
        <m:r>
          <m:rPr>
            <m:sty m:val="p"/>
          </m:rPr>
          <w:rPr>
            <w:rFonts w:ascii="Cambria Math" w:hAnsi="Cambria Math"/>
            <w:i w:val="0"/>
            <w:sz w:val="24"/>
            <w:szCs w:val="24"/>
          </w:rPr>
          <m:t xml:space="preserve"> − </m:t>
        </m:r>
        <m:sSup>
          <m:e>
            <m:r>
              <w:rPr>
                <w:rFonts w:ascii="Cambria Math" w:hAnsi="Cambria Math"/>
                <w:i/>
                <w:sz w:val="24"/>
                <w:szCs w:val="24"/>
              </w:rPr>
              <m:t xml:space="preserve">C</m:t>
            </m:r>
          </m:e>
          <m:sup>
            <m:r>
              <m:rPr>
                <m:sty m:val="p"/>
              </m:rPr>
              <w:rPr>
                <w:rFonts w:ascii="Cambria Math" w:hAnsi="Cambria Math"/>
                <w:i w:val="0"/>
                <w:sz w:val="24"/>
                <w:szCs w:val="24"/>
              </w:rPr>
              <m:t xml:space="preserve">∗∗</m:t>
            </m:r>
          </m:sup>
        </m:sSup>
        <m:d>
          <m:dPr>
            <m:begChr m:val="("/>
            <m:endChr m:val=")"/>
          </m:dPr>
          <m:e>
            <m:r>
              <w:rPr>
                <w:rFonts w:ascii="Cambria Math" w:hAnsi="Cambria Math"/>
                <w:i/>
                <w:sz w:val="24"/>
                <w:szCs w:val="24"/>
              </w:rPr>
              <m:t xml:space="preserve">θ</m:t>
            </m:r>
          </m:e>
        </m:d>
      </m:oMath>
      <w:r>
        <w:rPr>
          <w:rFonts w:ascii="Times New Roman" w:cs="Times New Roman" w:eastAsia="Times New Roman" w:hAnsi="Times New Roman"/>
          <w:sz w:val="24"/>
          <w:szCs w:val="24"/>
        </w:rPr>
        <w:t xml:space="preserve">	(5)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Δ</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разрыв связности; C</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 оптимальная связность, найденная из равенства предельной выгоды и предельных издержек связности.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Величина (5) близка к тому, что в экономике энергосбережения называют разрывом эффективности: технология выгодна обществу, но фирмы её не принимают, поскольку затраты внедрения каждая несёт в одиночку</w:t>
      </w:r>
      <w:r>
        <w:rPr>
          <w:rStyle w:val="FootnoteReference"/>
        </w:rPr>
        <w:footnoteReference w:id="4"/>
      </w:r>
      <w:r>
        <w:rPr>
          <w:rFonts w:ascii="Times New Roman" w:cs="Times New Roman" w:eastAsia="Times New Roman" w:hAnsi="Times New Roman"/>
          <w:b w:val="false"/>
          <w:bCs w:val="false"/>
          <w:i w:val="false"/>
          <w:iCs w:val="false"/>
          <w:sz w:val="24"/>
          <w:szCs w:val="24"/>
        </w:rPr>
        <w:t xml:space="preserve">. Для ТОСЭР с преимущественно небольшими резидентами это аргумент в пользу инструмента σ. Компенсация затрат подключения действует на порог участия прямо, тогда как рост доли α, направляемой в дивиденд, увеличивает лишь дивидендную часть выигрыша, а у малого резидента она невелика.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На верхнем уровне оператор экоплатформы и публичный партнёр выбирают вектор параметров θ = (α,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σ, F), где F — сервисный платёж оператору. Критерием служит чистый результат сети при равновесной, а не оптимальной связности за вычетом бюджетных затрат механизма:</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limLow>
          <m:e>
            <m:r>
              <m:rPr>
                <m:sty m:val="p"/>
              </m:rPr>
              <w:rPr>
                <w:rFonts w:ascii="Cambria Math" w:hAnsi="Cambria Math"/>
                <w:i w:val="0"/>
                <w:sz w:val="24"/>
                <w:szCs w:val="24"/>
              </w:rPr>
              <m:t xml:space="preserve">max</m:t>
            </m:r>
          </m:e>
          <m:lim>
            <m:r>
              <w:rPr>
                <w:rFonts w:ascii="Cambria Math" w:hAnsi="Cambria Math"/>
                <w:i/>
                <w:sz w:val="24"/>
                <w:szCs w:val="24"/>
              </w:rPr>
              <m:t xml:space="preserve">θ</m:t>
            </m:r>
          </m:lim>
        </m:limLow>
        <m:r>
          <m:rPr>
            <m:sty m:val="p"/>
          </m:rPr>
          <w:rPr>
            <w:rFonts w:ascii="Cambria Math" w:hAnsi="Cambria Math"/>
            <w:i w:val="0"/>
            <w:sz w:val="24"/>
            <w:szCs w:val="24"/>
          </w:rPr>
          <m:t xml:space="preserve"/>
        </m:r>
        <m:r>
          <w:rPr>
            <w:rFonts w:ascii="Cambria Math" w:hAnsi="Cambria Math"/>
            <w:i/>
            <w:sz w:val="24"/>
            <w:szCs w:val="24"/>
          </w:rPr>
          <m:t xml:space="preserve">W</m:t>
        </m:r>
        <m:d>
          <m:dPr>
            <m:begChr m:val="("/>
            <m:endChr m:val=")"/>
          </m:dPr>
          <m:e>
            <m:r>
              <w:rPr>
                <w:rFonts w:ascii="Cambria Math" w:hAnsi="Cambria Math"/>
                <w:i/>
                <w:sz w:val="24"/>
                <w:szCs w:val="24"/>
              </w:rPr>
              <m:t xml:space="preserve">θ</m:t>
            </m:r>
          </m:e>
        </m:d>
        <m:r>
          <m:rPr>
            <m:sty m:val="p"/>
          </m:rPr>
          <w:rPr>
            <w:rFonts w:ascii="Cambria Math" w:hAnsi="Cambria Math"/>
            <w:i w:val="0"/>
            <w:sz w:val="24"/>
            <w:szCs w:val="24"/>
          </w:rPr>
          <m:t xml:space="preserve"> = </m:t>
        </m:r>
        <m:r>
          <w:rPr>
            <w:rFonts w:ascii="Cambria Math" w:hAnsi="Cambria Math"/>
            <w:i/>
            <w:sz w:val="24"/>
            <w:szCs w:val="24"/>
          </w:rPr>
          <m:t xml:space="preserve">Π</m:t>
        </m:r>
        <m:r>
          <m:rPr>
            <m:sty m:val="p"/>
          </m:rPr>
          <w:rPr>
            <w:rFonts w:ascii="Cambria Math" w:hAnsi="Cambria Math"/>
            <w:i w:val="0"/>
            <w:sz w:val="24"/>
            <w:szCs w:val="24"/>
          </w:rPr>
          <m:t xml:space="preserve">(</m:t>
        </m:r>
        <m:sSup>
          <m:e>
            <m:r>
              <w:rPr>
                <w:rFonts w:ascii="Cambria Math" w:hAnsi="Cambria Math"/>
                <w:i/>
                <w:sz w:val="24"/>
                <w:szCs w:val="24"/>
              </w:rPr>
              <m:t xml:space="preserve">C</m:t>
            </m:r>
          </m:e>
          <m:sup>
            <m:r>
              <m:rPr>
                <m:sty m:val="p"/>
              </m:rPr>
              <w:rPr>
                <w:rFonts w:ascii="Cambria Math" w:hAnsi="Cambria Math"/>
                <w:i w:val="0"/>
                <w:sz w:val="24"/>
                <w:szCs w:val="24"/>
              </w:rPr>
              <m:t xml:space="preserve">∗∗</m:t>
            </m:r>
          </m:sup>
        </m:sSup>
        <m:d>
          <m:dPr>
            <m:begChr m:val="("/>
            <m:endChr m:val=")"/>
          </m:dPr>
          <m:e>
            <m:r>
              <w:rPr>
                <w:rFonts w:ascii="Cambria Math" w:hAnsi="Cambria Math"/>
                <w:i/>
                <w:sz w:val="24"/>
                <w:szCs w:val="24"/>
              </w:rPr>
              <m:t xml:space="preserve">θ</m:t>
            </m:r>
          </m:e>
        </m:d>
        <m:r>
          <m:rPr>
            <m:sty m:val="p"/>
          </m:rPr>
          <w:rPr>
            <w:rFonts w:ascii="Cambria Math" w:hAnsi="Cambria Math"/>
            <w:i w:val="0"/>
            <w:sz w:val="24"/>
            <w:szCs w:val="24"/>
          </w:rPr>
          <m:t xml:space="preserve">)</m:t>
        </m:r>
        <m:r>
          <m:rPr>
            <m:sty m:val="p"/>
          </m:rPr>
          <w:rPr>
            <w:rFonts w:ascii="Cambria Math" w:hAnsi="Cambria Math"/>
            <w:i w:val="0"/>
            <w:sz w:val="24"/>
            <w:szCs w:val="24"/>
          </w:rPr>
          <m:t xml:space="preserve"> − </m:t>
        </m:r>
        <m:r>
          <w:rPr>
            <w:rFonts w:ascii="Cambria Math" w:hAnsi="Cambria Math"/>
            <w:i/>
            <w:sz w:val="24"/>
            <w:szCs w:val="24"/>
          </w:rPr>
          <m:t xml:space="preserve">Z</m:t>
        </m:r>
        <m:d>
          <m:dPr>
            <m:begChr m:val="("/>
            <m:endChr m:val=")"/>
          </m:dPr>
          <m:e>
            <m:r>
              <w:rPr>
                <w:rFonts w:ascii="Cambria Math" w:hAnsi="Cambria Math"/>
                <w:i/>
                <w:sz w:val="24"/>
                <w:szCs w:val="24"/>
              </w:rPr>
              <m:t xml:space="preserve">θ</m:t>
            </m:r>
          </m:e>
        </m:d>
      </m:oMath>
      <w:r>
        <w:rPr>
          <w:rFonts w:ascii="Times New Roman" w:cs="Times New Roman" w:eastAsia="Times New Roman" w:hAnsi="Times New Roman"/>
          <w:sz w:val="24"/>
          <w:szCs w:val="24"/>
        </w:rPr>
        <w:t xml:space="preserve">	(6)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W — чистый общественный результат механизма, млн руб. в год; Π(·) — чистый результат сети, равный валовому эффекту за вычетом издержек связности; Z(θ) — бюджетные затраты механизма (компенсация затрат подключения, вложения публичного партнёра в инфраструктуру и платформу в аннуитетной оценке).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Задача решается при ограничении на ликвидацию накопленного ущерба:</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γ</m:t>
            </m:r>
          </m:e>
          <m:sub>
            <m:r>
              <m:rPr>
                <m:sty m:val="p"/>
              </m:rPr>
              <w:rPr>
                <w:rFonts w:ascii="Cambria Math" w:hAnsi="Cambria Math"/>
                <w:i w:val="0"/>
                <w:sz w:val="24"/>
                <w:szCs w:val="24"/>
              </w:rPr>
              <m:t xml:space="preserve">пуб</m:t>
            </m:r>
          </m:sub>
        </m:sSub>
        <m:r>
          <m:rPr>
            <m:sty m:val="p"/>
          </m:rPr>
          <w:rPr>
            <w:rFonts w:ascii="Cambria Math" w:hAnsi="Cambria Math"/>
            <w:i w:val="0"/>
            <w:sz w:val="24"/>
            <w:szCs w:val="24"/>
          </w:rPr>
          <m:t xml:space="preserve">·</m:t>
        </m:r>
        <m:r>
          <w:rPr>
            <w:rFonts w:ascii="Cambria Math" w:hAnsi="Cambria Math"/>
            <w:i/>
            <w:sz w:val="24"/>
            <w:szCs w:val="24"/>
          </w:rPr>
          <m:t xml:space="preserve">SD</m:t>
        </m:r>
        <m:r>
          <m:rPr>
            <m:sty m:val="p"/>
          </m:rPr>
          <w:rPr>
            <w:rFonts w:ascii="Cambria Math" w:hAnsi="Cambria Math"/>
            <w:i w:val="0"/>
            <w:sz w:val="24"/>
            <w:szCs w:val="24"/>
          </w:rPr>
          <m:t xml:space="preserve">(</m:t>
        </m:r>
        <m:sSup>
          <m:e>
            <m:r>
              <w:rPr>
                <w:rFonts w:ascii="Cambria Math" w:hAnsi="Cambria Math"/>
                <w:i/>
                <w:sz w:val="24"/>
                <w:szCs w:val="24"/>
              </w:rPr>
              <m:t xml:space="preserve">C</m:t>
            </m:r>
          </m:e>
          <m:sup>
            <m:r>
              <m:rPr>
                <m:sty m:val="p"/>
              </m:rPr>
              <w:rPr>
                <w:rFonts w:ascii="Cambria Math" w:hAnsi="Cambria Math"/>
                <w:i w:val="0"/>
                <w:sz w:val="24"/>
                <w:szCs w:val="24"/>
              </w:rPr>
              <m:t xml:space="preserve">∗∗</m:t>
            </m:r>
          </m:sup>
        </m:sSup>
        <m:d>
          <m:dPr>
            <m:begChr m:val="("/>
            <m:endChr m:val=")"/>
          </m:dPr>
          <m:e>
            <m:r>
              <w:rPr>
                <w:rFonts w:ascii="Cambria Math" w:hAnsi="Cambria Math"/>
                <w:i/>
                <w:sz w:val="24"/>
                <w:szCs w:val="24"/>
              </w:rPr>
              <m:t xml:space="preserve">θ</m:t>
            </m:r>
          </m:e>
        </m:d>
        <m:r>
          <m:rPr>
            <m:sty m:val="p"/>
          </m:rPr>
          <w:rPr>
            <w:rFonts w:ascii="Cambria Math" w:hAnsi="Cambria Math"/>
            <w:i w:val="0"/>
            <w:sz w:val="24"/>
            <w:szCs w:val="24"/>
          </w:rPr>
          <m:t xml:space="preserve">)</m:t>
        </m:r>
        <m:r>
          <m:rPr>
            <m:sty m:val="p"/>
          </m:rPr>
          <w:rPr>
            <w:rFonts w:ascii="Cambria Math" w:hAnsi="Cambria Math"/>
            <w:i w:val="0"/>
            <w:sz w:val="24"/>
            <w:szCs w:val="24"/>
          </w:rPr>
          <m:t xml:space="preserve"> + </m:t>
        </m:r>
        <m:sSub>
          <m:e>
            <m:r>
              <w:rPr>
                <w:rFonts w:ascii="Cambria Math" w:hAnsi="Cambria Math"/>
                <w:i/>
                <w:sz w:val="24"/>
                <w:szCs w:val="24"/>
              </w:rPr>
              <m:t xml:space="preserve">B</m:t>
            </m:r>
          </m:e>
          <m:sub>
            <m:r>
              <m:rPr>
                <m:sty m:val="p"/>
              </m:rPr>
              <w:rPr>
                <w:rFonts w:ascii="Cambria Math" w:hAnsi="Cambria Math"/>
                <w:i w:val="0"/>
                <w:sz w:val="24"/>
                <w:szCs w:val="24"/>
              </w:rPr>
              <m:t xml:space="preserve">внеш</m:t>
            </m:r>
          </m:sub>
        </m:sSub>
        <m:r>
          <m:rPr>
            <m:sty m:val="p"/>
          </m:rPr>
          <w:rPr>
            <w:rFonts w:ascii="Cambria Math" w:hAnsi="Cambria Math"/>
            <w:i w:val="0"/>
            <w:sz w:val="24"/>
            <w:szCs w:val="24"/>
          </w:rPr>
          <m:t xml:space="preserve"> ≥ </m:t>
        </m:r>
        <m:sSub>
          <m:e>
            <m:r>
              <w:rPr>
                <w:rFonts w:ascii="Cambria Math" w:hAnsi="Cambria Math"/>
                <w:i/>
                <w:sz w:val="24"/>
                <w:szCs w:val="24"/>
              </w:rPr>
              <m:t xml:space="preserve">C</m:t>
            </m:r>
          </m:e>
          <m:sub>
            <m:r>
              <m:rPr>
                <m:sty m:val="p"/>
              </m:rPr>
              <w:rPr>
                <w:rFonts w:ascii="Cambria Math" w:hAnsi="Cambria Math"/>
                <w:i w:val="0"/>
                <w:sz w:val="24"/>
                <w:szCs w:val="24"/>
              </w:rPr>
              <m:t xml:space="preserve">ликв</m:t>
            </m:r>
          </m:sub>
        </m:sSub>
      </m:oMath>
      <w:r>
        <w:rPr>
          <w:rFonts w:ascii="Times New Roman" w:cs="Times New Roman" w:eastAsia="Times New Roman" w:hAnsi="Times New Roman"/>
          <w:sz w:val="24"/>
          <w:szCs w:val="24"/>
        </w:rPr>
        <w:t xml:space="preserve">	(7)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γ</w:t>
      </w:r>
      <w:r>
        <w:rPr>
          <w:rFonts w:ascii="Times New Roman" w:cs="Times New Roman" w:eastAsia="Times New Roman" w:hAnsi="Times New Roman"/>
          <w:b w:val="false"/>
          <w:bCs w:val="false"/>
          <w:i w:val="false"/>
          <w:iCs w:val="false"/>
          <w:sz w:val="24"/>
          <w:szCs w:val="24"/>
          <w:vertAlign w:val="subscript"/>
        </w:rPr>
        <w:t xml:space="preserve">пуб</w:t>
      </w:r>
      <w:r>
        <w:rPr>
          <w:rFonts w:ascii="Times New Roman" w:cs="Times New Roman" w:eastAsia="Times New Roman" w:hAnsi="Times New Roman"/>
          <w:b w:val="false"/>
          <w:bCs w:val="false"/>
          <w:i w:val="false"/>
          <w:iCs w:val="false"/>
          <w:sz w:val="24"/>
          <w:szCs w:val="24"/>
        </w:rPr>
        <w:t xml:space="preserve"> — доля публичного получателя в дивиденде; B</w:t>
      </w:r>
      <w:r>
        <w:rPr>
          <w:rFonts w:ascii="Times New Roman" w:cs="Times New Roman" w:eastAsia="Times New Roman" w:hAnsi="Times New Roman"/>
          <w:b w:val="false"/>
          <w:bCs w:val="false"/>
          <w:i w:val="false"/>
          <w:iCs w:val="false"/>
          <w:sz w:val="24"/>
          <w:szCs w:val="24"/>
          <w:vertAlign w:val="subscript"/>
        </w:rPr>
        <w:t xml:space="preserve">внеш</w:t>
      </w:r>
      <w:r>
        <w:rPr>
          <w:rFonts w:ascii="Times New Roman" w:cs="Times New Roman" w:eastAsia="Times New Roman" w:hAnsi="Times New Roman"/>
          <w:b w:val="false"/>
          <w:bCs w:val="false"/>
          <w:i w:val="false"/>
          <w:iCs w:val="false"/>
          <w:sz w:val="24"/>
          <w:szCs w:val="24"/>
        </w:rPr>
        <w:t xml:space="preserve"> — средства на ликвидацию ущерба из источников вне дивиденда, млн руб. в год; C</w:t>
      </w:r>
      <w:r>
        <w:rPr>
          <w:rFonts w:ascii="Times New Roman" w:cs="Times New Roman" w:eastAsia="Times New Roman" w:hAnsi="Times New Roman"/>
          <w:b w:val="false"/>
          <w:bCs w:val="false"/>
          <w:i w:val="false"/>
          <w:iCs w:val="false"/>
          <w:sz w:val="24"/>
          <w:szCs w:val="24"/>
          <w:vertAlign w:val="subscript"/>
        </w:rPr>
        <w:t xml:space="preserve">ликв</w:t>
      </w:r>
      <w:r>
        <w:rPr>
          <w:rFonts w:ascii="Times New Roman" w:cs="Times New Roman" w:eastAsia="Times New Roman" w:hAnsi="Times New Roman"/>
          <w:b w:val="false"/>
          <w:bCs w:val="false"/>
          <w:i w:val="false"/>
          <w:iCs w:val="false"/>
          <w:sz w:val="24"/>
          <w:szCs w:val="24"/>
        </w:rPr>
        <w:t xml:space="preserve"> — годовая потребность в средствах на ликвидацию ущерба,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Внешнее слагаемое введено явно, потому что без него ограничение не выполняется. Модель не предполагает, что дивиденд покроет ущерб, а отвечает на вопрос, какую часть C</w:t>
      </w:r>
      <w:r>
        <w:rPr>
          <w:rFonts w:ascii="Times New Roman" w:cs="Times New Roman" w:eastAsia="Times New Roman" w:hAnsi="Times New Roman"/>
          <w:b w:val="false"/>
          <w:bCs w:val="false"/>
          <w:i w:val="false"/>
          <w:iCs w:val="false"/>
          <w:sz w:val="24"/>
          <w:szCs w:val="24"/>
          <w:vertAlign w:val="subscript"/>
        </w:rPr>
        <w:t xml:space="preserve">ликв</w:t>
      </w:r>
      <w:r>
        <w:rPr>
          <w:rFonts w:ascii="Times New Roman" w:cs="Times New Roman" w:eastAsia="Times New Roman" w:hAnsi="Times New Roman"/>
          <w:b w:val="false"/>
          <w:bCs w:val="false"/>
          <w:i w:val="false"/>
          <w:iCs w:val="false"/>
          <w:sz w:val="24"/>
          <w:szCs w:val="24"/>
        </w:rPr>
        <w:t xml:space="preserve"> придётся закрывать из B</w:t>
      </w:r>
      <w:r>
        <w:rPr>
          <w:rFonts w:ascii="Times New Roman" w:cs="Times New Roman" w:eastAsia="Times New Roman" w:hAnsi="Times New Roman"/>
          <w:b w:val="false"/>
          <w:bCs w:val="false"/>
          <w:i w:val="false"/>
          <w:iCs w:val="false"/>
          <w:sz w:val="24"/>
          <w:szCs w:val="24"/>
          <w:vertAlign w:val="subscript"/>
        </w:rPr>
        <w:t xml:space="preserve">внеш</w:t>
      </w:r>
      <w:r>
        <w:rPr>
          <w:rFonts w:ascii="Times New Roman" w:cs="Times New Roman" w:eastAsia="Times New Roman" w:hAnsi="Times New Roman"/>
          <w:b w:val="false"/>
          <w:bCs w:val="false"/>
          <w:i w:val="false"/>
          <w:iCs w:val="false"/>
          <w:sz w:val="24"/>
          <w:szCs w:val="24"/>
        </w:rPr>
        <w:t xml:space="preserve"> и насколько эта часть сократится при росте C</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Задачу (6) удобно решать в обратном порядке, задав целевую связность и найдя самый дешёвый набор параметров, при котором равновесие её достигает. Минимальные бюджетные затраты Z</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необходимые для этого, служат денежной мерой разрыва. Если Z</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растёт быстрее прироста Π, целевая связность лежит между C</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и C</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и добиваться оптимума нецелесообразно. Связи между уровнями показаны на рисунке 1.</w:t>
      </w:r>
    </w:p>
    <w:p>
      <w:pPr>
        <w:keepNext/>
        <w:jc w:val="center"/>
      </w:pPr>
      <w:r>
        <w:drawing>
          <wp:inline distT="0" distB="0" distL="0" distR="0">
            <wp:extent cx="4476750" cy="2828925"/>
            <wp:effectExtent t="0" r="0" b="0" l="0"/>
            <wp:docPr id="1" name="fig1.svg" descr="fig1.svg" title="fig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4476750" cy="28289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Рисунок 1 – Схема двухуровневой модели формирования равновесной связности экосистемы с якорным предприятием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Схема на рисунке 1 читается как последовательность ходов: публичный партнёр и оператор объявляют параметры, резиденты отвечают на них, а наблюдаемая равновесная связность возвращается наверх и сравнивается с оптимальной. Якорное предприятие параметров не выбирает, а задаёт среду: потоки, на которые опираются решения резидентов, и предел (2) для тех, кто ему продаёт. Разрыв Δ</w:t>
      </w:r>
      <w:r>
        <w:rPr>
          <w:rFonts w:ascii="Times New Roman" w:cs="Times New Roman" w:eastAsia="Times New Roman" w:hAnsi="Times New Roman"/>
          <w:b w:val="false"/>
          <w:bCs w:val="false"/>
          <w:i w:val="false"/>
          <w:iCs w:val="false"/>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возникает на стыке уровней и не устраняется мерами только одного из них.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Распределение эффекта по вектору Шепли</w:t>
      </w:r>
      <w:r>
        <w:rPr>
          <w:rStyle w:val="FootnoteReference"/>
        </w:rPr>
        <w:footnoteReference w:id="5"/>
      </w:r>
      <w:r>
        <w:rPr>
          <w:rFonts w:ascii="Times New Roman" w:cs="Times New Roman" w:eastAsia="Times New Roman" w:hAnsi="Times New Roman"/>
          <w:b w:val="false"/>
          <w:bCs w:val="false"/>
          <w:i w:val="false"/>
          <w:iCs w:val="false"/>
          <w:sz w:val="24"/>
          <w:szCs w:val="24"/>
        </w:rPr>
        <w:t xml:space="preserve"> обычно рассчитывается в предположении, что якорь работает весь период. Во время ремонтов аммиачных агрегатов прекращаются все потоки, где поставщиком выступает якорь. Если π</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доля периода, в течение которой якорь не поставляет ресурсы, ожидаемый выигрыш коалиции S равен (1 − π</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)·v(S) + π</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·v(S ∖ {A}). Вектор Шепли линеен по характеристической функции, поэтому:</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m:rPr>
                <m:sty m:val="p"/>
              </m:rPr>
              <w:rPr>
                <w:rFonts w:ascii="Cambria Math" w:hAnsi="Cambria Math"/>
                <w:i w:val="0"/>
                <w:sz w:val="24"/>
                <w:szCs w:val="24"/>
              </w:rPr>
              <m:t xml:space="preserve">Sh</m:t>
            </m:r>
          </m:e>
          <m:sub>
            <m:r>
              <w:rPr>
                <w:rFonts w:ascii="Cambria Math" w:hAnsi="Cambria Math"/>
                <w:i/>
                <w:sz w:val="24"/>
                <w:szCs w:val="24"/>
              </w:rPr>
              <m:t xml:space="preserve">i</m:t>
            </m:r>
          </m:sub>
        </m:sSub>
        <m:d>
          <m:dPr>
            <m:begChr m:val="("/>
            <m:endChr m:val=")"/>
          </m:dPr>
          <m:e>
            <m:acc>
              <m:accPr>
                <m:chr m:val="̄"/>
              </m:accPr>
              <m:e>
                <m:r>
                  <w:rPr>
                    <w:rFonts w:ascii="Cambria Math" w:hAnsi="Cambria Math"/>
                    <w:i/>
                    <w:sz w:val="24"/>
                    <w:szCs w:val="24"/>
                  </w:rPr>
                  <m:t xml:space="preserve">v</m:t>
                </m:r>
              </m:e>
            </m:acc>
          </m:e>
        </m:d>
        <m:r>
          <m:rPr>
            <m:sty m:val="p"/>
          </m:rPr>
          <w:rPr>
            <w:rFonts w:ascii="Cambria Math" w:hAnsi="Cambria Math"/>
            <w:i w:val="0"/>
            <w:sz w:val="24"/>
            <w:szCs w:val="24"/>
          </w:rPr>
          <m:t xml:space="preserve"> = </m:t>
        </m:r>
        <m:d>
          <m:dPr>
            <m:begChr m:val="("/>
            <m:endChr m:val=")"/>
          </m:dPr>
          <m:e>
            <m:r>
              <m:rPr>
                <m:sty m:val="p"/>
              </m:rPr>
              <w:rPr>
                <w:rFonts w:ascii="Cambria Math" w:hAnsi="Cambria Math"/>
                <w:i w:val="0"/>
                <w:sz w:val="24"/>
                <w:szCs w:val="24"/>
              </w:rPr>
              <m:t xml:space="preserve">1 − </m:t>
            </m:r>
            <m:sSub>
              <m:e>
                <m:r>
                  <w:rPr>
                    <w:rFonts w:ascii="Cambria Math" w:hAnsi="Cambria Math"/>
                    <w:i/>
                    <w:sz w:val="24"/>
                    <w:szCs w:val="24"/>
                  </w:rPr>
                  <m:t xml:space="preserve">π</m:t>
                </m:r>
              </m:e>
              <m:sub>
                <m:r>
                  <w:rPr>
                    <w:rFonts w:ascii="Cambria Math" w:hAnsi="Cambria Math"/>
                    <w:i/>
                    <w:sz w:val="24"/>
                    <w:szCs w:val="24"/>
                  </w:rPr>
                  <m:t xml:space="preserve">A</m:t>
                </m:r>
              </m:sub>
            </m:sSub>
          </m:e>
        </m:d>
        <m:r>
          <m:rPr>
            <m:sty m:val="p"/>
          </m:rPr>
          <w:rPr>
            <w:rFonts w:ascii="Cambria Math" w:hAnsi="Cambria Math"/>
            <w:i w:val="0"/>
            <w:sz w:val="24"/>
            <w:szCs w:val="24"/>
          </w:rPr>
          <m:t xml:space="preserve">·</m:t>
        </m:r>
        <m:sSub>
          <m:e>
            <m:r>
              <m:rPr>
                <m:sty m:val="p"/>
              </m:rPr>
              <w:rPr>
                <w:rFonts w:ascii="Cambria Math" w:hAnsi="Cambria Math"/>
                <w:i w:val="0"/>
                <w:sz w:val="24"/>
                <w:szCs w:val="24"/>
              </w:rPr>
              <m:t xml:space="preserve">Sh</m:t>
            </m:r>
          </m:e>
          <m:sub>
            <m:r>
              <w:rPr>
                <w:rFonts w:ascii="Cambria Math" w:hAnsi="Cambria Math"/>
                <w:i/>
                <w:sz w:val="24"/>
                <w:szCs w:val="24"/>
              </w:rPr>
              <m:t xml:space="preserve">i</m:t>
            </m:r>
          </m:sub>
        </m:sSub>
        <m:d>
          <m:dPr>
            <m:begChr m:val="("/>
            <m:endChr m:val=")"/>
          </m:dPr>
          <m:e>
            <m:r>
              <w:rPr>
                <w:rFonts w:ascii="Cambria Math" w:hAnsi="Cambria Math"/>
                <w:i/>
                <w:sz w:val="24"/>
                <w:szCs w:val="24"/>
              </w:rPr>
              <m:t xml:space="preserve">v</m:t>
            </m:r>
          </m:e>
        </m:d>
        <m:r>
          <m:rPr>
            <m:sty m:val="p"/>
          </m:rPr>
          <w:rPr>
            <w:rFonts w:ascii="Cambria Math" w:hAnsi="Cambria Math"/>
            <w:i w:val="0"/>
            <w:sz w:val="24"/>
            <w:szCs w:val="24"/>
          </w:rPr>
          <m:t xml:space="preserve"> + </m:t>
        </m:r>
        <m:sSub>
          <m:e>
            <m:r>
              <w:rPr>
                <w:rFonts w:ascii="Cambria Math" w:hAnsi="Cambria Math"/>
                <w:i/>
                <w:sz w:val="24"/>
                <w:szCs w:val="24"/>
              </w:rPr>
              <m:t xml:space="preserve">π</m:t>
            </m:r>
          </m:e>
          <m:sub>
            <m:r>
              <w:rPr>
                <w:rFonts w:ascii="Cambria Math" w:hAnsi="Cambria Math"/>
                <w:i/>
                <w:sz w:val="24"/>
                <w:szCs w:val="24"/>
              </w:rPr>
              <m:t xml:space="preserve">A</m:t>
            </m:r>
          </m:sub>
        </m:sSub>
        <m:r>
          <m:rPr>
            <m:sty m:val="p"/>
          </m:rPr>
          <w:rPr>
            <w:rFonts w:ascii="Cambria Math" w:hAnsi="Cambria Math"/>
            <w:i w:val="0"/>
            <w:sz w:val="24"/>
            <w:szCs w:val="24"/>
          </w:rPr>
          <m:t xml:space="preserve">·</m:t>
        </m:r>
        <m:sSub>
          <m:e>
            <m:r>
              <m:rPr>
                <m:sty m:val="p"/>
              </m:rPr>
              <w:rPr>
                <w:rFonts w:ascii="Cambria Math" w:hAnsi="Cambria Math"/>
                <w:i w:val="0"/>
                <w:sz w:val="24"/>
                <w:szCs w:val="24"/>
              </w:rPr>
              <m:t xml:space="preserve">Sh</m:t>
            </m:r>
          </m:e>
          <m:sub>
            <m:r>
              <w:rPr>
                <w:rFonts w:ascii="Cambria Math" w:hAnsi="Cambria Math"/>
                <w:i/>
                <w:sz w:val="24"/>
                <w:szCs w:val="24"/>
              </w:rPr>
              <m:t xml:space="preserve">i</m:t>
            </m:r>
          </m:sub>
        </m:sSub>
        <m:d>
          <m:dPr>
            <m:begChr m:val="("/>
            <m:endChr m:val=")"/>
          </m:dPr>
          <m:e>
            <m:sSub>
              <m:e>
                <m:r>
                  <w:rPr>
                    <w:rFonts w:ascii="Cambria Math" w:hAnsi="Cambria Math"/>
                    <w:i/>
                    <w:sz w:val="24"/>
                    <w:szCs w:val="24"/>
                  </w:rPr>
                  <m:t xml:space="preserve">v</m:t>
                </m:r>
              </m:e>
              <m:sub>
                <m:r>
                  <m:rPr>
                    <m:sty m:val="p"/>
                  </m:rPr>
                  <w:rPr>
                    <w:rFonts w:ascii="Cambria Math" w:hAnsi="Cambria Math"/>
                    <w:i w:val="0"/>
                    <w:sz w:val="24"/>
                    <w:szCs w:val="24"/>
                  </w:rPr>
                  <m:t xml:space="preserve">−</m:t>
                </m:r>
                <m:r>
                  <w:rPr>
                    <w:rFonts w:ascii="Cambria Math" w:hAnsi="Cambria Math"/>
                    <w:i/>
                    <w:sz w:val="24"/>
                    <w:szCs w:val="24"/>
                  </w:rPr>
                  <m:t xml:space="preserve">A</m:t>
                </m:r>
              </m:sub>
            </m:sSub>
          </m:e>
        </m:d>
      </m:oMath>
      <w:r>
        <w:rPr>
          <w:rFonts w:ascii="Times New Roman" w:cs="Times New Roman" w:eastAsia="Times New Roman" w:hAnsi="Times New Roman"/>
          <w:sz w:val="24"/>
          <w:szCs w:val="24"/>
        </w:rPr>
        <w:t xml:space="preserve">	(8)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Sh</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компонента вектора Шепли участника i; v — характеристическая функция при работающем якоре; v</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игра, в которой якорь не вносит вклада ни в одну коалицию.</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В игре v</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компонента якоря равна нулю, и его доля по (8) уменьшается ровно в (1 − π</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раз. В расчёте для игры пяти участников (ГРЭС, «Азот», экопромышленный парк, резиденты, оператор) на «Азот» приходилось около 25 % дополнительного эффекта 117,4 млн руб., то есть 29,4 млн руб.; при π</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0,05 его доля составит 0,95 · 29,4 ≈ 27,9 млн руб. Выигрывают участники со связями, не зависящими от «Азота»; правило поощряет резервирование потоков.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Риск остановки якоря ставит и вопрос о достаточности нормы 50 %. Резидент, продающий якорю долю λ</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продукции проекта, на время остановки теряет эту выручку и покрывает постоянные затраты, если (1 − λ</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·R</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vertAlign w:val="superscript"/>
        </w:rPr>
        <w:t xml:space="preserve">пр</w:t>
      </w:r>
      <w:r>
        <w:rPr>
          <w:rFonts w:ascii="Times New Roman" w:cs="Times New Roman" w:eastAsia="Times New Roman" w:hAnsi="Times New Roman"/>
          <w:b w:val="false"/>
          <w:bCs w:val="false"/>
          <w:i w:val="false"/>
          <w:iCs w:val="false"/>
          <w:sz w:val="24"/>
          <w:szCs w:val="24"/>
        </w:rPr>
        <w:t xml:space="preserve"> ≥ FC</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Отсюда критическая доля продаж якорю:</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Sup>
          <m:e>
            <m:r>
              <w:rPr>
                <w:rFonts w:ascii="Cambria Math" w:hAnsi="Cambria Math"/>
                <w:i/>
                <w:sz w:val="24"/>
                <w:szCs w:val="24"/>
              </w:rPr>
              <m:t xml:space="preserve">λ</m:t>
            </m:r>
          </m:e>
          <m:sub>
            <m:r>
              <w:rPr>
                <w:rFonts w:ascii="Cambria Math" w:hAnsi="Cambria Math"/>
                <w:i/>
                <w:sz w:val="24"/>
                <w:szCs w:val="24"/>
              </w:rPr>
              <m:t xml:space="preserve">j</m:t>
            </m:r>
          </m:sub>
          <m:sup>
            <m:r>
              <m:rPr>
                <m:sty m:val="p"/>
              </m:rPr>
              <w:rPr>
                <w:rFonts w:ascii="Cambria Math" w:hAnsi="Cambria Math"/>
                <w:i w:val="0"/>
                <w:sz w:val="24"/>
                <w:szCs w:val="24"/>
              </w:rPr>
              <m:t xml:space="preserve">∗</m:t>
            </m:r>
          </m:sup>
        </m:sSubSup>
        <m:r>
          <m:rPr>
            <m:sty m:val="p"/>
          </m:rPr>
          <w:rPr>
            <w:rFonts w:ascii="Cambria Math" w:hAnsi="Cambria Math"/>
            <w:i w:val="0"/>
            <w:sz w:val="24"/>
            <w:szCs w:val="24"/>
          </w:rPr>
          <m:t xml:space="preserve"> = 1 − </m:t>
        </m:r>
        <m:f>
          <m:num>
            <m:sSub>
              <m:e>
                <m:r>
                  <w:rPr>
                    <w:rFonts w:ascii="Cambria Math" w:hAnsi="Cambria Math"/>
                    <w:i/>
                    <w:sz w:val="24"/>
                    <w:szCs w:val="24"/>
                  </w:rPr>
                  <m:t xml:space="preserve">FC</m:t>
                </m:r>
              </m:e>
              <m:sub>
                <m:r>
                  <w:rPr>
                    <w:rFonts w:ascii="Cambria Math" w:hAnsi="Cambria Math"/>
                    <w:i/>
                    <w:sz w:val="24"/>
                    <w:szCs w:val="24"/>
                  </w:rPr>
                  <m:t xml:space="preserve">j</m:t>
                </m:r>
              </m:sub>
            </m:sSub>
          </m:num>
          <m:den>
            <m:sSub>
              <m:e>
                <m:r>
                  <w:rPr>
                    <w:rFonts w:ascii="Cambria Math" w:hAnsi="Cambria Math"/>
                    <w:i/>
                    <w:sz w:val="24"/>
                    <w:szCs w:val="24"/>
                  </w:rPr>
                  <m:t xml:space="preserve">m</m:t>
                </m:r>
              </m:e>
              <m:sub>
                <m:r>
                  <w:rPr>
                    <w:rFonts w:ascii="Cambria Math" w:hAnsi="Cambria Math"/>
                    <w:i/>
                    <w:sz w:val="24"/>
                    <w:szCs w:val="24"/>
                  </w:rPr>
                  <m:t xml:space="preserve">j</m:t>
                </m:r>
              </m:sub>
            </m:sSub>
            <m:r>
              <m:rPr>
                <m:sty m:val="p"/>
              </m:rPr>
              <w:rPr>
                <w:rFonts w:ascii="Cambria Math" w:hAnsi="Cambria Math"/>
                <w:i w:val="0"/>
                <w:sz w:val="24"/>
                <w:szCs w:val="24"/>
              </w:rPr>
              <m:t xml:space="preserve">·</m:t>
            </m:r>
            <m:sSubSup>
              <m:e>
                <m:r>
                  <w:rPr>
                    <w:rFonts w:ascii="Cambria Math" w:hAnsi="Cambria Math"/>
                    <w:i/>
                    <w:sz w:val="24"/>
                    <w:szCs w:val="24"/>
                  </w:rPr>
                  <m:t xml:space="preserve">R</m:t>
                </m:r>
              </m:e>
              <m:sub>
                <m:r>
                  <w:rPr>
                    <w:rFonts w:ascii="Cambria Math" w:hAnsi="Cambria Math"/>
                    <w:i/>
                    <w:sz w:val="24"/>
                    <w:szCs w:val="24"/>
                  </w:rPr>
                  <m:t xml:space="preserve">j</m:t>
                </m:r>
              </m:sub>
              <m:sup>
                <m:r>
                  <m:rPr>
                    <m:sty m:val="p"/>
                  </m:rPr>
                  <w:rPr>
                    <w:rFonts w:ascii="Cambria Math" w:hAnsi="Cambria Math"/>
                    <w:i w:val="0"/>
                    <w:sz w:val="24"/>
                    <w:szCs w:val="24"/>
                  </w:rPr>
                  <m:t xml:space="preserve">пр</m:t>
                </m:r>
              </m:sup>
            </m:sSubSup>
          </m:den>
        </m:f>
      </m:oMath>
      <w:r>
        <w:rPr>
          <w:rFonts w:ascii="Times New Roman" w:cs="Times New Roman" w:eastAsia="Times New Roman" w:hAnsi="Times New Roman"/>
          <w:sz w:val="24"/>
          <w:szCs w:val="24"/>
        </w:rPr>
        <w:t xml:space="preserve">	(9)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λ</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 наибольшая доля продаж якорю, при которой резидент покрывает постоянные затраты во время остановки якоря; FC</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постоянные затраты проекта за тот же период, млн руб.; m</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доля маржинального дохода в выручке проекта.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Для условного резидента с долей маржинального дохода 0,25 и постоянными затратами 15 % выручки λ</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 1 − 0,15/0,25 = 0,40: норма разрешает ему продавать якорю половину продукции, а пережить остановку он может лишь при доле не выше 40 %. Для резидента с маржинальным доходом 0,40 и постоянными затратами 12 % выручки λ</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 0,70, и единый предел отсекает у него часть выгодного оборота. Единая норма оказывается мягкой для низкомаржинальных резидентов и жёсткой для высокомаржинальных.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Последний элемент модели касается экологического результата. Сравнение «с платформой — без платформы» обычно ведётся при неизменном выпуске основной продукции, но для якоря это допущение уязвимо: продажа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и тепла увеличивает доход с тонны аммиака, и наращивать выпуск становится выгоднее. Л. Хацор и А. Ельнов показали, что такой прирост способен в рыночном равновесии сделать симбиоз источником роста загрязнения </w:t>
      </w:r>
      <w:r>
        <w:rPr>
          <w:rFonts w:ascii="Times New Roman" w:cs="Times New Roman" w:eastAsia="Times New Roman" w:hAnsi="Times New Roman"/>
          <w:b w:val="false"/>
          <w:bCs w:val="false"/>
          <w:i w:val="false"/>
          <w:iCs w:val="false"/>
          <w:sz w:val="24"/>
          <w:szCs w:val="24"/>
        </w:rPr>
        <w:t xml:space="preserve">[9]</w:t>
      </w:r>
      <w:r>
        <w:rPr>
          <w:rFonts w:ascii="Times New Roman" w:cs="Times New Roman" w:eastAsia="Times New Roman" w:hAnsi="Times New Roman"/>
          <w:b w:val="false"/>
          <w:bCs w:val="false"/>
          <w:i w:val="false"/>
          <w:iCs w:val="false"/>
          <w:sz w:val="24"/>
          <w:szCs w:val="24"/>
        </w:rPr>
        <w:t xml:space="preserve">. Выбросы якоря сокращаются только при условии:</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r>
          <w:rPr>
            <w:rFonts w:ascii="Cambria Math" w:hAnsi="Cambria Math"/>
            <w:i/>
            <w:sz w:val="24"/>
            <w:szCs w:val="24"/>
          </w:rPr>
          <m:t xml:space="preserve">ΔEm</m:t>
        </m:r>
        <m:r>
          <m:rPr>
            <m:sty m:val="p"/>
          </m:rPr>
          <w:rPr>
            <w:rFonts w:ascii="Cambria Math" w:hAnsi="Cambria Math"/>
            <w:i w:val="0"/>
            <w:sz w:val="24"/>
            <w:szCs w:val="24"/>
          </w:rPr>
          <m:t xml:space="preserve"> &lt; 0  ⇔  </m:t>
        </m:r>
        <m:r>
          <w:rPr>
            <w:rFonts w:ascii="Cambria Math" w:hAnsi="Cambria Math"/>
            <w:i/>
            <w:sz w:val="24"/>
            <w:szCs w:val="24"/>
          </w:rPr>
          <m:t xml:space="preserve">u</m:t>
        </m:r>
        <m:r>
          <m:rPr>
            <m:sty m:val="p"/>
          </m:rPr>
          <w:rPr>
            <w:rFonts w:ascii="Cambria Math" w:hAnsi="Cambria Math"/>
            <w:i w:val="0"/>
            <w:sz w:val="24"/>
            <w:szCs w:val="24"/>
          </w:rPr>
          <m:t xml:space="preserve">·</m:t>
        </m:r>
        <m:d>
          <m:dPr>
            <m:begChr m:val="("/>
            <m:endChr m:val=")"/>
          </m:dPr>
          <m:e>
            <m:r>
              <m:rPr>
                <m:sty m:val="p"/>
              </m:rPr>
              <w:rPr>
                <w:rFonts w:ascii="Cambria Math" w:hAnsi="Cambria Math"/>
                <w:i w:val="0"/>
                <w:sz w:val="24"/>
                <w:szCs w:val="24"/>
              </w:rPr>
              <m:t xml:space="preserve">1 − </m:t>
            </m:r>
            <m:r>
              <w:rPr>
                <w:rFonts w:ascii="Cambria Math" w:hAnsi="Cambria Math"/>
                <w:i/>
                <w:sz w:val="24"/>
                <w:szCs w:val="24"/>
              </w:rPr>
              <m:t xml:space="preserve">κ</m:t>
            </m:r>
          </m:e>
        </m:d>
        <m:r>
          <m:rPr>
            <m:sty m:val="p"/>
          </m:rPr>
          <w:rPr>
            <w:rFonts w:ascii="Cambria Math" w:hAnsi="Cambria Math"/>
            <w:i w:val="0"/>
            <w:sz w:val="24"/>
            <w:szCs w:val="24"/>
          </w:rPr>
          <m:t xml:space="preserve"> &gt; </m:t>
        </m:r>
        <m:f>
          <m:num>
            <m:r>
              <w:rPr>
                <w:rFonts w:ascii="Cambria Math" w:hAnsi="Cambria Math"/>
                <w:i/>
                <w:sz w:val="24"/>
                <w:szCs w:val="24"/>
              </w:rPr>
              <m:t xml:space="preserve">ΔQ</m:t>
            </m:r>
          </m:num>
          <m:den>
            <m:sSub>
              <m:e>
                <m:r>
                  <w:rPr>
                    <w:rFonts w:ascii="Cambria Math" w:hAnsi="Cambria Math"/>
                    <w:i/>
                    <w:sz w:val="24"/>
                    <w:szCs w:val="24"/>
                  </w:rPr>
                  <m:t xml:space="preserve">Q</m:t>
                </m:r>
              </m:e>
              <m:sub>
                <m:r>
                  <m:rPr>
                    <m:sty m:val="p"/>
                  </m:rPr>
                  <w:rPr>
                    <w:rFonts w:ascii="Cambria Math" w:hAnsi="Cambria Math"/>
                    <w:i w:val="0"/>
                    <w:sz w:val="24"/>
                    <w:szCs w:val="24"/>
                  </w:rPr>
                  <m:t xml:space="preserve">0</m:t>
                </m:r>
              </m:sub>
            </m:sSub>
            <m:r>
              <m:rPr>
                <m:sty m:val="p"/>
              </m:rPr>
              <w:rPr>
                <w:rFonts w:ascii="Cambria Math" w:hAnsi="Cambria Math"/>
                <w:i w:val="0"/>
                <w:sz w:val="24"/>
                <w:szCs w:val="24"/>
              </w:rPr>
              <m:t xml:space="preserve"> + </m:t>
            </m:r>
            <m:r>
              <w:rPr>
                <w:rFonts w:ascii="Cambria Math" w:hAnsi="Cambria Math"/>
                <w:i/>
                <w:sz w:val="24"/>
                <w:szCs w:val="24"/>
              </w:rPr>
              <m:t xml:space="preserve">ΔQ</m:t>
            </m:r>
          </m:den>
        </m:f>
      </m:oMath>
      <w:r>
        <w:rPr>
          <w:rFonts w:ascii="Times New Roman" w:cs="Times New Roman" w:eastAsia="Times New Roman" w:hAnsi="Times New Roman"/>
          <w:sz w:val="24"/>
          <w:szCs w:val="24"/>
        </w:rPr>
        <w:t xml:space="preserve">	(10)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ΔEm — изменение годовых выбросов якоря относительно контрфактического состояния, т; u — доля побочного продукта, передаваемая потребителям; κ — доля выбросов, возникающих при подготовке, транспортировке и использовании переданного продукта; Q</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выпуск основной продукции без платформы, т; ΔQ — прирост выпуска, вызванный доходом от симбиоза, 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Порог (10) жёсткий. Если потребителям передаётся 5 % побочного продукта (u = 0,05), а при его подготовке и доставке возникает пятая часть исходных выбросов (κ = 0,2), левая часть равна 0,04, и выбросы растут, как только вызванный симбиозом прирост выпуска превысит 0,04/0,96 ≈ 4,2 % исходного объёма.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Модель имеет смысл, только если её выводы можно опровергнуть данными обследования участников. Проверяемые следствия сведены в таблицу 1.</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4"/>
          <w:szCs w:val="24"/>
        </w:rPr>
        <w:t xml:space="preserve">Таблица 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Проверяемые следствия двухуровневой модели и критерии их опровержения</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203"/>
        <w:gridCol w:w="3009"/>
        <w:gridCol w:w="3425"/>
      </w:tblGrid>
      <w:tr>
        <w:trPr>
          <w:cantSplit/>
          <w:tblHeader/>
        </w:trPr>
        <w:tc>
          <w:tcPr>
            <w:tcW w:type="dxa" w:w="32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Следствие модели</w:t>
            </w:r>
          </w:p>
        </w:tc>
        <w:tc>
          <w:tcPr>
            <w:tcW w:type="dxa" w:w="30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Наблюдаемый показатель</w:t>
            </w:r>
          </w:p>
        </w:tc>
        <w:tc>
          <w:tcPr>
            <w:tcW w:type="dxa" w:w="34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Опровергающее наблюдение</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Без мер поддержки C</w:t>
            </w:r>
            <w:r>
              <w:rPr>
                <w:rFonts w:ascii="Times New Roman" w:cs="Times New Roman" w:eastAsia="Times New Roman" w:hAnsi="Times New Roman"/>
                <w:b w:val="false"/>
                <w:bCs w:val="false"/>
                <w:i w:val="false"/>
                <w:iCs w:val="false"/>
                <w:sz w:val="22"/>
                <w:szCs w:val="22"/>
                <w:vertAlign w:val="superscript"/>
              </w:rPr>
              <w:t xml:space="preserve">**</w:t>
            </w:r>
            <w:r>
              <w:rPr>
                <w:rFonts w:ascii="Times New Roman" w:cs="Times New Roman" w:eastAsia="Times New Roman" w:hAnsi="Times New Roman"/>
                <w:b w:val="false"/>
                <w:bCs w:val="false"/>
                <w:i w:val="false"/>
                <w:iCs w:val="false"/>
                <w:sz w:val="22"/>
                <w:szCs w:val="22"/>
              </w:rPr>
              <w:t xml:space="preserve"> &lt; C</w:t>
            </w:r>
            <w:r>
              <w:rPr>
                <w:rFonts w:ascii="Times New Roman" w:cs="Times New Roman" w:eastAsia="Times New Roman" w:hAnsi="Times New Roman"/>
                <w:b w:val="false"/>
                <w:bCs w:val="false"/>
                <w:i w:val="false"/>
                <w:iCs w:val="false"/>
                <w:sz w:val="22"/>
                <w:szCs w:val="22"/>
                <w:vertAlign w:val="superscript"/>
              </w:rPr>
              <w:t xml:space="preserve">*</w:t>
            </w:r>
          </w:p>
        </w:tc>
        <w:tc>
          <w:tcPr>
            <w:tcW w:type="dxa" w:w="30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Число действующих связей по реестру платформы</w:t>
            </w:r>
          </w:p>
        </w:tc>
        <w:tc>
          <w:tcPr>
            <w:tcW w:type="dxa" w:w="34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Связность достигает C</w:t>
            </w:r>
            <w:r>
              <w:rPr>
                <w:rFonts w:ascii="Times New Roman" w:cs="Times New Roman" w:eastAsia="Times New Roman" w:hAnsi="Times New Roman"/>
                <w:b w:val="false"/>
                <w:bCs w:val="false"/>
                <w:i w:val="false"/>
                <w:iCs w:val="false"/>
                <w:sz w:val="22"/>
                <w:szCs w:val="22"/>
                <w:vertAlign w:val="superscript"/>
              </w:rPr>
              <w:t xml:space="preserve">*</w:t>
            </w:r>
            <w:r>
              <w:rPr>
                <w:rFonts w:ascii="Times New Roman" w:cs="Times New Roman" w:eastAsia="Times New Roman" w:hAnsi="Times New Roman"/>
                <w:b w:val="false"/>
                <w:bCs w:val="false"/>
                <w:i w:val="false"/>
                <w:iCs w:val="false"/>
                <w:sz w:val="22"/>
                <w:szCs w:val="22"/>
              </w:rPr>
              <w:t xml:space="preserve"> без компенсации затрат подключения и внешнего финансирования</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Компенсация σ поднимает C</w:t>
            </w:r>
            <w:r>
              <w:rPr>
                <w:rFonts w:ascii="Times New Roman" w:cs="Times New Roman" w:eastAsia="Times New Roman" w:hAnsi="Times New Roman"/>
                <w:b w:val="false"/>
                <w:bCs w:val="false"/>
                <w:i w:val="false"/>
                <w:iCs w:val="false"/>
                <w:sz w:val="22"/>
                <w:szCs w:val="22"/>
                <w:vertAlign w:val="superscript"/>
              </w:rPr>
              <w:t xml:space="preserve">**</w:t>
            </w:r>
            <w:r>
              <w:rPr>
                <w:rFonts w:ascii="Times New Roman" w:cs="Times New Roman" w:eastAsia="Times New Roman" w:hAnsi="Times New Roman"/>
                <w:b w:val="false"/>
                <w:bCs w:val="false"/>
                <w:i w:val="false"/>
                <w:iCs w:val="false"/>
                <w:sz w:val="22"/>
                <w:szCs w:val="22"/>
              </w:rPr>
              <w:t xml:space="preserve"> сильнее, чем рост α, при равных затратах</w:t>
            </w:r>
          </w:p>
        </w:tc>
        <w:tc>
          <w:tcPr>
            <w:tcW w:type="dxa" w:w="30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Прирост числа участников на 1 млн руб. затрат механизма</w:t>
            </w:r>
          </w:p>
        </w:tc>
        <w:tc>
          <w:tcPr>
            <w:tcW w:type="dxa" w:w="34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Отклик участия на рост α не ниже отклика на σ</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λ</w:t>
            </w:r>
            <w:r>
              <w:rPr>
                <w:rFonts w:ascii="Times New Roman" w:cs="Times New Roman" w:eastAsia="Times New Roman" w:hAnsi="Times New Roman"/>
                <w:b w:val="false"/>
                <w:bCs w:val="false"/>
                <w:i w:val="false"/>
                <w:iCs w:val="false"/>
                <w:sz w:val="22"/>
                <w:szCs w:val="22"/>
                <w:vertAlign w:val="subscript"/>
              </w:rPr>
              <w:t xml:space="preserve">j</w:t>
            </w:r>
            <w:r>
              <w:rPr>
                <w:rFonts w:ascii="Times New Roman" w:cs="Times New Roman" w:eastAsia="Times New Roman" w:hAnsi="Times New Roman"/>
                <w:b w:val="false"/>
                <w:bCs w:val="false"/>
                <w:i w:val="false"/>
                <w:iCs w:val="false"/>
                <w:sz w:val="22"/>
                <w:szCs w:val="22"/>
                <w:vertAlign w:val="superscript"/>
              </w:rPr>
              <w:t xml:space="preserve">*</w:t>
            </w:r>
            <w:r>
              <w:rPr>
                <w:rFonts w:ascii="Times New Roman" w:cs="Times New Roman" w:eastAsia="Times New Roman" w:hAnsi="Times New Roman"/>
                <w:b w:val="false"/>
                <w:bCs w:val="false"/>
                <w:i w:val="false"/>
                <w:iCs w:val="false"/>
                <w:sz w:val="22"/>
                <w:szCs w:val="22"/>
              </w:rPr>
              <w:t xml:space="preserve"> у части резидентов-поставщиков якоря отличается от 0,5</w:t>
            </w:r>
          </w:p>
        </w:tc>
        <w:tc>
          <w:tcPr>
            <w:tcW w:type="dxa" w:w="30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Маржинальность и постоянные затраты по отчётности резидентов</w:t>
            </w:r>
          </w:p>
        </w:tc>
        <w:tc>
          <w:tcPr>
            <w:tcW w:type="dxa" w:w="34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У всех резидентов-поставщиков λ</w:t>
            </w:r>
            <w:r>
              <w:rPr>
                <w:rFonts w:ascii="Times New Roman" w:cs="Times New Roman" w:eastAsia="Times New Roman" w:hAnsi="Times New Roman"/>
                <w:b w:val="false"/>
                <w:bCs w:val="false"/>
                <w:i w:val="false"/>
                <w:iCs w:val="false"/>
                <w:sz w:val="22"/>
                <w:szCs w:val="22"/>
                <w:vertAlign w:val="subscript"/>
              </w:rPr>
              <w:t xml:space="preserve">j</w:t>
            </w:r>
            <w:r>
              <w:rPr>
                <w:rFonts w:ascii="Times New Roman" w:cs="Times New Roman" w:eastAsia="Times New Roman" w:hAnsi="Times New Roman"/>
                <w:b w:val="false"/>
                <w:bCs w:val="false"/>
                <w:i w:val="false"/>
                <w:iCs w:val="false"/>
                <w:sz w:val="22"/>
                <w:szCs w:val="22"/>
                <w:vertAlign w:val="superscript"/>
              </w:rPr>
              <w:t xml:space="preserve">*</w:t>
            </w:r>
            <w:r>
              <w:rPr>
                <w:rFonts w:ascii="Times New Roman" w:cs="Times New Roman" w:eastAsia="Times New Roman" w:hAnsi="Times New Roman"/>
                <w:b w:val="false"/>
                <w:bCs w:val="false"/>
                <w:i w:val="false"/>
                <w:iCs w:val="false"/>
                <w:sz w:val="22"/>
                <w:szCs w:val="22"/>
              </w:rPr>
              <w:t xml:space="preserve"> лежит в пределах 0,45–0,55</w:t>
            </w:r>
          </w:p>
        </w:tc>
      </w:tr>
      <w:tr>
        <w:trPr>
          <w:cantSplit/>
          <w:tblHeader w:val="false"/>
        </w:trPr>
        <w:tc>
          <w:tcPr>
            <w:tcW w:type="dxa" w:w="32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При выполнении (10) выбросы якоря после запуска обменов CO</w:t>
            </w:r>
            <w:r>
              <w:rPr>
                <w:rFonts w:ascii="Times New Roman" w:cs="Times New Roman" w:eastAsia="Times New Roman" w:hAnsi="Times New Roman"/>
                <w:b w:val="false"/>
                <w:bCs w:val="false"/>
                <w:i w:val="false"/>
                <w:iCs w:val="false"/>
                <w:sz w:val="22"/>
                <w:szCs w:val="22"/>
                <w:vertAlign w:val="subscript"/>
              </w:rPr>
              <w:t xml:space="preserve">2</w:t>
            </w:r>
            <w:r>
              <w:rPr>
                <w:rFonts w:ascii="Times New Roman" w:cs="Times New Roman" w:eastAsia="Times New Roman" w:hAnsi="Times New Roman"/>
                <w:b w:val="false"/>
                <w:bCs w:val="false"/>
                <w:i w:val="false"/>
                <w:iCs w:val="false"/>
                <w:sz w:val="22"/>
                <w:szCs w:val="22"/>
              </w:rPr>
              <w:t xml:space="preserve"> не растут</w:t>
            </w:r>
          </w:p>
        </w:tc>
        <w:tc>
          <w:tcPr>
            <w:tcW w:type="dxa" w:w="30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Выпуск аммиака и удельные выбросы до и после запуска</w:t>
            </w:r>
          </w:p>
        </w:tc>
        <w:tc>
          <w:tcPr>
            <w:tcW w:type="dxa" w:w="34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Выбросы растут при выполнении (10) по фактическим u, κ, ΔQ</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2"/>
          <w:szCs w:val="22"/>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Каждое следствие в таблице 1 опирается на измеримые величины и ни одно не вытекает из модели тождественно; в случае опровержения модель указывает, какое допущение подлежит пересмотру.</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Выводы и предложения.</w:t>
      </w:r>
      <w:r>
        <w:rPr>
          <w:rFonts w:ascii="Times New Roman" w:cs="Times New Roman" w:eastAsia="Times New Roman" w:hAnsi="Times New Roman"/>
          <w:b w:val="false"/>
          <w:bCs w:val="false"/>
          <w:i w:val="false"/>
          <w:iCs w:val="false"/>
          <w:sz w:val="24"/>
          <w:szCs w:val="24"/>
        </w:rPr>
        <w:t xml:space="preserve"> Двухуровневая модель дополняет оптимальную связность промышленной экосистемы равновесной и даёт денежную меру их разрыва — минимальные бюджетные затраты механизма. Норма о пределе продаж градообразующей организации ограничивает продажи якорю, но не закупки у него, поэтому обмены с якорем-покупателем следует проектировать со вторым покупателем; единый предел 50 % не соответствует критической доле зависимости резидентов с разной маржинальностью. Риск-скорректированный вектор Шепли поощряет резервирование потоков, а условие (10) ограничивает прирост выпуска якоря, при котором симбиоз остаётся экологически результативным. Для калибровки модели нужны затраты подключения и маржинальность резидентов, график остановок агрегатов «Невинномысского Азота», его выпуск и удельные выбросы.</w:t>
      </w:r>
    </w:p>
    <w:p>
      <w:pPr>
        <w:keepNext/>
        <w:spacing w:after="0" w:before="0" w:line="360" w:lineRule="auto"/>
        <w:ind w:firstLine="0"/>
        <w:jc w:val="center"/>
      </w:pPr>
      <w:r>
        <w:rPr>
          <w:rFonts w:ascii="Times New Roman" w:cs="Times New Roman" w:eastAsia="Times New Roman" w:hAnsi="Times New Roman"/>
          <w:b/>
          <w:bCs/>
          <w:i w:val="false"/>
          <w:iCs w:val="false"/>
          <w:sz w:val="24"/>
          <w:szCs w:val="24"/>
        </w:rPr>
        <w:t xml:space="preserve">Список использованных источников и литературы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 Дорогу резиденту // Российская газета. 2026. 15 апр. URL: rg.ru/2026/04/15/reg-skfo/dorogu-rezidentu.html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2. Daş G.S., Yeşilkaya M., Altınkaynak B., Birgören B. Modeling an industrial symbiosis network using bilevel programming // 62nd International Scientific Conference on Information Technology and Management Science of Riga Technical University (ITMS). Riga, 2021. DOI: 10.1109/ITMS52826.2021.9615312.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3. Daş G.S., Yeşilkaya M., Altınkaynak B., Birgören B. A stochastic bilevel model to manage symbiotic flows in an Industrial Symbiosis network under demand uncertainty // Computers &amp; Industrial Engineering. 2026. Vol. 213. Art. 111800. DOI: 10.1016/j.cie.2026.111800.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4. Chin H.H., Varbanov P.S., Klemeš J.J., Bandyopadhyay S. Subsidised water symbiosis of eco-industrial parks: A multi-stage game theory approach // Computers &amp; Chemical Engineering. 2021. Vol. 155. Art. 107539. DOI: 10.1016/j.compchemeng.2021.107539.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5. Mollica M., Fraccascia L., Nastasi A. What drives the success of online platforms for industrial symbiosis? An agent-based model // Ecological Economics. 2025. Vol. 230. Art. 108502. DOI: 10.1016/j.ecolecon.2024.108502.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6. Tian Y., Li S. Multi-plant direct heat integration considering coalition stability under unplanned shutdown risks // Energy. 2022. Vol. 243. Art. 123047. DOI: 10.1016/j.energy.2021.123047.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7. Xu Z., Liu J., Nallapaneni M.K., Fraccascia L., Chopra S.S. Resilience space of interdependent networks: insights from industrial symbiosis // Reliability Engineering &amp; System Safety. 2026. Vol. 275. Art. 112746. DOI: 10.1016/j.ress.2026.112746.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8. Об особенностях создания территорий опережающего социально-экономического развития на территориях монопрофильных муниципальных образований Российской Федерации (моногородов): Постановление Правительства РФ от 22.06.2015 № 614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9. Hatsor L., Jelnov A. Industrial symbiosis: How to apply successfully: preprint // arXiv. 2024. arXiv:2411.08483. URL: https://arxiv.org/abs/2411.08483 (дата обращения: 13.10.2026).</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Ключевые слова:</w:t>
      </w:r>
      <w:r>
        <w:rPr>
          <w:rFonts w:ascii="Times New Roman" w:cs="Times New Roman" w:eastAsia="Times New Roman" w:hAnsi="Times New Roman"/>
          <w:b w:val="false"/>
          <w:bCs w:val="false"/>
          <w:i w:val="false"/>
          <w:iCs w:val="false"/>
          <w:sz w:val="24"/>
          <w:szCs w:val="24"/>
        </w:rPr>
        <w:t xml:space="preserve"> промышленная экосистема, равновесная связность, двухуровневая модель, якорное предприятие, ТОСЭР, моногород, вектор Шепли, эффект отдачи.</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industrial ecosystem, equilibrium connectivity, bilevel model, anchor enterprise, advanced development territory, single-industry town, Shapley value, rebound effect.</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Jin Y., Chang C.-T., Li S., Jiang D. On the use of risk-based Shapley values for cost sharing in interplant heat integration programs // Applied Energy. 2018. Vol. 211. P. 904–920. DOI: 10.1016/j.apenergy.2017.11.097.</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Tarski A. A lattice-theoretical fixpoint theorem and its applications // Pacific Journal of Mathematics. 1955. Vol. 5, no. 2. P. 285–309.</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Jackson M.O., Wolinsky A. A strategic model of social and economic networks // Journal of Economic Theory. 1996. Vol. 71, no. 1. P. 44–74.</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Gerarden T.D., Newell R.G., Stavins R.N. Assessing the energy-efficiency gap // Journal of Economic Literature. 2017. Vol. 55, no. 4. P. 1486–1525.</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Shapley L.S. A Value for n-Person Games // Contributions to the Theory of Games. Vol. II / ed. by H.W. Kuhn, A.W. Tucker. Princeton: Princeton University Press, 1953. P. 307–317.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d924b10f6199a2666154693e3362599865a2159.svg"/><Relationship Id="rId9" Type="http://schemas.openxmlformats.org/officeDocument/2006/relationships/image" Target="media/db57f8ae05eb1dd5a55d27c600c297091f831fa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2026-10-12T22:28:20.463Z</dcterms:created>
  <dcterms:modified xsi:type="dcterms:W3CDTF">2026-10-12T22:28:20.463Z</dcterms:modified>
</cp:coreProperties>
</file>

<file path=docProps/custom.xml><?xml version="1.0" encoding="utf-8"?>
<Properties xmlns="http://schemas.openxmlformats.org/officeDocument/2006/custom-properties" xmlns:vt="http://schemas.openxmlformats.org/officeDocument/2006/docPropsVTypes"/>
</file>