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ind w:firstLine="0"/>
        <w:jc w:val="left"/>
      </w:pPr>
      <w:r>
        <w:rPr>
          <w:rFonts w:ascii="Times New Roman" w:cs="Times New Roman" w:eastAsia="Times New Roman" w:hAnsi="Times New Roman"/>
          <w:sz w:val="24"/>
          <w:szCs w:val="24"/>
        </w:rPr>
        <w:t xml:space="preserve">УДК 338.45:332.1</w:t>
      </w:r>
    </w:p>
    <w:p>
      <w:pPr>
        <w:spacing w:after="0" w:before="0" w:line="360"/>
        <w:ind w:firstLine="0"/>
        <w:jc w:val="left"/>
      </w:pPr>
      <w:r>
        <w:rPr>
          <w:rFonts w:ascii="Times New Roman" w:cs="Times New Roman" w:eastAsia="Times New Roman" w:hAnsi="Times New Roman"/>
          <w:b/>
          <w:bCs/>
          <w:i w:val="false"/>
          <w:iCs w:val="false"/>
          <w:sz w:val="24"/>
          <w:szCs w:val="24"/>
        </w:rPr>
        <w:t xml:space="preserve">Гладков Кирилл Геннадьевич</w:t>
      </w:r>
      <w:r>
        <w:rPr>
          <w:rFonts w:ascii="Times New Roman" w:cs="Times New Roman" w:eastAsia="Times New Roman" w:hAnsi="Times New Roman"/>
          <w:sz w:val="24"/>
          <w:szCs w:val="24"/>
        </w:rPr>
        <w:t xml:space="preserve">,</w:t>
      </w:r>
    </w:p>
    <w:p>
      <w:pPr>
        <w:spacing w:after="0" w:before="0" w:line="360"/>
        <w:ind w:firstLine="0"/>
        <w:jc w:val="left"/>
      </w:pPr>
      <w:r>
        <w:rPr>
          <w:rFonts w:ascii="Times New Roman" w:cs="Times New Roman" w:eastAsia="Times New Roman" w:hAnsi="Times New Roman"/>
          <w:sz w:val="24"/>
          <w:szCs w:val="24"/>
        </w:rPr>
        <w:t xml:space="preserve">аспирант 2 курса направления подготовки Экономика</w:t>
      </w:r>
    </w:p>
    <w:p>
      <w:pPr>
        <w:spacing w:after="0" w:before="0" w:line="360"/>
        <w:ind w:firstLine="0"/>
        <w:jc w:val="left"/>
      </w:pPr>
      <w:r>
        <w:rPr>
          <w:rFonts w:ascii="Times New Roman" w:cs="Times New Roman" w:eastAsia="Times New Roman" w:hAnsi="Times New Roman"/>
          <w:sz w:val="24"/>
          <w:szCs w:val="24"/>
        </w:rPr>
        <w:t xml:space="preserve">ФГАОУ ВО «Северо-Кавказский федеральный университет»</w:t>
      </w:r>
    </w:p>
    <w:p>
      <w:pPr>
        <w:spacing w:after="120" w:before="120" w:line="360"/>
        <w:ind w:firstLine="0"/>
        <w:jc w:val="center"/>
      </w:pPr>
      <w:r>
        <w:rPr>
          <w:rFonts w:ascii="Times New Roman" w:cs="Times New Roman" w:eastAsia="Times New Roman" w:hAnsi="Times New Roman"/>
          <w:b/>
          <w:bCs/>
          <w:i w:val="false"/>
          <w:iCs w:val="false"/>
          <w:sz w:val="24"/>
          <w:szCs w:val="24"/>
        </w:rPr>
        <w:t xml:space="preserve">ПОРОГ КРИТИЧЕСКОЙ МАССЫ И УГЛЕРОДНАЯ СОСТАВЛЯЮЩАЯ СИМБИОТИЧЕСКОГО ДИВИДЕНДА В ЭКОСИСТЕМЕ С АЗОТНЫМ ЯКОРНЫМ ПРЕДПРИЯТИЕМ</w:t>
      </w:r>
    </w:p>
    <w:p>
      <w:pPr>
        <w:spacing w:after="0" w:before="0" w:line="360"/>
        <w:ind w:firstLine="709"/>
        <w:jc w:val="both"/>
      </w:pPr>
      <w:r>
        <w:rPr>
          <w:rFonts w:ascii="Times New Roman" w:cs="Times New Roman" w:eastAsia="Times New Roman" w:hAnsi="Times New Roman"/>
          <w:b/>
          <w:bCs/>
          <w:i w:val="false"/>
          <w:iCs w:val="false"/>
          <w:sz w:val="24"/>
          <w:szCs w:val="24"/>
        </w:rPr>
        <w:t xml:space="preserve">Гладков К.Г. Порог критической массы и углеродная составляющая симбиотического дивиденда в экосистеме с азотным якорным предприятием.</w:t>
      </w:r>
      <w:r>
        <w:rPr>
          <w:rFonts w:ascii="Times New Roman" w:cs="Times New Roman" w:eastAsia="Times New Roman" w:hAnsi="Times New Roman"/>
          <w:sz w:val="24"/>
          <w:szCs w:val="24"/>
        </w:rPr>
        <w:t xml:space="preserve"> В статье уточняется оценка дополнительного эффекта, который экоплатформа создаёт в промышленной экосистеме моногорода по сравнению с контрфактическим состоянием. Прежняя функция реализуемости завышала этот эффект по двум причинам: в ней нет порога критической массы, ниже которого платформа не приносит участникам выгоды, а прирост отсчитывался от пустой сети, хотя на «Невинномысском Азоте» с 2018 г. работает установка пищевой углекислоты. Выведена пороговая связность, с которой платформа начинает создавать прирост, и показано, что она снижается по мере институционального обучения участников. Дополнительный эффект разложен на рыночную и углеродную составляющие. По правилам механизма пограничной углеродной корректировки ЕС углеродная составляющая равна нулю для передачи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в карбамид, пищевую промышленность и теплицы и появляется лишь при постоянном химическом связывании в минеральных строительных карбонатах. Для обменов, которые делят одну мощность очистки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введена альтернативная стоимость потока.</w:t>
      </w:r>
    </w:p>
    <w:p>
      <w:pPr>
        <w:spacing w:after="0" w:before="120" w:line="360"/>
        <w:ind w:firstLine="0"/>
        <w:jc w:val="left"/>
      </w:pPr>
      <w:r>
        <w:rPr>
          <w:rFonts w:ascii="Times New Roman" w:cs="Times New Roman" w:eastAsia="Times New Roman" w:hAnsi="Times New Roman"/>
          <w:b/>
          <w:bCs/>
          <w:i w:val="false"/>
          <w:iCs w:val="false"/>
          <w:sz w:val="24"/>
          <w:szCs w:val="24"/>
        </w:rPr>
        <w:t xml:space="preserve">Gladkov Kirill Gennadievich,</w:t>
      </w:r>
    </w:p>
    <w:p>
      <w:pPr>
        <w:spacing w:after="0" w:before="0" w:line="360"/>
        <w:ind w:firstLine="0"/>
        <w:jc w:val="left"/>
      </w:pPr>
      <w:r>
        <w:rPr>
          <w:rFonts w:ascii="Times New Roman" w:cs="Times New Roman" w:eastAsia="Times New Roman" w:hAnsi="Times New Roman"/>
          <w:sz w:val="24"/>
          <w:szCs w:val="24"/>
        </w:rPr>
        <w:t xml:space="preserve">Second-Year PhD Student in Economics</w:t>
      </w:r>
    </w:p>
    <w:p>
      <w:pPr>
        <w:spacing w:after="0" w:before="0" w:line="360"/>
        <w:ind w:firstLine="0"/>
        <w:jc w:val="left"/>
      </w:pPr>
      <w:r>
        <w:rPr>
          <w:rFonts w:ascii="Times New Roman" w:cs="Times New Roman" w:eastAsia="Times New Roman" w:hAnsi="Times New Roman"/>
          <w:sz w:val="24"/>
          <w:szCs w:val="24"/>
        </w:rPr>
        <w:t xml:space="preserve">North-Caucasus Federal University</w:t>
      </w:r>
    </w:p>
    <w:p>
      <w:pPr>
        <w:spacing w:after="120" w:before="120" w:line="360"/>
        <w:ind w:firstLine="0"/>
        <w:jc w:val="center"/>
      </w:pPr>
      <w:r>
        <w:rPr>
          <w:rFonts w:ascii="Times New Roman" w:cs="Times New Roman" w:eastAsia="Times New Roman" w:hAnsi="Times New Roman"/>
          <w:b/>
          <w:bCs/>
          <w:i w:val="false"/>
          <w:iCs w:val="false"/>
          <w:sz w:val="24"/>
          <w:szCs w:val="24"/>
        </w:rPr>
        <w:t xml:space="preserve">CRITICAL-MASS THRESHOLD AND THE CARBON COMPONENT OF THE SYMBIOTIC DIVIDEND IN AN ECOSYSTEM WITH A NITROGEN ANCHOR ENTERPRISE</w:t>
      </w:r>
    </w:p>
    <w:p>
      <w:pPr>
        <w:spacing w:after="0" w:before="0" w:line="360"/>
        <w:ind w:firstLine="709"/>
        <w:jc w:val="both"/>
      </w:pPr>
      <w:r>
        <w:rPr>
          <w:rFonts w:ascii="Times New Roman" w:cs="Times New Roman" w:eastAsia="Times New Roman" w:hAnsi="Times New Roman"/>
          <w:b/>
          <w:bCs/>
          <w:i w:val="false"/>
          <w:iCs w:val="false"/>
          <w:sz w:val="24"/>
          <w:szCs w:val="24"/>
        </w:rPr>
        <w:t xml:space="preserve">Gladkov K.G. Critical-Mass Threshold and the Carbon Component of the Symbiotic Dividend in an Ecosystem with a Nitrogen Anchor Enterprise.</w:t>
      </w:r>
      <w:r>
        <w:rPr>
          <w:rFonts w:ascii="Times New Roman" w:cs="Times New Roman" w:eastAsia="Times New Roman" w:hAnsi="Times New Roman"/>
          <w:sz w:val="24"/>
          <w:szCs w:val="24"/>
        </w:rPr>
        <w:t xml:space="preserve"> The article refines the estimate of the additional effect that an eco-platform creates in the industrial ecosystem of a single-industry town relative to the counterfactual state. The earlier feasibility function overstated this effect for two reasons: it contained no critical-mass threshold below which the platform brings no benefit to participants, and the gain was measured from an empty network, although a food-grade carbon dioxide unit has operated at Nevinnomyssky Azot since 2018. The threshold connectivity at which the platform starts to create a gain is derived and shown to decrease as participants learn institutionally. The additional effect is decomposed into market and carbon components. Under the rules of the EU Carbon Border Adjustment Mechanism, the carbon component is zero for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transferred to urea, the food industry and greenhouses, and arises only when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is permanently chemically bound in mineral construction carbonates. For exchanges sharing one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purification capacity, the opportunity cost of the flow is introduced.</w:t>
      </w:r>
    </w:p>
    <w:p>
      <w:pPr>
        <w:spacing w:after="0" w:before="0" w:line="360"/>
        <w:ind w:firstLine="709"/>
        <w:jc w:val="both"/>
      </w:pPr>
      <w:r>
        <w:rPr>
          <w:rFonts w:ascii="Times New Roman" w:cs="Times New Roman" w:eastAsia="Times New Roman" w:hAnsi="Times New Roman"/>
          <w:b/>
          <w:bCs/>
          <w:i w:val="false"/>
          <w:iCs w:val="false"/>
          <w:sz w:val="24"/>
          <w:szCs w:val="24"/>
        </w:rPr>
        <w:t xml:space="preserve">Постановка проблемы.</w:t>
      </w:r>
      <w:r>
        <w:rPr>
          <w:rFonts w:ascii="Times New Roman" w:cs="Times New Roman" w:eastAsia="Times New Roman" w:hAnsi="Times New Roman"/>
          <w:sz w:val="24"/>
          <w:szCs w:val="24"/>
        </w:rPr>
        <w:t xml:space="preserve"> На предыдущем этапе исследования симбиотический дивиденд экосистемы Невинномысска был определён как доля α дополнительного эффекта </w:t>
      </w:r>
      <m:oMath>
        <m:r>
          <m:rPr>
            <m:sty m:val="p"/>
          </m:rPr>
          <w:rPr>
            <w:rFonts w:ascii="Cambria Math" w:hAnsi="Cambria Math" w:cs="Cambria Math"/>
            <w:sz w:val="24"/>
            <w:szCs w:val="24"/>
          </w:rPr>
          <m:t xml:space="preserve">Δ</m:t>
        </m:r>
        <m:r>
          <m:rPr>
            <m:sty m:val="i"/>
          </m:rPr>
          <w:rPr>
            <w:rFonts w:ascii="Cambria Math" w:hAnsi="Cambria Math" w:cs="Cambria Math"/>
            <w:sz w:val="24"/>
            <w:szCs w:val="24"/>
          </w:rPr>
          <m:t xml:space="preserve">E</m:t>
        </m:r>
      </m:oMath>
      <w:r>
        <w:rPr>
          <w:rFonts w:ascii="Times New Roman" w:cs="Times New Roman" w:eastAsia="Times New Roman" w:hAnsi="Times New Roman"/>
          <w:sz w:val="24"/>
          <w:szCs w:val="24"/>
        </w:rPr>
        <w:t xml:space="preserve">, а сам эффект измерялся относительно контрфактического состояния «без платформы». Реализуемость эффекта описывалась функцией </w:t>
      </w:r>
      <m:oMath>
        <m:r>
          <m:rPr>
            <m:sty m:val="i"/>
          </m:rPr>
          <w:rPr>
            <w:rFonts w:ascii="Cambria Math" w:hAnsi="Cambria Math" w:cs="Cambria Math"/>
            <w:sz w:val="24"/>
            <w:szCs w:val="24"/>
          </w:rPr>
          <m:t xml:space="preserve">φ</m:t>
        </m:r>
        <m:d>
          <m:dPr>
            <m:begChr m:val="("/>
            <m:endChr m:val=")"/>
            <m:ctrlPr>
              <w:rPr>
                <w:rFonts w:ascii="Cambria Math" w:hAnsi="Cambria Math" w:cs="Cambria Math"/>
                <w:sz w:val="24"/>
                <w:szCs w:val="24"/>
              </w:rPr>
            </m:ctrlPr>
          </m:dPr>
          <m:e>
            <m:r>
              <m:rPr>
                <m:sty m:val="i"/>
              </m:rPr>
              <w:rPr>
                <w:rFonts w:ascii="Cambria Math" w:hAnsi="Cambria Math" w:cs="Cambria Math"/>
                <w:sz w:val="24"/>
                <w:szCs w:val="24"/>
              </w:rPr>
              <m:t xml:space="preserve">C</m:t>
            </m:r>
          </m:e>
        </m:d>
        <m:r>
          <m:rPr>
            <m:sty m:val="p"/>
          </m:rPr>
          <w:rPr>
            <w:rFonts w:ascii="Cambria Math" w:hAnsi="Cambria Math" w:cs="Cambria Math"/>
            <w:sz w:val="24"/>
            <w:szCs w:val="24"/>
          </w:rPr>
          <m:t xml:space="preserve">=1−</m:t>
        </m:r>
        <m:sSup>
          <m:sSupPr>
            <m:ctrlPr>
              <w:rPr>
                <w:rFonts w:ascii="Cambria Math" w:hAnsi="Cambria Math" w:cs="Cambria Math"/>
                <w:sz w:val="24"/>
                <w:szCs w:val="24"/>
              </w:rPr>
            </m:ctrlPr>
          </m:sSupPr>
          <m:e>
            <m:r>
              <m:rPr>
                <m:sty m:val="p"/>
              </m:rPr>
              <w:rPr>
                <w:rFonts w:ascii="Cambria Math" w:hAnsi="Cambria Math" w:cs="Cambria Math"/>
                <w:sz w:val="24"/>
                <w:szCs w:val="24"/>
              </w:rPr>
              <m:t xml:space="preserve">e</m:t>
            </m:r>
          </m:e>
          <m:sup>
            <m:r>
              <m:rPr>
                <m:sty m:val="p"/>
              </m:rPr>
              <w:rPr>
                <w:rFonts w:ascii="Cambria Math" w:hAnsi="Cambria Math" w:cs="Cambria Math"/>
                <w:sz w:val="24"/>
                <w:szCs w:val="24"/>
              </w:rPr>
              <m:t xml:space="preserve">−</m:t>
            </m:r>
            <m:r>
              <m:rPr>
                <m:sty m:val="i"/>
              </m:rPr>
              <w:rPr>
                <w:rFonts w:ascii="Cambria Math" w:hAnsi="Cambria Math" w:cs="Cambria Math"/>
                <w:sz w:val="24"/>
                <w:szCs w:val="24"/>
              </w:rPr>
              <m:t xml:space="preserve">k</m:t>
            </m:r>
            <m:r>
              <m:rPr>
                <m:sty m:val="i"/>
              </m:rPr>
              <w:rPr>
                <w:rFonts w:ascii="Cambria Math" w:hAnsi="Cambria Math" w:cs="Cambria Math"/>
                <w:sz w:val="24"/>
                <w:szCs w:val="24"/>
              </w:rPr>
              <m:t xml:space="preserve">C</m:t>
            </m:r>
          </m:sup>
        </m:sSup>
      </m:oMath>
      <w:r>
        <w:rPr>
          <w:rFonts w:ascii="Times New Roman" w:cs="Times New Roman" w:eastAsia="Times New Roman" w:hAnsi="Times New Roman"/>
          <w:sz w:val="24"/>
          <w:szCs w:val="24"/>
        </w:rPr>
        <w:t xml:space="preserve"> от индекса связности </w:t>
      </w:r>
      <m:oMath>
        <m:r>
          <m:rPr>
            <m:sty m:val="i"/>
          </m:rPr>
          <w:rPr>
            <w:rFonts w:ascii="Cambria Math" w:hAnsi="Cambria Math" w:cs="Cambria Math"/>
            <w:sz w:val="24"/>
            <w:szCs w:val="24"/>
          </w:rPr>
          <m:t xml:space="preserve">C</m:t>
        </m:r>
      </m:oMath>
      <w:r>
        <w:rPr>
          <w:rFonts w:ascii="Times New Roman" w:cs="Times New Roman" w:eastAsia="Times New Roman" w:hAnsi="Times New Roman"/>
          <w:sz w:val="24"/>
          <w:szCs w:val="24"/>
        </w:rPr>
        <w:t xml:space="preserve">. В этой записи скрыты два допущения. Первое: любая ненулевая связность уже приносит участникам выгоду. Второе: в контрфактическом состоянии сеть пуста.</w:t>
      </w:r>
    </w:p>
    <w:p>
      <w:pPr>
        <w:spacing w:after="0" w:before="0" w:line="360"/>
        <w:ind w:firstLine="709"/>
        <w:jc w:val="both"/>
      </w:pPr>
      <w:r>
        <w:rPr>
          <w:rFonts w:ascii="Times New Roman" w:cs="Times New Roman" w:eastAsia="Times New Roman" w:hAnsi="Times New Roman"/>
          <w:sz w:val="24"/>
          <w:szCs w:val="24"/>
        </w:rPr>
        <w:t xml:space="preserve">Для Невинномысска второе допущение неверно фактически. В декабре 2018 г. на «Невинномысском Азоте» запущена установка пищевой углекислоты мощностью 32 тыс. т в год стоимостью около 7,5 млн долл.; продукт идёт производителям газированных напитков, на сухой лёд, подкормку теплиц и пожаротушение</w:t>
      </w:r>
      <w:r>
        <w:rPr>
          <w:rStyle w:val="FootnoteReference"/>
        </w:rPr>
        <w:footnoteReference w:id="1"/>
      </w:r>
      <w:r>
        <w:rPr>
          <w:rFonts w:ascii="Times New Roman" w:cs="Times New Roman" w:eastAsia="Times New Roman" w:hAnsi="Times New Roman"/>
          <w:sz w:val="24"/>
          <w:szCs w:val="24"/>
        </w:rPr>
        <w:t xml:space="preserve">. Часть потенциального эффекта от передачи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реализуется без всякой платформы, и засчитывать её платформе нельзя.</w:t>
      </w:r>
    </w:p>
    <w:p>
      <w:pPr>
        <w:spacing w:after="0" w:before="0" w:line="360"/>
        <w:ind w:firstLine="709"/>
        <w:jc w:val="both"/>
      </w:pPr>
      <w:r>
        <w:rPr>
          <w:rFonts w:ascii="Times New Roman" w:cs="Times New Roman" w:eastAsia="Times New Roman" w:hAnsi="Times New Roman"/>
          <w:sz w:val="24"/>
          <w:szCs w:val="24"/>
        </w:rPr>
        <w:t xml:space="preserve">Третье обстоятельство появилось в 2026 г. С 1 января механизм пограничной углеродной корректировки ЕС (CBAM) перешёл в окончательный режим, при котором импортёры удобрений покупают сертификаты на выбросы, воплощённые в товаре [1]. Первая квартальная цена сертификата, опубликованная Еврокомиссией 7 апреля 2026 г., составила 75,36 евро за тонну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-экв. [2]. Велик соблазн оценить каждую тонну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переданную якорем соседям, по этой цене. Право на такую оценку определяется правилами учёта CBAM, а не химией процесса.</w:t>
      </w:r>
    </w:p>
    <w:p>
      <w:pPr>
        <w:spacing w:after="0" w:before="0" w:line="360"/>
        <w:ind w:firstLine="709"/>
        <w:jc w:val="both"/>
      </w:pPr>
      <w:r>
        <w:rPr>
          <w:rFonts w:ascii="Times New Roman" w:cs="Times New Roman" w:eastAsia="Times New Roman" w:hAnsi="Times New Roman"/>
          <w:b/>
          <w:bCs/>
          <w:i w:val="false"/>
          <w:iCs w:val="false"/>
          <w:sz w:val="24"/>
          <w:szCs w:val="24"/>
        </w:rPr>
        <w:t xml:space="preserve">Анализ последних исследований и публикаций.</w:t>
      </w:r>
      <w:r>
        <w:rPr>
          <w:rFonts w:ascii="Times New Roman" w:cs="Times New Roman" w:eastAsia="Times New Roman" w:hAnsi="Times New Roman"/>
          <w:sz w:val="24"/>
          <w:szCs w:val="24"/>
        </w:rPr>
        <w:t xml:space="preserve"> Порог критической массы для платформ промышленного симбиоза обнаружил Л. Фраккашия на агентной модели: ниже минимальной доли компаний, пользующихся платформой, она не приносит дополнительной выгоды, а выше порога выгода каждого пользователя растёт с числом остальных</w:t>
      </w:r>
      <w:r>
        <w:rPr>
          <w:rStyle w:val="FootnoteReference"/>
        </w:rPr>
        <w:footnoteReference w:id="2"/>
      </w:r>
      <w:r>
        <w:rPr>
          <w:rFonts w:ascii="Times New Roman" w:cs="Times New Roman" w:eastAsia="Times New Roman" w:hAnsi="Times New Roman"/>
          <w:sz w:val="24"/>
          <w:szCs w:val="24"/>
        </w:rPr>
        <w:t xml:space="preserve">. М. Моллика, Л. Фраккашия и А. Настази показали, что успех такой платформы держится на доверии: при его укреплении подписчиков удаётся привлекать умеренной платой [3]. Значит, порог задан не технологией, и институты способны его сдвигать.</w:t>
      </w:r>
    </w:p>
    <w:p>
      <w:pPr>
        <w:spacing w:after="0" w:before="0" w:line="360"/>
        <w:ind w:firstLine="709"/>
        <w:jc w:val="both"/>
      </w:pPr>
      <w:r>
        <w:rPr>
          <w:rFonts w:ascii="Times New Roman" w:cs="Times New Roman" w:eastAsia="Times New Roman" w:hAnsi="Times New Roman"/>
          <w:sz w:val="24"/>
          <w:szCs w:val="24"/>
        </w:rPr>
        <w:t xml:space="preserve">Механизм смещения описан в работе Д. Язана, В. Яздангпанаха и Л. Фраккашии. Компании, обменивающиеся отходами, торгуются о разделе дополнительных затрат на перевозку, обработку и сделку; агентная имитация повторяющейся игры показала, что игроки со временем усваивают выгодность «справедливой» стратегии, хотя в коротком периоде оппортунизм даёт больше</w:t>
      </w:r>
      <w:r>
        <w:rPr>
          <w:rStyle w:val="FootnoteReference"/>
        </w:rPr>
        <w:footnoteReference w:id="3"/>
      </w:r>
      <w:r>
        <w:rPr>
          <w:rFonts w:ascii="Times New Roman" w:cs="Times New Roman" w:eastAsia="Times New Roman" w:hAnsi="Times New Roman"/>
          <w:sz w:val="24"/>
          <w:szCs w:val="24"/>
        </w:rPr>
        <w:t xml:space="preserve">. Ю. Дун, Ч. Лю и М. Чжао рассмотрели симбиоз при экологическом налоге: ставка, при которой отходы перерабатываются полностью, в децентрализованной цепи выше, чем в интегрированной [4]. Для экосистемы с независимыми резидентами это означает более высокий порог включения, чем у вертикально интегрированного холдинга.</w:t>
      </w:r>
    </w:p>
    <w:p>
      <w:pPr>
        <w:spacing w:after="0" w:before="0" w:line="360"/>
        <w:ind w:firstLine="709"/>
        <w:jc w:val="both"/>
      </w:pPr>
      <w:r>
        <w:rPr>
          <w:rFonts w:ascii="Times New Roman" w:cs="Times New Roman" w:eastAsia="Times New Roman" w:hAnsi="Times New Roman"/>
          <w:sz w:val="24"/>
          <w:szCs w:val="24"/>
        </w:rPr>
        <w:t xml:space="preserve">В российской литературе А.Л. Белых выделил пять моделей формирования симбиоза, различая плановые модели по тому, коммерческий ли лидер и участвует ли он в обменах ресурсами [5]. Невинномысск относится к плановой модели с коммерческим лидером-участником: «Азот» одновременно поставщик потоков и их главный бенефициар. И.Ю. Блам и С.Ю. Ковалев обосновали значение симбиоза для декарбонизации на фоне ужесточения климатической политики [6]. Правила признания переданного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в углеродном следе продукции тогда ещё не были установлены: делегированный регламент ЕС о постоянном химическом связывании принят в 2024 г. [7].</w:t>
      </w:r>
    </w:p>
    <w:p>
      <w:pPr>
        <w:spacing w:after="0" w:before="0" w:line="360"/>
        <w:ind w:firstLine="709"/>
        <w:jc w:val="both"/>
      </w:pPr>
      <w:r>
        <w:rPr>
          <w:rFonts w:ascii="Times New Roman" w:cs="Times New Roman" w:eastAsia="Times New Roman" w:hAnsi="Times New Roman"/>
          <w:sz w:val="24"/>
          <w:szCs w:val="24"/>
        </w:rPr>
        <w:t xml:space="preserve">Эмпирическую опору даёт оценка А.В. Зубарева и Я.П. Мотякиной по 272 моногородам за 2015–2021 гг., из которых 82 получили статус ТОР. В год присвоения статуса число действующих предприятий растёт на 2–4 %, через два года более чем на 8 %, но доля занятых на градообразующем предприятии статистически значимо не снижается [8]. Число участников увеличивается, а зависимость от якоря остаётся прежней. Такую картину и даёт сеть, не преодолевшая порога связности.</w:t>
      </w:r>
    </w:p>
    <w:p>
      <w:pPr>
        <w:spacing w:after="0" w:before="0" w:line="360"/>
        <w:ind w:firstLine="709"/>
        <w:jc w:val="both"/>
      </w:pPr>
      <w:r>
        <w:rPr>
          <w:rFonts w:ascii="Times New Roman" w:cs="Times New Roman" w:eastAsia="Times New Roman" w:hAnsi="Times New Roman"/>
          <w:sz w:val="24"/>
          <w:szCs w:val="24"/>
        </w:rPr>
        <w:t xml:space="preserve">Ближайший зарубежный аналог связки «азотный завод – теплицы» – проект WarmCO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в Нидерландах. С 2008 г. остаточное тепло (1 700 ТДж в год) и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(60 тыс. т в год) завода Yara Sluiskil по 15 км трубопроводов поступают в тепличный комплекс площадью 100 га с расширением до 150 га; проект реализован как государственно-частное партнёрство порта Zeeland Seaports и Yara. Поставщик признаёт, что несёт существенные операционные и экономические риски, а отдача на вложения ниже, чем у других его промышленных проектов</w:t>
      </w:r>
      <w:r>
        <w:rPr>
          <w:rStyle w:val="FootnoteReference"/>
        </w:rPr>
        <w:footnoteReference w:id="4"/>
      </w:r>
      <w:r>
        <w:rPr>
          <w:rFonts w:ascii="Times New Roman" w:cs="Times New Roman" w:eastAsia="Times New Roman" w:hAnsi="Times New Roman"/>
          <w:sz w:val="24"/>
          <w:szCs w:val="24"/>
        </w:rPr>
        <w:t xml:space="preserve">. Этот опыт важен для оценки альтернативной стоимости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один поток распределяется между несколькими направлениями использования.</w:t>
      </w:r>
    </w:p>
    <w:p>
      <w:pPr>
        <w:spacing w:after="0" w:before="0" w:line="360"/>
        <w:ind w:firstLine="709"/>
        <w:jc w:val="both"/>
      </w:pPr>
      <w:r>
        <w:rPr>
          <w:rFonts w:ascii="Times New Roman" w:cs="Times New Roman" w:eastAsia="Times New Roman" w:hAnsi="Times New Roman"/>
          <w:b/>
          <w:bCs/>
          <w:i w:val="false"/>
          <w:iCs w:val="false"/>
          <w:sz w:val="24"/>
          <w:szCs w:val="24"/>
        </w:rPr>
        <w:t xml:space="preserve">Цель исследования</w:t>
      </w:r>
      <w:r>
        <w:rPr>
          <w:rFonts w:ascii="Times New Roman" w:cs="Times New Roman" w:eastAsia="Times New Roman" w:hAnsi="Times New Roman"/>
          <w:sz w:val="24"/>
          <w:szCs w:val="24"/>
        </w:rPr>
        <w:t xml:space="preserve"> – уточнить модель оценки дополнительного эффекта промышленной экосистемы с азотным якорным предприятием, введя порог критической массы, базовую связность контрфактического состояния, правила признания углеродной составляющей и альтернативную стоимость потока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и сформулировать проверяемые следствия уточнённой модели.</w:t>
      </w:r>
    </w:p>
    <w:p>
      <w:pPr>
        <w:spacing w:after="0" w:before="0" w:line="360"/>
        <w:ind w:firstLine="709"/>
        <w:jc w:val="both"/>
      </w:pPr>
      <w:r>
        <w:rPr>
          <w:rFonts w:ascii="Times New Roman" w:cs="Times New Roman" w:eastAsia="Times New Roman" w:hAnsi="Times New Roman"/>
          <w:b/>
          <w:bCs/>
          <w:i w:val="false"/>
          <w:iCs w:val="false"/>
          <w:sz w:val="24"/>
          <w:szCs w:val="24"/>
        </w:rPr>
        <w:t xml:space="preserve">Изложение основного материала.</w:t>
      </w:r>
      <w:r>
        <w:rPr>
          <w:rFonts w:ascii="Times New Roman" w:cs="Times New Roman" w:eastAsia="Times New Roman" w:hAnsi="Times New Roman"/>
          <w:sz w:val="24"/>
          <w:szCs w:val="24"/>
        </w:rPr>
        <w:t xml:space="preserve"> Порог критической массы вводится в функцию реализуемости явно:</w:t>
      </w:r>
    </w:p>
    <w:p>
      <w:pPr>
        <w:tabs>
          <w:tab w:val="center" w:pos="4819"/>
          <w:tab w:val="right" w:pos="9637"/>
        </w:tabs>
        <w:spacing w:after="60" w:before="60" w:line="360"/>
        <w:ind w:firstLine="0"/>
        <w:jc w:val="left"/>
      </w:pPr>
      <w:r>
        <w:rPr>
          <w:rFonts w:ascii="Times New Roman" w:cs="Times New Roman" w:eastAsia="Times New Roman" w:hAnsi="Times New Roman"/>
          <w:sz w:val="24"/>
          <w:szCs w:val="24"/>
        </w:rPr>
        <w:tab/>
      </w:r>
      <m:oMath>
        <m:r>
          <m:rPr>
            <m:sty m:val="i"/>
          </m:rPr>
          <w:rPr>
            <w:rFonts w:ascii="Cambria Math" w:hAnsi="Cambria Math" w:cs="Cambria Math"/>
            <w:sz w:val="24"/>
            <w:szCs w:val="24"/>
          </w:rPr>
          <m:t xml:space="preserve">φ</m:t>
        </m:r>
        <m:d>
          <m:dPr>
            <m:begChr m:val="("/>
            <m:endChr m:val=")"/>
            <m:ctrlPr>
              <w:rPr>
                <w:rFonts w:ascii="Cambria Math" w:hAnsi="Cambria Math" w:cs="Cambria Math"/>
                <w:sz w:val="24"/>
                <w:szCs w:val="24"/>
              </w:rPr>
            </m:ctrlPr>
          </m:dPr>
          <m:e>
            <m:r>
              <m:rPr>
                <m:sty m:val="i"/>
              </m:rPr>
              <w:rPr>
                <w:rFonts w:ascii="Cambria Math" w:hAnsi="Cambria Math" w:cs="Cambria Math"/>
                <w:sz w:val="24"/>
                <w:szCs w:val="24"/>
              </w:rPr>
              <m:t xml:space="preserve">C</m:t>
            </m:r>
          </m:e>
        </m:d>
        <m:r>
          <m:rPr>
            <m:sty m:val="p"/>
          </m:rPr>
          <w:rPr>
            <w:rFonts w:ascii="Cambria Math" w:hAnsi="Cambria Math" w:cs="Cambria Math"/>
            <w:sz w:val="24"/>
            <w:szCs w:val="24"/>
          </w:rPr>
          <m:t xml:space="preserve">=</m:t>
        </m:r>
        <m:d>
          <m:dPr>
            <m:begChr m:val="{"/>
            <m:endChr m:val=""/>
            <m:ctrlPr>
              <w:rPr>
                <w:rFonts w:ascii="Cambria Math" w:hAnsi="Cambria Math" w:cs="Cambria Math"/>
                <w:sz w:val="24"/>
                <w:szCs w:val="24"/>
              </w:rPr>
            </m:ctrlPr>
          </m:dPr>
          <m:e>
            <m:eqArr>
              <m:e>
                <m:r>
                  <m:rPr>
                    <m:sty m:val="p"/>
                  </m:rPr>
                  <w:rPr>
                    <w:rFonts w:ascii="Cambria Math" w:hAnsi="Cambria Math" w:cs="Cambria Math"/>
                    <w:sz w:val="24"/>
                    <w:szCs w:val="24"/>
                  </w:rPr>
                  <m:t xml:space="preserve">0,  </m:t>
                </m:r>
                <m:r>
                  <m:rPr>
                    <m:sty m:val="i"/>
                  </m:rPr>
                  <w:rPr>
                    <w:rFonts w:ascii="Cambria Math" w:hAnsi="Cambria Math" w:cs="Cambria Math"/>
                    <w:sz w:val="24"/>
                    <w:szCs w:val="24"/>
                  </w:rPr>
                  <m:t xml:space="preserve">C</m:t>
                </m:r>
                <m:r>
                  <m:rPr>
                    <m:sty m:val="p"/>
                  </m:rPr>
                  <w:rPr>
                    <w:rFonts w:ascii="Cambria Math" w:hAnsi="Cambria Math" w:cs="Cambria Math"/>
                    <w:sz w:val="24"/>
                    <w:szCs w:val="24"/>
                  </w:rPr>
                  <m:t xml:space="preserve">&lt;</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C</m:t>
                    </m:r>
                  </m:e>
                  <m:sub>
                    <m:r>
                      <m:rPr>
                        <m:sty m:val="p"/>
                      </m:rPr>
                      <w:rPr>
                        <w:rFonts w:ascii="Cambria Math" w:hAnsi="Cambria Math" w:cs="Cambria Math"/>
                        <w:sz w:val="24"/>
                        <w:szCs w:val="24"/>
                      </w:rPr>
                      <m:t xml:space="preserve">min</m:t>
                    </m:r>
                  </m:sub>
                </m:sSub>
                <m:r>
                  <m:rPr>
                    <m:sty m:val="p"/>
                  </m:rPr>
                  <w:rPr>
                    <w:rFonts w:ascii="Cambria Math" w:hAnsi="Cambria Math" w:cs="Cambria Math"/>
                    <w:sz w:val="24"/>
                    <w:szCs w:val="24"/>
                  </w:rPr>
                  <m:t xml:space="preserve">;</m:t>
                </m:r>
              </m:e>
              <m:e>
                <m:r>
                  <m:rPr>
                    <m:sty m:val="p"/>
                  </m:rPr>
                  <w:rPr>
                    <w:rFonts w:ascii="Cambria Math" w:hAnsi="Cambria Math" w:cs="Cambria Math"/>
                    <w:sz w:val="24"/>
                    <w:szCs w:val="24"/>
                  </w:rPr>
                  <m:t xml:space="preserve">1−</m:t>
                </m:r>
                <m:sSup>
                  <m:sSupPr>
                    <m:ctrlPr>
                      <w:rPr>
                        <w:rFonts w:ascii="Cambria Math" w:hAnsi="Cambria Math" w:cs="Cambria Math"/>
                        <w:sz w:val="24"/>
                        <w:szCs w:val="24"/>
                      </w:rPr>
                    </m:ctrlPr>
                  </m:sSupPr>
                  <m:e>
                    <m:r>
                      <m:rPr>
                        <m:sty m:val="p"/>
                      </m:rPr>
                      <w:rPr>
                        <w:rFonts w:ascii="Cambria Math" w:hAnsi="Cambria Math" w:cs="Cambria Math"/>
                        <w:sz w:val="24"/>
                        <w:szCs w:val="24"/>
                      </w:rPr>
                      <m:t xml:space="preserve">e</m:t>
                    </m:r>
                  </m:e>
                  <m:sup>
                    <m:r>
                      <m:rPr>
                        <m:sty m:val="p"/>
                      </m:rPr>
                      <w:rPr>
                        <w:rFonts w:ascii="Cambria Math" w:hAnsi="Cambria Math" w:cs="Cambria Math"/>
                        <w:sz w:val="24"/>
                        <w:szCs w:val="24"/>
                      </w:rPr>
                      <m:t xml:space="preserve">−</m:t>
                    </m:r>
                    <m:r>
                      <m:rPr>
                        <m:sty m:val="i"/>
                      </m:rPr>
                      <w:rPr>
                        <w:rFonts w:ascii="Cambria Math" w:hAnsi="Cambria Math" w:cs="Cambria Math"/>
                        <w:sz w:val="24"/>
                        <w:szCs w:val="24"/>
                      </w:rPr>
                      <m:t xml:space="preserve">k</m:t>
                    </m:r>
                    <m:d>
                      <m:dPr>
                        <m:begChr m:val="("/>
                        <m:endChr m:val=")"/>
                        <m:ctrlPr>
                          <w:rPr>
                            <w:rFonts w:ascii="Cambria Math" w:hAnsi="Cambria Math" w:cs="Cambria Math"/>
                            <w:sz w:val="24"/>
                            <w:szCs w:val="24"/>
                          </w:rPr>
                        </m:ctrlPr>
                      </m:dPr>
                      <m:e>
                        <m:r>
                          <m:rPr>
                            <m:sty m:val="i"/>
                          </m:rPr>
                          <w:rPr>
                            <w:rFonts w:ascii="Cambria Math" w:hAnsi="Cambria Math" w:cs="Cambria Math"/>
                            <w:sz w:val="24"/>
                            <w:szCs w:val="24"/>
                          </w:rPr>
                          <m:t xml:space="preserve">C</m:t>
                        </m:r>
                        <m:r>
                          <m:rPr>
                            <m:sty m:val="p"/>
                          </m:rPr>
                          <w:rPr>
                            <w:rFonts w:ascii="Cambria Math" w:hAnsi="Cambria Math" w:cs="Cambria Math"/>
                            <w:sz w:val="24"/>
                            <w:szCs w:val="24"/>
                          </w:rPr>
                          <m:t xml:space="preserve">−</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C</m:t>
                            </m:r>
                          </m:e>
                          <m:sub>
                            <m:r>
                              <m:rPr>
                                <m:sty m:val="p"/>
                              </m:rPr>
                              <w:rPr>
                                <w:rFonts w:ascii="Cambria Math" w:hAnsi="Cambria Math" w:cs="Cambria Math"/>
                                <w:sz w:val="24"/>
                                <w:szCs w:val="24"/>
                              </w:rPr>
                              <m:t xml:space="preserve">min</m:t>
                            </m:r>
                          </m:sub>
                        </m:sSub>
                      </m:e>
                    </m:d>
                  </m:sup>
                </m:sSup>
                <m:r>
                  <m:rPr>
                    <m:sty m:val="p"/>
                  </m:rPr>
                  <w:rPr>
                    <w:rFonts w:ascii="Cambria Math" w:hAnsi="Cambria Math" w:cs="Cambria Math"/>
                    <w:sz w:val="24"/>
                    <w:szCs w:val="24"/>
                  </w:rPr>
                  <m:t xml:space="preserve">,  </m:t>
                </m:r>
                <m:r>
                  <m:rPr>
                    <m:sty m:val="i"/>
                  </m:rPr>
                  <w:rPr>
                    <w:rFonts w:ascii="Cambria Math" w:hAnsi="Cambria Math" w:cs="Cambria Math"/>
                    <w:sz w:val="24"/>
                    <w:szCs w:val="24"/>
                  </w:rPr>
                  <m:t xml:space="preserve">C</m:t>
                </m:r>
                <m:r>
                  <m:rPr>
                    <m:sty m:val="p"/>
                  </m:rPr>
                  <w:rPr>
                    <w:rFonts w:ascii="Cambria Math" w:hAnsi="Cambria Math" w:cs="Cambria Math"/>
                    <w:sz w:val="24"/>
                    <w:szCs w:val="24"/>
                  </w:rPr>
                  <m:t xml:space="preserve">≥</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C</m:t>
                    </m:r>
                  </m:e>
                  <m:sub>
                    <m:r>
                      <m:rPr>
                        <m:sty m:val="p"/>
                      </m:rPr>
                      <w:rPr>
                        <w:rFonts w:ascii="Cambria Math" w:hAnsi="Cambria Math" w:cs="Cambria Math"/>
                        <w:sz w:val="24"/>
                        <w:szCs w:val="24"/>
                      </w:rPr>
                      <m:t xml:space="preserve">min</m:t>
                    </m:r>
                  </m:sub>
                </m:sSub>
              </m:e>
            </m:eqArr>
          </m:e>
        </m:d>
      </m:oMath>
      <w:r>
        <w:rPr>
          <w:rFonts w:ascii="Times New Roman" w:cs="Times New Roman" w:eastAsia="Times New Roman" w:hAnsi="Times New Roman"/>
          <w:sz w:val="24"/>
          <w:szCs w:val="24"/>
        </w:rPr>
        <w:tab/>
        <w:t xml:space="preserve">(1)</w:t>
      </w:r>
    </w:p>
    <w:p>
      <w:pPr>
        <w:spacing w:after="0" w:before="0" w:line="360"/>
        <w:ind w:firstLine="0"/>
        <w:jc w:val="both"/>
      </w:pPr>
      <w:r>
        <w:rPr>
          <w:rFonts w:ascii="Times New Roman" w:cs="Times New Roman" w:eastAsia="Times New Roman" w:hAnsi="Times New Roman"/>
          <w:sz w:val="24"/>
          <w:szCs w:val="24"/>
        </w:rPr>
        <w:t xml:space="preserve">где </w:t>
      </w:r>
      <m:oMath>
        <m:r>
          <m:rPr>
            <m:sty m:val="i"/>
          </m:rPr>
          <w:rPr>
            <w:rFonts w:ascii="Cambria Math" w:hAnsi="Cambria Math" w:cs="Cambria Math"/>
            <w:sz w:val="24"/>
            <w:szCs w:val="24"/>
          </w:rPr>
          <m:t xml:space="preserve">φ</m:t>
        </m:r>
        <m:d>
          <m:dPr>
            <m:begChr m:val="("/>
            <m:endChr m:val=")"/>
            <m:ctrlPr>
              <w:rPr>
                <w:rFonts w:ascii="Cambria Math" w:hAnsi="Cambria Math" w:cs="Cambria Math"/>
                <w:sz w:val="24"/>
                <w:szCs w:val="24"/>
              </w:rPr>
            </m:ctrlPr>
          </m:dPr>
          <m:e>
            <m:r>
              <m:rPr>
                <m:sty m:val="i"/>
              </m:rPr>
              <w:rPr>
                <w:rFonts w:ascii="Cambria Math" w:hAnsi="Cambria Math" w:cs="Cambria Math"/>
                <w:sz w:val="24"/>
                <w:szCs w:val="24"/>
              </w:rPr>
              <m:t xml:space="preserve">C</m:t>
            </m:r>
          </m:e>
        </m:d>
      </m:oMath>
      <w:r>
        <w:rPr>
          <w:rFonts w:ascii="Times New Roman" w:cs="Times New Roman" w:eastAsia="Times New Roman" w:hAnsi="Times New Roman"/>
          <w:sz w:val="24"/>
          <w:szCs w:val="24"/>
        </w:rPr>
        <w:t xml:space="preserve"> – доля потенциального эффекта, реализуемая при связности </w:t>
      </w:r>
      <m:oMath>
        <m:r>
          <m:rPr>
            <m:sty m:val="i"/>
          </m:rPr>
          <w:rPr>
            <w:rFonts w:ascii="Cambria Math" w:hAnsi="Cambria Math" w:cs="Cambria Math"/>
            <w:sz w:val="24"/>
            <w:szCs w:val="24"/>
          </w:rPr>
          <m:t xml:space="preserve">C</m:t>
        </m:r>
      </m:oMath>
      <w:r>
        <w:rPr>
          <w:rFonts w:ascii="Times New Roman" w:cs="Times New Roman" w:eastAsia="Times New Roman" w:hAnsi="Times New Roman"/>
          <w:sz w:val="24"/>
          <w:szCs w:val="24"/>
        </w:rPr>
        <w:t xml:space="preserve">; </w:t>
      </w:r>
      <m:oMath>
        <m:r>
          <m:rPr>
            <m:sty m:val="i"/>
          </m:rPr>
          <w:rPr>
            <w:rFonts w:ascii="Cambria Math" w:hAnsi="Cambria Math" w:cs="Cambria Math"/>
            <w:sz w:val="24"/>
            <w:szCs w:val="24"/>
          </w:rPr>
          <m:t xml:space="preserve">C</m:t>
        </m:r>
      </m:oMath>
      <w:r>
        <w:rPr>
          <w:rFonts w:ascii="Times New Roman" w:cs="Times New Roman" w:eastAsia="Times New Roman" w:hAnsi="Times New Roman"/>
          <w:sz w:val="24"/>
          <w:szCs w:val="24"/>
        </w:rPr>
        <w:t xml:space="preserve"> – отношение числа действующих связей к числу допустимых, 0 ≤ </w:t>
      </w:r>
      <m:oMath>
        <m:r>
          <m:rPr>
            <m:sty m:val="i"/>
          </m:rPr>
          <w:rPr>
            <w:rFonts w:ascii="Cambria Math" w:hAnsi="Cambria Math" w:cs="Cambria Math"/>
            <w:sz w:val="24"/>
            <w:szCs w:val="24"/>
          </w:rPr>
          <m:t xml:space="preserve">C</m:t>
        </m:r>
      </m:oMath>
      <w:r>
        <w:rPr>
          <w:rFonts w:ascii="Times New Roman" w:cs="Times New Roman" w:eastAsia="Times New Roman" w:hAnsi="Times New Roman"/>
          <w:sz w:val="24"/>
          <w:szCs w:val="24"/>
        </w:rPr>
        <w:t xml:space="preserve"> ≤ 1;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C</m:t>
            </m:r>
          </m:e>
          <m:sub>
            <m:r>
              <m:rPr>
                <m:sty m:val="p"/>
              </m:rPr>
              <w:rPr>
                <w:rFonts w:ascii="Cambria Math" w:hAnsi="Cambria Math" w:cs="Cambria Math"/>
                <w:sz w:val="24"/>
                <w:szCs w:val="24"/>
              </w:rPr>
              <m:t xml:space="preserve">min</m:t>
            </m:r>
          </m:sub>
        </m:sSub>
      </m:oMath>
      <w:r>
        <w:rPr>
          <w:rFonts w:ascii="Times New Roman" w:cs="Times New Roman" w:eastAsia="Times New Roman" w:hAnsi="Times New Roman"/>
          <w:sz w:val="24"/>
          <w:szCs w:val="24"/>
        </w:rPr>
        <w:t xml:space="preserve"> – пороговая связность, ниже которой обмены через платформу не складываются; </w:t>
      </w:r>
      <m:oMath>
        <m:r>
          <m:rPr>
            <m:sty m:val="i"/>
          </m:rPr>
          <w:rPr>
            <w:rFonts w:ascii="Cambria Math" w:hAnsi="Cambria Math" w:cs="Cambria Math"/>
            <w:sz w:val="24"/>
            <w:szCs w:val="24"/>
          </w:rPr>
          <m:t xml:space="preserve">k</m:t>
        </m:r>
      </m:oMath>
      <w:r>
        <w:rPr>
          <w:rFonts w:ascii="Times New Roman" w:cs="Times New Roman" w:eastAsia="Times New Roman" w:hAnsi="Times New Roman"/>
          <w:sz w:val="24"/>
          <w:szCs w:val="24"/>
        </w:rPr>
        <w:t xml:space="preserve"> – параметр институционального обучения, отражающий скорость, с которой новые связи превращаются в реальные потоки.</w:t>
      </w:r>
    </w:p>
    <w:p>
      <w:pPr>
        <w:spacing w:after="0" w:before="0" w:line="360"/>
        <w:ind w:firstLine="709"/>
        <w:jc w:val="both"/>
      </w:pPr>
      <w:r>
        <w:rPr>
          <w:rFonts w:ascii="Times New Roman" w:cs="Times New Roman" w:eastAsia="Times New Roman" w:hAnsi="Times New Roman"/>
          <w:sz w:val="24"/>
          <w:szCs w:val="24"/>
        </w:rPr>
        <w:t xml:space="preserve">Действующая двусторонняя связь по пищевой углекислоте работает независимо от платформы. Если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ρ</m:t>
            </m:r>
          </m:e>
          <m:sub>
            <m:r>
              <m:rPr>
                <m:sty m:val="p"/>
              </m:rPr>
              <w:rPr>
                <w:rFonts w:ascii="Cambria Math" w:hAnsi="Cambria Math" w:cs="Cambria Math"/>
                <w:sz w:val="24"/>
                <w:szCs w:val="24"/>
              </w:rPr>
              <m:t xml:space="preserve">0</m:t>
            </m:r>
          </m:sub>
        </m:sSub>
      </m:oMath>
      <w:r>
        <w:rPr>
          <w:rFonts w:ascii="Times New Roman" w:cs="Times New Roman" w:eastAsia="Times New Roman" w:hAnsi="Times New Roman"/>
          <w:sz w:val="24"/>
          <w:szCs w:val="24"/>
        </w:rPr>
        <w:t xml:space="preserve"> – доля потенциального эффекта, которую она уже обеспечивает, прирост, создаваемый платформой, равен:</w:t>
      </w:r>
    </w:p>
    <w:p>
      <w:pPr>
        <w:tabs>
          <w:tab w:val="center" w:pos="4819"/>
          <w:tab w:val="right" w:pos="9637"/>
        </w:tabs>
        <w:spacing w:after="60" w:before="60" w:line="360"/>
        <w:ind w:firstLine="0"/>
        <w:jc w:val="left"/>
      </w:pPr>
      <w:r>
        <w:rPr>
          <w:rFonts w:ascii="Times New Roman" w:cs="Times New Roman" w:eastAsia="Times New Roman" w:hAnsi="Times New Roman"/>
          <w:sz w:val="24"/>
          <w:szCs w:val="24"/>
        </w:rPr>
        <w:tab/>
      </w:r>
      <m:oMath>
        <m:r>
          <m:rPr>
            <m:sty m:val="p"/>
          </m:rPr>
          <w:rPr>
            <w:rFonts w:ascii="Cambria Math" w:hAnsi="Cambria Math" w:cs="Cambria Math"/>
            <w:sz w:val="24"/>
            <w:szCs w:val="24"/>
          </w:rPr>
          <m:t xml:space="preserve">Δ</m:t>
        </m:r>
        <m:r>
          <m:rPr>
            <m:sty m:val="i"/>
          </m:rPr>
          <w:rPr>
            <w:rFonts w:ascii="Cambria Math" w:hAnsi="Cambria Math" w:cs="Cambria Math"/>
            <w:sz w:val="24"/>
            <w:szCs w:val="24"/>
          </w:rPr>
          <m:t xml:space="preserve">E</m:t>
        </m:r>
        <m:d>
          <m:dPr>
            <m:begChr m:val="("/>
            <m:endChr m:val=")"/>
            <m:ctrlPr>
              <w:rPr>
                <w:rFonts w:ascii="Cambria Math" w:hAnsi="Cambria Math" w:cs="Cambria Math"/>
                <w:sz w:val="24"/>
                <w:szCs w:val="24"/>
              </w:rPr>
            </m:ctrlPr>
          </m:dPr>
          <m:e>
            <m:r>
              <m:rPr>
                <m:sty m:val="i"/>
              </m:rPr>
              <w:rPr>
                <w:rFonts w:ascii="Cambria Math" w:hAnsi="Cambria Math" w:cs="Cambria Math"/>
                <w:sz w:val="24"/>
                <w:szCs w:val="24"/>
              </w:rPr>
              <m:t xml:space="preserve">C</m:t>
            </m:r>
          </m:e>
        </m:d>
        <m:r>
          <m:rPr>
            <m:sty m:val="p"/>
          </m:rPr>
          <w:rPr>
            <w:rFonts w:ascii="Cambria Math" w:hAnsi="Cambria Math" w:cs="Cambria Math"/>
            <w:sz w:val="24"/>
            <w:szCs w:val="24"/>
          </w:rPr>
          <m:t xml:space="preserve">=</m:t>
        </m:r>
        <m:r>
          <m:rPr>
            <m:sty m:val="i"/>
          </m:rPr>
          <w:rPr>
            <w:rFonts w:ascii="Cambria Math" w:hAnsi="Cambria Math" w:cs="Cambria Math"/>
            <w:sz w:val="24"/>
            <w:szCs w:val="24"/>
          </w:rPr>
          <m:t xml:space="preserve">V</m:t>
        </m:r>
        <m:r>
          <m:rPr>
            <m:sty m:val="p"/>
          </m:rPr>
          <w:rPr>
            <w:rFonts w:ascii="Cambria Math" w:hAnsi="Cambria Math" w:cs="Cambria Math"/>
            <w:sz w:val="24"/>
            <w:szCs w:val="24"/>
          </w:rPr>
          <m:t xml:space="preserve">·</m:t>
        </m:r>
        <m:r>
          <m:rPr>
            <m:sty m:val="p"/>
          </m:rPr>
          <w:rPr>
            <w:rFonts w:ascii="Cambria Math" w:hAnsi="Cambria Math" w:cs="Cambria Math"/>
            <w:sz w:val="24"/>
            <w:szCs w:val="24"/>
          </w:rPr>
          <m:t xml:space="preserve">max</m:t>
        </m:r>
        <m:d>
          <m:dPr>
            <m:begChr m:val="{"/>
            <m:endChr m:val="}"/>
            <m:ctrlPr>
              <w:rPr>
                <w:rFonts w:ascii="Cambria Math" w:hAnsi="Cambria Math" w:cs="Cambria Math"/>
                <w:sz w:val="24"/>
                <w:szCs w:val="24"/>
              </w:rPr>
            </m:ctrlPr>
          </m:dPr>
          <m:e>
            <m:r>
              <m:rPr>
                <m:sty m:val="p"/>
              </m:rPr>
              <w:rPr>
                <w:rFonts w:ascii="Cambria Math" w:hAnsi="Cambria Math" w:cs="Cambria Math"/>
                <w:sz w:val="24"/>
                <w:szCs w:val="24"/>
              </w:rPr>
              <m:t xml:space="preserve">0;  </m:t>
            </m:r>
            <m:r>
              <m:rPr>
                <m:sty m:val="i"/>
              </m:rPr>
              <w:rPr>
                <w:rFonts w:ascii="Cambria Math" w:hAnsi="Cambria Math" w:cs="Cambria Math"/>
                <w:sz w:val="24"/>
                <w:szCs w:val="24"/>
              </w:rPr>
              <m:t xml:space="preserve">φ</m:t>
            </m:r>
            <m:d>
              <m:dPr>
                <m:begChr m:val="("/>
                <m:endChr m:val=")"/>
                <m:ctrlPr>
                  <w:rPr>
                    <w:rFonts w:ascii="Cambria Math" w:hAnsi="Cambria Math" w:cs="Cambria Math"/>
                    <w:sz w:val="24"/>
                    <w:szCs w:val="24"/>
                  </w:rPr>
                </m:ctrlPr>
              </m:dPr>
              <m:e>
                <m:r>
                  <m:rPr>
                    <m:sty m:val="i"/>
                  </m:rPr>
                  <w:rPr>
                    <w:rFonts w:ascii="Cambria Math" w:hAnsi="Cambria Math" w:cs="Cambria Math"/>
                    <w:sz w:val="24"/>
                    <w:szCs w:val="24"/>
                  </w:rPr>
                  <m:t xml:space="preserve">C</m:t>
                </m:r>
              </m:e>
            </m:d>
            <m:r>
              <m:rPr>
                <m:sty m:val="p"/>
              </m:rPr>
              <w:rPr>
                <w:rFonts w:ascii="Cambria Math" w:hAnsi="Cambria Math" w:cs="Cambria Math"/>
                <w:sz w:val="24"/>
                <w:szCs w:val="24"/>
              </w:rPr>
              <m:t xml:space="preserve">−</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ρ</m:t>
                </m:r>
              </m:e>
              <m:sub>
                <m:r>
                  <m:rPr>
                    <m:sty m:val="p"/>
                  </m:rPr>
                  <w:rPr>
                    <w:rFonts w:ascii="Cambria Math" w:hAnsi="Cambria Math" w:cs="Cambria Math"/>
                    <w:sz w:val="24"/>
                    <w:szCs w:val="24"/>
                  </w:rPr>
                  <m:t xml:space="preserve">0</m:t>
                </m:r>
              </m:sub>
            </m:sSub>
          </m:e>
        </m:d>
      </m:oMath>
      <w:r>
        <w:rPr>
          <w:rFonts w:ascii="Times New Roman" w:cs="Times New Roman" w:eastAsia="Times New Roman" w:hAnsi="Times New Roman"/>
          <w:sz w:val="24"/>
          <w:szCs w:val="24"/>
        </w:rPr>
        <w:tab/>
        <w:t xml:space="preserve">(2)</w:t>
      </w:r>
    </w:p>
    <w:p>
      <w:pPr>
        <w:spacing w:after="0" w:before="0" w:line="360"/>
        <w:ind w:firstLine="0"/>
        <w:jc w:val="both"/>
      </w:pPr>
      <w:r>
        <w:rPr>
          <w:rFonts w:ascii="Times New Roman" w:cs="Times New Roman" w:eastAsia="Times New Roman" w:hAnsi="Times New Roman"/>
          <w:sz w:val="24"/>
          <w:szCs w:val="24"/>
        </w:rPr>
        <w:t xml:space="preserve">где </w:t>
      </w:r>
      <m:oMath>
        <m:r>
          <m:rPr>
            <m:sty m:val="p"/>
          </m:rPr>
          <w:rPr>
            <w:rFonts w:ascii="Cambria Math" w:hAnsi="Cambria Math" w:cs="Cambria Math"/>
            <w:sz w:val="24"/>
            <w:szCs w:val="24"/>
          </w:rPr>
          <m:t xml:space="preserve">Δ</m:t>
        </m:r>
        <m:r>
          <m:rPr>
            <m:sty m:val="i"/>
          </m:rPr>
          <w:rPr>
            <w:rFonts w:ascii="Cambria Math" w:hAnsi="Cambria Math" w:cs="Cambria Math"/>
            <w:sz w:val="24"/>
            <w:szCs w:val="24"/>
          </w:rPr>
          <m:t xml:space="preserve">E</m:t>
        </m:r>
        <m:d>
          <m:dPr>
            <m:begChr m:val="("/>
            <m:endChr m:val=")"/>
            <m:ctrlPr>
              <w:rPr>
                <w:rFonts w:ascii="Cambria Math" w:hAnsi="Cambria Math" w:cs="Cambria Math"/>
                <w:sz w:val="24"/>
                <w:szCs w:val="24"/>
              </w:rPr>
            </m:ctrlPr>
          </m:dPr>
          <m:e>
            <m:r>
              <m:rPr>
                <m:sty m:val="i"/>
              </m:rPr>
              <w:rPr>
                <w:rFonts w:ascii="Cambria Math" w:hAnsi="Cambria Math" w:cs="Cambria Math"/>
                <w:sz w:val="24"/>
                <w:szCs w:val="24"/>
              </w:rPr>
              <m:t xml:space="preserve">C</m:t>
            </m:r>
          </m:e>
        </m:d>
      </m:oMath>
      <w:r>
        <w:rPr>
          <w:rFonts w:ascii="Times New Roman" w:cs="Times New Roman" w:eastAsia="Times New Roman" w:hAnsi="Times New Roman"/>
          <w:sz w:val="24"/>
          <w:szCs w:val="24"/>
        </w:rPr>
        <w:t xml:space="preserve"> – дополнительный эффект платформы, млн руб. в год; </w:t>
      </w:r>
      <m:oMath>
        <m:r>
          <m:rPr>
            <m:sty m:val="i"/>
          </m:rPr>
          <w:rPr>
            <w:rFonts w:ascii="Cambria Math" w:hAnsi="Cambria Math" w:cs="Cambria Math"/>
            <w:sz w:val="24"/>
            <w:szCs w:val="24"/>
          </w:rPr>
          <m:t xml:space="preserve">V</m:t>
        </m:r>
      </m:oMath>
      <w:r>
        <w:rPr>
          <w:rFonts w:ascii="Times New Roman" w:cs="Times New Roman" w:eastAsia="Times New Roman" w:hAnsi="Times New Roman"/>
          <w:sz w:val="24"/>
          <w:szCs w:val="24"/>
        </w:rPr>
        <w:t xml:space="preserve"> – потенциальный эффект экосистемы при полной связности, млн руб. в год;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ρ</m:t>
            </m:r>
          </m:e>
          <m:sub>
            <m:r>
              <m:rPr>
                <m:sty m:val="p"/>
              </m:rPr>
              <w:rPr>
                <w:rFonts w:ascii="Cambria Math" w:hAnsi="Cambria Math" w:cs="Cambria Math"/>
                <w:sz w:val="24"/>
                <w:szCs w:val="24"/>
              </w:rPr>
              <m:t xml:space="preserve">0</m:t>
            </m:r>
          </m:sub>
        </m:sSub>
      </m:oMath>
      <w:r>
        <w:rPr>
          <w:rFonts w:ascii="Times New Roman" w:cs="Times New Roman" w:eastAsia="Times New Roman" w:hAnsi="Times New Roman"/>
          <w:sz w:val="24"/>
          <w:szCs w:val="24"/>
        </w:rPr>
        <w:t xml:space="preserve"> – доля потенциального эффекта, реализованная связями, действующими без платформы.</w:t>
      </w:r>
    </w:p>
    <w:p>
      <w:pPr>
        <w:spacing w:after="0" w:before="0" w:line="360"/>
        <w:ind w:firstLine="709"/>
        <w:jc w:val="both"/>
      </w:pPr>
      <w:r>
        <w:rPr>
          <w:rFonts w:ascii="Times New Roman" w:cs="Times New Roman" w:eastAsia="Times New Roman" w:hAnsi="Times New Roman"/>
          <w:sz w:val="24"/>
          <w:szCs w:val="24"/>
        </w:rPr>
        <w:t xml:space="preserve">Платформа начинает создавать прирост, когда её реализуемость превышает уже достигнутый уровень. Приравняв </w:t>
      </w:r>
      <m:oMath>
        <m:r>
          <m:rPr>
            <m:sty m:val="i"/>
          </m:rPr>
          <w:rPr>
            <w:rFonts w:ascii="Cambria Math" w:hAnsi="Cambria Math" w:cs="Cambria Math"/>
            <w:sz w:val="24"/>
            <w:szCs w:val="24"/>
          </w:rPr>
          <m:t xml:space="preserve">φ</m:t>
        </m:r>
        <m:d>
          <m:dPr>
            <m:begChr m:val="("/>
            <m:endChr m:val=")"/>
            <m:ctrlPr>
              <w:rPr>
                <w:rFonts w:ascii="Cambria Math" w:hAnsi="Cambria Math" w:cs="Cambria Math"/>
                <w:sz w:val="24"/>
                <w:szCs w:val="24"/>
              </w:rPr>
            </m:ctrlPr>
          </m:dPr>
          <m:e>
            <m:r>
              <m:rPr>
                <m:sty m:val="i"/>
              </m:rPr>
              <w:rPr>
                <w:rFonts w:ascii="Cambria Math" w:hAnsi="Cambria Math" w:cs="Cambria Math"/>
                <w:sz w:val="24"/>
                <w:szCs w:val="24"/>
              </w:rPr>
              <m:t xml:space="preserve">C</m:t>
            </m:r>
          </m:e>
        </m:d>
      </m:oMath>
      <w:r>
        <w:rPr>
          <w:rFonts w:ascii="Times New Roman" w:cs="Times New Roman" w:eastAsia="Times New Roman" w:hAnsi="Times New Roman"/>
          <w:sz w:val="24"/>
          <w:szCs w:val="24"/>
        </w:rPr>
        <w:t xml:space="preserve"> к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ρ</m:t>
            </m:r>
          </m:e>
          <m:sub>
            <m:r>
              <m:rPr>
                <m:sty m:val="p"/>
              </m:rPr>
              <w:rPr>
                <w:rFonts w:ascii="Cambria Math" w:hAnsi="Cambria Math" w:cs="Cambria Math"/>
                <w:sz w:val="24"/>
                <w:szCs w:val="24"/>
              </w:rPr>
              <m:t xml:space="preserve">0</m:t>
            </m:r>
          </m:sub>
        </m:sSub>
      </m:oMath>
      <w:r>
        <w:rPr>
          <w:rFonts w:ascii="Times New Roman" w:cs="Times New Roman" w:eastAsia="Times New Roman" w:hAnsi="Times New Roman"/>
          <w:sz w:val="24"/>
          <w:szCs w:val="24"/>
        </w:rPr>
        <w:t xml:space="preserve">, получим пороговую связность:</w:t>
      </w:r>
    </w:p>
    <w:p>
      <w:pPr>
        <w:tabs>
          <w:tab w:val="center" w:pos="4819"/>
          <w:tab w:val="right" w:pos="9637"/>
        </w:tabs>
        <w:spacing w:after="60" w:before="60" w:line="360"/>
        <w:ind w:firstLine="0"/>
        <w:jc w:val="left"/>
      </w:pPr>
      <w:r>
        <w:rPr>
          <w:rFonts w:ascii="Times New Roman" w:cs="Times New Roman" w:eastAsia="Times New Roman" w:hAnsi="Times New Roman"/>
          <w:sz w:val="24"/>
          <w:szCs w:val="24"/>
        </w:rPr>
        <w:tab/>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C</m:t>
            </m:r>
          </m:e>
          <m:sub>
            <m:r>
              <m:rPr>
                <m:sty m:val="p"/>
              </m:rPr>
              <w:rPr>
                <w:rFonts w:ascii="Cambria Math" w:hAnsi="Cambria Math" w:cs="Cambria Math"/>
                <w:sz w:val="24"/>
                <w:szCs w:val="24"/>
              </w:rPr>
              <m:t xml:space="preserve">кр</m:t>
            </m:r>
          </m:sub>
        </m:sSub>
        <m:r>
          <m:rPr>
            <m:sty m:val="p"/>
          </m:rPr>
          <w:rPr>
            <w:rFonts w:ascii="Cambria Math" w:hAnsi="Cambria Math" w:cs="Cambria Math"/>
            <w:sz w:val="24"/>
            <w:szCs w:val="24"/>
          </w:rPr>
          <m:t xml:space="preserve">=</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C</m:t>
            </m:r>
          </m:e>
          <m:sub>
            <m:r>
              <m:rPr>
                <m:sty m:val="p"/>
              </m:rPr>
              <w:rPr>
                <w:rFonts w:ascii="Cambria Math" w:hAnsi="Cambria Math" w:cs="Cambria Math"/>
                <w:sz w:val="24"/>
                <w:szCs w:val="24"/>
              </w:rPr>
              <m:t xml:space="preserve">min</m:t>
            </m:r>
          </m:sub>
        </m:sSub>
        <m:r>
          <m:rPr>
            <m:sty m:val="p"/>
          </m:rPr>
          <w:rPr>
            <w:rFonts w:ascii="Cambria Math" w:hAnsi="Cambria Math" w:cs="Cambria Math"/>
            <w:sz w:val="24"/>
            <w:szCs w:val="24"/>
          </w:rPr>
          <m:t xml:space="preserve">+</m:t>
        </m:r>
        <m:f>
          <m:fPr>
            <m:ctrlPr>
              <w:rPr>
                <w:rFonts w:ascii="Cambria Math" w:hAnsi="Cambria Math" w:cs="Cambria Math"/>
                <w:sz w:val="24"/>
                <w:szCs w:val="24"/>
              </w:rPr>
            </m:ctrlPr>
          </m:fPr>
          <m:num>
            <m:r>
              <m:rPr>
                <m:sty m:val="p"/>
              </m:rPr>
              <w:rPr>
                <w:rFonts w:ascii="Cambria Math" w:hAnsi="Cambria Math" w:cs="Cambria Math"/>
                <w:sz w:val="24"/>
                <w:szCs w:val="24"/>
              </w:rPr>
              <m:t xml:space="preserve">1</m:t>
            </m:r>
          </m:num>
          <m:den>
            <m:r>
              <m:rPr>
                <m:sty m:val="i"/>
              </m:rPr>
              <w:rPr>
                <w:rFonts w:ascii="Cambria Math" w:hAnsi="Cambria Math" w:cs="Cambria Math"/>
                <w:sz w:val="24"/>
                <w:szCs w:val="24"/>
              </w:rPr>
              <m:t xml:space="preserve">k</m:t>
            </m:r>
          </m:den>
        </m:f>
        <m:r>
          <m:rPr>
            <m:sty m:val="p"/>
          </m:rPr>
          <w:rPr>
            <w:rFonts w:ascii="Cambria Math" w:hAnsi="Cambria Math" w:cs="Cambria Math"/>
            <w:sz w:val="24"/>
            <w:szCs w:val="24"/>
          </w:rPr>
          <m:t xml:space="preserve">·ln</m:t>
        </m:r>
        <m:d>
          <m:dPr>
            <m:begChr m:val="("/>
            <m:endChr m:val=")"/>
            <m:ctrlPr>
              <w:rPr>
                <w:rFonts w:ascii="Cambria Math" w:hAnsi="Cambria Math" w:cs="Cambria Math"/>
                <w:sz w:val="24"/>
                <w:szCs w:val="24"/>
              </w:rPr>
            </m:ctrlPr>
          </m:dPr>
          <m:e>
            <m:f>
              <m:fPr>
                <m:ctrlPr>
                  <w:rPr>
                    <w:rFonts w:ascii="Cambria Math" w:hAnsi="Cambria Math" w:cs="Cambria Math"/>
                    <w:sz w:val="24"/>
                    <w:szCs w:val="24"/>
                  </w:rPr>
                </m:ctrlPr>
              </m:fPr>
              <m:num>
                <m:r>
                  <m:rPr>
                    <m:sty m:val="p"/>
                  </m:rPr>
                  <w:rPr>
                    <w:rFonts w:ascii="Cambria Math" w:hAnsi="Cambria Math" w:cs="Cambria Math"/>
                    <w:sz w:val="24"/>
                    <w:szCs w:val="24"/>
                  </w:rPr>
                  <m:t xml:space="preserve">1</m:t>
                </m:r>
              </m:num>
              <m:den>
                <m:r>
                  <m:rPr>
                    <m:sty m:val="p"/>
                  </m:rPr>
                  <w:rPr>
                    <w:rFonts w:ascii="Cambria Math" w:hAnsi="Cambria Math" w:cs="Cambria Math"/>
                    <w:sz w:val="24"/>
                    <w:szCs w:val="24"/>
                  </w:rPr>
                  <m:t xml:space="preserve">1−</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ρ</m:t>
                    </m:r>
                  </m:e>
                  <m:sub>
                    <m:r>
                      <m:rPr>
                        <m:sty m:val="p"/>
                      </m:rPr>
                      <w:rPr>
                        <w:rFonts w:ascii="Cambria Math" w:hAnsi="Cambria Math" w:cs="Cambria Math"/>
                        <w:sz w:val="24"/>
                        <w:szCs w:val="24"/>
                      </w:rPr>
                      <m:t xml:space="preserve">0</m:t>
                    </m:r>
                  </m:sub>
                </m:sSub>
              </m:den>
            </m:f>
          </m:e>
        </m:d>
      </m:oMath>
      <w:r>
        <w:rPr>
          <w:rFonts w:ascii="Times New Roman" w:cs="Times New Roman" w:eastAsia="Times New Roman" w:hAnsi="Times New Roman"/>
          <w:sz w:val="24"/>
          <w:szCs w:val="24"/>
        </w:rPr>
        <w:tab/>
        <w:t xml:space="preserve">(3)</w:t>
      </w:r>
    </w:p>
    <w:p>
      <w:pPr>
        <w:spacing w:after="0" w:before="0" w:line="360"/>
        <w:ind w:firstLine="0"/>
        <w:jc w:val="both"/>
      </w:pPr>
      <w:r>
        <w:rPr>
          <w:rFonts w:ascii="Times New Roman" w:cs="Times New Roman" w:eastAsia="Times New Roman" w:hAnsi="Times New Roman"/>
          <w:sz w:val="24"/>
          <w:szCs w:val="24"/>
        </w:rPr>
        <w:t xml:space="preserve">где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C</m:t>
            </m:r>
          </m:e>
          <m:sub>
            <m:r>
              <m:rPr>
                <m:sty m:val="p"/>
              </m:rPr>
              <w:rPr>
                <w:rFonts w:ascii="Cambria Math" w:hAnsi="Cambria Math" w:cs="Cambria Math"/>
                <w:sz w:val="24"/>
                <w:szCs w:val="24"/>
              </w:rPr>
              <m:t xml:space="preserve">кр</m:t>
            </m:r>
          </m:sub>
        </m:sSub>
      </m:oMath>
      <w:r>
        <w:rPr>
          <w:rFonts w:ascii="Times New Roman" w:cs="Times New Roman" w:eastAsia="Times New Roman" w:hAnsi="Times New Roman"/>
          <w:sz w:val="24"/>
          <w:szCs w:val="24"/>
        </w:rPr>
        <w:t xml:space="preserve"> – связность, начиная с которой дополнительный эффект платформы положителен.</w:t>
      </w:r>
    </w:p>
    <w:p>
      <w:pPr>
        <w:spacing w:after="0" w:before="0" w:line="360"/>
        <w:ind w:firstLine="709"/>
        <w:jc w:val="both"/>
      </w:pPr>
      <w:r>
        <w:rPr>
          <w:rFonts w:ascii="Times New Roman" w:cs="Times New Roman" w:eastAsia="Times New Roman" w:hAnsi="Times New Roman"/>
          <w:sz w:val="24"/>
          <w:szCs w:val="24"/>
        </w:rPr>
        <w:t xml:space="preserve">Порог (3) состоит из двух слагаемых разной природы. Первое,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C</m:t>
            </m:r>
          </m:e>
          <m:sub>
            <m:r>
              <m:rPr>
                <m:sty m:val="p"/>
              </m:rPr>
              <w:rPr>
                <w:rFonts w:ascii="Cambria Math" w:hAnsi="Cambria Math" w:cs="Cambria Math"/>
                <w:sz w:val="24"/>
                <w:szCs w:val="24"/>
              </w:rPr>
              <m:t xml:space="preserve">min</m:t>
            </m:r>
          </m:sub>
        </m:sSub>
      </m:oMath>
      <w:r>
        <w:rPr>
          <w:rFonts w:ascii="Times New Roman" w:cs="Times New Roman" w:eastAsia="Times New Roman" w:hAnsi="Times New Roman"/>
          <w:sz w:val="24"/>
          <w:szCs w:val="24"/>
        </w:rPr>
        <w:t xml:space="preserve">, организационное: столько участников нужно, чтобы на платформе вообще происходили сделки. Второе отражает догоняющий характер платформы: прежде чем добавить что-то своё, она должна воспроизвести то, что двусторонние договоры уже дают. При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ρ</m:t>
            </m:r>
          </m:e>
          <m:sub>
            <m:r>
              <m:rPr>
                <m:sty m:val="p"/>
              </m:rPr>
              <w:rPr>
                <w:rFonts w:ascii="Cambria Math" w:hAnsi="Cambria Math" w:cs="Cambria Math"/>
                <w:sz w:val="24"/>
                <w:szCs w:val="24"/>
              </w:rPr>
              <m:t xml:space="preserve">0</m:t>
            </m:r>
          </m:sub>
        </m:sSub>
      </m:oMath>
      <w:r>
        <w:rPr>
          <w:rFonts w:ascii="Times New Roman" w:cs="Times New Roman" w:eastAsia="Times New Roman" w:hAnsi="Times New Roman"/>
          <w:sz w:val="24"/>
          <w:szCs w:val="24"/>
        </w:rPr>
        <w:t xml:space="preserve"> = 0 второе слагаемое исчезает, и модель возвращается к схеме Фраккашии.</w:t>
      </w:r>
    </w:p>
    <w:p>
      <w:pPr>
        <w:spacing w:after="0" w:before="0" w:line="360"/>
        <w:ind w:firstLine="709"/>
        <w:jc w:val="both"/>
      </w:pPr>
      <w:r>
        <w:rPr>
          <w:rFonts w:ascii="Times New Roman" w:cs="Times New Roman" w:eastAsia="Times New Roman" w:hAnsi="Times New Roman"/>
          <w:sz w:val="24"/>
          <w:szCs w:val="24"/>
        </w:rPr>
        <w:t xml:space="preserve">Параметр </w:t>
      </w:r>
      <m:oMath>
        <m:r>
          <m:rPr>
            <m:sty m:val="i"/>
          </m:rPr>
          <w:rPr>
            <w:rFonts w:ascii="Cambria Math" w:hAnsi="Cambria Math" w:cs="Cambria Math"/>
            <w:sz w:val="24"/>
            <w:szCs w:val="24"/>
          </w:rPr>
          <m:t xml:space="preserve">k</m:t>
        </m:r>
      </m:oMath>
      <w:r>
        <w:rPr>
          <w:rFonts w:ascii="Times New Roman" w:cs="Times New Roman" w:eastAsia="Times New Roman" w:hAnsi="Times New Roman"/>
          <w:sz w:val="24"/>
          <w:szCs w:val="24"/>
        </w:rPr>
        <w:t xml:space="preserve"> в ранней версии модели был постоянным. По результатам Язана и соавторов он зависит от того, как участники делили затраты в прошлом. Пусть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h</m:t>
            </m:r>
          </m:e>
          <m:sub>
            <m:r>
              <m:rPr>
                <m:sty m:val="i"/>
              </m:rPr>
              <w:rPr>
                <w:rFonts w:ascii="Cambria Math" w:hAnsi="Cambria Math" w:cs="Cambria Math"/>
                <w:sz w:val="24"/>
                <w:szCs w:val="24"/>
              </w:rPr>
              <m:t xml:space="preserve">t</m:t>
            </m:r>
            <m:r>
              <m:rPr>
                <m:sty m:val="p"/>
              </m:rPr>
              <w:rPr>
                <w:rFonts w:ascii="Cambria Math" w:hAnsi="Cambria Math" w:cs="Cambria Math"/>
                <w:sz w:val="24"/>
                <w:szCs w:val="24"/>
              </w:rPr>
              <m:t xml:space="preserve">−1</m:t>
            </m:r>
          </m:sub>
        </m:sSub>
      </m:oMath>
      <w:r>
        <w:rPr>
          <w:rFonts w:ascii="Times New Roman" w:cs="Times New Roman" w:eastAsia="Times New Roman" w:hAnsi="Times New Roman"/>
          <w:sz w:val="24"/>
          <w:szCs w:val="24"/>
        </w:rPr>
        <w:t xml:space="preserve"> – доля обменов предыдущего периода, в которых дополнительные затраты разделены по заранее согласованному правилу без пересмотра условий. Тогда:</w:t>
      </w:r>
    </w:p>
    <w:p>
      <w:pPr>
        <w:tabs>
          <w:tab w:val="center" w:pos="4819"/>
          <w:tab w:val="right" w:pos="9637"/>
        </w:tabs>
        <w:spacing w:after="60" w:before="60" w:line="360"/>
        <w:ind w:firstLine="0"/>
        <w:jc w:val="left"/>
      </w:pPr>
      <w:r>
        <w:rPr>
          <w:rFonts w:ascii="Times New Roman" w:cs="Times New Roman" w:eastAsia="Times New Roman" w:hAnsi="Times New Roman"/>
          <w:sz w:val="24"/>
          <w:szCs w:val="24"/>
        </w:rPr>
        <w:tab/>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k</m:t>
            </m:r>
          </m:e>
          <m:sub>
            <m:r>
              <m:rPr>
                <m:sty m:val="i"/>
              </m:rPr>
              <w:rPr>
                <w:rFonts w:ascii="Cambria Math" w:hAnsi="Cambria Math" w:cs="Cambria Math"/>
                <w:sz w:val="24"/>
                <w:szCs w:val="24"/>
              </w:rPr>
              <m:t xml:space="preserve">t</m:t>
            </m:r>
          </m:sub>
        </m:sSub>
        <m:r>
          <m:rPr>
            <m:sty m:val="p"/>
          </m:rPr>
          <w:rPr>
            <w:rFonts w:ascii="Cambria Math" w:hAnsi="Cambria Math" w:cs="Cambria Math"/>
            <w:sz w:val="24"/>
            <w:szCs w:val="24"/>
          </w:rPr>
          <m:t xml:space="preserve">=</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k</m:t>
            </m:r>
          </m:e>
          <m:sub>
            <m:r>
              <m:rPr>
                <m:sty m:val="p"/>
              </m:rPr>
              <w:rPr>
                <w:rFonts w:ascii="Cambria Math" w:hAnsi="Cambria Math" w:cs="Cambria Math"/>
                <w:sz w:val="24"/>
                <w:szCs w:val="24"/>
              </w:rPr>
              <m:t xml:space="preserve">min</m:t>
            </m:r>
          </m:sub>
        </m:sSub>
        <m:r>
          <m:rPr>
            <m:sty m:val="p"/>
          </m:rPr>
          <w:rPr>
            <w:rFonts w:ascii="Cambria Math" w:hAnsi="Cambria Math" w:cs="Cambria Math"/>
            <w:sz w:val="24"/>
            <w:szCs w:val="24"/>
          </w:rPr>
          <m:t xml:space="preserve">+</m:t>
        </m:r>
        <m:d>
          <m:dPr>
            <m:begChr m:val="("/>
            <m:endChr m:val=")"/>
            <m:ctrlPr>
              <w:rPr>
                <w:rFonts w:ascii="Cambria Math" w:hAnsi="Cambria Math" w:cs="Cambria Math"/>
                <w:sz w:val="24"/>
                <w:szCs w:val="24"/>
              </w:rPr>
            </m:ctrlPr>
          </m:dPr>
          <m:e>
            <m:sSub>
              <m:sSubPr>
                <m:ctrlPr>
                  <w:rPr>
                    <w:rFonts w:ascii="Cambria Math" w:hAnsi="Cambria Math" w:cs="Cambria Math"/>
                    <w:sz w:val="24"/>
                    <w:szCs w:val="24"/>
                  </w:rPr>
                </m:ctrlPr>
              </m:sSubPr>
              <m:e>
                <m:r>
                  <m:rPr>
                    <m:sty m:val="i"/>
                  </m:rPr>
                  <w:rPr>
                    <w:rFonts w:ascii="Cambria Math" w:hAnsi="Cambria Math" w:cs="Cambria Math"/>
                    <w:sz w:val="24"/>
                    <w:szCs w:val="24"/>
                  </w:rPr>
                  <m:t xml:space="preserve">k</m:t>
                </m:r>
              </m:e>
              <m:sub>
                <m:r>
                  <m:rPr>
                    <m:sty m:val="p"/>
                  </m:rPr>
                  <w:rPr>
                    <w:rFonts w:ascii="Cambria Math" w:hAnsi="Cambria Math" w:cs="Cambria Math"/>
                    <w:sz w:val="24"/>
                    <w:szCs w:val="24"/>
                  </w:rPr>
                  <m:t xml:space="preserve">max</m:t>
                </m:r>
              </m:sub>
            </m:sSub>
            <m:r>
              <m:rPr>
                <m:sty m:val="p"/>
              </m:rPr>
              <w:rPr>
                <w:rFonts w:ascii="Cambria Math" w:hAnsi="Cambria Math" w:cs="Cambria Math"/>
                <w:sz w:val="24"/>
                <w:szCs w:val="24"/>
              </w:rPr>
              <m:t xml:space="preserve">−</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k</m:t>
                </m:r>
              </m:e>
              <m:sub>
                <m:r>
                  <m:rPr>
                    <m:sty m:val="p"/>
                  </m:rPr>
                  <w:rPr>
                    <w:rFonts w:ascii="Cambria Math" w:hAnsi="Cambria Math" w:cs="Cambria Math"/>
                    <w:sz w:val="24"/>
                    <w:szCs w:val="24"/>
                  </w:rPr>
                  <m:t xml:space="preserve">min</m:t>
                </m:r>
              </m:sub>
            </m:sSub>
          </m:e>
        </m:d>
        <m:r>
          <m:rPr>
            <m:sty m:val="p"/>
          </m:rPr>
          <w:rPr>
            <w:rFonts w:ascii="Cambria Math" w:hAnsi="Cambria Math" w:cs="Cambria Math"/>
            <w:sz w:val="24"/>
            <w:szCs w:val="24"/>
          </w:rPr>
          <m:t xml:space="preserve">·</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h</m:t>
            </m:r>
          </m:e>
          <m:sub>
            <m:r>
              <m:rPr>
                <m:sty m:val="i"/>
              </m:rPr>
              <w:rPr>
                <w:rFonts w:ascii="Cambria Math" w:hAnsi="Cambria Math" w:cs="Cambria Math"/>
                <w:sz w:val="24"/>
                <w:szCs w:val="24"/>
              </w:rPr>
              <m:t xml:space="preserve">t</m:t>
            </m:r>
            <m:r>
              <m:rPr>
                <m:sty m:val="p"/>
              </m:rPr>
              <w:rPr>
                <w:rFonts w:ascii="Cambria Math" w:hAnsi="Cambria Math" w:cs="Cambria Math"/>
                <w:sz w:val="24"/>
                <w:szCs w:val="24"/>
              </w:rPr>
              <m:t xml:space="preserve">−1</m:t>
            </m:r>
          </m:sub>
        </m:sSub>
      </m:oMath>
      <w:r>
        <w:rPr>
          <w:rFonts w:ascii="Times New Roman" w:cs="Times New Roman" w:eastAsia="Times New Roman" w:hAnsi="Times New Roman"/>
          <w:sz w:val="24"/>
          <w:szCs w:val="24"/>
        </w:rPr>
        <w:tab/>
        <w:t xml:space="preserve">(4)</w:t>
      </w:r>
    </w:p>
    <w:p>
      <w:pPr>
        <w:spacing w:after="0" w:before="0" w:line="360"/>
        <w:ind w:firstLine="0"/>
        <w:jc w:val="both"/>
      </w:pPr>
      <w:r>
        <w:rPr>
          <w:rFonts w:ascii="Times New Roman" w:cs="Times New Roman" w:eastAsia="Times New Roman" w:hAnsi="Times New Roman"/>
          <w:sz w:val="24"/>
          <w:szCs w:val="24"/>
        </w:rPr>
        <w:t xml:space="preserve">где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k</m:t>
            </m:r>
          </m:e>
          <m:sub>
            <m:r>
              <m:rPr>
                <m:sty m:val="i"/>
              </m:rPr>
              <w:rPr>
                <w:rFonts w:ascii="Cambria Math" w:hAnsi="Cambria Math" w:cs="Cambria Math"/>
                <w:sz w:val="24"/>
                <w:szCs w:val="24"/>
              </w:rPr>
              <m:t xml:space="preserve">t</m:t>
            </m:r>
          </m:sub>
        </m:sSub>
      </m:oMath>
      <w:r>
        <w:rPr>
          <w:rFonts w:ascii="Times New Roman" w:cs="Times New Roman" w:eastAsia="Times New Roman" w:hAnsi="Times New Roman"/>
          <w:sz w:val="24"/>
          <w:szCs w:val="24"/>
        </w:rPr>
        <w:t xml:space="preserve"> – параметр обучения в периоде </w:t>
      </w:r>
      <m:oMath>
        <m:r>
          <m:rPr>
            <m:sty m:val="i"/>
          </m:rPr>
          <w:rPr>
            <w:rFonts w:ascii="Cambria Math" w:hAnsi="Cambria Math" w:cs="Cambria Math"/>
            <w:sz w:val="24"/>
            <w:szCs w:val="24"/>
          </w:rPr>
          <m:t xml:space="preserve">t</m:t>
        </m:r>
      </m:oMath>
      <w:r>
        <w:rPr>
          <w:rFonts w:ascii="Times New Roman" w:cs="Times New Roman" w:eastAsia="Times New Roman" w:hAnsi="Times New Roman"/>
          <w:sz w:val="24"/>
          <w:szCs w:val="24"/>
        </w:rPr>
        <w:t xml:space="preserve">;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k</m:t>
            </m:r>
          </m:e>
          <m:sub>
            <m:r>
              <m:rPr>
                <m:sty m:val="p"/>
              </m:rPr>
              <w:rPr>
                <w:rFonts w:ascii="Cambria Math" w:hAnsi="Cambria Math" w:cs="Cambria Math"/>
                <w:sz w:val="24"/>
                <w:szCs w:val="24"/>
              </w:rPr>
              <m:t xml:space="preserve">min</m:t>
            </m:r>
          </m:sub>
        </m:sSub>
      </m:oMath>
      <w:r>
        <w:rPr>
          <w:rFonts w:ascii="Times New Roman" w:cs="Times New Roman" w:eastAsia="Times New Roman" w:hAnsi="Times New Roman"/>
          <w:sz w:val="24"/>
          <w:szCs w:val="24"/>
        </w:rPr>
        <w:t xml:space="preserve"> и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k</m:t>
            </m:r>
          </m:e>
          <m:sub>
            <m:r>
              <m:rPr>
                <m:sty m:val="p"/>
              </m:rPr>
              <w:rPr>
                <w:rFonts w:ascii="Cambria Math" w:hAnsi="Cambria Math" w:cs="Cambria Math"/>
                <w:sz w:val="24"/>
                <w:szCs w:val="24"/>
              </w:rPr>
              <m:t xml:space="preserve">max</m:t>
            </m:r>
          </m:sub>
        </m:sSub>
      </m:oMath>
      <w:r>
        <w:rPr>
          <w:rFonts w:ascii="Times New Roman" w:cs="Times New Roman" w:eastAsia="Times New Roman" w:hAnsi="Times New Roman"/>
          <w:sz w:val="24"/>
          <w:szCs w:val="24"/>
        </w:rPr>
        <w:t xml:space="preserve"> – его значения при полном оппортунизме и при полном соблюдении согласованного правила;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h</m:t>
            </m:r>
          </m:e>
          <m:sub>
            <m:r>
              <m:rPr>
                <m:sty m:val="i"/>
              </m:rPr>
              <w:rPr>
                <w:rFonts w:ascii="Cambria Math" w:hAnsi="Cambria Math" w:cs="Cambria Math"/>
                <w:sz w:val="24"/>
                <w:szCs w:val="24"/>
              </w:rPr>
              <m:t xml:space="preserve">t</m:t>
            </m:r>
            <m:r>
              <m:rPr>
                <m:sty m:val="p"/>
              </m:rPr>
              <w:rPr>
                <w:rFonts w:ascii="Cambria Math" w:hAnsi="Cambria Math" w:cs="Cambria Math"/>
                <w:sz w:val="24"/>
                <w:szCs w:val="24"/>
              </w:rPr>
              <m:t xml:space="preserve">−1</m:t>
            </m:r>
          </m:sub>
        </m:sSub>
      </m:oMath>
      <w:r>
        <w:rPr>
          <w:rFonts w:ascii="Times New Roman" w:cs="Times New Roman" w:eastAsia="Times New Roman" w:hAnsi="Times New Roman"/>
          <w:sz w:val="24"/>
          <w:szCs w:val="24"/>
        </w:rPr>
        <w:t xml:space="preserve"> – доля «справедливых» исходов в периоде </w:t>
      </w:r>
      <m:oMath>
        <m:r>
          <m:rPr>
            <m:sty m:val="i"/>
          </m:rPr>
          <w:rPr>
            <w:rFonts w:ascii="Cambria Math" w:hAnsi="Cambria Math" w:cs="Cambria Math"/>
            <w:sz w:val="24"/>
            <w:szCs w:val="24"/>
          </w:rPr>
          <m:t xml:space="preserve">t</m:t>
        </m:r>
        <m:r>
          <m:rPr>
            <m:sty m:val="p"/>
          </m:rPr>
          <w:rPr>
            <w:rFonts w:ascii="Cambria Math" w:hAnsi="Cambria Math" w:cs="Cambria Math"/>
            <w:sz w:val="24"/>
            <w:szCs w:val="24"/>
          </w:rPr>
          <m:t xml:space="preserve">−1</m:t>
        </m:r>
      </m:oMath>
      <w:r>
        <w:rPr>
          <w:rFonts w:ascii="Times New Roman" w:cs="Times New Roman" w:eastAsia="Times New Roman" w:hAnsi="Times New Roman"/>
          <w:sz w:val="24"/>
          <w:szCs w:val="24"/>
        </w:rPr>
        <w:t xml:space="preserve">, 0 ≤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h</m:t>
            </m:r>
          </m:e>
          <m:sub>
            <m:r>
              <m:rPr>
                <m:sty m:val="i"/>
              </m:rPr>
              <w:rPr>
                <w:rFonts w:ascii="Cambria Math" w:hAnsi="Cambria Math" w:cs="Cambria Math"/>
                <w:sz w:val="24"/>
                <w:szCs w:val="24"/>
              </w:rPr>
              <m:t xml:space="preserve">t</m:t>
            </m:r>
            <m:r>
              <m:rPr>
                <m:sty m:val="p"/>
              </m:rPr>
              <w:rPr>
                <w:rFonts w:ascii="Cambria Math" w:hAnsi="Cambria Math" w:cs="Cambria Math"/>
                <w:sz w:val="24"/>
                <w:szCs w:val="24"/>
              </w:rPr>
              <m:t xml:space="preserve">−1</m:t>
            </m:r>
          </m:sub>
        </m:sSub>
      </m:oMath>
      <w:r>
        <w:rPr>
          <w:rFonts w:ascii="Times New Roman" w:cs="Times New Roman" w:eastAsia="Times New Roman" w:hAnsi="Times New Roman"/>
          <w:sz w:val="24"/>
          <w:szCs w:val="24"/>
        </w:rPr>
        <w:t xml:space="preserve"> ≤ 1.</w:t>
      </w:r>
    </w:p>
    <w:p>
      <w:pPr>
        <w:spacing w:after="0" w:before="0" w:line="360"/>
        <w:ind w:firstLine="709"/>
        <w:jc w:val="both"/>
      </w:pPr>
      <w:r>
        <w:rPr>
          <w:rFonts w:ascii="Times New Roman" w:cs="Times New Roman" w:eastAsia="Times New Roman" w:hAnsi="Times New Roman"/>
          <w:sz w:val="24"/>
          <w:szCs w:val="24"/>
        </w:rPr>
        <w:t xml:space="preserve">Подстановка (4) в (3) показывает, как обучение сдвигает порог:</w:t>
      </w:r>
    </w:p>
    <w:p>
      <w:pPr>
        <w:tabs>
          <w:tab w:val="center" w:pos="4819"/>
          <w:tab w:val="right" w:pos="9637"/>
        </w:tabs>
        <w:spacing w:after="60" w:before="60" w:line="360"/>
        <w:ind w:firstLine="0"/>
        <w:jc w:val="left"/>
      </w:pPr>
      <w:r>
        <w:rPr>
          <w:rFonts w:ascii="Times New Roman" w:cs="Times New Roman" w:eastAsia="Times New Roman" w:hAnsi="Times New Roman"/>
          <w:sz w:val="24"/>
          <w:szCs w:val="24"/>
        </w:rPr>
        <w:tab/>
      </w:r>
      <m:oMath>
        <m:f>
          <m:fPr>
            <m:ctrlPr>
              <w:rPr>
                <w:rFonts w:ascii="Cambria Math" w:hAnsi="Cambria Math" w:cs="Cambria Math"/>
                <w:sz w:val="24"/>
                <w:szCs w:val="24"/>
              </w:rPr>
            </m:ctrlPr>
          </m:fPr>
          <m:num>
            <m:r>
              <m:rPr>
                <m:sty m:val="p"/>
              </m:rPr>
              <w:rPr>
                <w:rFonts w:ascii="Cambria Math" w:hAnsi="Cambria Math" w:cs="Cambria Math"/>
                <w:sz w:val="24"/>
                <w:szCs w:val="24"/>
              </w:rPr>
              <m:t xml:space="preserve">∂</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C</m:t>
                </m:r>
              </m:e>
              <m:sub>
                <m:r>
                  <m:rPr>
                    <m:sty m:val="p"/>
                  </m:rPr>
                  <w:rPr>
                    <w:rFonts w:ascii="Cambria Math" w:hAnsi="Cambria Math" w:cs="Cambria Math"/>
                    <w:sz w:val="24"/>
                    <w:szCs w:val="24"/>
                  </w:rPr>
                  <m:t xml:space="preserve">кр</m:t>
                </m:r>
              </m:sub>
            </m:sSub>
          </m:num>
          <m:den>
            <m:r>
              <m:rPr>
                <m:sty m:val="p"/>
              </m:rPr>
              <w:rPr>
                <w:rFonts w:ascii="Cambria Math" w:hAnsi="Cambria Math" w:cs="Cambria Math"/>
                <w:sz w:val="24"/>
                <w:szCs w:val="24"/>
              </w:rPr>
              <m:t xml:space="preserve">∂</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h</m:t>
                </m:r>
              </m:e>
              <m:sub>
                <m:r>
                  <m:rPr>
                    <m:sty m:val="i"/>
                  </m:rPr>
                  <w:rPr>
                    <w:rFonts w:ascii="Cambria Math" w:hAnsi="Cambria Math" w:cs="Cambria Math"/>
                    <w:sz w:val="24"/>
                    <w:szCs w:val="24"/>
                  </w:rPr>
                  <m:t xml:space="preserve">t</m:t>
                </m:r>
                <m:r>
                  <m:rPr>
                    <m:sty m:val="p"/>
                  </m:rPr>
                  <w:rPr>
                    <w:rFonts w:ascii="Cambria Math" w:hAnsi="Cambria Math" w:cs="Cambria Math"/>
                    <w:sz w:val="24"/>
                    <w:szCs w:val="24"/>
                  </w:rPr>
                  <m:t xml:space="preserve">−1</m:t>
                </m:r>
              </m:sub>
            </m:sSub>
          </m:den>
        </m:f>
        <m:r>
          <m:rPr>
            <m:sty m:val="p"/>
          </m:rPr>
          <w:rPr>
            <w:rFonts w:ascii="Cambria Math" w:hAnsi="Cambria Math" w:cs="Cambria Math"/>
            <w:sz w:val="24"/>
            <w:szCs w:val="24"/>
          </w:rPr>
          <m:t xml:space="preserve">=−</m:t>
        </m:r>
        <m:f>
          <m:fPr>
            <m:ctrlPr>
              <w:rPr>
                <w:rFonts w:ascii="Cambria Math" w:hAnsi="Cambria Math" w:cs="Cambria Math"/>
                <w:sz w:val="24"/>
                <w:szCs w:val="24"/>
              </w:rPr>
            </m:ctrlPr>
          </m:fPr>
          <m:num>
            <m:sSub>
              <m:sSubPr>
                <m:ctrlPr>
                  <w:rPr>
                    <w:rFonts w:ascii="Cambria Math" w:hAnsi="Cambria Math" w:cs="Cambria Math"/>
                    <w:sz w:val="24"/>
                    <w:szCs w:val="24"/>
                  </w:rPr>
                </m:ctrlPr>
              </m:sSubPr>
              <m:e>
                <m:r>
                  <m:rPr>
                    <m:sty m:val="i"/>
                  </m:rPr>
                  <w:rPr>
                    <w:rFonts w:ascii="Cambria Math" w:hAnsi="Cambria Math" w:cs="Cambria Math"/>
                    <w:sz w:val="24"/>
                    <w:szCs w:val="24"/>
                  </w:rPr>
                  <m:t xml:space="preserve">k</m:t>
                </m:r>
              </m:e>
              <m:sub>
                <m:r>
                  <m:rPr>
                    <m:sty m:val="p"/>
                  </m:rPr>
                  <w:rPr>
                    <w:rFonts w:ascii="Cambria Math" w:hAnsi="Cambria Math" w:cs="Cambria Math"/>
                    <w:sz w:val="24"/>
                    <w:szCs w:val="24"/>
                  </w:rPr>
                  <m:t xml:space="preserve">max</m:t>
                </m:r>
              </m:sub>
            </m:sSub>
            <m:r>
              <m:rPr>
                <m:sty m:val="p"/>
              </m:rPr>
              <w:rPr>
                <w:rFonts w:ascii="Cambria Math" w:hAnsi="Cambria Math" w:cs="Cambria Math"/>
                <w:sz w:val="24"/>
                <w:szCs w:val="24"/>
              </w:rPr>
              <m:t xml:space="preserve">−</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k</m:t>
                </m:r>
              </m:e>
              <m:sub>
                <m:r>
                  <m:rPr>
                    <m:sty m:val="p"/>
                  </m:rPr>
                  <w:rPr>
                    <w:rFonts w:ascii="Cambria Math" w:hAnsi="Cambria Math" w:cs="Cambria Math"/>
                    <w:sz w:val="24"/>
                    <w:szCs w:val="24"/>
                  </w:rPr>
                  <m:t xml:space="preserve">min</m:t>
                </m:r>
              </m:sub>
            </m:sSub>
          </m:num>
          <m:den>
            <m:sSup>
              <m:sSupPr>
                <m:ctrlPr>
                  <w:rPr>
                    <w:rFonts w:ascii="Cambria Math" w:hAnsi="Cambria Math" w:cs="Cambria Math"/>
                    <w:sz w:val="24"/>
                    <w:szCs w:val="24"/>
                  </w:rPr>
                </m:ctrlPr>
              </m:sSupPr>
              <m:e>
                <m:sSub>
                  <m:sSubPr>
                    <m:ctrlPr>
                      <w:rPr>
                        <w:rFonts w:ascii="Cambria Math" w:hAnsi="Cambria Math" w:cs="Cambria Math"/>
                        <w:sz w:val="24"/>
                        <w:szCs w:val="24"/>
                      </w:rPr>
                    </m:ctrlPr>
                  </m:sSubPr>
                  <m:e>
                    <m:r>
                      <m:rPr>
                        <m:sty m:val="i"/>
                      </m:rPr>
                      <w:rPr>
                        <w:rFonts w:ascii="Cambria Math" w:hAnsi="Cambria Math" w:cs="Cambria Math"/>
                        <w:sz w:val="24"/>
                        <w:szCs w:val="24"/>
                      </w:rPr>
                      <m:t xml:space="preserve">k</m:t>
                    </m:r>
                  </m:e>
                  <m:sub>
                    <m:r>
                      <m:rPr>
                        <m:sty m:val="i"/>
                      </m:rPr>
                      <w:rPr>
                        <w:rFonts w:ascii="Cambria Math" w:hAnsi="Cambria Math" w:cs="Cambria Math"/>
                        <w:sz w:val="24"/>
                        <w:szCs w:val="24"/>
                      </w:rPr>
                      <m:t xml:space="preserve">t</m:t>
                    </m:r>
                  </m:sub>
                </m:sSub>
              </m:e>
              <m:sup>
                <m:r>
                  <m:rPr>
                    <m:sty m:val="p"/>
                  </m:rPr>
                  <w:rPr>
                    <w:rFonts w:ascii="Cambria Math" w:hAnsi="Cambria Math" w:cs="Cambria Math"/>
                    <w:sz w:val="24"/>
                    <w:szCs w:val="24"/>
                  </w:rPr>
                  <m:t xml:space="preserve">2</m:t>
                </m:r>
              </m:sup>
            </m:sSup>
          </m:den>
        </m:f>
        <m:r>
          <m:rPr>
            <m:sty m:val="p"/>
          </m:rPr>
          <w:rPr>
            <w:rFonts w:ascii="Cambria Math" w:hAnsi="Cambria Math" w:cs="Cambria Math"/>
            <w:sz w:val="24"/>
            <w:szCs w:val="24"/>
          </w:rPr>
          <m:t xml:space="preserve">·ln</m:t>
        </m:r>
        <m:d>
          <m:dPr>
            <m:begChr m:val="("/>
            <m:endChr m:val=")"/>
            <m:ctrlPr>
              <w:rPr>
                <w:rFonts w:ascii="Cambria Math" w:hAnsi="Cambria Math" w:cs="Cambria Math"/>
                <w:sz w:val="24"/>
                <w:szCs w:val="24"/>
              </w:rPr>
            </m:ctrlPr>
          </m:dPr>
          <m:e>
            <m:f>
              <m:fPr>
                <m:ctrlPr>
                  <w:rPr>
                    <w:rFonts w:ascii="Cambria Math" w:hAnsi="Cambria Math" w:cs="Cambria Math"/>
                    <w:sz w:val="24"/>
                    <w:szCs w:val="24"/>
                  </w:rPr>
                </m:ctrlPr>
              </m:fPr>
              <m:num>
                <m:r>
                  <m:rPr>
                    <m:sty m:val="p"/>
                  </m:rPr>
                  <w:rPr>
                    <w:rFonts w:ascii="Cambria Math" w:hAnsi="Cambria Math" w:cs="Cambria Math"/>
                    <w:sz w:val="24"/>
                    <w:szCs w:val="24"/>
                  </w:rPr>
                  <m:t xml:space="preserve">1</m:t>
                </m:r>
              </m:num>
              <m:den>
                <m:r>
                  <m:rPr>
                    <m:sty m:val="p"/>
                  </m:rPr>
                  <w:rPr>
                    <w:rFonts w:ascii="Cambria Math" w:hAnsi="Cambria Math" w:cs="Cambria Math"/>
                    <w:sz w:val="24"/>
                    <w:szCs w:val="24"/>
                  </w:rPr>
                  <m:t xml:space="preserve">1−</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ρ</m:t>
                    </m:r>
                  </m:e>
                  <m:sub>
                    <m:r>
                      <m:rPr>
                        <m:sty m:val="p"/>
                      </m:rPr>
                      <w:rPr>
                        <w:rFonts w:ascii="Cambria Math" w:hAnsi="Cambria Math" w:cs="Cambria Math"/>
                        <w:sz w:val="24"/>
                        <w:szCs w:val="24"/>
                      </w:rPr>
                      <m:t xml:space="preserve">0</m:t>
                    </m:r>
                  </m:sub>
                </m:sSub>
              </m:den>
            </m:f>
          </m:e>
        </m:d>
        <m:r>
          <m:rPr>
            <m:sty m:val="p"/>
          </m:rPr>
          <w:rPr>
            <w:rFonts w:ascii="Cambria Math" w:hAnsi="Cambria Math" w:cs="Cambria Math"/>
            <w:sz w:val="24"/>
            <w:szCs w:val="24"/>
          </w:rPr>
          <m:t xml:space="preserve">&lt;0</m:t>
        </m:r>
      </m:oMath>
      <w:r>
        <w:rPr>
          <w:rFonts w:ascii="Times New Roman" w:cs="Times New Roman" w:eastAsia="Times New Roman" w:hAnsi="Times New Roman"/>
          <w:sz w:val="24"/>
          <w:szCs w:val="24"/>
        </w:rPr>
        <w:tab/>
        <w:t xml:space="preserve">(5)</w:t>
      </w:r>
    </w:p>
    <w:p>
      <w:pPr>
        <w:spacing w:after="0" w:before="0" w:line="360"/>
        <w:ind w:firstLine="709"/>
        <w:jc w:val="both"/>
      </w:pPr>
      <w:r>
        <w:rPr>
          <w:rFonts w:ascii="Times New Roman" w:cs="Times New Roman" w:eastAsia="Times New Roman" w:hAnsi="Times New Roman"/>
          <w:sz w:val="24"/>
          <w:szCs w:val="24"/>
        </w:rPr>
        <w:t xml:space="preserve">Производная отрицательна при любом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ρ</m:t>
            </m:r>
          </m:e>
          <m:sub>
            <m:r>
              <m:rPr>
                <m:sty m:val="p"/>
              </m:rPr>
              <w:rPr>
                <w:rFonts w:ascii="Cambria Math" w:hAnsi="Cambria Math" w:cs="Cambria Math"/>
                <w:sz w:val="24"/>
                <w:szCs w:val="24"/>
              </w:rPr>
              <m:t xml:space="preserve">0</m:t>
            </m:r>
          </m:sub>
        </m:sSub>
      </m:oMath>
      <w:r>
        <w:rPr>
          <w:rFonts w:ascii="Times New Roman" w:cs="Times New Roman" w:eastAsia="Times New Roman" w:hAnsi="Times New Roman"/>
          <w:sz w:val="24"/>
          <w:szCs w:val="24"/>
        </w:rPr>
        <w:t xml:space="preserve"> &gt; 0. Каждый период добросовестного раздела затрат снижает связность, нужную для выхода платформы в положительную зону, причём сильнее всего в начале, когда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k</m:t>
            </m:r>
          </m:e>
          <m:sub>
            <m:r>
              <m:rPr>
                <m:sty m:val="i"/>
              </m:rPr>
              <w:rPr>
                <w:rFonts w:ascii="Cambria Math" w:hAnsi="Cambria Math" w:cs="Cambria Math"/>
                <w:sz w:val="24"/>
                <w:szCs w:val="24"/>
              </w:rPr>
              <m:t xml:space="preserve">t</m:t>
            </m:r>
          </m:sub>
        </m:sSub>
      </m:oMath>
      <w:r>
        <w:rPr>
          <w:rFonts w:ascii="Times New Roman" w:cs="Times New Roman" w:eastAsia="Times New Roman" w:hAnsi="Times New Roman"/>
          <w:sz w:val="24"/>
          <w:szCs w:val="24"/>
        </w:rPr>
        <w:t xml:space="preserve"> мало. Ранние сделки стоят дороже поздних: они покупают не только поток, но и снижение порога для следующих участников.</w:t>
      </w:r>
    </w:p>
    <w:p>
      <w:pPr>
        <w:spacing w:after="0" w:before="0" w:line="360"/>
        <w:ind w:firstLine="709"/>
        <w:jc w:val="both"/>
      </w:pPr>
      <w:r>
        <w:rPr>
          <w:rFonts w:ascii="Times New Roman" w:cs="Times New Roman" w:eastAsia="Times New Roman" w:hAnsi="Times New Roman"/>
          <w:sz w:val="24"/>
          <w:szCs w:val="24"/>
        </w:rPr>
        <w:t xml:space="preserve">Насколько ошибается оценка без порога и базы, показывает условный расчёт в таблице 1. Параметры выбраны для иллюстрации и подлежат замене данными обследования: </w:t>
      </w:r>
      <m:oMath>
        <m:r>
          <m:rPr>
            <m:sty m:val="i"/>
          </m:rPr>
          <w:rPr>
            <w:rFonts w:ascii="Cambria Math" w:hAnsi="Cambria Math" w:cs="Cambria Math"/>
            <w:sz w:val="24"/>
            <w:szCs w:val="24"/>
          </w:rPr>
          <m:t xml:space="preserve">V</m:t>
        </m:r>
      </m:oMath>
      <w:r>
        <w:rPr>
          <w:rFonts w:ascii="Times New Roman" w:cs="Times New Roman" w:eastAsia="Times New Roman" w:hAnsi="Times New Roman"/>
          <w:sz w:val="24"/>
          <w:szCs w:val="24"/>
        </w:rPr>
        <w:t xml:space="preserve"> = 150 млн руб. в год,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ρ</m:t>
            </m:r>
          </m:e>
          <m:sub>
            <m:r>
              <m:rPr>
                <m:sty m:val="p"/>
              </m:rPr>
              <w:rPr>
                <w:rFonts w:ascii="Cambria Math" w:hAnsi="Cambria Math" w:cs="Cambria Math"/>
                <w:sz w:val="24"/>
                <w:szCs w:val="24"/>
              </w:rPr>
              <m:t xml:space="preserve">0</m:t>
            </m:r>
          </m:sub>
        </m:sSub>
      </m:oMath>
      <w:r>
        <w:rPr>
          <w:rFonts w:ascii="Times New Roman" w:cs="Times New Roman" w:eastAsia="Times New Roman" w:hAnsi="Times New Roman"/>
          <w:sz w:val="24"/>
          <w:szCs w:val="24"/>
        </w:rPr>
        <w:t xml:space="preserve"> = 0,10,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C</m:t>
            </m:r>
          </m:e>
          <m:sub>
            <m:r>
              <m:rPr>
                <m:sty m:val="p"/>
              </m:rPr>
              <w:rPr>
                <w:rFonts w:ascii="Cambria Math" w:hAnsi="Cambria Math" w:cs="Cambria Math"/>
                <w:sz w:val="24"/>
                <w:szCs w:val="24"/>
              </w:rPr>
              <m:t xml:space="preserve">min</m:t>
            </m:r>
          </m:sub>
        </m:sSub>
      </m:oMath>
      <w:r>
        <w:rPr>
          <w:rFonts w:ascii="Times New Roman" w:cs="Times New Roman" w:eastAsia="Times New Roman" w:hAnsi="Times New Roman"/>
          <w:sz w:val="24"/>
          <w:szCs w:val="24"/>
        </w:rPr>
        <w:t xml:space="preserve"> = 0,15,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k</m:t>
            </m:r>
          </m:e>
          <m:sub>
            <m:r>
              <m:rPr>
                <m:sty m:val="p"/>
              </m:rPr>
              <w:rPr>
                <w:rFonts w:ascii="Cambria Math" w:hAnsi="Cambria Math" w:cs="Cambria Math"/>
                <w:sz w:val="24"/>
                <w:szCs w:val="24"/>
              </w:rPr>
              <m:t xml:space="preserve">min</m:t>
            </m:r>
          </m:sub>
        </m:sSub>
      </m:oMath>
      <w:r>
        <w:rPr>
          <w:rFonts w:ascii="Times New Roman" w:cs="Times New Roman" w:eastAsia="Times New Roman" w:hAnsi="Times New Roman"/>
          <w:sz w:val="24"/>
          <w:szCs w:val="24"/>
        </w:rPr>
        <w:t xml:space="preserve"> = 2,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k</m:t>
            </m:r>
          </m:e>
          <m:sub>
            <m:r>
              <m:rPr>
                <m:sty m:val="p"/>
              </m:rPr>
              <w:rPr>
                <w:rFonts w:ascii="Cambria Math" w:hAnsi="Cambria Math" w:cs="Cambria Math"/>
                <w:sz w:val="24"/>
                <w:szCs w:val="24"/>
              </w:rPr>
              <m:t xml:space="preserve">max</m:t>
            </m:r>
          </m:sub>
        </m:sSub>
      </m:oMath>
      <w:r>
        <w:rPr>
          <w:rFonts w:ascii="Times New Roman" w:cs="Times New Roman" w:eastAsia="Times New Roman" w:hAnsi="Times New Roman"/>
          <w:sz w:val="24"/>
          <w:szCs w:val="24"/>
        </w:rPr>
        <w:t xml:space="preserve"> = 5, текущая связность </w:t>
      </w:r>
      <m:oMath>
        <m:r>
          <m:rPr>
            <m:sty m:val="i"/>
          </m:rPr>
          <w:rPr>
            <w:rFonts w:ascii="Cambria Math" w:hAnsi="Cambria Math" w:cs="Cambria Math"/>
            <w:sz w:val="24"/>
            <w:szCs w:val="24"/>
          </w:rPr>
          <m:t xml:space="preserve">C</m:t>
        </m:r>
      </m:oMath>
      <w:r>
        <w:rPr>
          <w:rFonts w:ascii="Times New Roman" w:cs="Times New Roman" w:eastAsia="Times New Roman" w:hAnsi="Times New Roman"/>
          <w:sz w:val="24"/>
          <w:szCs w:val="24"/>
        </w:rPr>
        <w:t xml:space="preserve"> = 0,4.</w:t>
      </w:r>
    </w:p>
    <w:p>
      <w:pPr>
        <w:keepNext/>
        <w:spacing w:after="0" w:before="0" w:line="360"/>
        <w:ind w:firstLine="0"/>
        <w:jc w:val="right"/>
      </w:pPr>
      <w:r>
        <w:rPr>
          <w:rFonts w:ascii="Times New Roman" w:cs="Times New Roman" w:eastAsia="Times New Roman" w:hAnsi="Times New Roman"/>
          <w:sz w:val="24"/>
          <w:szCs w:val="24"/>
        </w:rPr>
        <w:t xml:space="preserve">Таблица 1</w:t>
      </w:r>
    </w:p>
    <w:p>
      <w:pPr>
        <w:keepNext/>
        <w:spacing w:after="0" w:before="0" w:line="360"/>
        <w:ind w:firstLine="0"/>
        <w:jc w:val="center"/>
      </w:pPr>
      <w:r>
        <w:rPr>
          <w:rFonts w:ascii="Times New Roman" w:cs="Times New Roman" w:eastAsia="Times New Roman" w:hAnsi="Times New Roman"/>
          <w:sz w:val="24"/>
          <w:szCs w:val="24"/>
        </w:rPr>
        <w:t xml:space="preserve">Дополнительный эффект платформы при разной доле «справедливых» исходов (условный расчёт)</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150"/>
        <w:gridCol w:w="1600"/>
        <w:gridCol w:w="1600"/>
        <w:gridCol w:w="1600"/>
        <w:gridCol w:w="1487"/>
      </w:tblGrid>
      <w:tr>
        <w:trPr>
          <w:tblHeader/>
        </w:trPr>
        <w:tc>
          <w:tcPr>
            <w:tcW w:type="dxa" w:w="1150"/>
            <w:tcBorders>
              <w:top w:val="single" w:color="000000" w:sz="4"/>
              <w:left w:val="single" w:color="000000" w:sz="4"/>
              <w:bottom w:val="single" w:color="000000" w:sz="4"/>
              <w:right w:val="single" w:color="000000" w:sz="4"/>
            </w:tcBorders>
            <w:shd w:fill="EFEFEF" w:color="auto" w:val="clear"/>
            <w:tcMar>
              <w:top w:type="dxa" w:w="30"/>
              <w:left w:type="dxa" w:w="70"/>
              <w:bottom w:type="dxa" w:w="30"/>
              <w:right w:type="dxa" w:w="70"/>
            </w:tcMar>
            <w:vAlign w:val="center"/>
          </w:tcPr>
          <w:p>
            <w:pPr>
              <w:spacing w:after="0" w:before="0" w:line="240"/>
              <w:jc w:val="center"/>
            </w:pP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h</m:t>
                  </m:r>
                </m:e>
                <m:sub>
                  <m:r>
                    <m:rPr>
                      <m:sty m:val="i"/>
                    </m:rPr>
                    <w:rPr>
                      <w:rFonts w:ascii="Cambria Math" w:hAnsi="Cambria Math" w:cs="Cambria Math"/>
                      <w:sz w:val="24"/>
                      <w:szCs w:val="24"/>
                    </w:rPr>
                    <m:t xml:space="preserve">t</m:t>
                  </m:r>
                  <m:r>
                    <m:rPr>
                      <m:sty m:val="p"/>
                    </m:rPr>
                    <w:rPr>
                      <w:rFonts w:ascii="Cambria Math" w:hAnsi="Cambria Math" w:cs="Cambria Math"/>
                      <w:sz w:val="24"/>
                      <w:szCs w:val="24"/>
                    </w:rPr>
                    <m:t xml:space="preserve">−1</m:t>
                  </m:r>
                </m:sub>
              </m:sSub>
            </m:oMath>
          </w:p>
        </w:tc>
        <w:tc>
          <w:tcPr>
            <w:tcW w:type="dxa" w:w="1050"/>
            <w:tcBorders>
              <w:top w:val="single" w:color="000000" w:sz="4"/>
              <w:left w:val="single" w:color="000000" w:sz="4"/>
              <w:bottom w:val="single" w:color="000000" w:sz="4"/>
              <w:right w:val="single" w:color="000000" w:sz="4"/>
            </w:tcBorders>
            <w:shd w:fill="EFEFEF" w:color="auto" w:val="clear"/>
            <w:tcMar>
              <w:top w:type="dxa" w:w="30"/>
              <w:left w:type="dxa" w:w="70"/>
              <w:bottom w:type="dxa" w:w="30"/>
              <w:right w:type="dxa" w:w="70"/>
            </w:tcMar>
            <w:vAlign w:val="center"/>
          </w:tcPr>
          <w:p>
            <w:pPr>
              <w:spacing w:after="0" w:before="0" w:line="240"/>
              <w:jc w:val="center"/>
            </w:pP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k</m:t>
                  </m:r>
                </m:e>
                <m:sub>
                  <m:r>
                    <m:rPr>
                      <m:sty m:val="i"/>
                    </m:rPr>
                    <w:rPr>
                      <w:rFonts w:ascii="Cambria Math" w:hAnsi="Cambria Math" w:cs="Cambria Math"/>
                      <w:sz w:val="24"/>
                      <w:szCs w:val="24"/>
                    </w:rPr>
                    <m:t xml:space="preserve">t</m:t>
                  </m:r>
                </m:sub>
              </m:sSub>
            </m:oMath>
          </w:p>
        </w:tc>
        <w:tc>
          <w:tcPr>
            <w:tcW w:type="dxa" w:w="1150"/>
            <w:tcBorders>
              <w:top w:val="single" w:color="000000" w:sz="4"/>
              <w:left w:val="single" w:color="000000" w:sz="4"/>
              <w:bottom w:val="single" w:color="000000" w:sz="4"/>
              <w:right w:val="single" w:color="000000" w:sz="4"/>
            </w:tcBorders>
            <w:shd w:fill="EFEFEF" w:color="auto" w:val="clear"/>
            <w:tcMar>
              <w:top w:type="dxa" w:w="30"/>
              <w:left w:type="dxa" w:w="70"/>
              <w:bottom w:type="dxa" w:w="30"/>
              <w:right w:type="dxa" w:w="70"/>
            </w:tcMar>
            <w:vAlign w:val="center"/>
          </w:tcPr>
          <w:p>
            <w:pPr>
              <w:spacing w:after="0" w:before="0" w:line="240"/>
              <w:jc w:val="center"/>
            </w:pP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C</m:t>
                  </m:r>
                </m:e>
                <m:sub>
                  <m:r>
                    <m:rPr>
                      <m:sty m:val="p"/>
                    </m:rPr>
                    <w:rPr>
                      <w:rFonts w:ascii="Cambria Math" w:hAnsi="Cambria Math" w:cs="Cambria Math"/>
                      <w:sz w:val="24"/>
                      <w:szCs w:val="24"/>
                    </w:rPr>
                    <m:t xml:space="preserve">кр</m:t>
                  </m:r>
                </m:sub>
              </m:sSub>
            </m:oMath>
          </w:p>
        </w:tc>
        <w:tc>
          <w:tcPr>
            <w:tcW w:type="dxa" w:w="1600"/>
            <w:tcBorders>
              <w:top w:val="single" w:color="000000" w:sz="4"/>
              <w:left w:val="single" w:color="000000" w:sz="4"/>
              <w:bottom w:val="single" w:color="000000" w:sz="4"/>
              <w:right w:val="single" w:color="000000" w:sz="4"/>
            </w:tcBorders>
            <w:shd w:fill="EFEFEF" w:color="auto" w:val="clear"/>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b/>
                <w:bCs/>
                <w:i w:val="false"/>
                <w:iCs w:val="false"/>
                <w:sz w:val="22"/>
                <w:szCs w:val="22"/>
              </w:rPr>
              <w:t xml:space="preserve">Эффект без порога и базы, млн руб.</w:t>
            </w:r>
          </w:p>
        </w:tc>
        <w:tc>
          <w:tcPr>
            <w:tcW w:type="dxa" w:w="1600"/>
            <w:tcBorders>
              <w:top w:val="single" w:color="000000" w:sz="4"/>
              <w:left w:val="single" w:color="000000" w:sz="4"/>
              <w:bottom w:val="single" w:color="000000" w:sz="4"/>
              <w:right w:val="single" w:color="000000" w:sz="4"/>
            </w:tcBorders>
            <w:shd w:fill="EFEFEF" w:color="auto" w:val="clear"/>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b/>
                <w:bCs/>
                <w:i w:val="false"/>
                <w:iCs w:val="false"/>
                <w:sz w:val="22"/>
                <w:szCs w:val="22"/>
              </w:rPr>
              <w:t xml:space="preserve">Эффект с порогом, млн руб.</w:t>
            </w:r>
          </w:p>
        </w:tc>
        <w:tc>
          <w:tcPr>
            <w:tcW w:type="dxa" w:w="1600"/>
            <w:tcBorders>
              <w:top w:val="single" w:color="000000" w:sz="4"/>
              <w:left w:val="single" w:color="000000" w:sz="4"/>
              <w:bottom w:val="single" w:color="000000" w:sz="4"/>
              <w:right w:val="single" w:color="000000" w:sz="4"/>
            </w:tcBorders>
            <w:shd w:fill="EFEFEF" w:color="auto" w:val="clear"/>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b/>
                <w:bCs/>
                <w:i w:val="false"/>
                <w:iCs w:val="false"/>
                <w:sz w:val="22"/>
                <w:szCs w:val="22"/>
              </w:rPr>
              <w:t xml:space="preserve">Эффект по (2), млн руб.</w:t>
            </w:r>
          </w:p>
        </w:tc>
        <w:tc>
          <w:tcPr>
            <w:tcW w:type="dxa" w:w="1487"/>
            <w:tcBorders>
              <w:top w:val="single" w:color="000000" w:sz="4"/>
              <w:left w:val="single" w:color="000000" w:sz="4"/>
              <w:bottom w:val="single" w:color="000000" w:sz="4"/>
              <w:right w:val="single" w:color="000000" w:sz="4"/>
            </w:tcBorders>
            <w:shd w:fill="EFEFEF" w:color="auto" w:val="clear"/>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b/>
                <w:bCs/>
                <w:i w:val="false"/>
                <w:iCs w:val="false"/>
                <w:sz w:val="22"/>
                <w:szCs w:val="22"/>
              </w:rPr>
              <w:t xml:space="preserve">Завышение, %</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0</w:t>
            </w:r>
          </w:p>
        </w:tc>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2,00</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0,203</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82,6</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59,0</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44,0</w:t>
            </w:r>
          </w:p>
        </w:tc>
        <w:tc>
          <w:tcPr>
            <w:tcW w:type="dxa" w:w="14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87,6</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0,25</w:t>
            </w:r>
          </w:p>
        </w:tc>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2,75</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0,188</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100,1</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74,6</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59,6</w:t>
            </w:r>
          </w:p>
        </w:tc>
        <w:tc>
          <w:tcPr>
            <w:tcW w:type="dxa" w:w="14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68,0</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0,50</w:t>
            </w:r>
          </w:p>
        </w:tc>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3,50</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0,180</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113,0</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87,5</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72,5</w:t>
            </w:r>
          </w:p>
        </w:tc>
        <w:tc>
          <w:tcPr>
            <w:tcW w:type="dxa" w:w="14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55,9</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0,75</w:t>
            </w:r>
          </w:p>
        </w:tc>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4,25</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0,175</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122,6</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98,2</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83,2</w:t>
            </w:r>
          </w:p>
        </w:tc>
        <w:tc>
          <w:tcPr>
            <w:tcW w:type="dxa" w:w="14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47,4</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1,00</w:t>
            </w:r>
          </w:p>
        </w:tc>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5,00</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0,171</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129,7</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107,0</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92,0</w:t>
            </w:r>
          </w:p>
        </w:tc>
        <w:tc>
          <w:tcPr>
            <w:tcW w:type="dxa" w:w="14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40,9</w:t>
            </w:r>
          </w:p>
        </w:tc>
      </w:tr>
    </w:tbl>
    <w:p>
      <w:pPr>
        <w:spacing w:after="0" w:before="0" w:line="360"/>
        <w:ind w:firstLine="0"/>
        <w:jc w:val="left"/>
      </w:pPr>
      <w:r>
        <w:rPr>
          <w:rFonts w:ascii="Times New Roman" w:cs="Times New Roman" w:eastAsia="Times New Roman" w:hAnsi="Times New Roman"/>
          <w:sz w:val="24"/>
          <w:szCs w:val="24"/>
        </w:rPr>
        <w:t xml:space="preserve">Источник: рассчитано автором по формулам (1)–(4).</w:t>
      </w:r>
    </w:p>
    <w:p>
      <w:pPr>
        <w:spacing w:after="0" w:before="0" w:line="360"/>
        <w:ind w:firstLine="709"/>
        <w:jc w:val="both"/>
      </w:pPr>
      <w:r>
        <w:rPr>
          <w:rFonts w:ascii="Times New Roman" w:cs="Times New Roman" w:eastAsia="Times New Roman" w:hAnsi="Times New Roman"/>
          <w:sz w:val="24"/>
          <w:szCs w:val="24"/>
        </w:rPr>
        <w:t xml:space="preserve">Оценка без порога и базы завышает прирост от 41 до 88 %. Расхождение складывается из двух частей. Базовая связность отнимает постоянные 15 млн руб. (</w:t>
      </w:r>
      <m:oMath>
        <m:r>
          <m:rPr>
            <m:sty m:val="i"/>
          </m:rPr>
          <w:rPr>
            <w:rFonts w:ascii="Cambria Math" w:hAnsi="Cambria Math" w:cs="Cambria Math"/>
            <w:sz w:val="24"/>
            <w:szCs w:val="24"/>
          </w:rPr>
          <m:t xml:space="preserve">V</m:t>
        </m:r>
      </m:oMath>
      <w:r>
        <w:rPr>
          <w:rFonts w:ascii="Times New Roman" w:cs="Times New Roman" w:eastAsia="Times New Roman" w:hAnsi="Times New Roman"/>
          <w:sz w:val="24"/>
          <w:szCs w:val="24"/>
        </w:rPr>
        <w:t xml:space="preserve">·</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ρ</m:t>
            </m:r>
          </m:e>
          <m:sub>
            <m:r>
              <m:rPr>
                <m:sty m:val="p"/>
              </m:rPr>
              <w:rPr>
                <w:rFonts w:ascii="Cambria Math" w:hAnsi="Cambria Math" w:cs="Cambria Math"/>
                <w:sz w:val="24"/>
                <w:szCs w:val="24"/>
              </w:rPr>
              <m:t xml:space="preserve">0</m:t>
            </m:r>
          </m:sub>
        </m:sSub>
      </m:oMath>
      <w:r>
        <w:rPr>
          <w:rFonts w:ascii="Times New Roman" w:cs="Times New Roman" w:eastAsia="Times New Roman" w:hAnsi="Times New Roman"/>
          <w:sz w:val="24"/>
          <w:szCs w:val="24"/>
        </w:rPr>
        <w:t xml:space="preserve">), порог – от 22,7 до 25,5 млн руб. Институциональное обучение сокращает относительную ошибку, но не устраняет её: даже при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h</m:t>
            </m:r>
          </m:e>
          <m:sub>
            <m:r>
              <m:rPr>
                <m:sty m:val="i"/>
              </m:rPr>
              <w:rPr>
                <w:rFonts w:ascii="Cambria Math" w:hAnsi="Cambria Math" w:cs="Cambria Math"/>
                <w:sz w:val="24"/>
                <w:szCs w:val="24"/>
              </w:rPr>
              <m:t xml:space="preserve">t</m:t>
            </m:r>
            <m:r>
              <m:rPr>
                <m:sty m:val="p"/>
              </m:rPr>
              <w:rPr>
                <w:rFonts w:ascii="Cambria Math" w:hAnsi="Cambria Math" w:cs="Cambria Math"/>
                <w:sz w:val="24"/>
                <w:szCs w:val="24"/>
              </w:rPr>
              <m:t xml:space="preserve">−1</m:t>
            </m:r>
          </m:sub>
        </m:sSub>
      </m:oMath>
      <w:r>
        <w:rPr>
          <w:rFonts w:ascii="Times New Roman" w:cs="Times New Roman" w:eastAsia="Times New Roman" w:hAnsi="Times New Roman"/>
          <w:sz w:val="24"/>
          <w:szCs w:val="24"/>
        </w:rPr>
        <w:t xml:space="preserve"> = 1 оценка без поправок остаётся выше на две пятых. Пороговая связность снижается с 0,203 до 0,171, то есть для выхода в положительную зону при полном доверии нужно примерно на шестую часть меньше связей, чем при полном оппортунизме.</w:t>
      </w:r>
    </w:p>
    <w:p>
      <w:pPr>
        <w:spacing w:after="0" w:before="0" w:line="360"/>
        <w:ind w:firstLine="709"/>
        <w:jc w:val="both"/>
      </w:pPr>
      <w:r>
        <w:rPr>
          <w:rFonts w:ascii="Times New Roman" w:cs="Times New Roman" w:eastAsia="Times New Roman" w:hAnsi="Times New Roman"/>
          <w:sz w:val="24"/>
          <w:szCs w:val="24"/>
        </w:rPr>
        <w:t xml:space="preserve">Соотношение кривых показано на рисунке 1 для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h</m:t>
            </m:r>
          </m:e>
          <m:sub>
            <m:r>
              <m:rPr>
                <m:sty m:val="i"/>
              </m:rPr>
              <w:rPr>
                <w:rFonts w:ascii="Cambria Math" w:hAnsi="Cambria Math" w:cs="Cambria Math"/>
                <w:sz w:val="24"/>
                <w:szCs w:val="24"/>
              </w:rPr>
              <m:t xml:space="preserve">t</m:t>
            </m:r>
            <m:r>
              <m:rPr>
                <m:sty m:val="p"/>
              </m:rPr>
              <w:rPr>
                <w:rFonts w:ascii="Cambria Math" w:hAnsi="Cambria Math" w:cs="Cambria Math"/>
                <w:sz w:val="24"/>
                <w:szCs w:val="24"/>
              </w:rPr>
              <m:t xml:space="preserve">−1</m:t>
            </m:r>
          </m:sub>
        </m:sSub>
      </m:oMath>
      <w:r>
        <w:rPr>
          <w:rFonts w:ascii="Times New Roman" w:cs="Times New Roman" w:eastAsia="Times New Roman" w:hAnsi="Times New Roman"/>
          <w:sz w:val="24"/>
          <w:szCs w:val="24"/>
        </w:rPr>
        <w:t xml:space="preserve"> = 0,5.</w:t>
      </w:r>
    </w:p>
    <w:p>
      <w:pPr>
        <w:keepNext/>
        <w:spacing w:after="60" w:before="120"/>
        <w:jc w:val="center"/>
      </w:pPr>
      <w:r>
        <w:drawing>
          <wp:inline distT="0" distB="0" distL="0" distR="0">
            <wp:extent cx="5715000" cy="3571875"/>
            <wp:effectExtent t="0" r="0" b="0" l="0"/>
            <wp:docPr id="1" name="fig1" descr="Рисунок 1 – Функция реализуемости с порогом критической массы и базовой связностью (составлено автором)" title="Рисунок 1 – Функция реализуемости с порогом критической массы и базовой связностью (составлено автор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5715000" cy="3571875"/>
                    </a:xfrm>
                    <a:prstGeom prst="rect">
                      <a:avLst/>
                    </a:prstGeom>
                  </pic:spPr>
                </pic:pic>
              </a:graphicData>
            </a:graphic>
          </wp:inline>
        </w:drawing>
      </w:r>
    </w:p>
    <w:p>
      <w:pPr>
        <w:spacing w:after="60" w:before="0" w:line="360"/>
        <w:ind w:firstLine="0"/>
        <w:jc w:val="center"/>
      </w:pPr>
      <w:r>
        <w:rPr>
          <w:rFonts w:ascii="Times New Roman" w:cs="Times New Roman" w:eastAsia="Times New Roman" w:hAnsi="Times New Roman"/>
          <w:sz w:val="24"/>
          <w:szCs w:val="24"/>
        </w:rPr>
        <w:t xml:space="preserve">Рисунок 1 – Функция реализуемости с порогом критической массы и базовой связностью (составлено автором)</w:t>
      </w:r>
    </w:p>
    <w:p>
      <w:pPr>
        <w:spacing w:after="0" w:before="0" w:line="360"/>
        <w:ind w:firstLine="709"/>
        <w:jc w:val="both"/>
      </w:pPr>
      <w:r>
        <w:rPr>
          <w:rFonts w:ascii="Times New Roman" w:cs="Times New Roman" w:eastAsia="Times New Roman" w:hAnsi="Times New Roman"/>
          <w:sz w:val="24"/>
          <w:szCs w:val="24"/>
        </w:rPr>
        <w:t xml:space="preserve">Рисунок 1 показывает, что разрыв между пунктирной и сплошной кривыми максимален при средней связности и сходит на нет при полной. Платформа, оцениваемая без порога, выглядит выгодной с первых участников; с порогом её прирост остаётся нулевым до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C</m:t>
            </m:r>
          </m:e>
          <m:sub>
            <m:r>
              <m:rPr>
                <m:sty m:val="p"/>
              </m:rPr>
              <w:rPr>
                <w:rFonts w:ascii="Cambria Math" w:hAnsi="Cambria Math" w:cs="Cambria Math"/>
                <w:sz w:val="24"/>
                <w:szCs w:val="24"/>
              </w:rPr>
              <m:t xml:space="preserve">кр</m:t>
            </m:r>
          </m:sub>
        </m:sSub>
      </m:oMath>
      <w:r>
        <w:rPr>
          <w:rFonts w:ascii="Times New Roman" w:cs="Times New Roman" w:eastAsia="Times New Roman" w:hAnsi="Times New Roman"/>
          <w:sz w:val="24"/>
          <w:szCs w:val="24"/>
        </w:rPr>
        <w:t xml:space="preserve"> ≈ 0,18. Связность 0,4 даёт платформе 0,483 потенциального эффекта (сплошная кривая минус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ρ</m:t>
            </m:r>
          </m:e>
          <m:sub>
            <m:r>
              <m:rPr>
                <m:sty m:val="p"/>
              </m:rPr>
              <w:rPr>
                <w:rFonts w:ascii="Cambria Math" w:hAnsi="Cambria Math" w:cs="Cambria Math"/>
                <w:sz w:val="24"/>
                <w:szCs w:val="24"/>
              </w:rPr>
              <m:t xml:space="preserve">0</m:t>
            </m:r>
          </m:sub>
        </m:sSub>
      </m:oMath>
      <w:r>
        <w:rPr>
          <w:rFonts w:ascii="Times New Roman" w:cs="Times New Roman" w:eastAsia="Times New Roman" w:hAnsi="Times New Roman"/>
          <w:sz w:val="24"/>
          <w:szCs w:val="24"/>
        </w:rPr>
        <w:t xml:space="preserve">), а не 0,753 по прежней формуле. Отсюда практический вывод для оператора: первые соглашения целесообразно субсидировать, пока сеть не пройдёт порог.</w:t>
      </w:r>
    </w:p>
    <w:p>
      <w:pPr>
        <w:spacing w:after="0" w:before="0" w:line="360"/>
        <w:ind w:firstLine="709"/>
        <w:jc w:val="both"/>
      </w:pPr>
      <w:r>
        <w:rPr>
          <w:rFonts w:ascii="Times New Roman" w:cs="Times New Roman" w:eastAsia="Times New Roman" w:hAnsi="Times New Roman"/>
          <w:sz w:val="24"/>
          <w:szCs w:val="24"/>
        </w:rPr>
        <w:t xml:space="preserve">Вторая поправка касается состава эффекта. Каждый поток </w:t>
      </w:r>
      <m:oMath>
        <m:r>
          <m:rPr>
            <m:sty m:val="i"/>
          </m:rPr>
          <w:rPr>
            <w:rFonts w:ascii="Cambria Math" w:hAnsi="Cambria Math" w:cs="Cambria Math"/>
            <w:sz w:val="24"/>
            <w:szCs w:val="24"/>
          </w:rPr>
          <m:t xml:space="preserve">f</m:t>
        </m:r>
      </m:oMath>
      <w:r>
        <w:rPr>
          <w:rFonts w:ascii="Times New Roman" w:cs="Times New Roman" w:eastAsia="Times New Roman" w:hAnsi="Times New Roman"/>
          <w:sz w:val="24"/>
          <w:szCs w:val="24"/>
        </w:rPr>
        <w:t xml:space="preserve"> от якоря даёт рыночную и, возможно, углеродную составляющую:</w:t>
      </w:r>
    </w:p>
    <w:p>
      <w:pPr>
        <w:tabs>
          <w:tab w:val="center" w:pos="4819"/>
          <w:tab w:val="right" w:pos="9637"/>
        </w:tabs>
        <w:spacing w:after="60" w:before="60" w:line="360"/>
        <w:ind w:firstLine="0"/>
        <w:jc w:val="left"/>
      </w:pPr>
      <w:r>
        <w:rPr>
          <w:rFonts w:ascii="Times New Roman" w:cs="Times New Roman" w:eastAsia="Times New Roman" w:hAnsi="Times New Roman"/>
          <w:sz w:val="24"/>
          <w:szCs w:val="24"/>
        </w:rPr>
        <w:tab/>
      </w:r>
      <m:oMath>
        <m:r>
          <m:rPr>
            <m:sty m:val="p"/>
          </m:rPr>
          <w:rPr>
            <w:rFonts w:ascii="Cambria Math" w:hAnsi="Cambria Math" w:cs="Cambria Math"/>
            <w:sz w:val="24"/>
            <w:szCs w:val="24"/>
          </w:rPr>
          <m:t xml:space="preserve">Δ</m:t>
        </m:r>
        <m:r>
          <m:rPr>
            <m:sty m:val="i"/>
          </m:rPr>
          <w:rPr>
            <w:rFonts w:ascii="Cambria Math" w:hAnsi="Cambria Math" w:cs="Cambria Math"/>
            <w:sz w:val="24"/>
            <w:szCs w:val="24"/>
          </w:rPr>
          <m:t xml:space="preserve">E</m:t>
        </m:r>
        <m:r>
          <m:rPr>
            <m:sty m:val="p"/>
          </m:rPr>
          <w:rPr>
            <w:rFonts w:ascii="Cambria Math" w:hAnsi="Cambria Math" w:cs="Cambria Math"/>
            <w:sz w:val="24"/>
            <w:szCs w:val="24"/>
          </w:rPr>
          <m:t xml:space="preserve">=</m:t>
        </m:r>
        <m:nary>
          <m:naryPr>
            <m:chr m:val="∑"/>
            <m:limLoc m:val="undOvr"/>
            <m:supHide m:val="1"/>
            <m:ctrlPr>
              <w:rPr>
                <w:rFonts w:ascii="Cambria Math" w:hAnsi="Cambria Math" w:cs="Cambria Math"/>
                <w:sz w:val="24"/>
                <w:szCs w:val="24"/>
              </w:rPr>
            </m:ctrlPr>
          </m:naryPr>
          <m:sub>
            <m:r>
              <m:rPr>
                <m:sty m:val="i"/>
              </m:rPr>
              <w:rPr>
                <w:rFonts w:ascii="Cambria Math" w:hAnsi="Cambria Math" w:cs="Cambria Math"/>
                <w:sz w:val="24"/>
                <w:szCs w:val="24"/>
              </w:rPr>
              <m:t xml:space="preserve">f</m:t>
            </m:r>
          </m:sub>
          <m:sup/>
          <m:e>
            <m:d>
              <m:dPr>
                <m:begChr m:val="("/>
                <m:endChr m:val=")"/>
                <m:ctrlPr>
                  <w:rPr>
                    <w:rFonts w:ascii="Cambria Math" w:hAnsi="Cambria Math" w:cs="Cambria Math"/>
                    <w:sz w:val="24"/>
                    <w:szCs w:val="24"/>
                  </w:rPr>
                </m:ctrlPr>
              </m:dPr>
              <m:e>
                <m:sSubSup>
                  <m:sSubSupPr>
                    <m:ctrlPr>
                      <w:rPr>
                        <w:rFonts w:ascii="Cambria Math" w:hAnsi="Cambria Math" w:cs="Cambria Math"/>
                        <w:sz w:val="24"/>
                        <w:szCs w:val="24"/>
                      </w:rPr>
                    </m:ctrlPr>
                  </m:sSubSupPr>
                  <m:e>
                    <m:r>
                      <m:rPr>
                        <m:sty m:val="p"/>
                      </m:rPr>
                      <w:rPr>
                        <w:rFonts w:ascii="Cambria Math" w:hAnsi="Cambria Math" w:cs="Cambria Math"/>
                        <w:sz w:val="24"/>
                        <w:szCs w:val="24"/>
                      </w:rPr>
                      <m:t xml:space="preserve">Δ</m:t>
                    </m:r>
                    <m:r>
                      <m:rPr>
                        <m:sty m:val="i"/>
                      </m:rPr>
                      <w:rPr>
                        <w:rFonts w:ascii="Cambria Math" w:hAnsi="Cambria Math" w:cs="Cambria Math"/>
                        <w:sz w:val="24"/>
                        <w:szCs w:val="24"/>
                      </w:rPr>
                      <m:t xml:space="preserve">E</m:t>
                    </m:r>
                  </m:e>
                  <m:sub>
                    <m:r>
                      <m:rPr>
                        <m:sty m:val="i"/>
                      </m:rPr>
                      <w:rPr>
                        <w:rFonts w:ascii="Cambria Math" w:hAnsi="Cambria Math" w:cs="Cambria Math"/>
                        <w:sz w:val="24"/>
                        <w:szCs w:val="24"/>
                      </w:rPr>
                      <m:t xml:space="preserve">f</m:t>
                    </m:r>
                  </m:sub>
                  <m:sup>
                    <m:r>
                      <m:rPr>
                        <m:sty m:val="p"/>
                      </m:rPr>
                      <w:rPr>
                        <w:rFonts w:ascii="Cambria Math" w:hAnsi="Cambria Math" w:cs="Cambria Math"/>
                        <w:sz w:val="24"/>
                        <w:szCs w:val="24"/>
                      </w:rPr>
                      <m:t xml:space="preserve">рын</m:t>
                    </m:r>
                  </m:sup>
                </m:sSubSup>
                <m:r>
                  <m:rPr>
                    <m:sty m:val="p"/>
                  </m:rPr>
                  <w:rPr>
                    <w:rFonts w:ascii="Cambria Math" w:hAnsi="Cambria Math" w:cs="Cambria Math"/>
                    <w:sz w:val="24"/>
                    <w:szCs w:val="24"/>
                  </w:rPr>
                  <m:t xml:space="preserve">+</m:t>
                </m:r>
                <m:sSubSup>
                  <m:sSubSupPr>
                    <m:ctrlPr>
                      <w:rPr>
                        <w:rFonts w:ascii="Cambria Math" w:hAnsi="Cambria Math" w:cs="Cambria Math"/>
                        <w:sz w:val="24"/>
                        <w:szCs w:val="24"/>
                      </w:rPr>
                    </m:ctrlPr>
                  </m:sSubSupPr>
                  <m:e>
                    <m:r>
                      <m:rPr>
                        <m:sty m:val="p"/>
                      </m:rPr>
                      <w:rPr>
                        <w:rFonts w:ascii="Cambria Math" w:hAnsi="Cambria Math" w:cs="Cambria Math"/>
                        <w:sz w:val="24"/>
                        <w:szCs w:val="24"/>
                      </w:rPr>
                      <m:t xml:space="preserve">Δ</m:t>
                    </m:r>
                    <m:r>
                      <m:rPr>
                        <m:sty m:val="i"/>
                      </m:rPr>
                      <w:rPr>
                        <w:rFonts w:ascii="Cambria Math" w:hAnsi="Cambria Math" w:cs="Cambria Math"/>
                        <w:sz w:val="24"/>
                        <w:szCs w:val="24"/>
                      </w:rPr>
                      <m:t xml:space="preserve">E</m:t>
                    </m:r>
                  </m:e>
                  <m:sub>
                    <m:r>
                      <m:rPr>
                        <m:sty m:val="i"/>
                      </m:rPr>
                      <w:rPr>
                        <w:rFonts w:ascii="Cambria Math" w:hAnsi="Cambria Math" w:cs="Cambria Math"/>
                        <w:sz w:val="24"/>
                        <w:szCs w:val="24"/>
                      </w:rPr>
                      <m:t xml:space="preserve">f</m:t>
                    </m:r>
                  </m:sub>
                  <m:sup>
                    <m:r>
                      <m:rPr>
                        <m:sty m:val="p"/>
                      </m:rPr>
                      <w:rPr>
                        <w:rFonts w:ascii="Cambria Math" w:hAnsi="Cambria Math" w:cs="Cambria Math"/>
                        <w:sz w:val="24"/>
                        <w:szCs w:val="24"/>
                      </w:rPr>
                      <m:t xml:space="preserve">угл</m:t>
                    </m:r>
                  </m:sup>
                </m:sSubSup>
              </m:e>
            </m:d>
          </m:e>
        </m:nary>
      </m:oMath>
      <w:r>
        <w:rPr>
          <w:rFonts w:ascii="Times New Roman" w:cs="Times New Roman" w:eastAsia="Times New Roman" w:hAnsi="Times New Roman"/>
          <w:sz w:val="24"/>
          <w:szCs w:val="24"/>
        </w:rPr>
        <w:tab/>
        <w:t xml:space="preserve">(6)</w:t>
      </w:r>
    </w:p>
    <w:p>
      <w:pPr>
        <w:spacing w:after="0" w:before="0" w:line="360"/>
        <w:ind w:firstLine="0"/>
        <w:jc w:val="both"/>
      </w:pPr>
      <w:r>
        <w:rPr>
          <w:rFonts w:ascii="Times New Roman" w:cs="Times New Roman" w:eastAsia="Times New Roman" w:hAnsi="Times New Roman"/>
          <w:sz w:val="24"/>
          <w:szCs w:val="24"/>
        </w:rPr>
        <w:t xml:space="preserve">где </w:t>
      </w:r>
      <m:oMath>
        <m:sSubSup>
          <m:sSubSupPr>
            <m:ctrlPr>
              <w:rPr>
                <w:rFonts w:ascii="Cambria Math" w:hAnsi="Cambria Math" w:cs="Cambria Math"/>
                <w:sz w:val="24"/>
                <w:szCs w:val="24"/>
              </w:rPr>
            </m:ctrlPr>
          </m:sSubSupPr>
          <m:e>
            <m:r>
              <m:rPr>
                <m:sty m:val="p"/>
              </m:rPr>
              <w:rPr>
                <w:rFonts w:ascii="Cambria Math" w:hAnsi="Cambria Math" w:cs="Cambria Math"/>
                <w:sz w:val="24"/>
                <w:szCs w:val="24"/>
              </w:rPr>
              <m:t xml:space="preserve">Δ</m:t>
            </m:r>
            <m:r>
              <m:rPr>
                <m:sty m:val="i"/>
              </m:rPr>
              <w:rPr>
                <w:rFonts w:ascii="Cambria Math" w:hAnsi="Cambria Math" w:cs="Cambria Math"/>
                <w:sz w:val="24"/>
                <w:szCs w:val="24"/>
              </w:rPr>
              <m:t xml:space="preserve">E</m:t>
            </m:r>
          </m:e>
          <m:sub>
            <m:r>
              <m:rPr>
                <m:sty m:val="i"/>
              </m:rPr>
              <w:rPr>
                <w:rFonts w:ascii="Cambria Math" w:hAnsi="Cambria Math" w:cs="Cambria Math"/>
                <w:sz w:val="24"/>
                <w:szCs w:val="24"/>
              </w:rPr>
              <m:t xml:space="preserve">f</m:t>
            </m:r>
          </m:sub>
          <m:sup>
            <m:r>
              <m:rPr>
                <m:sty m:val="p"/>
              </m:rPr>
              <w:rPr>
                <w:rFonts w:ascii="Cambria Math" w:hAnsi="Cambria Math" w:cs="Cambria Math"/>
                <w:sz w:val="24"/>
                <w:szCs w:val="24"/>
              </w:rPr>
              <m:t xml:space="preserve">рын</m:t>
            </m:r>
          </m:sup>
        </m:sSubSup>
      </m:oMath>
      <w:r>
        <w:rPr>
          <w:rFonts w:ascii="Times New Roman" w:cs="Times New Roman" w:eastAsia="Times New Roman" w:hAnsi="Times New Roman"/>
          <w:sz w:val="24"/>
          <w:szCs w:val="24"/>
        </w:rPr>
        <w:t xml:space="preserve"> – рыночная составляющая эффекта потока </w:t>
      </w:r>
      <m:oMath>
        <m:r>
          <m:rPr>
            <m:sty m:val="i"/>
          </m:rPr>
          <w:rPr>
            <w:rFonts w:ascii="Cambria Math" w:hAnsi="Cambria Math" w:cs="Cambria Math"/>
            <w:sz w:val="24"/>
            <w:szCs w:val="24"/>
          </w:rPr>
          <m:t xml:space="preserve">f</m:t>
        </m:r>
      </m:oMath>
      <w:r>
        <w:rPr>
          <w:rFonts w:ascii="Times New Roman" w:cs="Times New Roman" w:eastAsia="Times New Roman" w:hAnsi="Times New Roman"/>
          <w:sz w:val="24"/>
          <w:szCs w:val="24"/>
        </w:rPr>
        <w:t xml:space="preserve">; </w:t>
      </w:r>
      <m:oMath>
        <m:sSubSup>
          <m:sSubSupPr>
            <m:ctrlPr>
              <w:rPr>
                <w:rFonts w:ascii="Cambria Math" w:hAnsi="Cambria Math" w:cs="Cambria Math"/>
                <w:sz w:val="24"/>
                <w:szCs w:val="24"/>
              </w:rPr>
            </m:ctrlPr>
          </m:sSubSupPr>
          <m:e>
            <m:r>
              <m:rPr>
                <m:sty m:val="p"/>
              </m:rPr>
              <w:rPr>
                <w:rFonts w:ascii="Cambria Math" w:hAnsi="Cambria Math" w:cs="Cambria Math"/>
                <w:sz w:val="24"/>
                <w:szCs w:val="24"/>
              </w:rPr>
              <m:t xml:space="preserve">Δ</m:t>
            </m:r>
            <m:r>
              <m:rPr>
                <m:sty m:val="i"/>
              </m:rPr>
              <w:rPr>
                <w:rFonts w:ascii="Cambria Math" w:hAnsi="Cambria Math" w:cs="Cambria Math"/>
                <w:sz w:val="24"/>
                <w:szCs w:val="24"/>
              </w:rPr>
              <m:t xml:space="preserve">E</m:t>
            </m:r>
          </m:e>
          <m:sub>
            <m:r>
              <m:rPr>
                <m:sty m:val="i"/>
              </m:rPr>
              <w:rPr>
                <w:rFonts w:ascii="Cambria Math" w:hAnsi="Cambria Math" w:cs="Cambria Math"/>
                <w:sz w:val="24"/>
                <w:szCs w:val="24"/>
              </w:rPr>
              <m:t xml:space="preserve">f</m:t>
            </m:r>
          </m:sub>
          <m:sup>
            <m:r>
              <m:rPr>
                <m:sty m:val="p"/>
              </m:rPr>
              <w:rPr>
                <w:rFonts w:ascii="Cambria Math" w:hAnsi="Cambria Math" w:cs="Cambria Math"/>
                <w:sz w:val="24"/>
                <w:szCs w:val="24"/>
              </w:rPr>
              <m:t xml:space="preserve">угл</m:t>
            </m:r>
          </m:sup>
        </m:sSubSup>
      </m:oMath>
      <w:r>
        <w:rPr>
          <w:rFonts w:ascii="Times New Roman" w:cs="Times New Roman" w:eastAsia="Times New Roman" w:hAnsi="Times New Roman"/>
          <w:sz w:val="24"/>
          <w:szCs w:val="24"/>
        </w:rPr>
        <w:t xml:space="preserve"> – углеродная составляющая, возникающая, если передача потока уменьшает выбросы, воплощённые в экспортной продукции якоря.</w:t>
      </w:r>
    </w:p>
    <w:p>
      <w:pPr>
        <w:spacing w:after="0" w:before="0" w:line="360"/>
        <w:ind w:firstLine="709"/>
        <w:jc w:val="both"/>
      </w:pPr>
      <w:r>
        <w:rPr>
          <w:rFonts w:ascii="Times New Roman" w:cs="Times New Roman" w:eastAsia="Times New Roman" w:hAnsi="Times New Roman"/>
          <w:sz w:val="24"/>
          <w:szCs w:val="24"/>
        </w:rPr>
        <w:t xml:space="preserve">Рыночная составляющая учитывает, что поток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или тепла может иметь уже действующее альтернативное использование:</w:t>
      </w:r>
    </w:p>
    <w:p>
      <w:pPr>
        <w:tabs>
          <w:tab w:val="center" w:pos="4819"/>
          <w:tab w:val="right" w:pos="9637"/>
        </w:tabs>
        <w:spacing w:after="60" w:before="60" w:line="360"/>
        <w:ind w:firstLine="0"/>
        <w:jc w:val="left"/>
      </w:pPr>
      <w:r>
        <w:rPr>
          <w:rFonts w:ascii="Times New Roman" w:cs="Times New Roman" w:eastAsia="Times New Roman" w:hAnsi="Times New Roman"/>
          <w:sz w:val="24"/>
          <w:szCs w:val="24"/>
        </w:rPr>
        <w:tab/>
      </w:r>
      <m:oMath>
        <m:sSubSup>
          <m:sSubSupPr>
            <m:ctrlPr>
              <w:rPr>
                <w:rFonts w:ascii="Cambria Math" w:hAnsi="Cambria Math" w:cs="Cambria Math"/>
                <w:sz w:val="24"/>
                <w:szCs w:val="24"/>
              </w:rPr>
            </m:ctrlPr>
          </m:sSubSupPr>
          <m:e>
            <m:r>
              <m:rPr>
                <m:sty m:val="p"/>
              </m:rPr>
              <w:rPr>
                <w:rFonts w:ascii="Cambria Math" w:hAnsi="Cambria Math" w:cs="Cambria Math"/>
                <w:sz w:val="24"/>
                <w:szCs w:val="24"/>
              </w:rPr>
              <m:t xml:space="preserve">Δ</m:t>
            </m:r>
            <m:r>
              <m:rPr>
                <m:sty m:val="i"/>
              </m:rPr>
              <w:rPr>
                <w:rFonts w:ascii="Cambria Math" w:hAnsi="Cambria Math" w:cs="Cambria Math"/>
                <w:sz w:val="24"/>
                <w:szCs w:val="24"/>
              </w:rPr>
              <m:t xml:space="preserve">E</m:t>
            </m:r>
          </m:e>
          <m:sub>
            <m:r>
              <m:rPr>
                <m:sty m:val="i"/>
              </m:rPr>
              <w:rPr>
                <w:rFonts w:ascii="Cambria Math" w:hAnsi="Cambria Math" w:cs="Cambria Math"/>
                <w:sz w:val="24"/>
                <w:szCs w:val="24"/>
              </w:rPr>
              <m:t xml:space="preserve">f</m:t>
            </m:r>
          </m:sub>
          <m:sup>
            <m:r>
              <m:rPr>
                <m:sty m:val="p"/>
              </m:rPr>
              <w:rPr>
                <w:rFonts w:ascii="Cambria Math" w:hAnsi="Cambria Math" w:cs="Cambria Math"/>
                <w:sz w:val="24"/>
                <w:szCs w:val="24"/>
              </w:rPr>
              <m:t xml:space="preserve">рын</m:t>
            </m:r>
          </m:sup>
        </m:sSubSup>
        <m:r>
          <m:rPr>
            <m:sty m:val="p"/>
          </m:rPr>
          <w:rPr>
            <w:rFonts w:ascii="Cambria Math" w:hAnsi="Cambria Math" w:cs="Cambria Math"/>
            <w:sz w:val="24"/>
            <w:szCs w:val="24"/>
          </w:rPr>
          <m:t xml:space="preserve">=</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q</m:t>
            </m:r>
          </m:e>
          <m:sub>
            <m:r>
              <m:rPr>
                <m:sty m:val="i"/>
              </m:rPr>
              <w:rPr>
                <w:rFonts w:ascii="Cambria Math" w:hAnsi="Cambria Math" w:cs="Cambria Math"/>
                <w:sz w:val="24"/>
                <w:szCs w:val="24"/>
              </w:rPr>
              <m:t xml:space="preserve">f</m:t>
            </m:r>
          </m:sub>
        </m:sSub>
        <m:r>
          <m:rPr>
            <m:sty m:val="p"/>
          </m:rPr>
          <w:rPr>
            <w:rFonts w:ascii="Cambria Math" w:hAnsi="Cambria Math" w:cs="Cambria Math"/>
            <w:sz w:val="24"/>
            <w:szCs w:val="24"/>
          </w:rPr>
          <m:t xml:space="preserve">·</m:t>
        </m:r>
        <m:d>
          <m:dPr>
            <m:begChr m:val="("/>
            <m:endChr m:val=")"/>
            <m:ctrlPr>
              <w:rPr>
                <w:rFonts w:ascii="Cambria Math" w:hAnsi="Cambria Math" w:cs="Cambria Math"/>
                <w:sz w:val="24"/>
                <w:szCs w:val="24"/>
              </w:rPr>
            </m:ctrlPr>
          </m:dPr>
          <m:e>
            <m:sSub>
              <m:sSubPr>
                <m:ctrlPr>
                  <w:rPr>
                    <w:rFonts w:ascii="Cambria Math" w:hAnsi="Cambria Math" w:cs="Cambria Math"/>
                    <w:sz w:val="24"/>
                    <w:szCs w:val="24"/>
                  </w:rPr>
                </m:ctrlPr>
              </m:sSubPr>
              <m:e>
                <m:r>
                  <m:rPr>
                    <m:sty m:val="i"/>
                  </m:rPr>
                  <w:rPr>
                    <w:rFonts w:ascii="Cambria Math" w:hAnsi="Cambria Math" w:cs="Cambria Math"/>
                    <w:sz w:val="24"/>
                    <w:szCs w:val="24"/>
                  </w:rPr>
                  <m:t xml:space="preserve">p</m:t>
                </m:r>
              </m:e>
              <m:sub>
                <m:r>
                  <m:rPr>
                    <m:sty m:val="i"/>
                  </m:rPr>
                  <w:rPr>
                    <w:rFonts w:ascii="Cambria Math" w:hAnsi="Cambria Math" w:cs="Cambria Math"/>
                    <w:sz w:val="24"/>
                    <w:szCs w:val="24"/>
                  </w:rPr>
                  <m:t xml:space="preserve">f</m:t>
                </m:r>
              </m:sub>
            </m:sSub>
            <m:r>
              <m:rPr>
                <m:sty m:val="p"/>
              </m:rPr>
              <w:rPr>
                <w:rFonts w:ascii="Cambria Math" w:hAnsi="Cambria Math" w:cs="Cambria Math"/>
                <w:sz w:val="24"/>
                <w:szCs w:val="24"/>
              </w:rPr>
              <m:t xml:space="preserve">−</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c</m:t>
                </m:r>
              </m:e>
              <m:sub>
                <m:r>
                  <m:rPr>
                    <m:sty m:val="i"/>
                  </m:rPr>
                  <w:rPr>
                    <w:rFonts w:ascii="Cambria Math" w:hAnsi="Cambria Math" w:cs="Cambria Math"/>
                    <w:sz w:val="24"/>
                    <w:szCs w:val="24"/>
                  </w:rPr>
                  <m:t xml:space="preserve">f</m:t>
                </m:r>
              </m:sub>
            </m:sSub>
            <m:r>
              <m:rPr>
                <m:sty m:val="p"/>
              </m:rPr>
              <w:rPr>
                <w:rFonts w:ascii="Cambria Math" w:hAnsi="Cambria Math" w:cs="Cambria Math"/>
                <w:sz w:val="24"/>
                <w:szCs w:val="24"/>
              </w:rPr>
              <m:t xml:space="preserve">−</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μ</m:t>
                </m:r>
              </m:e>
              <m:sub>
                <m:r>
                  <m:rPr>
                    <m:sty m:val="i"/>
                  </m:rPr>
                  <w:rPr>
                    <w:rFonts w:ascii="Cambria Math" w:hAnsi="Cambria Math" w:cs="Cambria Math"/>
                    <w:sz w:val="24"/>
                    <w:szCs w:val="24"/>
                  </w:rPr>
                  <m:t xml:space="preserve">f</m:t>
                </m:r>
              </m:sub>
            </m:sSub>
          </m:e>
        </m:d>
      </m:oMath>
      <w:r>
        <w:rPr>
          <w:rFonts w:ascii="Times New Roman" w:cs="Times New Roman" w:eastAsia="Times New Roman" w:hAnsi="Times New Roman"/>
          <w:sz w:val="24"/>
          <w:szCs w:val="24"/>
        </w:rPr>
        <w:tab/>
        <w:t xml:space="preserve">(7)</w:t>
      </w:r>
    </w:p>
    <w:p>
      <w:pPr>
        <w:spacing w:after="0" w:before="0" w:line="360"/>
        <w:ind w:firstLine="0"/>
        <w:jc w:val="both"/>
      </w:pPr>
      <w:r>
        <w:rPr>
          <w:rFonts w:ascii="Times New Roman" w:cs="Times New Roman" w:eastAsia="Times New Roman" w:hAnsi="Times New Roman"/>
          <w:sz w:val="24"/>
          <w:szCs w:val="24"/>
        </w:rPr>
        <w:t xml:space="preserve">где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q</m:t>
            </m:r>
          </m:e>
          <m:sub>
            <m:r>
              <m:rPr>
                <m:sty m:val="i"/>
              </m:rPr>
              <w:rPr>
                <w:rFonts w:ascii="Cambria Math" w:hAnsi="Cambria Math" w:cs="Cambria Math"/>
                <w:sz w:val="24"/>
                <w:szCs w:val="24"/>
              </w:rPr>
              <m:t xml:space="preserve">f</m:t>
            </m:r>
          </m:sub>
        </m:sSub>
      </m:oMath>
      <w:r>
        <w:rPr>
          <w:rFonts w:ascii="Times New Roman" w:cs="Times New Roman" w:eastAsia="Times New Roman" w:hAnsi="Times New Roman"/>
          <w:sz w:val="24"/>
          <w:szCs w:val="24"/>
        </w:rPr>
        <w:t xml:space="preserve"> – годовой объём потока, т;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p</m:t>
            </m:r>
          </m:e>
          <m:sub>
            <m:r>
              <m:rPr>
                <m:sty m:val="i"/>
              </m:rPr>
              <w:rPr>
                <w:rFonts w:ascii="Cambria Math" w:hAnsi="Cambria Math" w:cs="Cambria Math"/>
                <w:sz w:val="24"/>
                <w:szCs w:val="24"/>
              </w:rPr>
              <m:t xml:space="preserve">f</m:t>
            </m:r>
          </m:sub>
        </m:sSub>
      </m:oMath>
      <w:r>
        <w:rPr>
          <w:rFonts w:ascii="Times New Roman" w:cs="Times New Roman" w:eastAsia="Times New Roman" w:hAnsi="Times New Roman"/>
          <w:sz w:val="24"/>
          <w:szCs w:val="24"/>
        </w:rPr>
        <w:t xml:space="preserve"> – цена или экономия потребителя на единицу потока, руб./т;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c</m:t>
            </m:r>
          </m:e>
          <m:sub>
            <m:r>
              <m:rPr>
                <m:sty m:val="i"/>
              </m:rPr>
              <w:rPr>
                <w:rFonts w:ascii="Cambria Math" w:hAnsi="Cambria Math" w:cs="Cambria Math"/>
                <w:sz w:val="24"/>
                <w:szCs w:val="24"/>
              </w:rPr>
              <m:t xml:space="preserve">f</m:t>
            </m:r>
          </m:sub>
        </m:sSub>
      </m:oMath>
      <w:r>
        <w:rPr>
          <w:rFonts w:ascii="Times New Roman" w:cs="Times New Roman" w:eastAsia="Times New Roman" w:hAnsi="Times New Roman"/>
          <w:sz w:val="24"/>
          <w:szCs w:val="24"/>
        </w:rPr>
        <w:t xml:space="preserve"> – затраты на подготовку и доставку единицы потока, руб./т;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μ</m:t>
            </m:r>
          </m:e>
          <m:sub>
            <m:r>
              <m:rPr>
                <m:sty m:val="i"/>
              </m:rPr>
              <w:rPr>
                <w:rFonts w:ascii="Cambria Math" w:hAnsi="Cambria Math" w:cs="Cambria Math"/>
                <w:sz w:val="24"/>
                <w:szCs w:val="24"/>
              </w:rPr>
              <m:t xml:space="preserve">f</m:t>
            </m:r>
          </m:sub>
        </m:sSub>
      </m:oMath>
      <w:r>
        <w:rPr>
          <w:rFonts w:ascii="Times New Roman" w:cs="Times New Roman" w:eastAsia="Times New Roman" w:hAnsi="Times New Roman"/>
          <w:sz w:val="24"/>
          <w:szCs w:val="24"/>
        </w:rPr>
        <w:t xml:space="preserve"> – альтернативная стоимость единицы потока, равная чистому доходу от лучшего иного использования той же мощности, руб./т.</w:t>
      </w:r>
    </w:p>
    <w:p>
      <w:pPr>
        <w:spacing w:after="0" w:before="0" w:line="360"/>
        <w:ind w:firstLine="709"/>
        <w:jc w:val="both"/>
      </w:pPr>
      <w:r>
        <w:rPr>
          <w:rFonts w:ascii="Times New Roman" w:cs="Times New Roman" w:eastAsia="Times New Roman" w:hAnsi="Times New Roman"/>
          <w:sz w:val="24"/>
          <w:szCs w:val="24"/>
        </w:rPr>
        <w:t xml:space="preserve">Пока мощность очистки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свободна,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μ</m:t>
            </m:r>
          </m:e>
          <m:sub>
            <m:r>
              <m:rPr>
                <m:sty m:val="i"/>
              </m:rPr>
              <w:rPr>
                <w:rFonts w:ascii="Cambria Math" w:hAnsi="Cambria Math" w:cs="Cambria Math"/>
                <w:sz w:val="24"/>
                <w:szCs w:val="24"/>
              </w:rPr>
              <m:t xml:space="preserve">f</m:t>
            </m:r>
          </m:sub>
        </m:sSub>
      </m:oMath>
      <w:r>
        <w:rPr>
          <w:rFonts w:ascii="Times New Roman" w:cs="Times New Roman" w:eastAsia="Times New Roman" w:hAnsi="Times New Roman"/>
          <w:sz w:val="24"/>
          <w:szCs w:val="24"/>
        </w:rPr>
        <w:t xml:space="preserve"> = 0. Если же новая связь с теплицами забирает углекислоту, которую установка мощностью 32 тыс. т продаёт пищевой отрасли,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μ</m:t>
            </m:r>
          </m:e>
          <m:sub>
            <m:r>
              <m:rPr>
                <m:sty m:val="i"/>
              </m:rPr>
              <w:rPr>
                <w:rFonts w:ascii="Cambria Math" w:hAnsi="Cambria Math" w:cs="Cambria Math"/>
                <w:sz w:val="24"/>
                <w:szCs w:val="24"/>
              </w:rPr>
              <m:t xml:space="preserve">f</m:t>
            </m:r>
          </m:sub>
        </m:sSub>
      </m:oMath>
      <w:r>
        <w:rPr>
          <w:rFonts w:ascii="Times New Roman" w:cs="Times New Roman" w:eastAsia="Times New Roman" w:hAnsi="Times New Roman"/>
          <w:sz w:val="24"/>
          <w:szCs w:val="24"/>
        </w:rPr>
        <w:t xml:space="preserve"> равна чистой марже пищевого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на тонну, и связь выгодна только при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p</m:t>
            </m:r>
          </m:e>
          <m:sub>
            <m:r>
              <m:rPr>
                <m:sty m:val="i"/>
              </m:rPr>
              <w:rPr>
                <w:rFonts w:ascii="Cambria Math" w:hAnsi="Cambria Math" w:cs="Cambria Math"/>
                <w:sz w:val="24"/>
                <w:szCs w:val="24"/>
              </w:rPr>
              <m:t xml:space="preserve">f</m:t>
            </m:r>
          </m:sub>
        </m:sSub>
        <m:r>
          <m:rPr>
            <m:sty m:val="p"/>
          </m:rPr>
          <w:rPr>
            <w:rFonts w:ascii="Cambria Math" w:hAnsi="Cambria Math" w:cs="Cambria Math"/>
            <w:sz w:val="24"/>
            <w:szCs w:val="24"/>
          </w:rPr>
          <m:t xml:space="preserve">−</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c</m:t>
            </m:r>
          </m:e>
          <m:sub>
            <m:r>
              <m:rPr>
                <m:sty m:val="i"/>
              </m:rPr>
              <w:rPr>
                <w:rFonts w:ascii="Cambria Math" w:hAnsi="Cambria Math" w:cs="Cambria Math"/>
                <w:sz w:val="24"/>
                <w:szCs w:val="24"/>
              </w:rPr>
              <m:t xml:space="preserve">f</m:t>
            </m:r>
          </m:sub>
        </m:sSub>
        <m:r>
          <m:rPr>
            <m:sty m:val="p"/>
          </m:rPr>
          <w:rPr>
            <w:rFonts w:ascii="Cambria Math" w:hAnsi="Cambria Math" w:cs="Cambria Math"/>
            <w:sz w:val="24"/>
            <w:szCs w:val="24"/>
          </w:rPr>
          <m:t xml:space="preserve">&gt;</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μ</m:t>
            </m:r>
          </m:e>
          <m:sub>
            <m:r>
              <m:rPr>
                <m:sty m:val="i"/>
              </m:rPr>
              <w:rPr>
                <w:rFonts w:ascii="Cambria Math" w:hAnsi="Cambria Math" w:cs="Cambria Math"/>
                <w:sz w:val="24"/>
                <w:szCs w:val="24"/>
              </w:rPr>
              <m:t xml:space="preserve">f</m:t>
            </m:r>
          </m:sub>
        </m:sSub>
      </m:oMath>
      <w:r>
        <w:rPr>
          <w:rFonts w:ascii="Times New Roman" w:cs="Times New Roman" w:eastAsia="Times New Roman" w:hAnsi="Times New Roman"/>
          <w:sz w:val="24"/>
          <w:szCs w:val="24"/>
        </w:rPr>
        <w:t xml:space="preserve">. Опыт WarmCO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показывает, что такая конкуренция за поток – нормальное состояние для азотного производства, а не исключение.</w:t>
      </w:r>
    </w:p>
    <w:p>
      <w:pPr>
        <w:spacing w:after="0" w:before="0" w:line="360"/>
        <w:ind w:firstLine="709"/>
        <w:jc w:val="both"/>
      </w:pPr>
      <w:r>
        <w:rPr>
          <w:rFonts w:ascii="Times New Roman" w:cs="Times New Roman" w:eastAsia="Times New Roman" w:hAnsi="Times New Roman"/>
          <w:sz w:val="24"/>
          <w:szCs w:val="24"/>
        </w:rPr>
        <w:t xml:space="preserve">Углеродная составляющая определяется правилами учёта:</w:t>
      </w:r>
    </w:p>
    <w:p>
      <w:pPr>
        <w:tabs>
          <w:tab w:val="center" w:pos="4819"/>
          <w:tab w:val="right" w:pos="9637"/>
        </w:tabs>
        <w:spacing w:after="60" w:before="60" w:line="360"/>
        <w:ind w:firstLine="0"/>
        <w:jc w:val="left"/>
      </w:pPr>
      <w:r>
        <w:rPr>
          <w:rFonts w:ascii="Times New Roman" w:cs="Times New Roman" w:eastAsia="Times New Roman" w:hAnsi="Times New Roman"/>
          <w:sz w:val="24"/>
          <w:szCs w:val="24"/>
        </w:rPr>
        <w:tab/>
      </w:r>
      <m:oMath>
        <m:sSubSup>
          <m:sSubSupPr>
            <m:ctrlPr>
              <w:rPr>
                <w:rFonts w:ascii="Cambria Math" w:hAnsi="Cambria Math" w:cs="Cambria Math"/>
                <w:sz w:val="24"/>
                <w:szCs w:val="24"/>
              </w:rPr>
            </m:ctrlPr>
          </m:sSubSupPr>
          <m:e>
            <m:r>
              <m:rPr>
                <m:sty m:val="p"/>
              </m:rPr>
              <w:rPr>
                <w:rFonts w:ascii="Cambria Math" w:hAnsi="Cambria Math" w:cs="Cambria Math"/>
                <w:sz w:val="24"/>
                <w:szCs w:val="24"/>
              </w:rPr>
              <m:t xml:space="preserve">Δ</m:t>
            </m:r>
            <m:r>
              <m:rPr>
                <m:sty m:val="i"/>
              </m:rPr>
              <w:rPr>
                <w:rFonts w:ascii="Cambria Math" w:hAnsi="Cambria Math" w:cs="Cambria Math"/>
                <w:sz w:val="24"/>
                <w:szCs w:val="24"/>
              </w:rPr>
              <m:t xml:space="preserve">E</m:t>
            </m:r>
          </m:e>
          <m:sub>
            <m:r>
              <m:rPr>
                <m:sty m:val="i"/>
              </m:rPr>
              <w:rPr>
                <w:rFonts w:ascii="Cambria Math" w:hAnsi="Cambria Math" w:cs="Cambria Math"/>
                <w:sz w:val="24"/>
                <w:szCs w:val="24"/>
              </w:rPr>
              <m:t xml:space="preserve">f</m:t>
            </m:r>
          </m:sub>
          <m:sup>
            <m:r>
              <m:rPr>
                <m:sty m:val="p"/>
              </m:rPr>
              <w:rPr>
                <w:rFonts w:ascii="Cambria Math" w:hAnsi="Cambria Math" w:cs="Cambria Math"/>
                <w:sz w:val="24"/>
                <w:szCs w:val="24"/>
              </w:rPr>
              <m:t xml:space="preserve">угл</m:t>
            </m:r>
          </m:sup>
        </m:sSubSup>
        <m:r>
          <m:rPr>
            <m:sty m:val="p"/>
          </m:rPr>
          <w:rPr>
            <w:rFonts w:ascii="Cambria Math" w:hAnsi="Cambria Math" w:cs="Cambria Math"/>
            <w:sz w:val="24"/>
            <w:szCs w:val="24"/>
          </w:rPr>
          <m:t xml:space="preserve">=</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b</m:t>
            </m:r>
          </m:e>
          <m:sub>
            <m:r>
              <m:rPr>
                <m:sty m:val="i"/>
              </m:rPr>
              <w:rPr>
                <w:rFonts w:ascii="Cambria Math" w:hAnsi="Cambria Math" w:cs="Cambria Math"/>
                <w:sz w:val="24"/>
                <w:szCs w:val="24"/>
              </w:rPr>
              <m:t xml:space="preserve">f</m:t>
            </m:r>
          </m:sub>
        </m:sSub>
        <m:r>
          <m:rPr>
            <m:sty m:val="p"/>
          </m:rPr>
          <w:rPr>
            <w:rFonts w:ascii="Cambria Math" w:hAnsi="Cambria Math" w:cs="Cambria Math"/>
            <w:sz w:val="24"/>
            <w:szCs w:val="24"/>
          </w:rPr>
          <m:t xml:space="preserve">·</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s</m:t>
            </m:r>
          </m:e>
          <m:sub>
            <m:r>
              <m:rPr>
                <m:sty m:val="p"/>
              </m:rPr>
              <w:rPr>
                <w:rFonts w:ascii="Cambria Math" w:hAnsi="Cambria Math" w:cs="Cambria Math"/>
                <w:sz w:val="24"/>
                <w:szCs w:val="24"/>
              </w:rPr>
              <m:t xml:space="preserve">ЕС</m:t>
            </m:r>
          </m:sub>
        </m:sSub>
        <m:r>
          <m:rPr>
            <m:sty m:val="p"/>
          </m:rPr>
          <w:rPr>
            <w:rFonts w:ascii="Cambria Math" w:hAnsi="Cambria Math" w:cs="Cambria Math"/>
            <w:sz w:val="24"/>
            <w:szCs w:val="24"/>
          </w:rPr>
          <m:t xml:space="preserve">·</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P</m:t>
            </m:r>
          </m:e>
          <m:sub>
            <m:r>
              <m:rPr>
                <m:sty m:val="p"/>
              </m:rPr>
              <w:rPr>
                <w:rFonts w:ascii="Cambria Math" w:hAnsi="Cambria Math" w:cs="Cambria Math"/>
                <w:sz w:val="24"/>
                <w:szCs w:val="24"/>
              </w:rPr>
              <m:t xml:space="preserve">CBAM</m:t>
            </m:r>
          </m:sub>
        </m:sSub>
        <m:r>
          <m:rPr>
            <m:sty m:val="p"/>
          </m:rPr>
          <w:rPr>
            <w:rFonts w:ascii="Cambria Math" w:hAnsi="Cambria Math" w:cs="Cambria Math"/>
            <w:sz w:val="24"/>
            <w:szCs w:val="24"/>
          </w:rPr>
          <m:t xml:space="preserve">·</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q</m:t>
            </m:r>
          </m:e>
          <m:sub>
            <m:r>
              <m:rPr>
                <m:sty m:val="i"/>
              </m:rPr>
              <w:rPr>
                <w:rFonts w:ascii="Cambria Math" w:hAnsi="Cambria Math" w:cs="Cambria Math"/>
                <w:sz w:val="24"/>
                <w:szCs w:val="24"/>
              </w:rPr>
              <m:t xml:space="preserve">f</m:t>
            </m:r>
          </m:sub>
        </m:sSub>
      </m:oMath>
      <w:r>
        <w:rPr>
          <w:rFonts w:ascii="Times New Roman" w:cs="Times New Roman" w:eastAsia="Times New Roman" w:hAnsi="Times New Roman"/>
          <w:sz w:val="24"/>
          <w:szCs w:val="24"/>
        </w:rPr>
        <w:tab/>
        <w:t xml:space="preserve">(8)</w:t>
      </w:r>
    </w:p>
    <w:p>
      <w:pPr>
        <w:spacing w:after="0" w:before="0" w:line="360"/>
        <w:ind w:firstLine="0"/>
        <w:jc w:val="both"/>
      </w:pPr>
      <w:r>
        <w:rPr>
          <w:rFonts w:ascii="Times New Roman" w:cs="Times New Roman" w:eastAsia="Times New Roman" w:hAnsi="Times New Roman"/>
          <w:sz w:val="24"/>
          <w:szCs w:val="24"/>
        </w:rPr>
        <w:t xml:space="preserve">где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b</m:t>
            </m:r>
          </m:e>
          <m:sub>
            <m:r>
              <m:rPr>
                <m:sty m:val="i"/>
              </m:rPr>
              <w:rPr>
                <w:rFonts w:ascii="Cambria Math" w:hAnsi="Cambria Math" w:cs="Cambria Math"/>
                <w:sz w:val="24"/>
                <w:szCs w:val="24"/>
              </w:rPr>
              <m:t xml:space="preserve">f</m:t>
            </m:r>
          </m:sub>
        </m:sSub>
      </m:oMath>
      <w:r>
        <w:rPr>
          <w:rFonts w:ascii="Times New Roman" w:cs="Times New Roman" w:eastAsia="Times New Roman" w:hAnsi="Times New Roman"/>
          <w:sz w:val="24"/>
          <w:szCs w:val="24"/>
        </w:rPr>
        <w:t xml:space="preserve"> – индикатор, равный единице, если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потока признаётся постоянно химически связанным или направленным на геологическое хранение, и нулю в противном случае;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s</m:t>
            </m:r>
          </m:e>
          <m:sub>
            <m:r>
              <m:rPr>
                <m:sty m:val="p"/>
              </m:rPr>
              <w:rPr>
                <w:rFonts w:ascii="Cambria Math" w:hAnsi="Cambria Math" w:cs="Cambria Math"/>
                <w:sz w:val="24"/>
                <w:szCs w:val="24"/>
              </w:rPr>
              <m:t xml:space="preserve">ЕС</m:t>
            </m:r>
          </m:sub>
        </m:sSub>
      </m:oMath>
      <w:r>
        <w:rPr>
          <w:rFonts w:ascii="Times New Roman" w:cs="Times New Roman" w:eastAsia="Times New Roman" w:hAnsi="Times New Roman"/>
          <w:sz w:val="24"/>
          <w:szCs w:val="24"/>
        </w:rPr>
        <w:t xml:space="preserve"> – доля продукции якоря, ввозимой в ЕС и подпадающей под CBAM;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P</m:t>
            </m:r>
          </m:e>
          <m:sub>
            <m:r>
              <m:rPr>
                <m:sty m:val="p"/>
              </m:rPr>
              <w:rPr>
                <w:rFonts w:ascii="Cambria Math" w:hAnsi="Cambria Math" w:cs="Cambria Math"/>
                <w:sz w:val="24"/>
                <w:szCs w:val="24"/>
              </w:rPr>
              <m:t xml:space="preserve">CBAM</m:t>
            </m:r>
          </m:sub>
        </m:sSub>
      </m:oMath>
      <w:r>
        <w:rPr>
          <w:rFonts w:ascii="Times New Roman" w:cs="Times New Roman" w:eastAsia="Times New Roman" w:hAnsi="Times New Roman"/>
          <w:sz w:val="24"/>
          <w:szCs w:val="24"/>
        </w:rPr>
        <w:t xml:space="preserve"> – цена сертификата CBAM в пересчёте в рубли по курсу, руб./т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-экв.</w:t>
      </w:r>
    </w:p>
    <w:p>
      <w:pPr>
        <w:spacing w:after="0" w:before="0" w:line="360"/>
        <w:ind w:firstLine="709"/>
        <w:jc w:val="both"/>
      </w:pPr>
      <w:r>
        <w:rPr>
          <w:rFonts w:ascii="Times New Roman" w:cs="Times New Roman" w:eastAsia="Times New Roman" w:hAnsi="Times New Roman"/>
          <w:sz w:val="24"/>
          <w:szCs w:val="24"/>
        </w:rPr>
        <w:t xml:space="preserve">Формула (8) предполагает, что обязательство импортёра положительно, и тогда каждая тонна, исключённая из воплощённых выбросов, сокращает его на один сертификат. Индикатор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b</m:t>
            </m:r>
          </m:e>
          <m:sub>
            <m:r>
              <m:rPr>
                <m:sty m:val="i"/>
              </m:rPr>
              <w:rPr>
                <w:rFonts w:ascii="Cambria Math" w:hAnsi="Cambria Math" w:cs="Cambria Math"/>
                <w:sz w:val="24"/>
                <w:szCs w:val="24"/>
              </w:rPr>
              <m:t xml:space="preserve">f</m:t>
            </m:r>
          </m:sub>
        </m:sSub>
      </m:oMath>
      <w:r>
        <w:rPr>
          <w:rFonts w:ascii="Times New Roman" w:cs="Times New Roman" w:eastAsia="Times New Roman" w:hAnsi="Times New Roman"/>
          <w:sz w:val="24"/>
          <w:szCs w:val="24"/>
        </w:rPr>
        <w:t xml:space="preserve"> задают два документа. Делегированный регламент (ЕС) 2024/2620 признаёт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постоянно связанным, если связывание измеримо и он остаётся в продукте не менее нескольких столетий при обычном использовании и утилизации; в приложении перечислены только минеральные карбонаты в строительной продукции: карбонизированные заполнители, компоненты цемента и вяжущих, бетон, кирпич и плитка [7]. Руководство Еврокомиссии по удобрениям для окончательного периода прямо указывает, что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израсходованный на производство карбамида, считается выброшенным на установке, поскольку требованиям постоянного связывания не отвечает [9]. Углекислота из напитков и теплиц возвращается в атмосферу при потреблении продукции или разложении растительной массы, то есть за месяцы, а не столетия, и под эти требования не подпадает.</w:t>
      </w:r>
    </w:p>
    <w:p>
      <w:pPr>
        <w:spacing w:after="0" w:before="0" w:line="360"/>
        <w:ind w:firstLine="709"/>
        <w:jc w:val="both"/>
      </w:pPr>
      <w:r>
        <w:rPr>
          <w:rFonts w:ascii="Times New Roman" w:cs="Times New Roman" w:eastAsia="Times New Roman" w:hAnsi="Times New Roman"/>
          <w:sz w:val="24"/>
          <w:szCs w:val="24"/>
        </w:rPr>
        <w:t xml:space="preserve">Классификация потоков якоря по этим правилам приведена в таблице 2.</w:t>
      </w:r>
    </w:p>
    <w:p>
      <w:pPr>
        <w:keepNext/>
        <w:spacing w:after="0" w:before="0" w:line="360"/>
        <w:ind w:firstLine="0"/>
        <w:jc w:val="right"/>
      </w:pPr>
      <w:r>
        <w:rPr>
          <w:rFonts w:ascii="Times New Roman" w:cs="Times New Roman" w:eastAsia="Times New Roman" w:hAnsi="Times New Roman"/>
          <w:sz w:val="24"/>
          <w:szCs w:val="24"/>
        </w:rPr>
        <w:t xml:space="preserve">Таблица 2</w:t>
      </w:r>
    </w:p>
    <w:p>
      <w:pPr>
        <w:keepNext/>
        <w:spacing w:after="0" w:before="0" w:line="360"/>
        <w:ind w:firstLine="0"/>
        <w:jc w:val="center"/>
      </w:pPr>
      <w:r>
        <w:rPr>
          <w:rFonts w:ascii="Times New Roman" w:cs="Times New Roman" w:eastAsia="Times New Roman" w:hAnsi="Times New Roman"/>
          <w:sz w:val="24"/>
          <w:szCs w:val="24"/>
        </w:rPr>
        <w:t xml:space="preserve">Потоки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и тепла азотного якорного предприятия по составляющим дополнительного эффекта</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900"/>
        <w:gridCol w:w="4237"/>
      </w:tblGrid>
      <w:tr>
        <w:trPr>
          <w:tblHeader/>
        </w:trPr>
        <w:tc>
          <w:tcPr>
            <w:tcW w:type="dxa" w:w="2500"/>
            <w:tcBorders>
              <w:top w:val="single" w:color="000000" w:sz="4"/>
              <w:left w:val="single" w:color="000000" w:sz="4"/>
              <w:bottom w:val="single" w:color="000000" w:sz="4"/>
              <w:right w:val="single" w:color="000000" w:sz="4"/>
            </w:tcBorders>
            <w:shd w:fill="EFEFEF" w:color="auto" w:val="clear"/>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b/>
                <w:bCs/>
                <w:i w:val="false"/>
                <w:iCs w:val="false"/>
                <w:sz w:val="22"/>
                <w:szCs w:val="22"/>
              </w:rPr>
              <w:t xml:space="preserve">Поток</w:t>
            </w:r>
          </w:p>
        </w:tc>
        <w:tc>
          <w:tcPr>
            <w:tcW w:type="dxa" w:w="2000"/>
            <w:tcBorders>
              <w:top w:val="single" w:color="000000" w:sz="4"/>
              <w:left w:val="single" w:color="000000" w:sz="4"/>
              <w:bottom w:val="single" w:color="000000" w:sz="4"/>
              <w:right w:val="single" w:color="000000" w:sz="4"/>
            </w:tcBorders>
            <w:shd w:fill="EFEFEF" w:color="auto" w:val="clear"/>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b/>
                <w:bCs/>
                <w:i w:val="false"/>
                <w:iCs w:val="false"/>
                <w:sz w:val="22"/>
                <w:szCs w:val="22"/>
              </w:rPr>
              <w:t xml:space="preserve">Действует без платформы</w:t>
            </w:r>
          </w:p>
        </w:tc>
        <w:tc>
          <w:tcPr>
            <w:tcW w:type="dxa" w:w="900"/>
            <w:tcBorders>
              <w:top w:val="single" w:color="000000" w:sz="4"/>
              <w:left w:val="single" w:color="000000" w:sz="4"/>
              <w:bottom w:val="single" w:color="000000" w:sz="4"/>
              <w:right w:val="single" w:color="000000" w:sz="4"/>
            </w:tcBorders>
            <w:shd w:fill="EFEFEF" w:color="auto" w:val="clear"/>
            <w:tcMar>
              <w:top w:type="dxa" w:w="30"/>
              <w:left w:type="dxa" w:w="70"/>
              <w:bottom w:type="dxa" w:w="30"/>
              <w:right w:type="dxa" w:w="70"/>
            </w:tcMar>
            <w:vAlign w:val="center"/>
          </w:tcPr>
          <w:p>
            <w:pPr>
              <w:spacing w:after="0" w:before="0" w:line="240"/>
              <w:jc w:val="center"/>
            </w:pP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b</m:t>
                  </m:r>
                </m:e>
                <m:sub>
                  <m:r>
                    <m:rPr>
                      <m:sty m:val="i"/>
                    </m:rPr>
                    <w:rPr>
                      <w:rFonts w:ascii="Cambria Math" w:hAnsi="Cambria Math" w:cs="Cambria Math"/>
                      <w:sz w:val="24"/>
                      <w:szCs w:val="24"/>
                    </w:rPr>
                    <m:t xml:space="preserve">f</m:t>
                  </m:r>
                </m:sub>
              </m:sSub>
            </m:oMath>
          </w:p>
        </w:tc>
        <w:tc>
          <w:tcPr>
            <w:tcW w:type="dxa" w:w="4237"/>
            <w:tcBorders>
              <w:top w:val="single" w:color="000000" w:sz="4"/>
              <w:left w:val="single" w:color="000000" w:sz="4"/>
              <w:bottom w:val="single" w:color="000000" w:sz="4"/>
              <w:right w:val="single" w:color="000000" w:sz="4"/>
            </w:tcBorders>
            <w:shd w:fill="EFEFEF" w:color="auto" w:val="clear"/>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b/>
                <w:bCs/>
                <w:i w:val="false"/>
                <w:iCs w:val="false"/>
                <w:sz w:val="22"/>
                <w:szCs w:val="22"/>
              </w:rPr>
              <w:t xml:space="preserve">Учёт в дополнительном эффекте</w:t>
            </w:r>
          </w:p>
        </w:tc>
      </w:tr>
      <w:tr>
        <w:trPr>
          <w:cantSplit/>
        </w:trPr>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CO</w:t>
            </w:r>
            <w:r>
              <w:rPr>
                <w:rFonts w:ascii="Times New Roman" w:cs="Times New Roman" w:eastAsia="Times New Roman" w:hAnsi="Times New Roman"/>
                <w:b w:val="false"/>
                <w:bCs w:val="false"/>
                <w:i w:val="false"/>
                <w:iCs w:val="false"/>
                <w:sz w:val="22"/>
                <w:szCs w:val="22"/>
                <w:vertAlign w:val="subscript"/>
              </w:rPr>
              <w:t xml:space="preserve">2</w:t>
            </w:r>
            <w:r>
              <w:rPr>
                <w:rFonts w:ascii="Times New Roman" w:cs="Times New Roman" w:eastAsia="Times New Roman" w:hAnsi="Times New Roman"/>
                <w:sz w:val="22"/>
                <w:szCs w:val="22"/>
              </w:rPr>
              <w:t xml:space="preserve"> на производство карбамида</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Да, внутренний передел якоря</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0</w:t>
            </w:r>
          </w:p>
        </w:tc>
        <w:tc>
          <w:tcPr>
            <w:tcW w:type="dxa" w:w="42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Не входит: обмен внутри одного предприятия</w:t>
            </w:r>
          </w:p>
        </w:tc>
      </w:tr>
      <w:tr>
        <w:trPr>
          <w:cantSplit/>
        </w:trPr>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Пищевой CO</w:t>
            </w:r>
            <w:r>
              <w:rPr>
                <w:rFonts w:ascii="Times New Roman" w:cs="Times New Roman" w:eastAsia="Times New Roman" w:hAnsi="Times New Roman"/>
                <w:b w:val="false"/>
                <w:bCs w:val="false"/>
                <w:i w:val="false"/>
                <w:iCs w:val="false"/>
                <w:sz w:val="22"/>
                <w:szCs w:val="22"/>
                <w:vertAlign w:val="subscript"/>
              </w:rPr>
              <w:t xml:space="preserve">2</w:t>
            </w:r>
            <w:r>
              <w:rPr>
                <w:rFonts w:ascii="Times New Roman" w:cs="Times New Roman" w:eastAsia="Times New Roman" w:hAnsi="Times New Roman"/>
                <w:sz w:val="22"/>
                <w:szCs w:val="22"/>
              </w:rPr>
              <w:t xml:space="preserve"> (напитки, сухой лёд)</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Да, с 2018 г.</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0</w:t>
            </w:r>
          </w:p>
        </w:tc>
        <w:tc>
          <w:tcPr>
            <w:tcW w:type="dxa" w:w="42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Входит в базу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ρ</m:t>
                  </m:r>
                </m:e>
                <m:sub>
                  <m:r>
                    <m:rPr>
                      <m:sty m:val="p"/>
                    </m:rPr>
                    <w:rPr>
                      <w:rFonts w:ascii="Cambria Math" w:hAnsi="Cambria Math" w:cs="Cambria Math"/>
                      <w:sz w:val="24"/>
                      <w:szCs w:val="24"/>
                    </w:rPr>
                    <m:t xml:space="preserve">0</m:t>
                  </m:r>
                </m:sub>
              </m:sSub>
            </m:oMath>
            <w:r>
              <w:rPr>
                <w:rFonts w:ascii="Times New Roman" w:cs="Times New Roman" w:eastAsia="Times New Roman" w:hAnsi="Times New Roman"/>
                <w:sz w:val="22"/>
                <w:szCs w:val="22"/>
              </w:rPr>
              <w:t xml:space="preserve">; прирост платформе не засчитывается</w:t>
            </w:r>
          </w:p>
        </w:tc>
      </w:tr>
      <w:tr>
        <w:trPr>
          <w:cantSplit/>
        </w:trPr>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CO</w:t>
            </w:r>
            <w:r>
              <w:rPr>
                <w:rFonts w:ascii="Times New Roman" w:cs="Times New Roman" w:eastAsia="Times New Roman" w:hAnsi="Times New Roman"/>
                <w:b w:val="false"/>
                <w:bCs w:val="false"/>
                <w:i w:val="false"/>
                <w:iCs w:val="false"/>
                <w:sz w:val="22"/>
                <w:szCs w:val="22"/>
                <w:vertAlign w:val="subscript"/>
              </w:rPr>
              <w:t xml:space="preserve">2</w:t>
            </w:r>
            <w:r>
              <w:rPr>
                <w:rFonts w:ascii="Times New Roman" w:cs="Times New Roman" w:eastAsia="Times New Roman" w:hAnsi="Times New Roman"/>
                <w:sz w:val="22"/>
                <w:szCs w:val="22"/>
              </w:rPr>
              <w:t xml:space="preserve"> в теплицы</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Нет</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0</w:t>
            </w:r>
          </w:p>
        </w:tc>
        <w:tc>
          <w:tcPr>
            <w:tcW w:type="dxa" w:w="42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Только рыночная составляющая за вычетом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μ</m:t>
                  </m:r>
                </m:e>
                <m:sub>
                  <m:r>
                    <m:rPr>
                      <m:sty m:val="i"/>
                    </m:rPr>
                    <w:rPr>
                      <w:rFonts w:ascii="Cambria Math" w:hAnsi="Cambria Math" w:cs="Cambria Math"/>
                      <w:sz w:val="24"/>
                      <w:szCs w:val="24"/>
                    </w:rPr>
                    <m:t xml:space="preserve">f</m:t>
                  </m:r>
                </m:sub>
              </m:sSub>
            </m:oMath>
            <w:r>
              <w:rPr>
                <w:rFonts w:ascii="Times New Roman" w:cs="Times New Roman" w:eastAsia="Times New Roman" w:hAnsi="Times New Roman"/>
                <w:sz w:val="22"/>
                <w:szCs w:val="22"/>
              </w:rPr>
              <w:t xml:space="preserve"> при загруженной очистке</w:t>
            </w:r>
          </w:p>
        </w:tc>
      </w:tr>
      <w:tr>
        <w:trPr>
          <w:cantSplit/>
        </w:trPr>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Низкопотенциальное тепло в теплицы</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Нет</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w:t>
            </w:r>
          </w:p>
        </w:tc>
        <w:tc>
          <w:tcPr>
            <w:tcW w:type="dxa" w:w="42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Рыночная составляющая: экономия газа у потребителя</w:t>
            </w:r>
          </w:p>
        </w:tc>
      </w:tr>
      <w:tr>
        <w:trPr>
          <w:cantSplit/>
        </w:trPr>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CO</w:t>
            </w:r>
            <w:r>
              <w:rPr>
                <w:rFonts w:ascii="Times New Roman" w:cs="Times New Roman" w:eastAsia="Times New Roman" w:hAnsi="Times New Roman"/>
                <w:b w:val="false"/>
                <w:bCs w:val="false"/>
                <w:i w:val="false"/>
                <w:iCs w:val="false"/>
                <w:sz w:val="22"/>
                <w:szCs w:val="22"/>
                <w:vertAlign w:val="subscript"/>
              </w:rPr>
              <w:t xml:space="preserve">2</w:t>
            </w:r>
            <w:r>
              <w:rPr>
                <w:rFonts w:ascii="Times New Roman" w:cs="Times New Roman" w:eastAsia="Times New Roman" w:hAnsi="Times New Roman"/>
                <w:sz w:val="22"/>
                <w:szCs w:val="22"/>
              </w:rPr>
              <w:t xml:space="preserve"> в карбонизированные заполнители и бетон</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Нет</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sz w:val="22"/>
                <w:szCs w:val="22"/>
              </w:rPr>
              <w:t xml:space="preserve">1</w:t>
            </w:r>
          </w:p>
        </w:tc>
        <w:tc>
          <w:tcPr>
            <w:tcW w:type="dxa" w:w="42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Рыночная и углеродная составляющие при экспорте продукции якоря в ЕС</w:t>
            </w:r>
          </w:p>
        </w:tc>
      </w:tr>
    </w:tbl>
    <w:p>
      <w:pPr>
        <w:spacing w:after="0" w:before="0" w:line="360"/>
        <w:ind w:firstLine="0"/>
        <w:jc w:val="left"/>
      </w:pPr>
      <w:r>
        <w:rPr>
          <w:rFonts w:ascii="Times New Roman" w:cs="Times New Roman" w:eastAsia="Times New Roman" w:hAnsi="Times New Roman"/>
          <w:sz w:val="24"/>
          <w:szCs w:val="24"/>
        </w:rPr>
        <w:t xml:space="preserve">Источник: составлено автором по [7; 9].</w:t>
      </w:r>
    </w:p>
    <w:p>
      <w:pPr>
        <w:spacing w:after="0" w:before="0" w:line="360"/>
        <w:ind w:firstLine="709"/>
        <w:jc w:val="both"/>
      </w:pPr>
      <w:r>
        <w:rPr>
          <w:rFonts w:ascii="Times New Roman" w:cs="Times New Roman" w:eastAsia="Times New Roman" w:hAnsi="Times New Roman"/>
          <w:sz w:val="24"/>
          <w:szCs w:val="24"/>
        </w:rPr>
        <w:t xml:space="preserve">Из таблицы 2 видно, что из пяти потоков углеродную составляющую может дать только один, причём наименее освоенный: в Невинномысске минерализация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в строительных материалах не налажена. Если бы 32 тыс. т пищевой углекислоты оценили по цене первого квартала 2026 г., к эффекту приписали бы около 2,41 млн евро в год, которых нет ни в учёте CBAM, ни в доходах участников. Направления, на которых строится экоплатформа, – пищевая углекислота, теплицы, тепло – окупаются только рыночной ценой и экономией топлива у потребителя.</w:t>
      </w:r>
    </w:p>
    <w:p>
      <w:pPr>
        <w:spacing w:after="0" w:before="0" w:line="360"/>
        <w:ind w:firstLine="709"/>
        <w:jc w:val="both"/>
      </w:pPr>
      <w:r>
        <w:rPr>
          <w:rFonts w:ascii="Times New Roman" w:cs="Times New Roman" w:eastAsia="Times New Roman" w:hAnsi="Times New Roman"/>
          <w:sz w:val="24"/>
          <w:szCs w:val="24"/>
        </w:rPr>
        <w:t xml:space="preserve">Проверяемые следствия уточнённой модели и наблюдения, которые их опровергнут, сведены в таблицу 3.</w:t>
      </w:r>
    </w:p>
    <w:p>
      <w:pPr>
        <w:keepNext/>
        <w:spacing w:after="0" w:before="0" w:line="360"/>
        <w:ind w:firstLine="0"/>
        <w:jc w:val="right"/>
      </w:pPr>
      <w:r>
        <w:rPr>
          <w:rFonts w:ascii="Times New Roman" w:cs="Times New Roman" w:eastAsia="Times New Roman" w:hAnsi="Times New Roman"/>
          <w:sz w:val="24"/>
          <w:szCs w:val="24"/>
        </w:rPr>
        <w:t xml:space="preserve">Таблица 3</w:t>
      </w:r>
    </w:p>
    <w:p>
      <w:pPr>
        <w:keepNext/>
        <w:spacing w:after="0" w:before="0" w:line="360"/>
        <w:ind w:firstLine="0"/>
        <w:jc w:val="center"/>
      </w:pPr>
      <w:r>
        <w:rPr>
          <w:rFonts w:ascii="Times New Roman" w:cs="Times New Roman" w:eastAsia="Times New Roman" w:hAnsi="Times New Roman"/>
          <w:sz w:val="24"/>
          <w:szCs w:val="24"/>
        </w:rPr>
        <w:t xml:space="preserve">Проверяемые следствия уточнённой модели и критерии их опровержения</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437"/>
      </w:tblGrid>
      <w:tr>
        <w:trPr>
          <w:tblHeader/>
        </w:trPr>
        <w:tc>
          <w:tcPr>
            <w:tcW w:type="dxa" w:w="3200"/>
            <w:tcBorders>
              <w:top w:val="single" w:color="000000" w:sz="4"/>
              <w:left w:val="single" w:color="000000" w:sz="4"/>
              <w:bottom w:val="single" w:color="000000" w:sz="4"/>
              <w:right w:val="single" w:color="000000" w:sz="4"/>
            </w:tcBorders>
            <w:shd w:fill="EFEFEF" w:color="auto" w:val="clear"/>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b/>
                <w:bCs/>
                <w:i w:val="false"/>
                <w:iCs w:val="false"/>
                <w:sz w:val="22"/>
                <w:szCs w:val="22"/>
              </w:rPr>
              <w:t xml:space="preserve">Следствие модели</w:t>
            </w:r>
          </w:p>
        </w:tc>
        <w:tc>
          <w:tcPr>
            <w:tcW w:type="dxa" w:w="3000"/>
            <w:tcBorders>
              <w:top w:val="single" w:color="000000" w:sz="4"/>
              <w:left w:val="single" w:color="000000" w:sz="4"/>
              <w:bottom w:val="single" w:color="000000" w:sz="4"/>
              <w:right w:val="single" w:color="000000" w:sz="4"/>
            </w:tcBorders>
            <w:shd w:fill="EFEFEF" w:color="auto" w:val="clear"/>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b/>
                <w:bCs/>
                <w:i w:val="false"/>
                <w:iCs w:val="false"/>
                <w:sz w:val="22"/>
                <w:szCs w:val="22"/>
              </w:rPr>
              <w:t xml:space="preserve">Наблюдаемый показатель</w:t>
            </w:r>
          </w:p>
        </w:tc>
        <w:tc>
          <w:tcPr>
            <w:tcW w:type="dxa" w:w="3437"/>
            <w:tcBorders>
              <w:top w:val="single" w:color="000000" w:sz="4"/>
              <w:left w:val="single" w:color="000000" w:sz="4"/>
              <w:bottom w:val="single" w:color="000000" w:sz="4"/>
              <w:right w:val="single" w:color="000000" w:sz="4"/>
            </w:tcBorders>
            <w:shd w:fill="EFEFEF" w:color="auto" w:val="clear"/>
            <w:tcMar>
              <w:top w:type="dxa" w:w="30"/>
              <w:left w:type="dxa" w:w="70"/>
              <w:bottom w:type="dxa" w:w="30"/>
              <w:right w:type="dxa" w:w="70"/>
            </w:tcMar>
            <w:vAlign w:val="center"/>
          </w:tcPr>
          <w:p>
            <w:pPr>
              <w:spacing w:after="0" w:before="0" w:line="240"/>
              <w:jc w:val="center"/>
            </w:pPr>
            <w:r>
              <w:rPr>
                <w:rFonts w:ascii="Times New Roman" w:cs="Times New Roman" w:eastAsia="Times New Roman" w:hAnsi="Times New Roman"/>
                <w:b/>
                <w:bCs/>
                <w:i w:val="false"/>
                <w:iCs w:val="false"/>
                <w:sz w:val="22"/>
                <w:szCs w:val="22"/>
              </w:rPr>
              <w:t xml:space="preserve">Опровергающее наблюдение</w:t>
            </w:r>
          </w:p>
        </w:tc>
      </w:tr>
      <w:tr>
        <w:trPr>
          <w:cantSplit/>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Ниже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C</m:t>
                  </m:r>
                </m:e>
                <m:sub>
                  <m:r>
                    <m:rPr>
                      <m:sty m:val="p"/>
                    </m:rPr>
                    <w:rPr>
                      <w:rFonts w:ascii="Cambria Math" w:hAnsi="Cambria Math" w:cs="Cambria Math"/>
                      <w:sz w:val="24"/>
                      <w:szCs w:val="24"/>
                    </w:rPr>
                    <m:t xml:space="preserve">кр</m:t>
                  </m:r>
                </m:sub>
              </m:sSub>
            </m:oMath>
            <w:r>
              <w:rPr>
                <w:rFonts w:ascii="Times New Roman" w:cs="Times New Roman" w:eastAsia="Times New Roman" w:hAnsi="Times New Roman"/>
                <w:sz w:val="22"/>
                <w:szCs w:val="22"/>
              </w:rPr>
              <w:t xml:space="preserve"> обмены через платформу не дают участникам выгоды</w:t>
            </w:r>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Объём потоков и экономия участников по реестру платформы</w:t>
            </w:r>
          </w:p>
        </w:tc>
        <w:tc>
          <w:tcPr>
            <w:tcW w:type="dxa" w:w="3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Подтверждённая экономия участников при связности ниже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C</m:t>
                  </m:r>
                </m:e>
                <m:sub>
                  <m:r>
                    <m:rPr>
                      <m:sty m:val="p"/>
                    </m:rPr>
                    <w:rPr>
                      <w:rFonts w:ascii="Cambria Math" w:hAnsi="Cambria Math" w:cs="Cambria Math"/>
                      <w:sz w:val="24"/>
                      <w:szCs w:val="24"/>
                    </w:rPr>
                    <m:t xml:space="preserve">кр</m:t>
                  </m:r>
                </m:sub>
              </m:sSub>
            </m:oMath>
          </w:p>
        </w:tc>
      </w:tr>
      <w:tr>
        <w:trPr>
          <w:cantSplit/>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Рост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h</m:t>
                  </m:r>
                </m:e>
                <m:sub>
                  <m:r>
                    <m:rPr>
                      <m:sty m:val="i"/>
                    </m:rPr>
                    <w:rPr>
                      <w:rFonts w:ascii="Cambria Math" w:hAnsi="Cambria Math" w:cs="Cambria Math"/>
                      <w:sz w:val="24"/>
                      <w:szCs w:val="24"/>
                    </w:rPr>
                    <m:t xml:space="preserve">t</m:t>
                  </m:r>
                  <m:r>
                    <m:rPr>
                      <m:sty m:val="p"/>
                    </m:rPr>
                    <w:rPr>
                      <w:rFonts w:ascii="Cambria Math" w:hAnsi="Cambria Math" w:cs="Cambria Math"/>
                      <w:sz w:val="24"/>
                      <w:szCs w:val="24"/>
                    </w:rPr>
                    <m:t xml:space="preserve">−1</m:t>
                  </m:r>
                </m:sub>
              </m:sSub>
            </m:oMath>
            <w:r>
              <w:rPr>
                <w:rFonts w:ascii="Times New Roman" w:cs="Times New Roman" w:eastAsia="Times New Roman" w:hAnsi="Times New Roman"/>
                <w:sz w:val="22"/>
                <w:szCs w:val="22"/>
              </w:rPr>
              <w:t xml:space="preserve"> снижает пороговую связность</w:t>
            </w:r>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Доля обменов без пересмотра раздела затрат; связность выхода на устойчивый рост</w:t>
            </w:r>
          </w:p>
        </w:tc>
        <w:tc>
          <w:tcPr>
            <w:tcW w:type="dxa" w:w="3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При росте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h</m:t>
                  </m:r>
                </m:e>
                <m:sub>
                  <m:r>
                    <m:rPr>
                      <m:sty m:val="i"/>
                    </m:rPr>
                    <w:rPr>
                      <w:rFonts w:ascii="Cambria Math" w:hAnsi="Cambria Math" w:cs="Cambria Math"/>
                      <w:sz w:val="24"/>
                      <w:szCs w:val="24"/>
                    </w:rPr>
                    <m:t xml:space="preserve">t</m:t>
                  </m:r>
                  <m:r>
                    <m:rPr>
                      <m:sty m:val="p"/>
                    </m:rPr>
                    <w:rPr>
                      <w:rFonts w:ascii="Cambria Math" w:hAnsi="Cambria Math" w:cs="Cambria Math"/>
                      <w:sz w:val="24"/>
                      <w:szCs w:val="24"/>
                    </w:rPr>
                    <m:t xml:space="preserve">−1</m:t>
                  </m:r>
                </m:sub>
              </m:sSub>
            </m:oMath>
            <w:r>
              <w:rPr>
                <w:rFonts w:ascii="Times New Roman" w:cs="Times New Roman" w:eastAsia="Times New Roman" w:hAnsi="Times New Roman"/>
                <w:sz w:val="22"/>
                <w:szCs w:val="22"/>
              </w:rPr>
              <w:t xml:space="preserve"> порог не снижается или растёт</w:t>
            </w:r>
          </w:p>
        </w:tc>
      </w:tr>
      <w:tr>
        <w:trPr>
          <w:cantSplit/>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Углеродная составляющая потоков CO</w:t>
            </w:r>
            <w:r>
              <w:rPr>
                <w:rFonts w:ascii="Times New Roman" w:cs="Times New Roman" w:eastAsia="Times New Roman" w:hAnsi="Times New Roman"/>
                <w:b w:val="false"/>
                <w:bCs w:val="false"/>
                <w:i w:val="false"/>
                <w:iCs w:val="false"/>
                <w:sz w:val="22"/>
                <w:szCs w:val="22"/>
                <w:vertAlign w:val="subscript"/>
              </w:rPr>
              <w:t xml:space="preserve">2</w:t>
            </w:r>
            <w:r>
              <w:rPr>
                <w:rFonts w:ascii="Times New Roman" w:cs="Times New Roman" w:eastAsia="Times New Roman" w:hAnsi="Times New Roman"/>
                <w:sz w:val="22"/>
                <w:szCs w:val="22"/>
              </w:rPr>
              <w:t xml:space="preserve"> в карбамид, пищевую отрасль и теплицы равна нулю</w:t>
            </w:r>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Удельные воплощённые выбросы в декларациях CBAM импортёров продукции якоря</w:t>
            </w:r>
          </w:p>
        </w:tc>
        <w:tc>
          <w:tcPr>
            <w:tcW w:type="dxa" w:w="3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Признание в верифицированных данных вычета CO</w:t>
            </w:r>
            <w:r>
              <w:rPr>
                <w:rFonts w:ascii="Times New Roman" w:cs="Times New Roman" w:eastAsia="Times New Roman" w:hAnsi="Times New Roman"/>
                <w:b w:val="false"/>
                <w:bCs w:val="false"/>
                <w:i w:val="false"/>
                <w:iCs w:val="false"/>
                <w:sz w:val="22"/>
                <w:szCs w:val="22"/>
                <w:vertAlign w:val="subscript"/>
              </w:rPr>
              <w:t xml:space="preserve">2</w:t>
            </w:r>
            <w:r>
              <w:rPr>
                <w:rFonts w:ascii="Times New Roman" w:cs="Times New Roman" w:eastAsia="Times New Roman" w:hAnsi="Times New Roman"/>
                <w:sz w:val="22"/>
                <w:szCs w:val="22"/>
              </w:rPr>
              <w:t xml:space="preserve">, переданного в эти направления</w:t>
            </w:r>
          </w:p>
        </w:tc>
      </w:tr>
      <w:tr>
        <w:trPr>
          <w:cantSplit/>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Связь с теплицами при загруженной очистке выгодна только при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p</m:t>
                  </m:r>
                </m:e>
                <m:sub>
                  <m:r>
                    <m:rPr>
                      <m:sty m:val="i"/>
                    </m:rPr>
                    <w:rPr>
                      <w:rFonts w:ascii="Cambria Math" w:hAnsi="Cambria Math" w:cs="Cambria Math"/>
                      <w:sz w:val="24"/>
                      <w:szCs w:val="24"/>
                    </w:rPr>
                    <m:t xml:space="preserve">f</m:t>
                  </m:r>
                </m:sub>
              </m:sSub>
              <m:r>
                <m:rPr>
                  <m:sty m:val="p"/>
                </m:rPr>
                <w:rPr>
                  <w:rFonts w:ascii="Cambria Math" w:hAnsi="Cambria Math" w:cs="Cambria Math"/>
                  <w:sz w:val="24"/>
                  <w:szCs w:val="24"/>
                </w:rPr>
                <m:t xml:space="preserve">−</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c</m:t>
                  </m:r>
                </m:e>
                <m:sub>
                  <m:r>
                    <m:rPr>
                      <m:sty m:val="i"/>
                    </m:rPr>
                    <w:rPr>
                      <w:rFonts w:ascii="Cambria Math" w:hAnsi="Cambria Math" w:cs="Cambria Math"/>
                      <w:sz w:val="24"/>
                      <w:szCs w:val="24"/>
                    </w:rPr>
                    <m:t xml:space="preserve">f</m:t>
                  </m:r>
                </m:sub>
              </m:sSub>
              <m:r>
                <m:rPr>
                  <m:sty m:val="p"/>
                </m:rPr>
                <w:rPr>
                  <w:rFonts w:ascii="Cambria Math" w:hAnsi="Cambria Math" w:cs="Cambria Math"/>
                  <w:sz w:val="24"/>
                  <w:szCs w:val="24"/>
                </w:rPr>
                <m:t xml:space="preserve">&gt;</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μ</m:t>
                  </m:r>
                </m:e>
                <m:sub>
                  <m:r>
                    <m:rPr>
                      <m:sty m:val="i"/>
                    </m:rPr>
                    <w:rPr>
                      <w:rFonts w:ascii="Cambria Math" w:hAnsi="Cambria Math" w:cs="Cambria Math"/>
                      <w:sz w:val="24"/>
                      <w:szCs w:val="24"/>
                    </w:rPr>
                    <m:t xml:space="preserve">f</m:t>
                  </m:r>
                </m:sub>
              </m:sSub>
            </m:oMath>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Загрузка установки очистки, цены пищевого CO</w:t>
            </w:r>
            <w:r>
              <w:rPr>
                <w:rFonts w:ascii="Times New Roman" w:cs="Times New Roman" w:eastAsia="Times New Roman" w:hAnsi="Times New Roman"/>
                <w:b w:val="false"/>
                <w:bCs w:val="false"/>
                <w:i w:val="false"/>
                <w:iCs w:val="false"/>
                <w:sz w:val="22"/>
                <w:szCs w:val="22"/>
                <w:vertAlign w:val="subscript"/>
              </w:rPr>
              <w:t xml:space="preserve">2</w:t>
            </w:r>
            <w:r>
              <w:rPr>
                <w:rFonts w:ascii="Times New Roman" w:cs="Times New Roman" w:eastAsia="Times New Roman" w:hAnsi="Times New Roman"/>
                <w:sz w:val="22"/>
                <w:szCs w:val="22"/>
              </w:rPr>
              <w:t xml:space="preserve"> и CO</w:t>
            </w:r>
            <w:r>
              <w:rPr>
                <w:rFonts w:ascii="Times New Roman" w:cs="Times New Roman" w:eastAsia="Times New Roman" w:hAnsi="Times New Roman"/>
                <w:b w:val="false"/>
                <w:bCs w:val="false"/>
                <w:i w:val="false"/>
                <w:iCs w:val="false"/>
                <w:sz w:val="22"/>
                <w:szCs w:val="22"/>
                <w:vertAlign w:val="subscript"/>
              </w:rPr>
              <w:t xml:space="preserve">2</w:t>
            </w:r>
            <w:r>
              <w:rPr>
                <w:rFonts w:ascii="Times New Roman" w:cs="Times New Roman" w:eastAsia="Times New Roman" w:hAnsi="Times New Roman"/>
                <w:sz w:val="22"/>
                <w:szCs w:val="22"/>
              </w:rPr>
              <w:t xml:space="preserve"> для теплиц</w:t>
            </w:r>
          </w:p>
        </w:tc>
        <w:tc>
          <w:tcPr>
            <w:tcW w:type="dxa" w:w="3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jc w:val="left"/>
            </w:pPr>
            <w:r>
              <w:rPr>
                <w:rFonts w:ascii="Times New Roman" w:cs="Times New Roman" w:eastAsia="Times New Roman" w:hAnsi="Times New Roman"/>
                <w:sz w:val="22"/>
                <w:szCs w:val="22"/>
              </w:rPr>
              <w:t xml:space="preserve">Устойчивая работа связи без субсидий при </w:t>
            </w:r>
            <m:oMath>
              <m:sSub>
                <m:sSubPr>
                  <m:ctrlPr>
                    <w:rPr>
                      <w:rFonts w:ascii="Cambria Math" w:hAnsi="Cambria Math" w:cs="Cambria Math"/>
                      <w:sz w:val="24"/>
                      <w:szCs w:val="24"/>
                    </w:rPr>
                  </m:ctrlPr>
                </m:sSubPr>
                <m:e>
                  <m:r>
                    <m:rPr>
                      <m:sty m:val="i"/>
                    </m:rPr>
                    <w:rPr>
                      <w:rFonts w:ascii="Cambria Math" w:hAnsi="Cambria Math" w:cs="Cambria Math"/>
                      <w:sz w:val="24"/>
                      <w:szCs w:val="24"/>
                    </w:rPr>
                    <m:t xml:space="preserve">p</m:t>
                  </m:r>
                </m:e>
                <m:sub>
                  <m:r>
                    <m:rPr>
                      <m:sty m:val="i"/>
                    </m:rPr>
                    <w:rPr>
                      <w:rFonts w:ascii="Cambria Math" w:hAnsi="Cambria Math" w:cs="Cambria Math"/>
                      <w:sz w:val="24"/>
                      <w:szCs w:val="24"/>
                    </w:rPr>
                    <m:t xml:space="preserve">f</m:t>
                  </m:r>
                </m:sub>
              </m:sSub>
              <m:r>
                <m:rPr>
                  <m:sty m:val="p"/>
                </m:rPr>
                <w:rPr>
                  <w:rFonts w:ascii="Cambria Math" w:hAnsi="Cambria Math" w:cs="Cambria Math"/>
                  <w:sz w:val="24"/>
                  <w:szCs w:val="24"/>
                </w:rPr>
                <m:t xml:space="preserve">−</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c</m:t>
                  </m:r>
                </m:e>
                <m:sub>
                  <m:r>
                    <m:rPr>
                      <m:sty m:val="i"/>
                    </m:rPr>
                    <w:rPr>
                      <w:rFonts w:ascii="Cambria Math" w:hAnsi="Cambria Math" w:cs="Cambria Math"/>
                      <w:sz w:val="24"/>
                      <w:szCs w:val="24"/>
                    </w:rPr>
                    <m:t xml:space="preserve">f</m:t>
                  </m:r>
                </m:sub>
              </m:sSub>
              <m:r>
                <m:rPr>
                  <m:sty m:val="p"/>
                </m:rPr>
                <w:rPr>
                  <w:rFonts w:ascii="Cambria Math" w:hAnsi="Cambria Math" w:cs="Cambria Math"/>
                  <w:sz w:val="24"/>
                  <w:szCs w:val="24"/>
                </w:rPr>
                <m:t xml:space="preserve">&lt;</m:t>
              </m:r>
              <m:sSub>
                <m:sSubPr>
                  <m:ctrlPr>
                    <w:rPr>
                      <w:rFonts w:ascii="Cambria Math" w:hAnsi="Cambria Math" w:cs="Cambria Math"/>
                      <w:sz w:val="24"/>
                      <w:szCs w:val="24"/>
                    </w:rPr>
                  </m:ctrlPr>
                </m:sSubPr>
                <m:e>
                  <m:r>
                    <m:rPr>
                      <m:sty m:val="i"/>
                    </m:rPr>
                    <w:rPr>
                      <w:rFonts w:ascii="Cambria Math" w:hAnsi="Cambria Math" w:cs="Cambria Math"/>
                      <w:sz w:val="24"/>
                      <w:szCs w:val="24"/>
                    </w:rPr>
                    <m:t xml:space="preserve">μ</m:t>
                  </m:r>
                </m:e>
                <m:sub>
                  <m:r>
                    <m:rPr>
                      <m:sty m:val="i"/>
                    </m:rPr>
                    <w:rPr>
                      <w:rFonts w:ascii="Cambria Math" w:hAnsi="Cambria Math" w:cs="Cambria Math"/>
                      <w:sz w:val="24"/>
                      <w:szCs w:val="24"/>
                    </w:rPr>
                    <m:t xml:space="preserve">f</m:t>
                  </m:r>
                </m:sub>
              </m:sSub>
            </m:oMath>
          </w:p>
        </w:tc>
      </w:tr>
    </w:tbl>
    <w:p>
      <w:pPr>
        <w:spacing w:after="0" w:before="0" w:line="360"/>
        <w:ind w:firstLine="0"/>
        <w:jc w:val="left"/>
      </w:pPr>
      <w:r>
        <w:rPr>
          <w:rFonts w:ascii="Times New Roman" w:cs="Times New Roman" w:eastAsia="Times New Roman" w:hAnsi="Times New Roman"/>
          <w:sz w:val="24"/>
          <w:szCs w:val="24"/>
        </w:rPr>
        <w:t xml:space="preserve">Источник: составлено автором.</w:t>
      </w:r>
    </w:p>
    <w:p>
      <w:pPr>
        <w:spacing w:after="0" w:before="0" w:line="360"/>
        <w:ind w:firstLine="709"/>
        <w:jc w:val="both"/>
      </w:pPr>
      <w:r>
        <w:rPr>
          <w:rFonts w:ascii="Times New Roman" w:cs="Times New Roman" w:eastAsia="Times New Roman" w:hAnsi="Times New Roman"/>
          <w:sz w:val="24"/>
          <w:szCs w:val="24"/>
        </w:rPr>
        <w:t xml:space="preserve">Все четыре следствия выражены через величины, которые можно получить из реестра платформы, отчётности участников и деклараций импортёров. Опровержение первых двух укажет на неверную форму функции (1), третьего – на изменение правил CBAM, четвёртого – на неучтённую ценность связи с теплицами, например надёжность поставки или снижение риска для якоря.</w:t>
      </w:r>
    </w:p>
    <w:p>
      <w:pPr>
        <w:spacing w:after="0" w:before="0" w:line="360"/>
        <w:ind w:firstLine="709"/>
        <w:jc w:val="both"/>
      </w:pPr>
      <w:r>
        <w:rPr>
          <w:rFonts w:ascii="Times New Roman" w:cs="Times New Roman" w:eastAsia="Times New Roman" w:hAnsi="Times New Roman"/>
          <w:b/>
          <w:bCs/>
          <w:i w:val="false"/>
          <w:iCs w:val="false"/>
          <w:sz w:val="24"/>
          <w:szCs w:val="24"/>
        </w:rPr>
        <w:t xml:space="preserve">Выводы и предложения.</w:t>
      </w:r>
      <w:r>
        <w:rPr>
          <w:rFonts w:ascii="Times New Roman" w:cs="Times New Roman" w:eastAsia="Times New Roman" w:hAnsi="Times New Roman"/>
          <w:sz w:val="24"/>
          <w:szCs w:val="24"/>
        </w:rPr>
        <w:t xml:space="preserve"> Дополнительный эффект экоплатформы следует отсчитывать не от пустой сети, а от уровня, достигнутого действующими связями, и с учётом порога критической массы. При условных параметрах прежняя оценка завышала прирост на 41–88 %. Пороговая связность (3) объединяет организационный порог и долю потенциала, реализованную без платформы, и снижается по мере того, как участники приучаются делить затраты по согласованному правилу; поэтому поддержка первых соглашений эффективнее поддержки, растянутой на весь период. Углеродная составляющая по правилам CBAM возникает только при постоянном химическом связывании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в строительных минеральных карбонатах, и для потоков в карбамид, пищевую отрасль и теплицы её нужно исключить из расчёта дивиденда. Для калибровки модели требуются данные о загрузке установки пищевой углекислоты «Невинномысского Азота», ценах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sz w:val="24"/>
          <w:szCs w:val="24"/>
        </w:rPr>
        <w:t xml:space="preserve"> и тепла для потребителей, доле экспорта якоря в ЕС и истории раздела затрат в первых обменах платформы.</w:t>
      </w:r>
    </w:p>
    <w:p>
      <w:pPr>
        <w:spacing w:after="0" w:before="120" w:line="360"/>
        <w:ind w:firstLine="0"/>
        <w:jc w:val="center"/>
      </w:pPr>
      <w:r>
        <w:rPr>
          <w:rFonts w:ascii="Times New Roman" w:cs="Times New Roman" w:eastAsia="Times New Roman" w:hAnsi="Times New Roman"/>
          <w:b/>
          <w:bCs/>
          <w:i w:val="false"/>
          <w:iCs w:val="false"/>
          <w:sz w:val="24"/>
          <w:szCs w:val="24"/>
        </w:rPr>
        <w:t xml:space="preserve">Список использованных источников и литературы</w:t>
      </w:r>
    </w:p>
    <w:p>
      <w:pPr>
        <w:spacing w:after="0" w:before="0" w:line="360"/>
        <w:ind w:firstLine="709"/>
        <w:jc w:val="both"/>
      </w:pPr>
      <w:r>
        <w:rPr>
          <w:rFonts w:ascii="Times New Roman" w:cs="Times New Roman" w:eastAsia="Times New Roman" w:hAnsi="Times New Roman"/>
          <w:sz w:val="24"/>
          <w:szCs w:val="24"/>
        </w:rPr>
        <w:t xml:space="preserve">1. Regulation (EU) 2023/956 of the European Parliament and of the Council of 10 May 2023 establishing a carbon border adjustment mechanism (as amended by Regulation (EU) 2025/2083) // Official Journal of the European Union. 2023. L 130. P. 52–104.</w:t>
      </w:r>
    </w:p>
    <w:p>
      <w:pPr>
        <w:spacing w:after="0" w:before="0" w:line="360"/>
        <w:ind w:firstLine="709"/>
        <w:jc w:val="both"/>
      </w:pPr>
      <w:r>
        <w:rPr>
          <w:rFonts w:ascii="Times New Roman" w:cs="Times New Roman" w:eastAsia="Times New Roman" w:hAnsi="Times New Roman"/>
          <w:sz w:val="24"/>
          <w:szCs w:val="24"/>
        </w:rPr>
        <w:t xml:space="preserve">2. The first quarterly price of CBAM certificates for 2026 has been published // Finnish Customs. 08.04.2026. URL: https://tulli.fi/en/-/the-first-quarterly-price-of-cbam-certificates-for-2026-has-been-published (дата обращения: 13.10.2026).</w:t>
      </w:r>
    </w:p>
    <w:p>
      <w:pPr>
        <w:spacing w:after="0" w:before="0" w:line="360"/>
        <w:ind w:firstLine="709"/>
        <w:jc w:val="both"/>
      </w:pPr>
      <w:r>
        <w:rPr>
          <w:rFonts w:ascii="Times New Roman" w:cs="Times New Roman" w:eastAsia="Times New Roman" w:hAnsi="Times New Roman"/>
          <w:sz w:val="24"/>
          <w:szCs w:val="24"/>
        </w:rPr>
        <w:t xml:space="preserve">3. Mollica M., Fraccascia L., Nastasi A. What drives the success of online platforms for industrial symbiosis? An agent-based model // Ecological Economics. 2025. Vol. 230. Art. 108502. DOI: 10.1016/j.ecolecon.2024.108502.</w:t>
      </w:r>
    </w:p>
    <w:p>
      <w:pPr>
        <w:spacing w:after="0" w:before="0" w:line="360"/>
        <w:ind w:firstLine="709"/>
        <w:jc w:val="both"/>
      </w:pPr>
      <w:r>
        <w:rPr>
          <w:rFonts w:ascii="Times New Roman" w:cs="Times New Roman" w:eastAsia="Times New Roman" w:hAnsi="Times New Roman"/>
          <w:sz w:val="24"/>
          <w:szCs w:val="24"/>
        </w:rPr>
        <w:t xml:space="preserve">4. Dong Y., Liu C.G., Zhao M. Implementation of industrial symbiosis under environmental tax policy // International Journal of Production Economics. 2024. Vol. 277. Art. 109406. DOI: 10.1016/j.ijpe.2024.109406.</w:t>
      </w:r>
    </w:p>
    <w:p>
      <w:pPr>
        <w:spacing w:after="0" w:before="0" w:line="360"/>
        <w:ind w:firstLine="709"/>
        <w:jc w:val="both"/>
      </w:pPr>
      <w:r>
        <w:rPr>
          <w:rFonts w:ascii="Times New Roman" w:cs="Times New Roman" w:eastAsia="Times New Roman" w:hAnsi="Times New Roman"/>
          <w:sz w:val="24"/>
          <w:szCs w:val="24"/>
        </w:rPr>
        <w:t xml:space="preserve">5. Белых А.Л. Модели формирования промышленного симбиоза // Управление. 2023. Т. 11, № 1. С. 51–63. DOI: 10.26425/2309-3633-2023-11-1-51-63.</w:t>
      </w:r>
    </w:p>
    <w:p>
      <w:pPr>
        <w:spacing w:after="0" w:before="0" w:line="360"/>
        <w:ind w:firstLine="709"/>
        <w:jc w:val="both"/>
      </w:pPr>
      <w:r>
        <w:rPr>
          <w:rFonts w:ascii="Times New Roman" w:cs="Times New Roman" w:eastAsia="Times New Roman" w:hAnsi="Times New Roman"/>
          <w:sz w:val="24"/>
          <w:szCs w:val="24"/>
        </w:rPr>
        <w:t xml:space="preserve">6. Блам И.Ю., Ковалев С.Ю. Промышленный симбиоз как инструмент декарбонизации // ЭКО. 2022. № 7. С. 67–79. DOI: 10.30680/ECO0131-7652-2022-7-67-79.</w:t>
      </w:r>
    </w:p>
    <w:p>
      <w:pPr>
        <w:spacing w:after="0" w:before="0" w:line="360"/>
        <w:ind w:firstLine="709"/>
        <w:jc w:val="both"/>
      </w:pPr>
      <w:r>
        <w:rPr>
          <w:rFonts w:ascii="Times New Roman" w:cs="Times New Roman" w:eastAsia="Times New Roman" w:hAnsi="Times New Roman"/>
          <w:sz w:val="24"/>
          <w:szCs w:val="24"/>
        </w:rPr>
        <w:t xml:space="preserve">7. Commission Delegated Regulation (EU) 2024/2620 of 30 July 2024 supplementing Directive 2003/87/EC of the European Parliament and of the Council as regards the requirements for considering that greenhouse gases have become permanently chemically bound in a product // Official Journal of the European Union. L series. 04.10.2024. URL: https://eur-lex.europa.eu/eli/reg_del/2024/2620/oj/eng (дата обращения: 13.10.2026).</w:t>
      </w:r>
    </w:p>
    <w:p>
      <w:pPr>
        <w:spacing w:after="0" w:before="0" w:line="360"/>
        <w:ind w:firstLine="709"/>
        <w:jc w:val="both"/>
      </w:pPr>
      <w:r>
        <w:rPr>
          <w:rFonts w:ascii="Times New Roman" w:cs="Times New Roman" w:eastAsia="Times New Roman" w:hAnsi="Times New Roman"/>
          <w:sz w:val="24"/>
          <w:szCs w:val="24"/>
        </w:rPr>
        <w:t xml:space="preserve">8. Зубарев А.В., Мотякина Я.П. Территории опережающего развития и занятость в моногородах Российской Федерации // Вестник Московского университета. Серия 6. Экономика. 2024. Т. 59, № 3. С. 144–170. DOI: 10.55959/MSU0130-0105-6-59-3-7.</w:t>
      </w:r>
    </w:p>
    <w:p>
      <w:pPr>
        <w:spacing w:after="0" w:before="0" w:line="360"/>
        <w:ind w:firstLine="709"/>
        <w:jc w:val="both"/>
      </w:pPr>
      <w:r>
        <w:rPr>
          <w:rFonts w:ascii="Times New Roman" w:cs="Times New Roman" w:eastAsia="Times New Roman" w:hAnsi="Times New Roman"/>
          <w:sz w:val="24"/>
          <w:szCs w:val="24"/>
        </w:rPr>
        <w:t xml:space="preserve">9. Guidance Document 5C: Sector-Specific Guidance Document on Fertilisers (definitive period) / European Commission, DG Taxation and Customs Union. Brussels, 14.08.2026. URL: https://trungtamwto.vn/download/24369/guidance-no.-5c--sector-specific-guidance-document-on-fertilisers.pdf (дата обращения: 13.10.2026).</w:t>
      </w:r>
    </w:p>
    <w:p>
      <w:pPr>
        <w:spacing w:after="0" w:before="120" w:line="360"/>
        <w:ind w:firstLine="709"/>
        <w:jc w:val="both"/>
      </w:pPr>
      <w:r>
        <w:rPr>
          <w:rFonts w:ascii="Times New Roman" w:cs="Times New Roman" w:eastAsia="Times New Roman" w:hAnsi="Times New Roman"/>
          <w:b/>
          <w:bCs/>
          <w:i w:val="false"/>
          <w:iCs w:val="false"/>
          <w:sz w:val="24"/>
          <w:szCs w:val="24"/>
        </w:rPr>
        <w:t xml:space="preserve">Ключевые слова:</w:t>
      </w:r>
      <w:r>
        <w:rPr>
          <w:rFonts w:ascii="Times New Roman" w:cs="Times New Roman" w:eastAsia="Times New Roman" w:hAnsi="Times New Roman"/>
          <w:sz w:val="24"/>
          <w:szCs w:val="24"/>
        </w:rPr>
        <w:t xml:space="preserve"> промышленная экосистема, критическая масса, базовая связность, симбиотический дивиденд, механизм пограничной углеродной корректировки, азотное производство, якорное предприятие.</w:t>
      </w:r>
    </w:p>
    <w:p>
      <w:pPr>
        <w:spacing w:after="0" w:before="0" w:line="360"/>
        <w:ind w:firstLine="709"/>
        <w:jc w:val="both"/>
      </w:pPr>
      <w:r>
        <w:rPr>
          <w:rFonts w:ascii="Times New Roman" w:cs="Times New Roman" w:eastAsia="Times New Roman" w:hAnsi="Times New Roman"/>
          <w:b/>
          <w:bCs/>
          <w:i w:val="false"/>
          <w:iCs w:val="false"/>
          <w:sz w:val="24"/>
          <w:szCs w:val="24"/>
        </w:rPr>
        <w:t xml:space="preserve">Keywords:</w:t>
      </w:r>
      <w:r>
        <w:rPr>
          <w:rFonts w:ascii="Times New Roman" w:cs="Times New Roman" w:eastAsia="Times New Roman" w:hAnsi="Times New Roman"/>
          <w:sz w:val="24"/>
          <w:szCs w:val="24"/>
        </w:rPr>
        <w:t xml:space="preserve"> industrial ecosystem, critical mass, baseline connectivity, symbiotic dividend, carbon border adjustment mechanism, nitrogen industry, anchor enterprise.</w:t>
      </w:r>
    </w:p>
    <w:sectPr>
      <w:footerReference w:type="default" r:id="rId7"/>
      <w:pgSz w:w="11906" w:h="16838" w:orient="portrait"/>
      <w:pgMar w:top="1134" w:right="851"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jc w:val="both"/>
      </w:pPr>
      <w:r>
        <w:rPr>
          <w:rStyle w:val="FootnoteReference"/>
        </w:rPr>
        <w:footnoteRef/>
      </w:r>
      <w:r>
        <w:rPr>
          <w:rFonts w:ascii="Times New Roman" w:cs="Times New Roman" w:eastAsia="Times New Roman" w:hAnsi="Times New Roman"/>
          <w:sz w:val="20"/>
          <w:szCs w:val="20"/>
        </w:rPr>
        <w:t xml:space="preserve">EuroChem to begin food-grade CO2 production in Russia for Coca-Cola systems: press release // RCCnews. 21.12.2018. URL: https://rccnews.ru/en/news/103428/ (дата обращения: 13.10.2026).</w:t>
      </w:r>
    </w:p>
  </w:footnote>
  <w:footnote w:id="2">
    <w:p>
      <w:pPr>
        <w:jc w:val="both"/>
      </w:pPr>
      <w:r>
        <w:rPr>
          <w:rStyle w:val="FootnoteReference"/>
        </w:rPr>
        <w:footnoteRef/>
      </w:r>
      <w:r>
        <w:rPr>
          <w:rFonts w:ascii="Times New Roman" w:cs="Times New Roman" w:eastAsia="Times New Roman" w:hAnsi="Times New Roman"/>
          <w:sz w:val="20"/>
          <w:szCs w:val="20"/>
        </w:rPr>
        <w:t xml:space="preserve">Fraccascia L. Quantifying the direct network effect for online platforms supporting industrial symbiosis: an agent-based simulation study // Ecological Economics. 2020. Vol. 170. Art. 106587. DOI: 10.1016/j.ecolecon.2019.106587.</w:t>
      </w:r>
    </w:p>
  </w:footnote>
  <w:footnote w:id="3">
    <w:p>
      <w:pPr>
        <w:jc w:val="both"/>
      </w:pPr>
      <w:r>
        <w:rPr>
          <w:rStyle w:val="FootnoteReference"/>
        </w:rPr>
        <w:footnoteRef/>
      </w:r>
      <w:r>
        <w:rPr>
          <w:rFonts w:ascii="Times New Roman" w:cs="Times New Roman" w:eastAsia="Times New Roman" w:hAnsi="Times New Roman"/>
          <w:sz w:val="20"/>
          <w:szCs w:val="20"/>
        </w:rPr>
        <w:t xml:space="preserve">Yazan D.M., Yazdanpanah V., Fraccascia L. Learning strategic cooperative behavior in industrial symbiosis: A game-theoretic approach integrated with agent-based simulation // Business Strategy and the Environment. 2020. Vol. 29, no. 5. P. 2078–2091.</w:t>
      </w:r>
    </w:p>
  </w:footnote>
  <w:footnote w:id="4">
    <w:p>
      <w:pPr>
        <w:jc w:val="both"/>
      </w:pPr>
      <w:r>
        <w:rPr>
          <w:rStyle w:val="FootnoteReference"/>
        </w:rPr>
        <w:footnoteRef/>
      </w:r>
      <w:r>
        <w:rPr>
          <w:rFonts w:ascii="Times New Roman" w:cs="Times New Roman" w:eastAsia="Times New Roman" w:hAnsi="Times New Roman"/>
          <w:sz w:val="20"/>
          <w:szCs w:val="20"/>
        </w:rPr>
        <w:t xml:space="preserve">Yara’s WARMCO2: Spearheading industrial-horticultural symbiosis based on residual heat and CO2 valorization // Circulary. 11.04.2017. URL: https://www.circulary.eu/project/yara-warmco2/ (дата обращения: 13.10.2026).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b9899f85c97612dd6aafd458a9efa2ba20b50a7.svg"/><Relationship Id="rId9" Type="http://schemas.openxmlformats.org/officeDocument/2006/relationships/image" Target="media/22b65bc9d945048e18a3ecd1572c178c919545c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2026-10-13T08:04:10.751Z</dcterms:created>
  <dcterms:modified xsi:type="dcterms:W3CDTF">2026-10-13T08:04:10.751Z</dcterms:modified>
</cp:coreProperties>
</file>

<file path=docProps/custom.xml><?xml version="1.0" encoding="utf-8"?>
<Properties xmlns="http://schemas.openxmlformats.org/officeDocument/2006/custom-properties" xmlns:vt="http://schemas.openxmlformats.org/officeDocument/2006/docPropsVTypes"/>
</file>