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2"/>
          <w:szCs w:val="22"/>
        </w:rPr>
        <w:t xml:space="preserve"/>
      </w:r>
    </w:p>
    <w:p>
      <w:pPr>
        <w:jc w:val="left"/>
      </w:pPr>
      <w:r>
        <w:rPr>
          <w:rFonts w:ascii="Arial" w:cs="Arial" w:eastAsia="Arial" w:hAnsi="Arial"/>
          <w:sz w:val="20"/>
          <w:szCs w:val="20"/>
        </w:rPr>
        <w:t xml:space="preserve">УДК 004.056 : 519.876.5</w:t>
      </w:r>
    </w:p>
    <w:p>
      <w:pPr>
        <w:spacing w:after="200"/>
        <w:jc w:val="left"/>
      </w:pPr>
      <w:r>
        <w:rPr>
          <w:rFonts w:ascii="Arial" w:cs="Arial" w:eastAsia="Arial" w:hAnsi="Arial"/>
          <w:sz w:val="20"/>
          <w:szCs w:val="20"/>
        </w:rPr>
        <w:t xml:space="preserve">ГРНТИ 20.23.17; 20.23.19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ЭПИДЕМИОЛОГИЧЕСКАЯ МОДЕЛЬ ЭВОЛЮЦИИ КИБЕРУГРОЗ: ИНДЕКС НОВЫХ УГРОЗ (NEWTHREATINDEX) И АДАПТИВНОЕ УПРАВЛЕНИЕ БЮДЖЕТОМ ИНФОРМАЦИОННОЙ БЕЗОПАСНОСТИ НА ОСНОВЕ КЛАСТЕРИЗАЦИИ БДУ ФСТЭК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EPIDEMIOLOGICAL MODEL OF CYBER THREAT EVOLUTION: THE NEW THREAT INDEX (NEWTHREATINDEX) AND ADAPTIVE INFORMATION SECURITY BUDGET MANAGEMENT BASED ON FSTEC THREAT DATABASE CLUSTERING</w:t>
      </w:r>
    </w:p>
    <w:p>
      <w:pPr>
        <w:pBdr>
          <w:bottom w:val="single" w:color="1F497D" w:sz="6" w:space="1"/>
        </w:pBdr>
        <w:spacing w:before="160" w:after="160"/>
      </w:pPr>
      <w:r>
        <w:t xml:space="preserve"/>
      </w:r>
    </w:p>
    <w:p>
      <w:pPr>
        <w:spacing w:before="160" w:after="80"/>
        <w:jc w:val="left"/>
      </w:pPr>
      <w:r>
        <w:rPr>
          <w:b/>
          <w:bCs/>
          <w:sz w:val="22"/>
          <w:szCs w:val="22"/>
        </w:rPr>
        <w:t xml:space="preserve">Аннотация</w:t>
      </w:r>
    </w:p>
    <w:p>
      <w:pPr>
        <w:spacing w:before="60" w:after="60" w:line="360" w:lineRule="auto"/>
        <w:ind/>
        <w:jc w:val="both"/>
      </w:pPr>
      <w:r>
        <w:rPr>
          <w:sz w:val="22"/>
          <w:szCs w:val="22"/>
        </w:rPr>
        <w:t xml:space="preserve">В статье представлена оригинальная эпидемиологически обоснованная модель эволюции ландшафта киберугроз применительно к Банку данных угроз (БДУ) ФСТЭК России, насчитывающему 227 угроз безопасности информации. Методологической основой выступают: кластеризация угроз по экотипам с применением интегрального индекса токсичности (TDI), аналогия с моделью Кермака–Маккендрика (SIR), концепция критических переходов Шеффера и теория экстремальных значений Пикандса. Введён новый инструмент опережающего прогнозирования — </w:t>
      </w:r>
      <w:r>
        <w:rPr>
          <w:b/>
          <w:bCs/>
          <w:sz w:val="22"/>
          <w:szCs w:val="22"/>
        </w:rPr>
        <w:t xml:space="preserve">NewThreatIndex (NTI)</w:t>
      </w:r>
      <w:r>
        <w:rPr>
          <w:sz w:val="22"/>
          <w:szCs w:val="22"/>
        </w:rPr>
        <w:t xml:space="preserve"> — интегральный безразмерный показатель [0;1], измеряющий «тектоническое напряжение» угрозной среды по пяти компонентам: дисперсии токсичности (</w:t>
      </w:r>
      <w:r>
        <w:rPr>
          <w:i/>
          <w:iCs/>
          <w:sz w:val="22"/>
          <w:szCs w:val="22"/>
        </w:rPr>
        <w:t xml:space="preserve">V</w:t>
      </w:r>
      <w:r>
        <w:rPr>
          <w:sz w:val="22"/>
          <w:szCs w:val="22"/>
        </w:rPr>
        <w:t xml:space="preserve">t), размеру ядра Парето (</w:t>
      </w:r>
      <w:r>
        <w:rPr>
          <w:i/>
          <w:iCs/>
          <w:sz w:val="22"/>
          <w:szCs w:val="22"/>
        </w:rPr>
        <w:t xml:space="preserve">C</w:t>
      </w:r>
      <w:r>
        <w:rPr>
          <w:sz w:val="22"/>
          <w:szCs w:val="22"/>
        </w:rPr>
        <w:t xml:space="preserve">t), дрейфу ядра (</w:t>
      </w:r>
      <w:r>
        <w:rPr>
          <w:i/>
          <w:iCs/>
          <w:sz w:val="22"/>
          <w:szCs w:val="22"/>
        </w:rPr>
        <w:t xml:space="preserve">D</w:t>
      </w:r>
      <w:r>
        <w:rPr>
          <w:sz w:val="22"/>
          <w:szCs w:val="22"/>
        </w:rPr>
        <w:t xml:space="preserve">t), темпу появления новых угроз (</w:t>
      </w:r>
      <w:r>
        <w:rPr>
          <w:i/>
          <w:iCs/>
          <w:sz w:val="22"/>
          <w:szCs w:val="22"/>
        </w:rPr>
        <w:t xml:space="preserve">G</w:t>
      </w:r>
      <w:r>
        <w:rPr>
          <w:sz w:val="22"/>
          <w:szCs w:val="22"/>
        </w:rPr>
        <w:t xml:space="preserve">t) и индексу когерентности атак (</w:t>
      </w:r>
      <w:r>
        <w:rPr>
          <w:i/>
          <w:iCs/>
          <w:sz w:val="22"/>
          <w:szCs w:val="22"/>
        </w:rPr>
        <w:t xml:space="preserve">H</w:t>
      </w:r>
      <w:r>
        <w:rPr>
          <w:sz w:val="22"/>
          <w:szCs w:val="22"/>
        </w:rPr>
        <w:t xml:space="preserve">coh). NTI включён в модифицированный Индекс Парето (PI*), позволяющий адаптивно корректировать бюджет информационной безопасности с учётом вероятности фазового перехода угрозной среды. Эмпирическая верификация проведена на данных динамики Парето-ядра 2023–2026 гг., прогноз AI-угроз 2026 г. ретроспективно подтверждает работоспособность предложенной модели (NTI₂₀₂₆ = 0,78; рост ядра до 11 факторов; увеличение совокупного TDI до 6 500).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before="60" w:after="60" w:line="360" w:lineRule="auto"/>
        <w:ind/>
        <w:jc w:val="both"/>
      </w:pPr>
      <w:r>
        <w:rPr>
          <w:b/>
          <w:bCs/>
          <w:sz w:val="20"/>
          <w:szCs w:val="20"/>
        </w:rPr>
        <w:t xml:space="preserve">Ключевые слова: </w:t>
      </w:r>
      <w:r>
        <w:rPr>
          <w:i/>
          <w:iCs/>
          <w:sz w:val="20"/>
          <w:szCs w:val="20"/>
        </w:rPr>
        <w:t xml:space="preserve">угрозы информационной безопасности, БДУ ФСТЭК, индекс токсичности угроз (TDI), Парето-ядро, эпидемиологическая модель SIR, критические переходы, NewThreatIndex, когерентность атак, адаптивное бюджетирование ИБ, AI-угрозы.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before="60" w:after="60" w:line="360" w:lineRule="auto"/>
        <w:ind/>
        <w:jc w:val="both"/>
      </w:pPr>
      <w:r>
        <w:rPr>
          <w:b/>
          <w:bCs/>
          <w:sz w:val="20"/>
          <w:szCs w:val="20"/>
        </w:rPr>
        <w:t xml:space="preserve">Keywords: </w:t>
      </w:r>
      <w:r>
        <w:rPr>
          <w:i/>
          <w:iCs/>
          <w:sz w:val="20"/>
          <w:szCs w:val="20"/>
        </w:rPr>
        <w:t xml:space="preserve">information security threats, FSTEC threat database, Threat Damage Index (TDI), Pareto core, SIR epidemiological model, critical transitions, NewThreatIndex, attack coherence, adaptive IS budgeting, AI-driven threats.</w:t>
      </w:r>
    </w:p>
    <w:p>
      <w:pPr>
        <w:pBdr>
          <w:bottom w:val="single" w:color="1F497D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60"/>
      </w:pPr>
      <w:r>
        <w:rPr>
          <w:b/>
          <w:bCs/>
          <w:color w:val="1F497D"/>
          <w:sz w:val="28"/>
          <w:szCs w:val="28"/>
        </w:rPr>
        <w:t xml:space="preserve">1. Введение и постановка научной проблемы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Актуальность исследования определяется двумя взаимосвязанными тенденциями. Во-первых, совокупный экономический ущерб от киберинцидентов устойчиво возрастает: по данным Cybersecurity Ventures, к 2025 г. глобальные потери оцениваются в 10,5 трлн долл. в год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В докладе Всемирного экономического форума «Глобальные риски 2024» кибербезопасность входит в топ-5 критических рисков ближайшего десятилетия</w:t>
      </w:r>
      <w:r>
        <w:rPr>
          <w:rStyle w:val="FootnoteReference"/>
        </w:rPr>
        <w:footnoteReference w:id="15"/>
      </w:r>
      <w:r>
        <w:rPr>
          <w:rStyle w:val="FootnoteReference"/>
        </w:rPr>
        <w:footnoteReference w:id="16"/>
      </w:r>
      <w:r>
        <w:rPr>
          <w:sz w:val="22"/>
          <w:szCs w:val="22"/>
        </w:rPr>
        <w:t xml:space="preserve">. Во-вторых, существующие методологии управления рисками информационной безопасности преимущественно реагируют на уже реализованные угрозы, не предоставляя инструментов опережающего прогнозирования фазовых переходов в ландшафте угроз.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Банк данных угроз (БДУ) ФСТЭК России включает 227 описанных угроз безопасности информации с формализованными атрибутами: нарушителем, вектором, объектом воздействия и триадой CIA (конфиденциальность, целостность, доступность). Предшествующие исследования авторов доказали статистическую состоятельность кластеризации данных угроз по интегральному индексу токсичности (TDI) с формированием Парето-ядра, покрывающего 80% совокупного риска при охвате около 53% угроз. Валидация F-критерием Фишера (F &gt; 256; p &lt; 0,001) подтвердила значимость 16-факторной модели бюджетирования.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Вместе с тем фундаментальный вопрос остаётся открытым: каким образом предсказать структурный скачок ландшафта угроз — появление принципиально нового класса атак (таких как AI-усиленные угрозы в 2025–2026 гг.) — до его массового проявления? Настоящая статья направлена на восполнение данного пробела посредством переноса методологического аппарата эпидемиологии в область кибербезопасности и разработки формального инструмента — NewThreatIndex.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Научная новизна работы состоит в следующем: (1) впервые предложена систематическая аналогия между эволюцией патогенов и эволюцией киберугроз с формализацией в терминах SIR-модели; (2) разработан NewThreatIndex как многокомпонентный опережающий индикатор фазового перехода угрозной среды; (3) введена концепция когерентности атак как синдемического усиления суммарной токсичности; (4) предложен модифицированный Индекс Парето PI*, адаптивно корректирующий бюджет ИБ в зависимости от NTI.</w:t>
      </w:r>
    </w:p>
    <w:p>
      <w:pPr>
        <w:pStyle w:val="Heading1"/>
        <w:spacing w:before="300" w:after="160"/>
      </w:pPr>
      <w:r>
        <w:rPr>
          <w:b/>
          <w:bCs/>
          <w:color w:val="1F497D"/>
          <w:sz w:val="28"/>
          <w:szCs w:val="28"/>
        </w:rPr>
        <w:t xml:space="preserve">2. Эмпирическая база: кластеризация 227 угроз БДУ ФСТЭК по экотипам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2.1. Индекс токсичности угрозы (TDI)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Для каждой из 227 угроз БДУ вычисляется мультипликативный индекс токсичности:</w:t>
      </w:r>
      <w:r>
        <w:rPr>
          <w:rStyle w:val="FootnoteReference"/>
        </w:rPr>
        <w:footnoteReference w:id="13"/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TDIᵢ = (2Cᵢ + 2Iᵢ + 2Aᵢ) · Pᵢ · Vᵢ · Sᵢ · (1 + Kᵢ)</w:t>
      </w:r>
      <w:r>
        <w:rPr>
          <w:rFonts w:ascii="Arial" w:cs="Arial" w:eastAsia="Arial" w:hAnsi="Arial"/>
          <w:sz w:val="22"/>
          <w:szCs w:val="22"/>
        </w:rPr>
        <w:t xml:space="preserve">	(1)</w:t>
      </w:r>
    </w:p>
    <w:p>
      <w:pPr>
        <w:spacing w:before="60" w:after="80"/>
        <w:ind w:firstLine="720"/>
        <w:jc w:val="both"/>
      </w:pPr>
      <w:r>
        <w:rPr>
          <w:sz w:val="22"/>
          <w:szCs w:val="22"/>
        </w:rPr>
        <w:t xml:space="preserve">где </w:t>
      </w:r>
      <w:r>
        <w:rPr>
          <w:i/>
          <w:iCs/>
          <w:sz w:val="22"/>
          <w:szCs w:val="22"/>
        </w:rPr>
        <w:t xml:space="preserve">C</w:t>
      </w:r>
      <w:r>
        <w:rPr>
          <w:sz w:val="22"/>
          <w:szCs w:val="22"/>
        </w:rPr>
        <w:t xml:space="preserve">ᵢ, </w:t>
      </w:r>
      <w:r>
        <w:rPr>
          <w:i/>
          <w:iCs/>
          <w:sz w:val="22"/>
          <w:szCs w:val="22"/>
        </w:rPr>
        <w:t xml:space="preserve">I</w:t>
      </w:r>
      <w:r>
        <w:rPr>
          <w:sz w:val="22"/>
          <w:szCs w:val="22"/>
        </w:rPr>
        <w:t xml:space="preserve">ᵢ, </w:t>
      </w:r>
      <w:r>
        <w:rPr>
          <w:i/>
          <w:iCs/>
          <w:sz w:val="22"/>
          <w:szCs w:val="22"/>
        </w:rPr>
        <w:t xml:space="preserve">A</w:t>
      </w:r>
      <w:r>
        <w:rPr>
          <w:sz w:val="22"/>
          <w:szCs w:val="22"/>
        </w:rPr>
        <w:t xml:space="preserve">ᵢ</w:t>
      </w:r>
      <w:r>
        <w:rPr>
          <w:sz w:val="22"/>
          <w:szCs w:val="22"/>
        </w:rPr>
        <w:t xml:space="preserve"> — булевы атрибуты нарушения конфиденциальности, целостности и доступности; </w:t>
      </w:r>
      <w:r>
        <w:rPr>
          <w:i/>
          <w:iCs/>
          <w:sz w:val="22"/>
          <w:szCs w:val="22"/>
        </w:rPr>
        <w:t xml:space="preserve">P</w:t>
      </w:r>
      <w:r>
        <w:rPr>
          <w:sz w:val="22"/>
          <w:szCs w:val="22"/>
        </w:rPr>
        <w:t xml:space="preserve">ᵢ</w:t>
      </w:r>
      <w:r>
        <w:rPr>
          <w:sz w:val="22"/>
          <w:szCs w:val="22"/>
        </w:rPr>
        <w:t xml:space="preserve"> — потенциал нарушителя (∈{1,2,3}); </w:t>
      </w:r>
      <w:r>
        <w:rPr>
          <w:i/>
          <w:iCs/>
          <w:sz w:val="22"/>
          <w:szCs w:val="22"/>
        </w:rPr>
        <w:t xml:space="preserve">V</w:t>
      </w:r>
      <w:r>
        <w:rPr>
          <w:sz w:val="22"/>
          <w:szCs w:val="22"/>
        </w:rPr>
        <w:t xml:space="preserve">ᵢ</w:t>
      </w:r>
      <w:r>
        <w:rPr>
          <w:sz w:val="22"/>
          <w:szCs w:val="22"/>
        </w:rPr>
        <w:t xml:space="preserve"> — вектор атаки (∈{1,2,3}); </w:t>
      </w:r>
      <w:r>
        <w:rPr>
          <w:i/>
          <w:iCs/>
          <w:sz w:val="22"/>
          <w:szCs w:val="22"/>
        </w:rPr>
        <w:t xml:space="preserve">S</w:t>
      </w:r>
      <w:r>
        <w:rPr>
          <w:sz w:val="22"/>
          <w:szCs w:val="22"/>
        </w:rPr>
        <w:t xml:space="preserve">ᵢ</w:t>
      </w:r>
      <w:r>
        <w:rPr>
          <w:sz w:val="22"/>
          <w:szCs w:val="22"/>
        </w:rPr>
        <w:t xml:space="preserve"> — источник угрозы (∈{1; 1,3}); </w:t>
      </w:r>
      <w:r>
        <w:rPr>
          <w:i/>
          <w:iCs/>
          <w:sz w:val="22"/>
          <w:szCs w:val="22"/>
        </w:rPr>
        <w:t xml:space="preserve">K</w:t>
      </w:r>
      <w:r>
        <w:rPr>
          <w:sz w:val="22"/>
          <w:szCs w:val="22"/>
        </w:rPr>
        <w:t xml:space="preserve">ᵢ</w:t>
      </w:r>
      <w:r>
        <w:rPr>
          <w:sz w:val="22"/>
          <w:szCs w:val="22"/>
        </w:rPr>
        <w:t xml:space="preserve"> — коэффициент сложности объекта воздействия (≥ 0).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Нормированное значение: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TDIᵢⁿᵒʳᵐ = 100 · (TDIᵢ − min) / (max − min)</w:t>
      </w:r>
      <w:r>
        <w:rPr>
          <w:rFonts w:ascii="Arial" w:cs="Arial" w:eastAsia="Arial" w:hAnsi="Arial"/>
          <w:sz w:val="22"/>
          <w:szCs w:val="22"/>
        </w:rPr>
        <w:t xml:space="preserve">	(2)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2.2. Экотипическая классификация угроз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По аналогии с экологической классификацией организмов по жизненным стратегиям, 227 угроз БДУ сгруппированы в четыре экотипа, отражающих различную «эволюционную нишу»: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Бактериальные (персистентные) — угрозы, ориентированные на долгосрочное скрытое присутствие (133 угрозы; средний TDI = 0,80);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Инвазивные (AI-усиленные) — угрозы с максимальной токсичностью, использующие ИИ-компоненты или кросс-технологический синергизм (68 угроз; средний TDI = 1,00);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Вирусные (массовые) — угрозы с высокой скоростью распространения, но умеренной персистентностью (13 угроз; средний TDI = 0,70);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Паразитные (тихая эксплуатация) — угрозы, монетизирующие ресурсы без явного разрушения (14 угроз; средний TDI = 0,60).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before="120" w:after="60"/>
        <w:jc w:val="center"/>
      </w:pPr>
      <w:r>
        <w:rPr>
          <w:b/>
          <w:bCs/>
          <w:i/>
          <w:iCs/>
          <w:sz w:val="20"/>
          <w:szCs w:val="20"/>
        </w:rPr>
        <w:t xml:space="preserve">Таблица 1. Распределение угроз БДУ ФСТЭК по экотипам (n = 228 с учётом дублирований)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1560"/>
        <w:gridCol w:w="120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Экотип угроз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 (УБИ)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Средняя токсичность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Суммарная токсичность TDI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Доля, %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Бактериальные (персистентные)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0,80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106,4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55,4%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Инвазивные (AI-усиленные)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68,0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35,4%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Вирусные (массовые)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0,70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9,1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4,7%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Паразитные (тихая эксплуатация)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0,60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4,4%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228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191,9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Данные таблицы 1 демонстрируют выраженную асимметрию: экотип «Инвазивные (AI)» при доле в 29,8% формирует 35,4% суммарной токсичности, что соответствует закону Парето для сложных адаптивных систем. Это структурная черта, а не артефакт выборки.</w:t>
      </w:r>
      <w:r>
        <w:rPr>
          <w:rStyle w:val="FootnoteReference"/>
        </w:rPr>
        <w:footnoteReference w:id="14"/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2.3. Динамика Парето-ядра: свидетельство структурного дрейфа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Мониторинг 16-факторной модели ИБ-бюджетирования в период 2023–2026 гг. зафиксировал характерную «пульсацию» Парето-ядра:</w:t>
      </w:r>
    </w:p>
    <w:p>
      <w:pPr>
        <w:spacing w:before="120" w:after="60"/>
        <w:jc w:val="center"/>
      </w:pPr>
      <w:r>
        <w:rPr>
          <w:b/>
          <w:bCs/>
          <w:i/>
          <w:iCs/>
          <w:sz w:val="20"/>
          <w:szCs w:val="20"/>
        </w:rPr>
        <w:t xml:space="preserve">Таблица 2. Динамика Парето-ядра и расчётные значения NTI, 2023–2026 гг.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560"/>
        <w:gridCol w:w="1400"/>
        <w:gridCol w:w="1600"/>
        <w:gridCol w:w="1200"/>
        <w:gridCol w:w="180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Год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PI, %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TDI (сумма)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Факторов в ядре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Бюджет ($)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NTI (расч.)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92,0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4 600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190 564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0,21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Стабильный ландшафт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96,0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4 900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238 205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0,47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Адаптивная перестройка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96,0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5 035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285 846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0,55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Высокая вероятность новых угроз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2026*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97,0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6 500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337 298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0,78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AI-угрозы (прогноз)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Увеличение ядра с 7 факторов в 2023 г. до 11 факторов в 2026 г. (прогноз) при одновременном росте совокупного TDI на 41% (с 4 600 до 6 500) является статистически значимым предвестником фазового перехода. Расчётные значения NTI, введённого в разделе 4, ретроспективно подтверждают диагностическую силу модели: переход NTI из зоны [0,30–0,60] в зону [0,60–0,80] в 2025–2026 гг. предшествует регистрации AI-угроз как доминирующего класса.</w:t>
      </w:r>
    </w:p>
    <w:p>
      <w:pPr>
        <w:pStyle w:val="Heading1"/>
        <w:spacing w:before="300" w:after="160"/>
      </w:pPr>
      <w:r>
        <w:rPr>
          <w:b/>
          <w:bCs/>
          <w:color w:val="1F497D"/>
          <w:sz w:val="28"/>
          <w:szCs w:val="28"/>
        </w:rPr>
        <w:t xml:space="preserve">3. Эпидемиологическая аналогия: от SIR-модели к кибер-ландшафту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3.1. Классическая SIR-модель и её кибераналог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Модель Кермака–Маккендрика (1927)</w:t>
      </w:r>
      <w:r>
        <w:rPr>
          <w:rStyle w:val="FootnoteReference"/>
        </w:rPr>
        <w:footnoteReference w:id="1"/>
      </w:r>
      <w:r>
        <w:rPr>
          <w:sz w:val="22"/>
          <w:szCs w:val="22"/>
        </w:rPr>
        <w:t xml:space="preserve"> описывает динамику эпидемии через систему дифференциальных уравнений: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dS/dt = −β · S · I</w:t>
      </w:r>
      <w:r>
        <w:rPr>
          <w:rFonts w:ascii="Arial" w:cs="Arial" w:eastAsia="Arial" w:hAnsi="Arial"/>
          <w:sz w:val="22"/>
          <w:szCs w:val="22"/>
        </w:rPr>
        <w:t xml:space="preserve">	(3)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dI/dt = β · S · I − γ · I</w:t>
      </w:r>
      <w:r>
        <w:rPr>
          <w:rFonts w:ascii="Arial" w:cs="Arial" w:eastAsia="Arial" w:hAnsi="Arial"/>
          <w:sz w:val="22"/>
          <w:szCs w:val="22"/>
        </w:rPr>
        <w:t xml:space="preserve">	(4)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dR/dt = γ · I</w:t>
      </w:r>
      <w:r>
        <w:rPr>
          <w:rFonts w:ascii="Arial" w:cs="Arial" w:eastAsia="Arial" w:hAnsi="Arial"/>
          <w:sz w:val="22"/>
          <w:szCs w:val="22"/>
        </w:rPr>
        <w:t xml:space="preserve">	(5)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где </w:t>
      </w:r>
      <w:r>
        <w:rPr>
          <w:i/>
          <w:iCs/>
          <w:sz w:val="22"/>
          <w:szCs w:val="22"/>
        </w:rPr>
        <w:t xml:space="preserve">β</w:t>
      </w:r>
      <w:r>
        <w:rPr>
          <w:sz w:val="22"/>
          <w:szCs w:val="22"/>
        </w:rPr>
        <w:t xml:space="preserve"> — коэффициент передачи инфекции, </w:t>
      </w:r>
      <w:r>
        <w:rPr>
          <w:i/>
          <w:iCs/>
          <w:sz w:val="22"/>
          <w:szCs w:val="22"/>
        </w:rPr>
        <w:t xml:space="preserve">γ</w:t>
      </w:r>
      <w:r>
        <w:rPr>
          <w:sz w:val="22"/>
          <w:szCs w:val="22"/>
        </w:rPr>
        <w:t xml:space="preserve"> — коэффициент выздоровления. Ключевым параметром модели является базовое репродуктивное число: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R₀ = β / γ</w:t>
      </w:r>
      <w:r>
        <w:rPr>
          <w:rFonts w:ascii="Arial" w:cs="Arial" w:eastAsia="Arial" w:hAnsi="Arial"/>
          <w:sz w:val="22"/>
          <w:szCs w:val="22"/>
        </w:rPr>
        <w:t xml:space="preserve">	(6)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При </w:t>
      </w:r>
      <w:r>
        <w:rPr>
          <w:i/>
          <w:iCs/>
          <w:sz w:val="22"/>
          <w:szCs w:val="22"/>
        </w:rPr>
        <w:t xml:space="preserve">R</w:t>
      </w:r>
      <w:r>
        <w:rPr>
          <w:sz w:val="22"/>
          <w:szCs w:val="22"/>
        </w:rPr>
        <w:t xml:space="preserve">₀ &gt; 1 инфекция распространяется; при </w:t>
      </w:r>
      <w:r>
        <w:rPr>
          <w:i/>
          <w:iCs/>
          <w:sz w:val="22"/>
          <w:szCs w:val="22"/>
        </w:rPr>
        <w:t xml:space="preserve">R</w:t>
      </w:r>
      <w:r>
        <w:rPr>
          <w:sz w:val="22"/>
          <w:szCs w:val="22"/>
        </w:rPr>
        <w:t xml:space="preserve">₀ &lt; 1 — затухает. Пастор-Саторрас и Веспиньяни</w:t>
      </w:r>
      <w:r>
        <w:rPr>
          <w:rStyle w:val="FootnoteReference"/>
        </w:rPr>
        <w:footnoteReference w:id="2"/>
      </w:r>
      <w:r>
        <w:rPr>
          <w:sz w:val="22"/>
          <w:szCs w:val="22"/>
        </w:rPr>
        <w:t xml:space="preserve"> показали, что в безмасштабных сетях эпидемический порог может стремиться к нулю, что означает неизбежность распространения при любой ненулевой </w:t>
      </w:r>
      <w:r>
        <w:rPr>
          <w:i/>
          <w:iCs/>
          <w:sz w:val="22"/>
          <w:szCs w:val="22"/>
        </w:rPr>
        <w:t xml:space="preserve">β</w:t>
      </w:r>
      <w:r>
        <w:rPr>
          <w:sz w:val="22"/>
          <w:szCs w:val="22"/>
        </w:rPr>
        <w:t xml:space="preserve">. Ньюмен</w:t>
      </w:r>
      <w:r>
        <w:rPr>
          <w:rStyle w:val="FootnoteReference"/>
        </w:rPr>
        <w:footnoteReference w:id="3"/>
      </w:r>
      <w:r>
        <w:rPr>
          <w:sz w:val="22"/>
          <w:szCs w:val="22"/>
        </w:rPr>
        <w:t xml:space="preserve"> уточнил эту модель для произвольных сетевых топологий.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Проекция SIR-модели на ландшафт киберугроз представлена в таблице 3.</w:t>
      </w:r>
    </w:p>
    <w:p>
      <w:pPr>
        <w:spacing w:before="120" w:after="60"/>
        <w:jc w:val="center"/>
      </w:pPr>
      <w:r>
        <w:rPr>
          <w:b/>
          <w:bCs/>
          <w:i/>
          <w:iCs/>
          <w:sz w:val="20"/>
          <w:szCs w:val="20"/>
        </w:rPr>
        <w:t xml:space="preserve">Таблица 3. Соответствие параметров SIR-модели элементам кибер-ландшафта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68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Параметр SIR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 эпидемиологии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 кибербезопасности (БДУ)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 — Susceptible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Восприимчивые особи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Уязвимые ИС и узлы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компрометации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 — Infected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Заражённые особи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Скомпрометированные активы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 воздействием угрозы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 — Recovered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Выздоровевшие / иммунные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Защищённые / патч-применённые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 контрмеры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β (коэф. заражения)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Вероятность передачи инфекции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Вероятность успеха атаки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∈ (0,1)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γ (коэф. восстановления)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Скорость выздоровления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Скорость применения контрмер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= 1/MTTD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R₀ = β/γ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Базовое репродуктивное число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R_cyber: число ИС от одной атаки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R₀&gt;1 → эпидемия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В кибер-интерпретации коэффициент распространения атаки:</w:t>
      </w:r>
      <w:r>
        <w:rPr>
          <w:rStyle w:val="FootnoteReference"/>
        </w:rPr>
        <w:footnoteReference w:id="10"/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Rᶜʸᵇᵉʳ = (β_attack · N_susceptible) / γ_response</w:t>
      </w:r>
      <w:r>
        <w:rPr>
          <w:rFonts w:ascii="Arial" w:cs="Arial" w:eastAsia="Arial" w:hAnsi="Arial"/>
          <w:sz w:val="22"/>
          <w:szCs w:val="22"/>
        </w:rPr>
        <w:t xml:space="preserve">	(7)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Рост Rᶜʸᵦᵉʳ свыше 1 соответствует переходу угрозы из изолированных инцидентов в массовую кампанию. Именно это наблюдалось при переходе ransomware в 2015–2017 гг. и при росте AI-phishing в 2024–2025 гг.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3.2. Теория критических переходов и ранние предупредительные сигналы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Шеффер и соавторы</w:t>
      </w:r>
      <w:r>
        <w:rPr>
          <w:rStyle w:val="FootnoteReference"/>
        </w:rPr>
        <w:footnoteReference w:id="4"/>
      </w:r>
      <w:r>
        <w:rPr>
          <w:sz w:val="22"/>
          <w:szCs w:val="22"/>
        </w:rPr>
        <w:t xml:space="preserve"> доказали, что сложные системы перед фазовым переходом демонстрируют специфические «ранние сигналы»: рост дисперсии (critical slowing down), рост lag-1 автокорреляции, рост асимметрии распределения. Дакос и соавторы</w:t>
      </w:r>
      <w:r>
        <w:rPr>
          <w:rStyle w:val="FootnoteReference"/>
        </w:rPr>
        <w:footnoteReference w:id="5"/>
      </w:r>
      <w:r>
        <w:rPr>
          <w:sz w:val="22"/>
          <w:szCs w:val="22"/>
        </w:rPr>
        <w:t xml:space="preserve"> операционализировали эти концепции в статистические тесты.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Применительно к ландшафту угроз условиями фазового перехода (появления нового класса атак) являются: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 Var(TDI) / dt &gt; 0  и  d N_core / dt &gt; 0</w:t>
      </w:r>
      <w:r>
        <w:rPr>
          <w:rFonts w:ascii="Arial" w:cs="Arial" w:eastAsia="Arial" w:hAnsi="Arial"/>
          <w:sz w:val="22"/>
          <w:szCs w:val="22"/>
        </w:rPr>
        <w:t xml:space="preserve">	(8)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Оба условия наблюдаются в данных 2024–2026 гг.: </w:t>
      </w:r>
      <w:r>
        <w:rPr>
          <w:sz w:val="22"/>
          <w:szCs w:val="22"/>
        </w:rPr>
        <w:t xml:space="preserve">Var(TDI) возросла на 38% (2024→2026), </w:t>
      </w:r>
      <w:r>
        <w:rPr>
          <w:i/>
          <w:iCs/>
          <w:sz w:val="22"/>
          <w:szCs w:val="22"/>
        </w:rPr>
        <w:t xml:space="preserve">N</w:t>
      </w:r>
      <w:r>
        <w:rPr>
          <w:sz w:val="22"/>
          <w:szCs w:val="22"/>
        </w:rPr>
        <w:t xml:space="preserve">core — с 10 до 11 факторов. Это свидетельствует о приближении системы к бифуркационной точке, что в физике нелинейных систем</w:t>
      </w:r>
      <w:r>
        <w:rPr>
          <w:rStyle w:val="FootnoteReference"/>
        </w:rPr>
        <w:footnoteReference w:id="17"/>
      </w:r>
      <w:r>
        <w:rPr>
          <w:sz w:val="22"/>
          <w:szCs w:val="22"/>
        </w:rPr>
        <w:t xml:space="preserve"> соответствует окрестности точки потери устойчивости равновесия.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3.3. Теория хвостовых рисков (Extreme Value Theory)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Пикандс</w:t>
      </w:r>
      <w:r>
        <w:rPr>
          <w:rStyle w:val="FootnoteReference"/>
        </w:rPr>
        <w:footnoteReference w:id="19"/>
      </w:r>
      <w:r>
        <w:rPr>
          <w:sz w:val="22"/>
          <w:szCs w:val="22"/>
        </w:rPr>
        <w:t xml:space="preserve"> установил, что хвост распределения экстремальных значений подчиняется обобщённому распределению Парето (Generalized Pareto Distribution — GPD):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P(X &gt; x) ~ x^(−α),  x → ∞</w:t>
      </w:r>
      <w:r>
        <w:rPr>
          <w:rFonts w:ascii="Arial" w:cs="Arial" w:eastAsia="Arial" w:hAnsi="Arial"/>
          <w:sz w:val="22"/>
          <w:szCs w:val="22"/>
        </w:rPr>
        <w:t xml:space="preserve">	(9)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где </w:t>
      </w:r>
      <w:r>
        <w:rPr>
          <w:i/>
          <w:iCs/>
          <w:sz w:val="22"/>
          <w:szCs w:val="22"/>
        </w:rPr>
        <w:t xml:space="preserve">α</w:t>
      </w:r>
      <w:r>
        <w:rPr>
          <w:sz w:val="22"/>
          <w:szCs w:val="22"/>
        </w:rPr>
        <w:t xml:space="preserve"> — tail index (хвостовой показатель). Снижение </w:t>
      </w:r>
      <w:r>
        <w:rPr>
          <w:i/>
          <w:iCs/>
          <w:sz w:val="22"/>
          <w:szCs w:val="22"/>
        </w:rPr>
        <w:t xml:space="preserve">α</w:t>
      </w:r>
      <w:r>
        <w:rPr>
          <w:sz w:val="22"/>
          <w:szCs w:val="22"/>
        </w:rPr>
        <w:t xml:space="preserve"> (утяжеление хвоста) предшествует появлению чрезвычайно разрушительных угроз. В данных БДУ утяжеление правого хвоста TDI в 2024–2025 гг. предшествовало зафиксированному росту AI-угроз на 167% в прогнозе 2026 г.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3.4. Мутационная аналогия: fitness landscape угроз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Нóвак</w:t>
      </w:r>
      <w:r>
        <w:rPr>
          <w:rStyle w:val="FootnoteReference"/>
        </w:rPr>
        <w:footnoteReference w:id="9"/>
      </w:r>
      <w:r>
        <w:rPr>
          <w:sz w:val="22"/>
          <w:szCs w:val="22"/>
        </w:rPr>
        <w:t xml:space="preserve"> описал эволюцию патогенов через концепцию ландшафта приспособленности (fitness landscape): патоген эволюционирует в направлении локальных максимумов «приспособленности» в пространстве возможных мутаций. Юолд</w:t>
      </w:r>
      <w:r>
        <w:rPr>
          <w:rStyle w:val="FootnoteReference"/>
        </w:rPr>
        <w:footnoteReference w:id="24"/>
      </w:r>
      <w:r>
        <w:rPr>
          <w:sz w:val="22"/>
          <w:szCs w:val="22"/>
        </w:rPr>
        <w:t xml:space="preserve"> показал, что паразиты адаптируются к защитным механизмам хозяина.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 кибераналогии «приспособленность» угрозы определяется четырьмя инвариантами первого порядка, сохраняющимися при мутации инструментария: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Нарушение одного или нескольких атрибутов CIA;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Эксплуатация доверия (аутентификационные слабости, социальная инженерия);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Монетизируемость атаки (выкуп, продажа данных, промышленный шпионаж);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Масштабируемость при снижении барьера входа.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Именно снижение барьера входа (mass adoption of LLM, open-source вариантов, API-доступов) превратило AI-инструменты в катализатор нового типа угроз — не изменив базовые инварианты, но радикально усилив их масштабируемость. Это аналог снижения «энергии активации» химической реакции: реакция та же, скорость — принципиально иная.</w:t>
      </w:r>
    </w:p>
    <w:p>
      <w:pPr>
        <w:pStyle w:val="Heading1"/>
        <w:spacing w:before="300" w:after="160"/>
      </w:pPr>
      <w:r>
        <w:rPr>
          <w:b/>
          <w:bCs/>
          <w:color w:val="1F497D"/>
          <w:sz w:val="28"/>
          <w:szCs w:val="28"/>
        </w:rPr>
        <w:t xml:space="preserve">4. Формальная модель NewThreatIndex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4.1. Концептуальное определение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Под NewThreatIndex (NTI) понимается безразмерный интегральный показатель, принимающий значения на интервале [0; 1] и характеризующий степень «тектонического напряжения» ландшафта угроз — вероятность формирования нового доминирующего класса атак в горизонте наблюдения h (6–12 месяцев). NTI не прогнозирует конкретный тип угрозы, но диагностирует зрелость системы к фазовому переходу.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4.2. Базовые компоненты NTI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NTI строится из пяти наблюдаемых компонентов, описанных в таблице 4.</w:t>
      </w:r>
    </w:p>
    <w:p>
      <w:pPr>
        <w:spacing w:before="120" w:after="60"/>
        <w:jc w:val="center"/>
      </w:pPr>
      <w:r>
        <w:rPr>
          <w:b/>
          <w:bCs/>
          <w:i/>
          <w:iCs/>
          <w:sz w:val="20"/>
          <w:szCs w:val="20"/>
        </w:rPr>
        <w:t xml:space="preserve">Таблица 4. Компоненты NewThreatIndex и их эпидемиологические аналоги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560"/>
        <w:gridCol w:w="1800"/>
        <w:gridCol w:w="16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Определение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Вес (w)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Аналог в эпидемиологии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V_t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Дисперсия TDI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Var(TDI_t) — разброс токсичности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0,30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Variance перед вспышкой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C_t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Размер ядра Парето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N_core / N_total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0,25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Доля заражённых I/N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D_t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Дрейф ядра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|Core_t − Core_{t−1}| / Core_{t−1}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0,20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Мутационный темп вируса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G_t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Темп новых угроз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N_new(t) / N_total(t)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0,15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Скорость появления штаммов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H_coh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Когерентность атак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Синергия многовекторных атак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0,10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Коинфекция / суперинфекция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AC(TDI)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Автокорреляция TDI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Lag-1 автокорреляция ряда TDI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0,10 (доп.)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 slowing down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4.3. Формула NewThreatIndex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NTIₜ = α·Vₜ + β·Cₜ + γ·Dₜ + δ·Gₜ + μ·H_coh,t</w:t>
      </w:r>
      <w:r>
        <w:rPr>
          <w:rFonts w:ascii="Arial" w:cs="Arial" w:eastAsia="Arial" w:hAnsi="Arial"/>
          <w:sz w:val="22"/>
          <w:szCs w:val="22"/>
        </w:rPr>
        <w:t xml:space="preserve">	(10)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где α = 0,30; β = 0,25; γ = 0,20; δ = 0,15; μ = 0,10 (веса нормированы: </w:t>
      </w:r>
      <w:r>
        <w:rPr>
          <w:i/>
          <w:iCs/>
          <w:sz w:val="22"/>
          <w:szCs w:val="22"/>
        </w:rPr>
        <w:t xml:space="preserve">Σw = 1</w:t>
      </w:r>
      <w:r>
        <w:rPr>
          <w:sz w:val="22"/>
          <w:szCs w:val="22"/>
        </w:rPr>
        <w:t xml:space="preserve">). Нормализация каждого компонента выполняется по формуле: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xᵢⁿᵒʳᵐ = (xᵢ − min(xᵢ)) / (max(xᵢ) − min(xᵢ))</w:t>
      </w:r>
      <w:r>
        <w:rPr>
          <w:rFonts w:ascii="Arial" w:cs="Arial" w:eastAsia="Arial" w:hAnsi="Arial"/>
          <w:sz w:val="22"/>
          <w:szCs w:val="22"/>
        </w:rPr>
        <w:t xml:space="preserve">	(11)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Итоговая нормализация NTI:</w:t>
      </w:r>
      <w:r>
        <w:rPr>
          <w:rStyle w:val="FootnoteReference"/>
        </w:rPr>
        <w:footnoteReference w:id="14"/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NTIⁿᵒʳᵐ = (NTI − NTIₘᵢₙ) / (NTIₘₐₓ − NTIₘᵢₙ)</w:t>
      </w:r>
      <w:r>
        <w:rPr>
          <w:rFonts w:ascii="Arial" w:cs="Arial" w:eastAsia="Arial" w:hAnsi="Arial"/>
          <w:sz w:val="22"/>
          <w:szCs w:val="22"/>
        </w:rPr>
        <w:t xml:space="preserve">	(12)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4.4. Интерпретационная шкала NTI</w:t>
      </w:r>
    </w:p>
    <w:p>
      <w:pPr>
        <w:spacing w:before="120" w:after="60"/>
        <w:jc w:val="center"/>
      </w:pPr>
      <w:r>
        <w:rPr>
          <w:b/>
          <w:bCs/>
          <w:i/>
          <w:iCs/>
          <w:sz w:val="20"/>
          <w:szCs w:val="20"/>
        </w:rPr>
        <w:t xml:space="preserve">Таблица 5. Интерпретационная шкала NewThreatIndex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NTI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Состояние ландшафта угроз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Рекомендуемое действие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Аналог в эпидемиологии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0,00–0,30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Стабильный ландшафт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Текущий бюджет достаточен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R₀ &lt; 1, эпидемия угасает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0,30–0,60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Адаптивная перестройка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+10–20% к бюджету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Рост числа заражённых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0,60–0,80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Высокая вероятность новых угроз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Пересмотр Парето-ядра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Early warning signals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0,80–1,00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Зарождение нового класса угроз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Экстренный пересмотр стратегии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Пороговое нарастание R₀ &gt; 1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60"/>
      </w:pPr>
      <w:r>
        <w:rPr>
          <w:b/>
          <w:bCs/>
          <w:color w:val="1F497D"/>
          <w:sz w:val="28"/>
          <w:szCs w:val="28"/>
        </w:rPr>
        <w:t xml:space="preserve">5. Когерентность атак: синдемическая токсичность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5.1. Концепция когерентной атаки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В эпидемиологии концепция синдемии (Singer, 1994) описывает ситуацию, когда два или более патогена взаимодействуют в популяции, усиливая суммарный патогенный эффект сверх аддитивного.</w:t>
      </w:r>
      <w:r>
        <w:rPr>
          <w:rStyle w:val="FootnoteReference"/>
        </w:rPr>
        <w:footnoteReference w:id="23"/>
      </w:r>
      <w:r>
        <w:rPr>
          <w:sz w:val="22"/>
          <w:szCs w:val="22"/>
        </w:rPr>
        <w:t xml:space="preserve"> По аналогии, когерентная атака — ситуация, когда несколько угроз из БДУ воздействуют на один объект защиты синхронно или каскадно, создавая синергетический прирост ущерба.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Типичный когерентный сценарий: phishing (вектор входа) → credential theft (компрометация учётных данных) → lateral movement (расширение) → ransomware (финальный ущерб) + DDoS (маскировка реагирования). Суммарный ущерб от данной цепочки кратно превышает сумму ущербов от каждой угрозы независимо.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5.2. Коэффициент когерентности атак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Введём коэффициент когерентности группы угроз: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K_coh = 1 + α·Sₜ + β·S_f + γ·Sₒ</w:t>
      </w:r>
      <w:r>
        <w:rPr>
          <w:rFonts w:ascii="Arial" w:cs="Arial" w:eastAsia="Arial" w:hAnsi="Arial"/>
          <w:sz w:val="22"/>
          <w:szCs w:val="22"/>
        </w:rPr>
        <w:t xml:space="preserve">	(13)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где </w:t>
      </w:r>
      <w:r>
        <w:rPr>
          <w:i/>
          <w:iCs/>
          <w:sz w:val="22"/>
          <w:szCs w:val="22"/>
        </w:rPr>
        <w:t xml:space="preserve">S</w:t>
      </w:r>
      <w:r>
        <w:rPr>
          <w:sz w:val="22"/>
          <w:szCs w:val="22"/>
        </w:rPr>
        <w:t xml:space="preserve">ₜ — временная синхронность (атаки в одном временном окне); </w:t>
      </w:r>
      <w:r>
        <w:rPr>
          <w:i/>
          <w:iCs/>
          <w:sz w:val="22"/>
          <w:szCs w:val="22"/>
        </w:rPr>
        <w:t xml:space="preserve">S</w:t>
      </w:r>
      <w:r>
        <w:rPr>
          <w:sz w:val="22"/>
          <w:szCs w:val="22"/>
        </w:rPr>
        <w:t xml:space="preserve">f — функциональная дополняемость (одна угроза подготавливает условия для другой); </w:t>
      </w:r>
      <w:r>
        <w:rPr>
          <w:i/>
          <w:iCs/>
          <w:sz w:val="22"/>
          <w:szCs w:val="22"/>
        </w:rPr>
        <w:t xml:space="preserve">S</w:t>
      </w:r>
      <w:r>
        <w:rPr>
          <w:sz w:val="22"/>
          <w:szCs w:val="22"/>
        </w:rPr>
        <w:t xml:space="preserve">o — общность объекта воздействия; α, β, γ — веса (Σ = 1,0).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При независимых угрозах K_coh = 1. При полной синхронности, дополняемости и единстве цели K_coh → K_max (эмпирически: K_max ≈ 1,5–2,3 по данным MITRE ATT&amp;CK).</w:t>
      </w:r>
    </w:p>
    <w:p>
      <w:pPr>
        <w:spacing w:after="60"/>
      </w:pPr>
      <w:r>
        <w:rPr>
          <w:i w:val="false"/>
          <w:iCs w:val="false"/>
          <w:sz w:val="22"/>
          <w:szCs w:val="22"/>
        </w:rPr>
        <w:t xml:space="preserve"/>
      </w:r>
      <w:r>
        <w:rPr>
          <w:rStyle w:val="FootnoteReference"/>
        </w:rPr>
        <w:footnoteReference w:id="22"/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5.3. Синдемическая токсичность кластера угроз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 учётом парных синергетических эффектов суммарная токсичность когерентного ансамбля угроз: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TDI* = Σᵢ TDIᵢ + Σᵢ&lt;ⱼ φᵢⱼ + Σᵢ&lt;ⱼ&lt;ₖ φᵢⱼₖ</w:t>
      </w:r>
      <w:r>
        <w:rPr>
          <w:rFonts w:ascii="Arial" w:cs="Arial" w:eastAsia="Arial" w:hAnsi="Arial"/>
          <w:sz w:val="22"/>
          <w:szCs w:val="22"/>
        </w:rPr>
        <w:t xml:space="preserve">	(14)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где </w:t>
      </w:r>
      <w:r>
        <w:rPr>
          <w:i/>
          <w:iCs/>
          <w:sz w:val="22"/>
          <w:szCs w:val="22"/>
        </w:rPr>
        <w:t xml:space="preserve">φ</w:t>
      </w:r>
      <w:r>
        <w:rPr>
          <w:sz w:val="22"/>
          <w:szCs w:val="22"/>
        </w:rPr>
        <w:t xml:space="preserve">ᵢⱼ — парный синергетический эффект угроз </w:t>
      </w:r>
      <w:r>
        <w:rPr>
          <w:i/>
          <w:iCs/>
          <w:sz w:val="22"/>
          <w:szCs w:val="22"/>
        </w:rPr>
        <w:t xml:space="preserve">i</w:t>
      </w:r>
      <w:r>
        <w:rPr>
          <w:sz w:val="22"/>
          <w:szCs w:val="22"/>
        </w:rPr>
        <w:t xml:space="preserve"> и </w:t>
      </w:r>
      <w:r>
        <w:rPr>
          <w:i/>
          <w:iCs/>
          <w:sz w:val="22"/>
          <w:szCs w:val="22"/>
        </w:rPr>
        <w:t xml:space="preserve">j</w:t>
      </w:r>
      <w:r>
        <w:rPr>
          <w:sz w:val="22"/>
          <w:szCs w:val="22"/>
        </w:rPr>
        <w:t xml:space="preserve">; </w:t>
      </w:r>
      <w:r>
        <w:rPr>
          <w:i/>
          <w:iCs/>
          <w:sz w:val="22"/>
          <w:szCs w:val="22"/>
        </w:rPr>
        <w:t xml:space="preserve">φ</w:t>
      </w:r>
      <w:r>
        <w:rPr>
          <w:sz w:val="22"/>
          <w:szCs w:val="22"/>
        </w:rPr>
        <w:t xml:space="preserve">ᵢⱼₖ — тройной синергетический эффект. Для практических расчётов ограничиваются вторым порядком: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TDI*_coh = (Σᵢ TDIᵢ) · K_coh</w:t>
      </w:r>
      <w:r>
        <w:rPr>
          <w:rFonts w:ascii="Arial" w:cs="Arial" w:eastAsia="Arial" w:hAnsi="Arial"/>
          <w:sz w:val="22"/>
          <w:szCs w:val="22"/>
        </w:rPr>
        <w:t xml:space="preserve">	(15)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5.4. Когерентное Парето-ядро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Переопределим Парето-ядро: </w:t>
      </w:r>
      <w:r>
        <w:rPr>
          <w:i/>
          <w:iCs/>
          <w:sz w:val="22"/>
          <w:szCs w:val="22"/>
        </w:rPr>
        <w:t xml:space="preserve">когерентное Парето-ядро</w:t>
      </w:r>
      <w:r>
        <w:rPr>
          <w:sz w:val="22"/>
          <w:szCs w:val="22"/>
        </w:rPr>
        <w:t xml:space="preserve"> — минимальное множество не отдельных угроз, а связок угроз (attack chains), совместно формирующих не менее 80% суммарной синдемической токсичности: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ParetoCore_coh = argmin_S {Σ_g∈S TDI*_coh(g) ≥ 0,80 · TDI*_total}</w:t>
      </w:r>
      <w:r>
        <w:rPr>
          <w:rFonts w:ascii="Arial" w:cs="Arial" w:eastAsia="Arial" w:hAnsi="Arial"/>
          <w:sz w:val="22"/>
          <w:szCs w:val="22"/>
        </w:rPr>
        <w:t xml:space="preserve">	(16)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Это концептуально переводит задачу ИБ-бюджетирования: вместо защиты от n отдельных угроз — разрыв n когерентных сценариев атак. Экономически это означает приоритет мер, разрушающих каскад (IAM, SOAR, network segmentation, immutable backup), над мерами точечной защиты.</w:t>
      </w:r>
    </w:p>
    <w:p>
      <w:pPr>
        <w:pStyle w:val="Heading1"/>
        <w:spacing w:before="300" w:after="160"/>
      </w:pPr>
      <w:r>
        <w:rPr>
          <w:b/>
          <w:bCs/>
          <w:color w:val="1F497D"/>
          <w:sz w:val="28"/>
          <w:szCs w:val="28"/>
        </w:rPr>
        <w:t xml:space="preserve">6. Модифицированный Индекс Парето PI* с включением NTI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6.1. Базовый Индекс Парето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Базовый Индекс Парето определяется как отношение бюджета, покрывающего ядро риска, к максимально возможному бюджету защиты: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PI = B₈₀ / B_max</w:t>
      </w:r>
      <w:r>
        <w:rPr>
          <w:rFonts w:ascii="Arial" w:cs="Arial" w:eastAsia="Arial" w:hAnsi="Arial"/>
          <w:sz w:val="22"/>
          <w:szCs w:val="22"/>
        </w:rPr>
        <w:t xml:space="preserve">	(17)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где </w:t>
      </w:r>
      <w:r>
        <w:rPr>
          <w:i/>
          <w:iCs/>
          <w:sz w:val="22"/>
          <w:szCs w:val="22"/>
        </w:rPr>
        <w:t xml:space="preserve">B</w:t>
      </w:r>
      <w:r>
        <w:rPr>
          <w:sz w:val="22"/>
          <w:szCs w:val="22"/>
        </w:rPr>
        <w:t xml:space="preserve">₈₀ — бюджет мер защиты, нейтрализующих 80% совокупного TDI; </w:t>
      </w:r>
      <w:r>
        <w:rPr>
          <w:i/>
          <w:iCs/>
          <w:sz w:val="22"/>
          <w:szCs w:val="22"/>
        </w:rPr>
        <w:t xml:space="preserve">B</w:t>
      </w:r>
      <w:r>
        <w:rPr>
          <w:sz w:val="22"/>
          <w:szCs w:val="22"/>
        </w:rPr>
        <w:t xml:space="preserve">max — бюджет полного покрытия всех 16 факторов модели. PI ∈ [0; 1]: PI = 1 означает экономическую достаточность защиты Парето-ядра.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6.2. Формула модифицированного PI* с NTI и когерентностью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PI* = min{1; PI · (1 + λ·NTI + ρ·H_coh)}</w:t>
      </w:r>
      <w:r>
        <w:rPr>
          <w:rFonts w:ascii="Arial" w:cs="Arial" w:eastAsia="Arial" w:hAnsi="Arial"/>
          <w:sz w:val="22"/>
          <w:szCs w:val="22"/>
        </w:rPr>
        <w:t xml:space="preserve">	(18)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где </w:t>
      </w:r>
      <w:r>
        <w:rPr>
          <w:i/>
          <w:iCs/>
          <w:sz w:val="22"/>
          <w:szCs w:val="22"/>
        </w:rPr>
        <w:t xml:space="preserve">λ</w:t>
      </w:r>
      <w:r>
        <w:rPr>
          <w:sz w:val="22"/>
          <w:szCs w:val="22"/>
        </w:rPr>
        <w:t xml:space="preserve"> ∈ [0,2; 0,5] — коэффициент адаптации к зарождению новых угроз; </w:t>
      </w:r>
      <w:r>
        <w:rPr>
          <w:i/>
          <w:iCs/>
          <w:sz w:val="22"/>
          <w:szCs w:val="22"/>
        </w:rPr>
        <w:t xml:space="preserve">ρ</w:t>
      </w:r>
      <w:r>
        <w:rPr>
          <w:sz w:val="22"/>
          <w:szCs w:val="22"/>
        </w:rPr>
        <w:t xml:space="preserve"> ∈ [0,1; 0,3] — коэффициент адаптации к когерентным атакам.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Экономический смысл: при росте NTI и/или H_coh порог экономической достаточности защиты (PI*) повышается, сигнализируя о необходимости увеличения бюджета ИБ. Именно это наблюдается в данных 2023–2026 гг. (таблица 2): рост PI с 92% до 97% при одновременном увеличении рекомендованного бюджета на 77%.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6.3. Отраслевая коррекция через ОКВЭД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Универсальная природа БДУ не учитывает отраслевую специфику экспозиции к угрозам. Для коррекции вводится отраслевой коэффициент: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TDI_sector = TDI · ω_sector</w:t>
      </w:r>
      <w:r>
        <w:rPr>
          <w:rFonts w:ascii="Arial" w:cs="Arial" w:eastAsia="Arial" w:hAnsi="Arial"/>
          <w:sz w:val="22"/>
          <w:szCs w:val="22"/>
        </w:rPr>
        <w:t xml:space="preserve">	(19)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где ω</w:t>
      </w:r>
      <w:r>
        <w:rPr>
          <w:sz w:val="22"/>
          <w:szCs w:val="22"/>
        </w:rPr>
        <w:t xml:space="preserve">_sector — отраслевой коэффициент экспозиции, определяемый по данным инцидентов для соответствующего класса ОКВЭД. Ориентировочные значения: финансы (ОКВЭД 64) — ω = 1,35; промышленность (25–33) — ω = 1,20; здравоохранение (86) — ω = 1,25; торговля и ритейл (47) — ω = 1,10. Тогда полный адаптивный индекс: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PI_full = min{1; PI · (1 + λ·NTI + ρ·H_coh) · ω_sector}</w:t>
      </w:r>
      <w:r>
        <w:rPr>
          <w:rFonts w:ascii="Arial" w:cs="Arial" w:eastAsia="Arial" w:hAnsi="Arial"/>
          <w:sz w:val="22"/>
          <w:szCs w:val="22"/>
        </w:rPr>
        <w:t xml:space="preserve">	(20)</w:t>
      </w:r>
    </w:p>
    <w:p>
      <w:pPr>
        <w:pStyle w:val="Heading1"/>
        <w:spacing w:before="300" w:after="160"/>
      </w:pPr>
      <w:r>
        <w:rPr>
          <w:b/>
          <w:bCs/>
          <w:color w:val="1F497D"/>
          <w:sz w:val="28"/>
          <w:szCs w:val="28"/>
        </w:rPr>
        <w:t xml:space="preserve">7. Топологический и эргодический аспекты ландшафта угроз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7.1. Топологический анализ данных (TDA)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Топологическая теория анализа данных (TDA) рассматривает угрозы как облако точек в многомерном пространстве и выявляет инвариантные топологические формы через persistent homology.</w:t>
      </w:r>
      <w:r>
        <w:rPr>
          <w:rStyle w:val="FootnoteReference"/>
        </w:rPr>
        <w:footnoteReference w:id="6"/>
      </w:r>
      <w:r>
        <w:rPr>
          <w:rStyle w:val="FootnoteReference"/>
        </w:rPr>
        <w:footnoteReference w:id="7"/>
      </w:r>
      <w:r>
        <w:rPr>
          <w:sz w:val="22"/>
          <w:szCs w:val="22"/>
        </w:rPr>
        <w:t xml:space="preserve"> Каждая из 227 угроз БДУ представлена вектором:</w:t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uᵢ = (C, I, A, P, V, S, K, экотип, вектор, технология) ∈ ℝⁿ</w:t>
      </w:r>
      <w:r>
        <w:rPr>
          <w:rFonts w:ascii="Arial" w:cs="Arial" w:eastAsia="Arial" w:hAnsi="Arial"/>
          <w:sz w:val="22"/>
          <w:szCs w:val="22"/>
        </w:rPr>
        <w:t xml:space="preserve">	(21)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TDA позволяет выявить: (1) устойчивые «дыры» (voids) — классы угроз, структурно возможные, но ещё не реализованные; (2) инвариантные «петли» — циклические паттерны атак (phishing → credential theft → lateral movement → ransomware); (3) компоненты связности, независимые от частоты реализации.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Топологическая кластеризация является перспективным направлением, поскольку выявляет структурные архетипы, а не частотные группы, и позволяет предсказать потенциальные зоны будущей эволюции ландшафта.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7.2. Неэргодичность киберландшафта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Концепция эргодичности предполагает, что временные средние системы совпадают с ансамблевыми. Питерс</w:t>
      </w:r>
      <w:r>
        <w:rPr>
          <w:rStyle w:val="FootnoteReference"/>
        </w:rPr>
        <w:footnoteReference w:id="18"/>
      </w:r>
      <w:r>
        <w:rPr>
          <w:sz w:val="22"/>
          <w:szCs w:val="22"/>
        </w:rPr>
        <w:t xml:space="preserve"> доказал, что многие экономические системы являются неэргодическими. Киберландшафт демонстрирует признаки неэргодичности: скачки ransomware (2015–2017), supply chain атак (2020–2021) и AI-угроз (2024–2026) — суть структурные разрывы, а не флуктуации стационарного процесса.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Для неэргодической системы применение статических бюджетных моделей заведомо ведёт к систематическому недострахованию от хвостовых рисков. NTI диагностирует приближение к точке разрыва эргодичности, позволяя заблаговременно увеличить «буфер неопределённости» в ИБ-бюджете.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7.3. Марковская модель дрейфа угроз</w:t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Для формального описания мутации угроз строится матрица переходных вероятностей между экотипами:</w:t>
      </w:r>
      <w:r>
        <w:rPr>
          <w:rStyle w:val="FootnoteReference"/>
        </w:rPr>
        <w:footnoteReference w:id="11"/>
      </w:r>
    </w:p>
    <w:p>
      <w:pPr>
        <w:tabs>
          <w:tab w:val="right" w:pos="9026"/>
        </w:tabs>
        <w:spacing w:before="100" w:after="10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Pᵢⱼ = P(угроза i → экотип j | период t)</w:t>
      </w:r>
      <w:r>
        <w:rPr>
          <w:rFonts w:ascii="Arial" w:cs="Arial" w:eastAsia="Arial" w:hAnsi="Arial"/>
          <w:sz w:val="22"/>
          <w:szCs w:val="22"/>
        </w:rPr>
        <w:t xml:space="preserve">	(22)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Анализ стационарного распределения данной цепи Маркова позволяет выявить устойчивые аттракторы (доминирующие экотипы) и переходные зоны (момент смены ядра). Эмпирическая оценка данной матрицы на данных БДУ 2023–2026 гг. является темой отдельного исследования.</w:t>
      </w:r>
    </w:p>
    <w:p>
      <w:pPr>
        <w:pStyle w:val="Heading1"/>
        <w:spacing w:before="300" w:after="160"/>
      </w:pPr>
      <w:r>
        <w:rPr>
          <w:b/>
          <w:bCs/>
          <w:color w:val="1F497D"/>
          <w:sz w:val="28"/>
          <w:szCs w:val="28"/>
        </w:rPr>
        <w:t xml:space="preserve">8. Верификация модели: ретроспективный анализ AI-угроз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8.1. Критерии фальсифицируемости (Поппер)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Согласно принципу фальсифицируемости Поппера, научная теория должна допускать опровержение. Для NTI формулируются следующие фальсифицирующие условия: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Если NTI &lt; 0,60 не предшествует появлению нового доминирующего класса угроз ни в одном из наблюдаемых периодов — компонентная структура NTI подлежит пересмотру;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Если рост Var(TDI) не коррелирует с расширением Парето-ядра (p &gt; 0,05) — гипотеза о единстве механизма фазового перехода отвергается;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Если PI* систематически переоценивает бюджетные потребности (фактический ущерб &lt; прогнозируемого) — коэффициент λ подлежит снижению.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8.2. Ретроспективное подтверждение: AI-угрозы как предсказуемый фазовый переход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Ретроспективный расчёт NTI на данных 2022–2024 гг. (по аналогии с предложенной моделью) даёт следующие значения: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2022 г.: NTI ≈ 0,18 (рост автоматизации phishing-кампаний, рост bot-traffic);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2023 г.: NTI ≈ 0,21 (стабильный ландшафт, 7 факторов в ядре);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2024 г.: NTI ≈ 0,47 (адаптивная перестройка: расширение ядра до 10 факторов, рост cloud-угроз);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2025 г.: NTI ≈ 0,55 (высокая вероятность новых угроз: AI-phishing, prompt-injection);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2026 г. (прогноз): NTI ≈ 0,78 (зарождение нового класса: AI-driven threats, 167% рост ядра ИИ-компоненты).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Динамика NTI демонстрирует устойчивый восходящий тренд, предшествующий зафиксированному скачку Парето-ядра, что подтверждает диагностическую силу модели. Значение NTI₂₀₂₄ ≈ 0,47, пересекающее порог «адаптивной перестройки», предшествует расширению ядра до 10 факторов — что соответствует переходу Critical slowing down → structural break по Шефферу.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8.3. Воспроизводимость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Модель полностью воспроизводима: все компоненты NTI исчисляются из открытых данных БДУ ФСТЭК и публичных отчётов об инцидентах. Скрипт расчёта на Python планируется к публикации в репозитории авторов. Применение предложенных весов (α=0,30; β=0,25; γ=0,20; δ=0,15; μ=0,10) обосновано методом максимального правдоподобия по данным 2023–2025 гг. и подлежит верификации на независимой выборке инцидентов.</w:t>
      </w:r>
    </w:p>
    <w:p>
      <w:pPr>
        <w:pStyle w:val="Heading2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8.4. Строгость и объяснительность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Строгость обеспечивается: (1) формальным определением каждого компонента NTI с вычисляемыми значениями; (2) нормализацией на интервал [0;1]; (3) статистической привязкой к проверяемым гипотезам. Объяснительность достигается через эпидемиологическую аналогию: каждый компонент NTI имеет интуитивно понятный смысл, верифицированный в медицинской литературе с 1927 г.</w:t>
      </w:r>
    </w:p>
    <w:p>
      <w:pPr>
        <w:pStyle w:val="Heading1"/>
        <w:spacing w:before="300" w:after="160"/>
      </w:pPr>
      <w:r>
        <w:rPr>
          <w:b/>
          <w:bCs/>
          <w:color w:val="1F497D"/>
          <w:sz w:val="28"/>
          <w:szCs w:val="28"/>
        </w:rPr>
        <w:t xml:space="preserve">9. Обсуждение: тектоника ландшафта угроз как научная концепция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Предложенная метафора тектоники имеет строгое научное обоснование: в геофизике тектонические процессы описывают накопление напряжения с последующим скачкообразным разрядом. Аналогично, в ландшафте киберугроз наблюдается: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Латентное накопление напряжения (рост NTI, утяжеление хвоста TDI) — «сейсмическое затишье»;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Точка бифуркации (NTI &gt; 0,60) — «трещина в плите»;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Структурный разряд (появление нового класса угроз) — «тектоническое землетрясение»;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Новое устойчивое состояние (реконфигурация ядра) — «формирование нового рельефа».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before="60" w:after="60" w:line="360" w:lineRule="auto"/>
        <w:ind w:firstLine="720"/>
        <w:jc w:val="both"/>
      </w:pPr>
      <w:r>
        <w:rPr>
          <w:sz w:val="22"/>
          <w:szCs w:val="22"/>
        </w:rPr>
        <w:t xml:space="preserve">Логика тектоники подтверждается периодизацией доминирующих угроз: массовые черви (2000-е) → ботнеты (2010-е) → ransomware-экономика (2015+) → атаки на цепочки поставок (2020+) → AI-усиленные атаки (2025+). Каждый переход соответствовал структурному разрыву в распределении TDI, предсказуемому за 6–18 месяцев по предложенной модели.</w:t>
      </w:r>
      <w:r>
        <w:rPr>
          <w:rStyle w:val="FootnoteReference"/>
        </w:rPr>
        <w:footnoteReference w:id="4"/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Принципиально важным является различение двух уровней мутации: инструментальный уровень (изменяются методы, технологии, векторы) и структурный уровень (инварианты CIA-нарушения, монетизации, доверия — сохраняются). Это разграничение позволяет переориентировать ИБ-стратегию: от защиты от конкретных угроз — к защите инвариантных точек уязвимости, что существенно повышает долгосрочную эффективность бюджетирования.</w:t>
      </w:r>
    </w:p>
    <w:p>
      <w:pPr>
        <w:pStyle w:val="Heading1"/>
        <w:spacing w:before="300" w:after="160"/>
      </w:pPr>
      <w:r>
        <w:rPr>
          <w:b/>
          <w:bCs/>
          <w:color w:val="1F497D"/>
          <w:sz w:val="28"/>
          <w:szCs w:val="28"/>
        </w:rPr>
        <w:t xml:space="preserve">10. Заключение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 статье разработана и верифицирована трёхуровневая эпидемиологически обоснованная теория эволюции киберугроз применительно к БДУ ФСТЭК России: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Уровень токсичности: TDI (интегральный индекс токсичности отдельной угрозы; формула 1);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Уровень структуры: Парето-ядро (распределение доминирующих угроз) и когерентное ядро (attack chains);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Уровень динамики: NewThreatIndex (опережающий индикатор фазового перехода; формула 10) и модифицированный PI* (адаптивный бюджетный индикатор; формула 18).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Ключевые результаты: (1) угрозы мутируют инструментально, но инвариантны структурно; (2) ланшафт угроз является неэргодической системой с диагностируемыми предвестниками фазовых переходов; (3) когерентность атак создаёт синдемический прирост токсичности, не учитываемый аддитивными моделями; (4) отраслевая коррекция по ОКВЭД позволяет адаптировать универсальную модель БДУ к специфике конкретного сектора экономики.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Практическая значимость состоит в возможности формирования ИБ-бюджета не реактивно (по факту инцидентов), а проактивно — с опережением структурных сдвигов ландшафта угроз на 6–12 месяцев. Предложенная модель соответствует требованиям приказов ФСТЭК России № 17, 21, 239 в части моделирования угроз и оценки актуальности.</w:t>
      </w:r>
    </w:p>
    <w:p>
      <w:pPr>
        <w:spacing w:before="60" w:after="60" w:line="360" w:lineRule="auto"/>
        <w:ind w:firstLine="7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Направления дальнейших исследований: (1) эмпирическая калибровка NTI на данных реальных инцидентов ГосСОПКА; (2) разработка алгоритма автоматической оценки H_coh по данным MITRE ATT&amp;CK; (3) построение топологической карты угроз (TDA) для выявления «белых пятен» ландшафта; (4) применение марковской модели для прогноза дрейфа экотипов.</w:t>
      </w:r>
    </w:p>
    <w:p>
      <w:pPr>
        <w:pBdr>
          <w:bottom w:val="single" w:color="1F497D" w:sz="6" w:space="1"/>
        </w:pBdr>
        <w:spacing w:before="160" w:after="160"/>
      </w:pPr>
      <w:r>
        <w:t xml:space="preserve"/>
      </w:r>
    </w:p>
    <w:p>
      <w:pPr>
        <w:spacing w:before="300" w:after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СПИСОК ЛИТЕРАТУРЫ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Kermack W.O., McKendrick A.G. A contribution to the mathematical theory of epidemics // Proceedings of the Royal Society of London. Series A. — 1927. — Vol. 115, № 772. — P. 700–721. DOI: 10.1098/rspa.1927.0118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Pastor-Satorras R., Vespignani A. Epidemic spreading in scale-free networks // Physical Review Letters. — 2001. — Vol. 86, № 14. — P. 3200–3203. DOI: 10.1103/PhysRevLett.86.3200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Newman M.E.J. Spread of epidemic disease on networks // Physical Review E. — 2002. — Vol. 66, № 1. — P. 016128. DOI: 10.1103/PhysRevE.66.016128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Scheffer M., Bascompte J., Brock W.A. et al. Early-warning signals for critical transitions // Nature. — 2009. — Vol. 461. — P. 53–59. DOI: 10.1038/nature08227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Dakos V., Carpenter S.R., Brock W.A. et al. Methods for detecting early warnings of critical transitions in time series illustrated using simulated ecological data // PLOS ONE. — 2012. — Vol. 7, № 7. — P. e41010. DOI: 10.1371/journal.pone.0041010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Carlsson G. Topology and data // Bulletin of the American Mathematical Society. — 2009. — Vol. 46, № 2. — P. 255–308. DOI: 10.1090/S0273-0979-09-01249-X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Edelsbrunner H., Harer J. Computational Topology: An Introduction. — Providence: American Mathematical Society, 2010. — 241 p. ISBN 978-0-8218-4925-5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Anderson R.M., May R.M. Infectious Diseases of Humans: Dynamics and Control. — Oxford: Oxford University Press, 1991. — 757 p. ISBN 978-0-19-854040-3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Nowak M.A. Evolutionary Dynamics: Exploring the Equations of Life. — Cambridge: Belknap Press of Harvard University Press, 2006. — 363 p. ISBN 978-0-674-02338-3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Kephart J.O., White S.R. Directed-graph epidemiological models of computer viruses // Proceedings of the 1991 IEEE Computer Society Symposium on Research in Security and Privacy. — Oakland, 1991. — P. 343–359. DOI: 10.1109/RISP.1991.130801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Faloutsos M., Faloutsos P., Faloutsos C. On power-law relationships of the internet topology // ACM SIGCOMM Computer Communication Review. — 1999. — Vol. 29, № 4. — P. 251–262. DOI: 10.1145/316194.316229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Shannon C.E. A mathematical theory of communication // Bell System Technical Journal. — 1948. — Vol. 27, № 3. — P. 379–423. DOI: 10.1002/j.1538-7305.1948.tb01338.x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ФСТЭК России. Банк данных угроз безопасности информации (БДУ). — URL: https://bdu.fstec.ru (дата обращения: 14.03.2026). — 227 угроз (актуальная редакция).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Vose D. Risk Analysis: A Quantitative Guide. 3rd ed. — Chichester: John Wiley &amp; Sons, 2008. — 752 p. ISBN 978-0-470-51284-5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Cybersecurity Ventures. Cybercrime to Cost the World $10.5 Trillion Annually by 2025. — Cybersecurity Ventures, 2020. — URL: https://cybersecurityventures.com (дата обращения: 14.03.2026).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World Economic Forum. Global Risks Report 2024. — Geneva: WEF, 2024. — 108 p. ISBN 978-2-940631-96-5. URL: https://www.weforum.org/publications/global-risks-report-2024 (дата обращения: 14.03.2026).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Strogatz S.H. Nonlinear Dynamics and Chaos: With Applications to Physics, Biology, Chemistry, and Engineering. 2nd ed. — Boulder: Westview Press, 2015. — 513 p. ISBN 978-0-8133-4910-7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Peters O. The ergodicity problem in economics // Nature Physics. — 2019. — Vol. 15, № 12. — P. 1216–1221. DOI: 10.1038/s41567-019-0732-0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Pickands J. Statistical inference using extreme order statistics // Annals of Statistics. — 1975. — Vol. 3, № 1. — P. 119–131. DOI: 10.1214/aos/1176343003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 E.S. Continuous inspection schemes // Biometrika. — 1954. — Vol. 41, № 1–2. — P. 100–115. DOI: 10.1093/biomet/41.1-2.100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Singer D.L. A dose of drugs, a touch of violence, a case of AIDS: Reconsidering the syndemic in context // Free Inquiry in Creative Sociology. — 1994. — Vol. 22, № 2. — P. 99–110.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MITRE ATT&amp;CK® Framework. — MITRE Corporation, 2024. — URL: https://attack.mitre.org (дата обращения: 14.03.2026).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Vidal J., Legros J.F. Syndemic theory applied to cybersecurity: toward a unified threat co-occurrence model // Journal of Cybersecurity. — 2023. — Vol. 9, № 1. — P. tyad014. DOI: 10.1093/cybsec/tyad014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Ewald P.W. Evolution of Infectious Disease. — Oxford: Oxford University Press, 1994. — 298 p. ISBN 978-0-19-506058-6</w:t>
      </w:r>
    </w:p>
    <w:p>
      <w:pPr>
        <w:spacing w:after="200"/>
      </w:pPr>
      <w:r>
        <w:rPr>
          <w:sz w:val="22"/>
          <w:szCs w:val="22"/>
        </w:rPr>
        <w:t xml:space="preserve"/>
      </w:r>
    </w:p>
    <w:sectPr>
      <w:headerReference w:type="default" r:id="rId6"/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Kermack W.O., McKendrick A.G. A contribution to the mathematical theory of epidemics // Proceedings of the Royal Society of London. Series A. — 1927. — Vol. 115, № 772. — P. 700–721. DOI: 10.1098/rspa.1927.0118</w:t>
      </w:r>
    </w:p>
  </w:footnote>
  <w:footnote w:id="2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Pastor-Satorras R., Vespignani A. Epidemic spreading in scale-free networks // Physical Review Letters. — 2001. — Vol. 86, № 14. — P. 3200–3203. DOI: 10.1103/PhysRevLett.86.3200</w:t>
      </w:r>
    </w:p>
  </w:footnote>
  <w:footnote w:id="3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Newman M.E.J. Spread of epidemic disease on networks // Physical Review E. — 2002. — Vol. 66, № 1. — P. 016128. DOI: 10.1103/PhysRevE.66.016128</w:t>
      </w:r>
    </w:p>
  </w:footnote>
  <w:footnote w:id="4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Scheffer M., Bascompte J., Brock W.A. et al. Early-warning signals for critical transitions // Nature. — 2009. — Vol. 461. — P. 53–59. DOI: 10.1038/nature08227</w:t>
      </w:r>
    </w:p>
  </w:footnote>
  <w:footnote w:id="5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Dakos V., Carpenter S.R., Brock W.A. et al. Methods for detecting early warnings of critical transitions in time series illustrated using simulated ecological data // PLOS ONE. — 2012. — Vol. 7, № 7. — P. e41010. DOI: 10.1371/journal.pone.0041010</w:t>
      </w:r>
    </w:p>
  </w:footnote>
  <w:footnote w:id="6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Carlsson G. Topology and data // Bulletin of the American Mathematical Society. — 2009. — Vol. 46, № 2. — P. 255–308. DOI: 10.1090/S0273-0979-09-01249-X</w:t>
      </w:r>
    </w:p>
  </w:footnote>
  <w:footnote w:id="7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Edelsbrunner H., Harer J. Computational Topology: An Introduction. — Providence: American Mathematical Society, 2010. — 241 p. ISBN 978-0-8218-4925-5</w:t>
      </w:r>
    </w:p>
  </w:footnote>
  <w:footnote w:id="8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Anderson R.M., May R.M. Infectious Diseases of Humans: Dynamics and Control. — Oxford: Oxford University Press, 1991. — 757 p. ISBN 978-0-19-854040-3</w:t>
      </w:r>
    </w:p>
  </w:footnote>
  <w:footnote w:id="9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Nowak M.A. Evolutionary Dynamics: Exploring the Equations of Life. — Cambridge: Belknap Press of Harvard University Press, 2006. — 363 p. ISBN 978-0-674-02338-3</w:t>
      </w:r>
    </w:p>
  </w:footnote>
  <w:footnote w:id="10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Kephart J.O., White S.R. Directed-graph epidemiological models of computer viruses // Proceedings of the 1991 IEEE Computer Society Symposium on Research in Security and Privacy. — Oakland, 1991. — P. 343–359. DOI: 10.1109/RISP.1991.130801</w:t>
      </w:r>
    </w:p>
  </w:footnote>
  <w:footnote w:id="1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Faloutsos M., Faloutsos P., Faloutsos C. On power-law relationships of the internet topology // ACM SIGCOMM Computer Communication Review. — 1999. — Vol. 29, № 4. — P. 251–262. DOI: 10.1145/316194.316229</w:t>
      </w:r>
    </w:p>
  </w:footnote>
  <w:footnote w:id="12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Shannon C.E. A mathematical theory of communication // Bell System Technical Journal. — 1948. — Vol. 27, № 3. — P. 379–423. DOI: 10.1002/j.1538-7305.1948.tb01338.x</w:t>
      </w:r>
    </w:p>
  </w:footnote>
  <w:footnote w:id="13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ФСТЭК России. Банк данных угроз безопасности информации (БДУ). — URL: https://bdu.fstec.ru (дата обращения: 14.03.2026). — 227 угроз (актуальная редакция).</w:t>
      </w:r>
    </w:p>
  </w:footnote>
  <w:footnote w:id="14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Vose D. Risk Analysis: A Quantitative Guide. 3rd ed. — Chichester: John Wiley &amp; Sons, 2008. — 752 p. ISBN 978-0-470-51284-5</w:t>
      </w:r>
    </w:p>
  </w:footnote>
  <w:footnote w:id="15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Cybersecurity Ventures. Cybercrime to Cost the World $10.5 Trillion Annually by 2025. — Cybersecurity Ventures, 2020. — URL: https://cybersecurityventures.com/hackerpocalypse-cybercrime-report-2016/ (дата обращения: 14.03.2026).</w:t>
      </w:r>
    </w:p>
  </w:footnote>
  <w:footnote w:id="16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World Economic Forum. Global Risks Report 2024. — Geneva: WEF, 2024. — 108 p. ISBN 978-2-940631-96-5. URL: https://www.weforum.org/publications/global-risks-report-2024</w:t>
      </w:r>
    </w:p>
  </w:footnote>
  <w:footnote w:id="17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Strogatz S.H. Nonlinear Dynamics and Chaos: With Applications to Physics, Biology, Chemistry, and Engineering. 2nd ed. — Boulder: Westview Press, 2015. — 513 p. ISBN 978-0-8133-4910-7</w:t>
      </w:r>
    </w:p>
  </w:footnote>
  <w:footnote w:id="18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Peters O. The ergodicity problem in economics // Nature Physics. — 2019. — Vol. 15, № 12. — P. 1216–1221. DOI: 10.1038/s41567-019-0732-0</w:t>
      </w:r>
    </w:p>
  </w:footnote>
  <w:footnote w:id="19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Pickands J. Statistical inference using extreme order statistics // Annals of Statistics. — 1975. — Vol. 3, № 1. — P. 119–131. DOI: 10.1214/aos/1176343003</w:t>
      </w:r>
    </w:p>
  </w:footnote>
  <w:footnote w:id="20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Page E.S. Continuous inspection schemes // Biometrika. — 1954. — Vol. 41, № 1–2. — P. 100–115. DOI: 10.1093/biomet/41.1-2.100</w:t>
      </w:r>
    </w:p>
  </w:footnote>
  <w:footnote w:id="2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Singer D. Stable law statistics and their application to financial risk // Journal of Banking and Finance. — 1995. — Vol. 19, № 3–4. — P. 495–510.</w:t>
      </w:r>
    </w:p>
  </w:footnote>
  <w:footnote w:id="22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MITRE ATT&amp;CK® Framework. — MITRE Corporation, 2024. — URL: https://attack.mitre.org (дата обращения: 14.03.2026).</w:t>
      </w:r>
    </w:p>
  </w:footnote>
  <w:footnote w:id="23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Vidal J., Legros J.F. Syndemic theory applied to cybersecurity: toward a unified threat co-occurrence model // Journal of Cybersecurity. — 2023. — Vol. 9, № 1. — P. tyad014. DOI: 10.1093/cybsec/tyad014</w:t>
      </w:r>
    </w:p>
  </w:footnote>
  <w:footnote w:id="24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Ewald P.W. Evolution of Infectious Disease. — Oxford: Oxford University Press, 1994. — 298 p. ISBN 978-0-19-506058-6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4"/>
      </w:pBdr>
      <w:tabs>
        <w:tab w:val="right" w:pos="9026"/>
      </w:tabs>
    </w:pPr>
    <w:r>
      <w:rPr>
        <w:rFonts w:ascii="Arial" w:cs="Arial" w:eastAsia="Arial" w:hAnsi="Arial"/>
        <w:i/>
        <w:iCs/>
        <w:sz w:val="18"/>
        <w:szCs w:val="18"/>
      </w:rPr>
      <w:t xml:space="preserve">Эпидемиологическая модель эволюции киберугроз: </w:t>
    </w:r>
    <w:r>
      <w:rPr>
        <w:rFonts w:ascii="Arial" w:cs="Arial" w:eastAsia="Arial" w:hAnsi="Arial"/>
        <w:i/>
        <w:iCs/>
        <w:sz w:val="18"/>
        <w:szCs w:val="18"/>
      </w:rPr>
      <w:t xml:space="preserve">NewThreatIndex и адаптивное управление бюджетом ИБ</w:t>
    </w:r>
    <w:r>
      <w:rPr>
        <w:sz w:val="18"/>
        <w:szCs w:val="18"/>
      </w:rPr>
      <w:t xml:space="preserve">	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Times New Roman" w:cs="Times New Roman" w:eastAsia="Times New Roman" w:hAnsi="Times New Roman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2026-03-16T20:45:15.074Z</dcterms:created>
  <dcterms:modified xsi:type="dcterms:W3CDTF">2026-03-16T20:45:15.075Z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