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2F7A" w14:textId="77777777" w:rsidR="0036697B" w:rsidRPr="00471C4B" w:rsidRDefault="00000000" w:rsidP="00471C4B">
      <w:pPr>
        <w:pStyle w:val="aa"/>
        <w:spacing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Генезис ландшафта киберугроз сквозь призму Парето-ядра и Парето-индекса (с прогнозом на 2026 год)</w:t>
      </w:r>
    </w:p>
    <w:p w14:paraId="7C5C5FFF" w14:textId="77777777" w:rsidR="00471C4B" w:rsidRPr="00471C4B" w:rsidRDefault="00471C4B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FA2F3E" w14:textId="1147DFC2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Аннотация. 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В статье предлагается экосистемная интерпретация эволюции киберугроз, основанная на анализе динамики Парето-ядра, энтропии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угрозного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ландшафта и эластичности бюджета информационной безопасности (ИБ). На основе 16‑факторной модели, агрегирующей 227 угроз БДУ ФСТЭК, исследуется период 2023–2025 гг. и формируется прогноз на 2026 год с учётом ИИ‑атак. Показано, что рост затрат на ИБ не приводит к снижению глобального ущерба, а изменяет структуру доминирующих угроз. Работа ориентирована на развитие теории стратегического управления ИБ и адаптирована под требования журналов </w:t>
      </w:r>
      <w:r w:rsidRPr="00471C4B">
        <w:rPr>
          <w:rFonts w:ascii="Times New Roman" w:hAnsi="Times New Roman" w:cs="Times New Roman"/>
          <w:sz w:val="24"/>
          <w:szCs w:val="24"/>
        </w:rPr>
        <w:t>Scopus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71C4B">
        <w:rPr>
          <w:rFonts w:ascii="Times New Roman" w:hAnsi="Times New Roman" w:cs="Times New Roman"/>
          <w:sz w:val="24"/>
          <w:szCs w:val="24"/>
        </w:rPr>
        <w:t>Q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2F321C9" w14:textId="0440399F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Ключевые слова: информационная безопасность, индекс Парето, Парето‑ядро, энтропия угроз, ИИ‑атаки, ландшафт ущербов, бюджет ИБ.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463E1B5" w14:textId="2AB34B1E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Введение.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Современные исследования в области информационной безопасности всё чаще фиксируют расхождение между ростом инвестиций в защиту и продолжающимся увеличением совокупного ущерба от киберинцидентов [1–3]. Это противоречие указывает на ограниченность линейных моделей «угроза–мера» и требует перехода к системному анализу киберпространства как сложной адаптивной среды [4]. 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В данной работе предлагается рассматривать динамику Парето‑ядра не как статистический артефакт, а как индикатор глубинных изменений в поведении киберпреступников и структуре цифровой экосистемы.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6D68D63" w14:textId="7107D8BD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1. Парето‑ядро как индикатор эволюции угроз.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Классическая интерпретация принципа Парето (80/20) широко используется в ИБ для ранжирования угроз и мер защиты [5]. Однако эмпирические данные показывают, что количество факторов, формирующих 80 % совокупного риска, изменяется во времени: 7 факторов в 2023 г., 10 в 2024 г., 8 в 2025 г. и прогнозируемые 11 в 2026 г.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Подобная пульсация Парето‑ядра свидетельствует не о случайных колебаниях, а о смене режимов доминирования в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угрозном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ландшафте [6].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FFABE04" w14:textId="23974E0C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2. Энтропия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угрозного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ландшафта.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Для формализации «рассеяния» доминирования вводится энтропия Шеннона: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</w:rPr>
        <w:t>H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= −∑ </w:t>
      </w:r>
      <w:r w:rsidRPr="00471C4B">
        <w:rPr>
          <w:rFonts w:ascii="Times New Roman" w:hAnsi="Times New Roman" w:cs="Times New Roman"/>
          <w:sz w:val="24"/>
          <w:szCs w:val="24"/>
        </w:rPr>
        <w:t>p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71C4B">
        <w:rPr>
          <w:rFonts w:ascii="Times New Roman" w:hAnsi="Times New Roman" w:cs="Times New Roman"/>
          <w:sz w:val="24"/>
          <w:szCs w:val="24"/>
        </w:rPr>
        <w:t>j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</w:rPr>
        <w:t>ln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</w:rPr>
        <w:t>p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71C4B">
        <w:rPr>
          <w:rFonts w:ascii="Times New Roman" w:hAnsi="Times New Roman" w:cs="Times New Roman"/>
          <w:sz w:val="24"/>
          <w:szCs w:val="24"/>
        </w:rPr>
        <w:t>j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471C4B">
        <w:rPr>
          <w:rFonts w:ascii="Times New Roman" w:hAnsi="Times New Roman" w:cs="Times New Roman"/>
          <w:sz w:val="24"/>
          <w:szCs w:val="24"/>
        </w:rPr>
        <w:t>p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71C4B">
        <w:rPr>
          <w:rFonts w:ascii="Times New Roman" w:hAnsi="Times New Roman" w:cs="Times New Roman"/>
          <w:sz w:val="24"/>
          <w:szCs w:val="24"/>
        </w:rPr>
        <w:t>j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— нормированная доля вклада </w:t>
      </w:r>
      <w:r w:rsidRPr="00471C4B">
        <w:rPr>
          <w:rFonts w:ascii="Times New Roman" w:hAnsi="Times New Roman" w:cs="Times New Roman"/>
          <w:sz w:val="24"/>
          <w:szCs w:val="24"/>
        </w:rPr>
        <w:t>j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‑го фактора.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Рост энтропии означает переход от концентрированного риска к многополярной структуре угроз [7]. Полученные значения энтропии демонстрируют её рост в 2024 и особенно в прогнозе на 2026 год, что коррелирует с расширением Парето‑ядра.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158A25B" w14:textId="303F06DA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3. Ландшафт ущербов и пределы эффективности ИБ.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В работе вводится понятие «ландшафт ущербов» — агрегированного уровня безвозвратных потерь цифровой экосистемы (</w:t>
      </w:r>
      <w:r w:rsidRPr="00471C4B">
        <w:rPr>
          <w:rFonts w:ascii="Times New Roman" w:hAnsi="Times New Roman" w:cs="Times New Roman"/>
          <w:sz w:val="24"/>
          <w:szCs w:val="24"/>
        </w:rPr>
        <w:t>estimated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</w:rPr>
        <w:t>damages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) [2, 8]. Анализ показывает, что ландшафт ущербов растёт независимо от увеличения бюджета ИБ.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Это позволяет трактовать бюджет ИБ не как инвестицию с возвратом, а как операционные затраты на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поглощение риска, аналогичные расходам на поддержание инфраструктурной устойчивости [9].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0593D1F" w14:textId="590F127A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4. Эластичность бюджета и экономический предел защиты.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Эластичность бюджета ИБ по отношению к росту токсичности угроз определяется как: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</w:rPr>
        <w:t>ε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r w:rsidRPr="00471C4B">
        <w:rPr>
          <w:rFonts w:ascii="Times New Roman" w:hAnsi="Times New Roman" w:cs="Times New Roman"/>
          <w:sz w:val="24"/>
          <w:szCs w:val="24"/>
        </w:rPr>
        <w:t>ΔB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71C4B">
        <w:rPr>
          <w:rFonts w:ascii="Times New Roman" w:hAnsi="Times New Roman" w:cs="Times New Roman"/>
          <w:sz w:val="24"/>
          <w:szCs w:val="24"/>
        </w:rPr>
        <w:t>B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)/(</w:t>
      </w:r>
      <w:r w:rsidRPr="00471C4B">
        <w:rPr>
          <w:rFonts w:ascii="Times New Roman" w:hAnsi="Times New Roman" w:cs="Times New Roman"/>
          <w:sz w:val="24"/>
          <w:szCs w:val="24"/>
        </w:rPr>
        <w:t>ΔTDI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71C4B">
        <w:rPr>
          <w:rFonts w:ascii="Times New Roman" w:hAnsi="Times New Roman" w:cs="Times New Roman"/>
          <w:sz w:val="24"/>
          <w:szCs w:val="24"/>
        </w:rPr>
        <w:t>TDI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При росте энтропии </w:t>
      </w:r>
      <w:r w:rsidRPr="00471C4B">
        <w:rPr>
          <w:rFonts w:ascii="Times New Roman" w:hAnsi="Times New Roman" w:cs="Times New Roman"/>
          <w:sz w:val="24"/>
          <w:szCs w:val="24"/>
        </w:rPr>
        <w:t>ε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превышает единицу, что указывает на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сверхлинейный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рост стоимости удержания сопоставимого уровня риска [10]. Данный эффект особенно выражен в прогнозе на 2026 год.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A8AB3B7" w14:textId="0D5FD82B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5. ИИ как ускоритель энтропии.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Использование искусственного интеллекта в атакующих сценариях качественно меняет поведение киберпреступников [11–13]. ИИ снижает предельную стоимость вариативности атак, позволяя параллельно использовать множество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микростратегий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Философски это означает переход от «каталога угроз» к угрозам как среде — высоко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энтропийному пространству, где доминирование быстро перераспределяется.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61D5688" w14:textId="350FAFB8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6. Дискуссия: невидимые факторы вне реестров угроз.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Реестры угроз (включая БДУ ФСТЭК) фиксируют технические проявления риска, но не отражают мета‑факторы: геополитику [14], экономику киберпреступности [15], социальные и когнитивные аспекты доверия [16], а также технологическую зависимость и каскадные эффекты [17]. 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Именно эти «невидимые» факторы формируют энтропию ландшафта и определяют рост Парето‑ядра.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1477042" w14:textId="77777777" w:rsid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>Заключение.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E8DA48D" w14:textId="30F49010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Динамика Парето‑ядра отражает переход киберпространства от механистической системы к живой экосистеме. Рост энтропии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угрозного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ландшафта приводит к расширению ядра доминирующих факторов и </w:t>
      </w:r>
      <w:proofErr w:type="spellStart"/>
      <w:r w:rsidRPr="00471C4B">
        <w:rPr>
          <w:rFonts w:ascii="Times New Roman" w:hAnsi="Times New Roman" w:cs="Times New Roman"/>
          <w:sz w:val="24"/>
          <w:szCs w:val="24"/>
          <w:lang w:val="ru-RU"/>
        </w:rPr>
        <w:t>сверхлинейному</w:t>
      </w:r>
      <w:proofErr w:type="spellEnd"/>
      <w:r w:rsidRPr="00471C4B">
        <w:rPr>
          <w:rFonts w:ascii="Times New Roman" w:hAnsi="Times New Roman" w:cs="Times New Roman"/>
          <w:sz w:val="24"/>
          <w:szCs w:val="24"/>
          <w:lang w:val="ru-RU"/>
        </w:rPr>
        <w:t xml:space="preserve"> росту затрат на защиту.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C4B">
        <w:rPr>
          <w:rFonts w:ascii="Times New Roman" w:hAnsi="Times New Roman" w:cs="Times New Roman"/>
          <w:sz w:val="24"/>
          <w:szCs w:val="24"/>
          <w:lang w:val="ru-RU"/>
        </w:rPr>
        <w:t>Ключевой вывод работы заключается в том, что информационная безопасность управляет не устранением угроз, а формой и структурой риска. В условиях ИИ‑атак управление ИБ должно рассматриваться как управление энтропией цифровой среды.</w:t>
      </w:r>
      <w:r w:rsidR="00471C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AEEACE1" w14:textId="77777777" w:rsidR="0036697B" w:rsidRPr="00471C4B" w:rsidRDefault="00000000" w:rsidP="00471C4B">
      <w:pPr>
        <w:pStyle w:val="1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C4B">
        <w:rPr>
          <w:rFonts w:ascii="Times New Roman" w:hAnsi="Times New Roman" w:cs="Times New Roman"/>
          <w:sz w:val="24"/>
          <w:szCs w:val="24"/>
        </w:rPr>
        <w:t>Список</w:t>
      </w:r>
      <w:proofErr w:type="spellEnd"/>
      <w:r w:rsidRPr="00471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C4B">
        <w:rPr>
          <w:rFonts w:ascii="Times New Roman" w:hAnsi="Times New Roman" w:cs="Times New Roman"/>
          <w:sz w:val="24"/>
          <w:szCs w:val="24"/>
        </w:rPr>
        <w:t>литературы</w:t>
      </w:r>
      <w:proofErr w:type="spellEnd"/>
    </w:p>
    <w:p w14:paraId="316B3704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[1] World Economic Forum. Global Cybersecurity Outlook 2024.</w:t>
      </w:r>
    </w:p>
    <w:p w14:paraId="792A50EB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[2] Cybersecurity Ventures. Cybercrime Damage Costs Worldwide, 2020–2025.</w:t>
      </w:r>
    </w:p>
    <w:p w14:paraId="676F379D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[3] ENISA. Threat Landscape Report 2023.</w:t>
      </w:r>
    </w:p>
    <w:p w14:paraId="30B55FC6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[4] Taleb N. Antifragile: Things That Gain from Disorder. 2019.</w:t>
      </w:r>
    </w:p>
    <w:p w14:paraId="3927EB53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[5] ISO/IEC 27005:2022 Information security risk management.</w:t>
      </w:r>
    </w:p>
    <w:p w14:paraId="4B7B9210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[6] Behl A., Behl K. Cyberwar and Information Warfare. 2020.</w:t>
      </w:r>
    </w:p>
    <w:p w14:paraId="5E9F5184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 xml:space="preserve">[7] Shannon C. </w:t>
      </w:r>
      <w:proofErr w:type="gramStart"/>
      <w:r w:rsidRPr="00471C4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71C4B">
        <w:rPr>
          <w:rFonts w:ascii="Times New Roman" w:hAnsi="Times New Roman" w:cs="Times New Roman"/>
          <w:sz w:val="24"/>
          <w:szCs w:val="24"/>
        </w:rPr>
        <w:t xml:space="preserve"> Mathematical Theory of Communication.</w:t>
      </w:r>
    </w:p>
    <w:p w14:paraId="21072FC3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[8] IBM Security. Cost of a Data Breach Report 2024.</w:t>
      </w:r>
    </w:p>
    <w:p w14:paraId="2BC01A84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[9] Anderson R. Security Engineering. 3rd ed., 2020.</w:t>
      </w:r>
    </w:p>
    <w:p w14:paraId="03C60928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[10] Gordon L., Loeb M. The Economics of Information Security, 2021.</w:t>
      </w:r>
    </w:p>
    <w:p w14:paraId="5F59F6C8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[11] Brundage M. et al. The Malicious Use of AI, 2020.</w:t>
      </w:r>
    </w:p>
    <w:p w14:paraId="195D39CA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lastRenderedPageBreak/>
        <w:t>[12] Europol. ChatGPT – The Impact of Generative AI on Cybercrime, 2023.</w:t>
      </w:r>
    </w:p>
    <w:p w14:paraId="287EB9C6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[13] NIST. Adversarial Machine Learning, 2024.</w:t>
      </w:r>
    </w:p>
    <w:p w14:paraId="20A9AE08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[14] Rid T. Cyber War Will Not Take Place, 2020.</w:t>
      </w:r>
    </w:p>
    <w:p w14:paraId="28863F3A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 xml:space="preserve">[15] Florencio D., Herley C. Where Do All the Attacks </w:t>
      </w:r>
      <w:proofErr w:type="gramStart"/>
      <w:r w:rsidRPr="00471C4B">
        <w:rPr>
          <w:rFonts w:ascii="Times New Roman" w:hAnsi="Times New Roman" w:cs="Times New Roman"/>
          <w:sz w:val="24"/>
          <w:szCs w:val="24"/>
        </w:rPr>
        <w:t>Go?,</w:t>
      </w:r>
      <w:proofErr w:type="gramEnd"/>
      <w:r w:rsidRPr="00471C4B">
        <w:rPr>
          <w:rFonts w:ascii="Times New Roman" w:hAnsi="Times New Roman" w:cs="Times New Roman"/>
          <w:sz w:val="24"/>
          <w:szCs w:val="24"/>
        </w:rPr>
        <w:t xml:space="preserve"> 2021.</w:t>
      </w:r>
    </w:p>
    <w:p w14:paraId="41345123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[16] Cialdini R. Influence in the Digital Age, 2022.</w:t>
      </w:r>
    </w:p>
    <w:p w14:paraId="0F1986FB" w14:textId="77777777" w:rsidR="0036697B" w:rsidRPr="00471C4B" w:rsidRDefault="00000000" w:rsidP="00471C4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1C4B">
        <w:rPr>
          <w:rFonts w:ascii="Times New Roman" w:hAnsi="Times New Roman" w:cs="Times New Roman"/>
          <w:sz w:val="24"/>
          <w:szCs w:val="24"/>
        </w:rPr>
        <w:t>[17] Perrow C. Normal Accidents Revisited, 2020.</w:t>
      </w:r>
    </w:p>
    <w:sectPr w:rsidR="0036697B" w:rsidRPr="00471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958454">
    <w:abstractNumId w:val="8"/>
  </w:num>
  <w:num w:numId="2" w16cid:durableId="584724435">
    <w:abstractNumId w:val="6"/>
  </w:num>
  <w:num w:numId="3" w16cid:durableId="231701947">
    <w:abstractNumId w:val="5"/>
  </w:num>
  <w:num w:numId="4" w16cid:durableId="1787459261">
    <w:abstractNumId w:val="4"/>
  </w:num>
  <w:num w:numId="5" w16cid:durableId="1597325400">
    <w:abstractNumId w:val="7"/>
  </w:num>
  <w:num w:numId="6" w16cid:durableId="167600670">
    <w:abstractNumId w:val="3"/>
  </w:num>
  <w:num w:numId="7" w16cid:durableId="120996872">
    <w:abstractNumId w:val="2"/>
  </w:num>
  <w:num w:numId="8" w16cid:durableId="1642073375">
    <w:abstractNumId w:val="1"/>
  </w:num>
  <w:num w:numId="9" w16cid:durableId="81530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97B"/>
    <w:rsid w:val="00471C4B"/>
    <w:rsid w:val="00AA1D8D"/>
    <w:rsid w:val="00B47730"/>
    <w:rsid w:val="00BB05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675A3"/>
  <w14:defaultImageDpi w14:val="300"/>
  <w15:docId w15:val="{5ADC68B5-3D9B-41C9-9625-7E16C74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2026-02-07T21:42:00Z</dcterms:created>
  <dcterms:modified xsi:type="dcterms:W3CDTF">2026-02-07T21:42:00Z</dcterms:modified>
  <cp:category/>
</cp:coreProperties>
</file>