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Государственный классификатор не оставляет двусмысленности: монтаж систем контроля доступа, видеонаблюдения, охранной и пожарной сигнализации отнесён Общероссийским классификатором видов экономической деятельности (ОКВЭД 2, ОК 029-2014) к разделу F «Строительство», классу 43.2, коду 43.21 «Производство электромонтажных работ». Слово «производство» здесь не метафора и не вольность авторов — это учётная категория, по которой организация регистрируется в налоговом органе и по которой статистика считает вклад отрасли в валовой внутренний продукт. Первая часть настоящего учебника подводила студента к порогу этого производства: к моменту, когда штат подобран, ресурсы обоснованы, смета согласована и договор с заказчиком подписан. Вторая часть начинается за этим порогом — там, где планирование заканчивается и начинается исполнение, за качество и сроки которого фирма отвечает не только перед заказчиком, но и перед законом.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 момента зачисления аванса на расчётный счёт подрядчика правоотношение меняет природу. Документ о намерениях сторон превращается в обязательство, обеспеченное главой 37 Гражданского кодекса Российской Федерации: за качество выполненных работ отвечают статьи 721 и 723, за нарушение согласованных сроков — статья 708, вплоть до неустойки и права заказчика отказаться от договора. План можно переписать без последствий в любой момент до подписания сметы; исполнение переписать нельзя — можно только скорректировать, и эта корректировка стоит денег, времени или того и другого одновременно. Вторая часть учебника посвящена именно управлению такой корректировкой: тому, что происходит с проектом информационной безопасности, когда стройная схема, начерченная в кабинете, встречается с конкретным объектом, конкретным сотрудником и конкретным сроком.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Учебное пособие адресовано студентам трёх направлений подготовки, для которых в первой части были сформулированы цели дисциплины «Управление проектами по защите информации и экономика защиты информации»: 10.03.01 «Информационная безопасность» (уровень бакалавриата, компетенция ОПК-12 — способность готовить исходные данные для проектирования подсистем защиты информации и технико-экономического обоснования проектных решений, согласно приказу Минобрнауки России от 17.11.2020 № 1427); 10.04.01 «Информационная безопасность телекоммуникационных систем» (уровень магистратуры, компетенции УК-2 — способность управлять проектом на всех этапах жизненного цикла, и УК-3 — способность организовывать и руководить работой команды, согласно приказу от 26.11.2020 № 1455); 10.05.01 «Компьютерная безопасность» (уровень специалитета, компетенции УК-2 и УК-9 — способность принимать обоснованные экономические решения, согласно приказу от 26.11.2020 № 1459). Внутри второй части эти компетенции раскрываются не единым блоком, а по разделам: глава 1 формирует у бакалавра индикаторы ОПК-12 и УК-9 через задачу идентификации фирмы и подбора её ресурсов, у магистра — ОПК-1 через работу с нормативным массивом трёх уровней регулирования, у специалиста — ОПК-5 через кадровые и материально-технические расчёты; последующие главы задействуют ОПК-2 в её индикаторах 2.1, 2.2 и 2.4, ОПК-3, ОПК-10, ОПК-16 и УК-1 по мере того, как проект проходит стадии монтажа, аудита и сдачи заказчику. Это распределение не случайно и не равномерно: не каждая глава активирует компетенции всех трёх направлений одновременно, и там, где формулировка цели её не упоминает, соответствующего практического блока для этого направления попросту нет — устройство дисциплины таково по замыслу, а не по недосмотру.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Целью второй части учебника является формирование у обучающихся практических навыков управления проектом информационной безопасности в разрезе трёх групп ресурсов — кадровых, материально-технических и финансово-временных, — необходимых для монтажа, адаптации к условиям объекта и пусконаладки систем контроля доступа, видеонаблюдения, охранной и пожарной сигнализации, а также программно-аппаратных и организационно-административных проектов защиты информации, включая применение специализированного программного инструментария для планирования и учёта проектных работ.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Задачами второй части учебника являются: изучение типологии проектов информационной безопасности и нормативной базы, применимой к их исполнению в зависимости от масштаба проекта; освоение требований профессиональных стандартов 06.033 и 06.032 к составу и квалификации персонала проекта; рассмотрение особенностей монтажа, адаптации к условиям объекта и пусконаладки комплектующих изделий по видам систем безопасности; освоение методики расчёта оплаты труда исполнителей и нормирования времени на сопутствующие хозяйственные операции — согласования, закупки, приёмку работ, обучение персонала заказчика; получение практических навыков планирования и учёта проектных работ в среде «1С: ERP+PM Управление проектной организацией», дополняющей рассмотренную в первой части Microsoft Project и включённой в реестр российского программного обеспечения; формирование навыков аудита проектов ИБ по контрольным точкам и типичным упущениям, характерным для каждого вида систем безопасности.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Три группы ресурсов не разнородны — они связаны последовательностью, в которой менеджер проекта фактически принимает решения. Прежде чем считать деньги, нужно понять, кто будет исполнять проект: этому посвящена глава 1, где рассмотрены типология проектов, применимая к ним нормативная база и то, как фирма — от розыгрыша типа проекта до подбора персонала под конкретный портфель — устанавливает состав своих кадровых и материально-технических ресурсов ещё до выезда инженера на объект. Затем встаёт вопрос комплектующих изделий и особенностей их монтажа применительно к конкретному объекту — контроллеры и считыватели для систем контроля доступа, видеокамеры и регистраторы для систем видеонаблюдения, извещатели и приёмно-контрольные приборы для сигнализации, — и лишь после этого имеет смысл считать оплату труда исполнителей и время, потраченное на сопутствующие операции. Обратный порядок — сначала смета, потом состав команды — является типичной ошибкой начинающего менеджера проекта и коротким путём к перерасходу бюджета, потому что стоимость проекта в этой логике оценивается раньше, чем определено, кто и с какой квалификацией его будет исполнять.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Структурно вторая часть закрывает три последних фазы цикла Plan-Do-Check-Act, предложенного У. Шухартом и закреплённого сегодня в ГОСТ Р ИСО 9001-2015 как основа процессного подхода к управлению качеством. Первая часть учебника — это фаза Plan: пять блоков планирования, от ставок персонала до цены договора. Глава 1 настоящей части открывает фазу Do с её самого начала — с момента, когда фирма ещё не знает, какой именно проект ей достанется, и должна подтвердить, что обладает ресурсами для любого из двадцати типов проектов трёх портфелей до того, как розыгрыш определит конкретный. Последующие главы про монтаж и пусконаладку продолжают фазу Do; разрывы и дефициты, которым посвящена отдельная глава, составляют фазу Check; оптимизация ресурсов и сжатие расписания — фазу Act. Международный стандарт ISO 21500 описывает тот же контур через группы процессов управления проектом, а Свод знаний PMBOK выделяет для контрольной фазы отдельную категорию «Мониторинг и управление» — читатель встретит в этой части учебника её прямые, узнаваемые следы: реестр проблем, план-факт анализ по методу освоенного объёма, показатели CPI и SPI.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Ресурсная неопределённость, с которой глава 1 работает напрямую, задана самой архитектурой практикума: фирма формирует штат и материально-технические ресурсы, ещё не зная, какой из трёх портфелей — инженерно-технических средств охраны, программно-аппаратных проектов или организационно-административных проектов — выпадет ей на розыгрыше, и какой из принадлежащих этому портфелю типов проекта в итоге достанется. Это не искусственное усложнение задачи, а рабочая модель реального рынка подрядных услуг: коммерческая фирма редко может позволить себе штат, укомплектованный под единственный будущий заказ, — она формирует универсальный кадровый и ресурсный резерв, способный закрыть диапазон вероятных задач, и уточняет его уже после того, как заказ определён. Глава 1 учит именно этому: различать, какие позиции штатного расписания и какие статьи материально-технических ресурсов остаются нужными при любом исходе розыгрыша, а какие оказываются избыточными или, наоборот, недостающими для конкретного выпавшего типа проекта.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Разрывы между планом и фактом не являются исключением из нормального хода проекта — они его неизбежная часть, и распознавать их вовремя есть отдельный профессиональный навык, которому нельзя научиться, просто изучив регламент. Практика систем безопасности знает характерный пример: бригада монтирует резервированный блок питания и аккумуляторные батареи, но не вносит в исполнительную документацию проверку автономной работы от аккумулятора — пункт типового чек-листа приёмки, — и пробел обнаруживает не бригадир, а заказчик уже на сдаче объекта. Тот же принцип действует и раньше, на стадии Старта 0, только применительно не к смонтированному оборудованию, а к самому составу проектной команды: справочник-аудитор, материалы которого легли в основу контрольных точек этой части учебника, фиксирует, что типичное упущение при подборе персонала — не отсутствие нужной должности как таковой, а несоответствие фактической квалификации сотрудника заявленной в штатном расписании, обнаруживаемое не в момент подбора, а уже на этапе исполнения. Практикум моделирует эту ситуацию буквально: в списке кандидатов на каждую вакансию заведомо присутствуют «ловушки» — сотрудники смежного портфеля, чьи должности звучат правдоподобно, но не соответствуют профилю выпавшего проекта, и заведомо посторонний персонал вроде массажиста директора или водителя фирмы, включённый в перечень ровно для того, чтобы студент научился отличать профильного специалиста от случайной строки штатного расписания до того, как цена этой ошибки перейдёт со страницы учебника на реальный объект.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Обнаруженный разрыв не устраняется сам по себе — требуется управленческое решение, и учебник намеренно разводит два инструмента, которые студенты обычно путают. Resource leveling сдвигает задачи во времени под фактическую загрузку сотрудника, не меняя состав персонала, и может удлинить срок проекта. Crashing добавляет второго исполнителя — «дублёра», принимающего на себя часть нагрузки, — ценой дополнительных расходов на оплату труда. Первый инструмент экономит деньги за счёт времени, второй экономит время за счёт денег; выбор между ними определяется не абстрактной правильностью метода, а конкретными ограничениями конкретного проекта — сроком по договору, наличием свободных рук на рынке труда конкретного города, штрафными санкциями за просрочку. Вторая часть учебника учит именно этому выбору, а не заучиванию определений.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Экономическое ядро второй части — глава об аудите информационной безопасности заказчика до и после исполнения проекта. Здесь учебник называет вещи своими именами там, где их принято сглаживать: аудит проводит та же фирма, которая исполняла проект, и это конфликт интересов, а не досадная оговорка, — у исполнителя есть прямой стимул показать в собственном отчёте красивое снижение риска. Балльная оценка риска методом Дельфи — согласование независимых экспертных оценок вероятности и тяжести последствий — существует именно как инструмент, снижающий влияние этого стимула на итоговую цифру, а не устраняющий его полностью; полное устранение конфликта интересов потребовало бы привлечения стороннего аудитора, что для большинства проектов малого и среднего масштаба экономически не оправдано и в тексте учебника прямо признаётся ограничением метода, а не его недостатком.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Итоговая эффективность проекта считается в учебнике двумя разными способами, и расхождение между ними вынесено на поверхность текста, а не спрятано в сноску. Классическая формула ROSI (Sonnenreich, Albanese, Stout, 2006) сопоставляет ожидаемые потери до и после внедрения мер защиты за вычетом стоимости самого проекта и трактует деньги заказчика на информационную безопасность как инвестицию. Методика TDI/BRI, применяемая в основном тексте учебника, называет ту же по структуре величину коэффициентом результативности затрат — Кэз, — потому что деньги, потраченные на закупаемые, а не производимые фирмой компоненты, не создают у заказчика актива с будущим доходом и по определению Международных стандартов финансовой отчётности являются расходом, а не инвестицией. Более ранняя прикладная статья той же кафедры для малого и среднего бизнеса допускала инвестиционную трактовку под именем ROI_IB; выпускная квалификационная работа кафедры, посвящённая индексу Парето как критерию адаптивного бюджетирования информационной безопасности, прямо формулирует в заключении, что расходы на информационную безопасность носят операционный характер, что исключает применение ROSI в его исходном виде. Учебник следует этой более поздней позиции, но приводит классический ROSI не для того, чтобы его опровергнуть, а для того, чтобы читатель видел разницу собственными глазами и умел объяснить, почему один и тот же проект может получить два разных вывода об эффективности в зависимости от выбранной методики расчёта. Для сравнения в тексте приводится и американское правило 37% Гордона — Лёба: не как альтернатива расчётной методике, а как ориентир, показывающий верхнюю разумную границу бюджета защиты относительно ожидаемого ущерба.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Значимость материала этой части учебника не убывает со временем — она растёт вместе с ростом самой цифровизации. По данным Агентства Европейского союза по кибербезопасности, доля фишинговых атак с использованием генеративного искусственного интеллекта превысила 80% всех случаев социальной инженерии за период с июля 2024 по июнь 2025 года, а угрозы, направленные на промышленные системы, выросли до 18,2% от всех зафиксированных категорий инцидентов. Автоматизация полного цикла атаки — от разведки до принятия решения — без участия человека со стороны нападающего названа индустрией одним из главных вызовов текущего периода. Рост числа проектов информационной безопасности — не временный всплеск спроса, а прямое следствие того, что цифровая инфраструктура продолжает расширяться быстрее, чем успевает защищаться; двадцать типов проектов, между которыми распределяет заказы розыгрыш в главе 1, отражают именно эту растущую дифференциацию рынка, а не искусственное разнообразие учебных сценариев.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Здесь уместно сказать и о роли искусственного интеллекта в самом управлении такими проектами, раз вторая часть учебника посвящена не только монтажу, но и контролю с аудитом. Автономные системы всё увереннее берут на себя часть административных функций — планирование, отслеживание ресурсов, часть контроля рисков; профессиональное сообщество называет текущий период временем перехода к гибридной модели «человек плюс искусственный интеллект». Но ответственность по главе 37 Гражданского кодекса, лицензия ФСТЭК России, подпись на акте приёмки — категории, требующие правосубъектности, которой автоматизированная система не обладает и не может обладать по своей природе. Совесть, в том смысле, в каком это слово употребляется применительно к решению, кого и как защищать, остаётся не у машины, а у того, кто эту машину использует; для студента, который в главе 1 впервые садится за виртуальный стол директора фирмы и подбирает себе персонал, эта ответственность начинается не с монтажа оборудования, а с первой отмеченной галочки в штатном расписании.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Материал второй части выстроен так, чтобы читатель мог последовательно пройти путь от общей типологии проектов информационной безопасности и их кадрового обеспечения (глава 1) к особенностям монтажа, адаптации и пусконаладки комплектующих изделий по видам систем безопасности, а затем — к расчёту оплаты труда исполнителей, нормированию времени на хозяйственные операции по устройству проекта и, наконец, к аудиту результата. Такая последовательность отражает реальный порядок работы менеджера проекта информационной безопасности: сначала определяется, кто и по каким нормам будет исполнять проект, затем — что именно предстоит смонтировать и адаптировать под объект, далее — во сколько это обойдётся заказчику по деньгам и по времени, и только в конце — что из заложенного действительно было выполнено.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Источники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Гражданский кодекс Российской Федерации (часть вторая) от 26.01.1996 № 14-ФЗ, глава 37 «Подряд», ст. 708, 721, 723.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ГОСТ Р ИСО 9001-2015. Системы менеджмента качества. Требования. — М.: Стандартинформ, 2015.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ISO 21500:2021. Project, programme and portfolio management — Context and concepts.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Project Management Institute. A Guide to the Project Management Body of Knowledge (PMBOK Guide). — 7th ed. — Newtown Square: PMI, 2021.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Общероссийский классификатор видов экономической деятельности (ОКВЭД 2) ОК 029-2014 (КДЕС Ред. 2): раздел F «Строительство», код 43.21 «Производство электромонтажных работ».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Приказ Минтруда России от 14.09.2022 № 525н «Об утверждении профессионального стандарта 06.033 «Специалист по защите информации в автоматизированных системах».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Приказ Минтруда России от 14.09.2022 № 533н «Об утверждении профессионального стандарта 06.032 «Специалист по безопасности компьютерных систем и сетей».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Приказ Минобрнауки России от 17.11.2020 № 1427 «Об утверждении ФГОС ВО по направлению подготовки 10.03.01 Информационная безопасность (уровень бакалавриата)».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Приказ Минобрнауки России от 26.11.2020 № 1455 «Об утверждении ФГОС ВО по направлению подготовки 10.04.01 Информационная безопасность телекоммуникационных систем (уровень магистратуры)».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Приказ Минобрнауки России от 26.11.2020 № 1459 «Об утверждении ФГОС ВО по специальности 10.05.01 Компьютерная безопасность (уровень специалитета)».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Мандрица И.В., Петренко В.И., Мандрица О.В. Управление проектами по защите информации и экономика защиты информации: учебное пособие. — Ставрополь: Изд-во СКФУ, 2022.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Sonnenreich W., Albanese J., Stout B. Return On Security Investment (ROSI): A Practical Quantitative Model // Journal of Research and Practice in Information Technology. — 2006. — Vol. 38, № 1. — P. 45–56.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Gordon L.A., Loeb M.P. The Economics of Information Security Investment // ACM Transactions on Information and System Security. — 2002. — Vol. 5, № 4. — P. 438–457.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Индекс Парето как критерий адаптивного бюджетирования информационной безопасности // Правовая информатика. — 2026. — № 1. — С. 16–30. — DOI 10.24412/1994-1404-2026-1-00-02.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ENISA Threat Landscape 2025. — European Union Agency for Cybersecurity, 2025.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16. «1С: ERP+PM Управление проектной организацией»: описание решения [Электронный ресурс]. — Режим доступа: https://solutions.1c.ru/catalog/erp-pm (продукт включён в реестр российского программного обеспечения).</w:t>
      </w:r>
    </w:p>
    <w:p>
      <w:r>
        <w:br w:type="page"/>
      </w:r>
    </w:p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ГЛАВА 1. СТАРТ 0: ИДЕНТИФИКАЦИЯ ФИРМЫ, ТИПОЛОГИЯ ПРОЕКТОВ И РЕСУРСНОЕ ОБЕСПЕЧЕНИЕ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 информационной безопасности редко существует в одиночном исполнении. Заказчик выбирает не абстрактную «защиту», а конкретный набор технических и организационных решений под свой бюджет, штат и степень зрелости бизнес-процессов. Но до того, как заказчик вообще появится на горизонте фирмы-исполнителя, сама фирма должна собрать команду и материально-техническую базу, способную закрыть любой из вероятных заказов — то есть принять решение о ресурсах в условиях, когда конкретный тип будущего проекта ещё не известен. Эта глава открывает вторую часть учебного пособия и рассматривает стадию, предшествующую договору с заказчиком: студент выступает в роли директора фирмы-исполнителя, которая только что зарегистрирована, ещё не имеет портфеля выполненных заказов и должна пройти путь от первого телефонного звонка до утверждённого штатного расписания и сметы ресурсов.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Этот путь распадается на восемь смысловых блоков, рассматриваемых далее последовательно: механика распределения типа проекта (1.1), типология проектов по масштабу (1.2), нормативная база и её слоистая структура (1.3), кадровое обеспечение и панель подбора персонала (1.4), материально-технические ресурсы фирмы по категориям затрат (1.5), норматив допустимой ошибочности при подборе ресурсов (1.6), итоговый тест по компетенциям, которым Старт 0 формально закрывается (1.7), и, забегая вперёд по отношению к последующим главам, — контрольные точки аудита, к оценке которых фирма придёт уже после исполнения проекта (1.8).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От входящего звонка до распределения типа проекта: механика Старта 0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Фирма на старте практикума не выбирает себе заказ — она получает его через случайный, но не полностью случайный механизм. Прежде чем сработает розыгрыш, офис-менеджер фирмы принимает входящий звонок от клиента и заполняет карточку CRM-анкеты: фамилию, имя и отчество обратившегося, контактный телефон, адрес объекта и дополнительные пожелания к проекту. Эти сведения важны сами по себе — без них не оформить договор, — но результата розыгрыша они не определяют.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 определяет отдельный, более узкий опрос — анкета о профиле специализации самой фирмы, а не о пожеланиях клиента. Она задаётся перед каждым из трёх розыгрышей отдельно, поскольку портфели проектов открываются не одновременно, а последовательно: второй портфель становится доступен только после того, как фирма сдала отчётность по первому проекту, третий — после второго. До своего розыгрыша портфель показан студенту «в тумане»: названия типов проектов внутри него скрыты, хотя факт существования портфеля виден. Такая последовательность воспроизводит обычную практику подрядной организации: редкая фирма получает сразу три разнородных заказа параллельно, обычно заказы поступают один за другим, и опыт, приобретённый на первом, влияет на то, как фирма подходит ко второму.</w:t>
      </w:r>
    </w:p>
    <w:p>
      <w:pPr>
        <w:spacing w:after="60" w:before="120"/>
        <w:jc w:val="center"/>
      </w:pPr>
      <w:r>
        <w:drawing>
          <wp:inline distT="0" distB="0" distL="0" distR="0">
            <wp:extent cx="558165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Рисунок 1 – Последовательность шагов Старта 0 от анкеты фирмы до передачи проекта в планирование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 показывает восемь шагов, отделяющих регистрацию фирмы от начала работы над сметой на Занятии 1: анкета профиля и розыгрыш определяют тип проекта, объект и код ОКВЭД ещё до первого контакта с конкретным клиентом; звонок и CRM-анкета фиксируют, кто обратился; визит инженера, уведомление главного инженера, эскиз, чертёж в AutoCAD и локальная смета переводят абстрактный тип проекта в конкретный комплект исходных данных, с которым фирма выйдет на планирование ресурсов.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портфеля инженерно-технических средств охраны вопрос анкеты звучит так: «На каких объектах ваша фирма специализируется?» — с вариантами ответа «периметр и протяжённые ограждения», «объекты с массовым пребыванием людей», «отдельно стоящие охраняемые объекты» и «универсальный профиль». Для программно-аппаратного портфеля вопрос иной: «Какая проблема информационной безопасности у клиентов вашей фирмы встречается чаще всего?» — с вариантами от защиты периметра сети до непрерывности бизнеса. Для организационно-административного портфеля вопрос обращён к типу заказчика: объекты критической информационной инфраструктуры, операторы персональных данных или объекты с требованиями антитеррористической защищённости. Ответ, отличный от универсального профиля, не назначает тип проекта напрямую — он сокращает пул вариантов, из которого затем выбирает случайность. Например, ответ «периметр и протяжённые ограждения» оставляет в пуле только периметральное ограждение и комплексный проект «под ключ», исключая из розыгрыша, скажем, пожарную сигнализацию отдельно стоящего здания. Изменить профиль задним числом, после того как розыгрыш по этому портфелю уже состоялся, нельзя — точно так же, как невозможно в реальной практике заявить рынку одну специализацию, а получив заказ, отказаться от него под предлогом смены профиля.</w:t>
      </w:r>
    </w:p>
    <w:p>
      <w:pPr>
        <w:spacing w:after="60" w:before="120"/>
        <w:jc w:val="center"/>
      </w:pPr>
      <w:r>
        <w:drawing>
          <wp:inline distT="0" distB="0" distL="0" distR="0">
            <wp:extent cx="55816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Рисунок 2 – Механика сужения пула вариантов анкетой профиля и случайным розыгрышем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2 подтверждает, что анкета профиля и розыгрыш выполняют разные функции: анкета сокращает ДОСТУПНЫЙ пул типов проекта, но не определяет исход, а случайность выбирает конкретный тип уже из суженного пула. Тот же принцип действует и на следующем шаге: случайность подбирает не любой объект заказчика, а только тот, чьи признаки совместимости соответствуют выпавшему типу проекта, и лишь затем автоматически присваивает код ОКВЭД, соответствующий этому типу.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Розыгрыш случайно выбирает один тип проекта из сокращённого пула — от шести вариантов при узком профиле до полного набора в шесть, восемь или шесть типов по трём портфелям при универсальном профиле (итого двадцать типов на весь практикум). Одновременно с типом проекта случайность подбирает и конкретный объект заказчика — не любой из общего перечня, а только совместимый с выпавшим типом по заранее заданным признакам. В базе данных практикума таких объектов сорок три: от торгового центра и школы до частного домовладения, гаражного бокса в кооперативе и дачного участка — три последних добавлены к исходному перечню юридических лиц, чтобы отразить и сегмент физических лиц, с которым тоже работают монтажные фирмы. Каждый объект несёт признаки совместимости — периметр, отдельно стоящее здание, массовое пребывание людей, объект критической информационной инфраструктуры, развитая ИТ-инфраструктура, — и подбор идёт только среди объектов, чьи признаки соответствуют требованиям выпавшего типа проекта: периметральному ограждению нужен объект с протяжённым периметром, категорированию объекта критической инфраструктуры — объект с соответствующим признаком, программно-аппаратным проектам — объект с развитой ИТ-инфраструктурой.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Сразу вслед за розыгрышем фирма получает не абстрактный код деятельности, а конкретный — Общероссийский классификатор видов экономической деятельности присваивается автоматически, исходя из выпавшего типа проекта, а не выбирается студентом произвольно. Работы по монтажу технических средств охраны — контроль доступа, видеонаблюдение, сигнализация, периметр, комплексные проекты — кодируются по 43.21 «Производство электромонтажных работ»; программно-аппаратные проекты — межсетевые экраны, DLP-системы, IAM, SIEM, EDR, VPN, криптографическая защита — по 62.02 «Деятельность консультативная и работы в области компьютерных технологий»; резервное копирование выделено отдельно, по 63.11 «Деятельность по обработке данных»; разработка политик, категорирование объектов критической инфраструктуры и приведение обработки персональных данных в соответствие закону — по 70.22 «Консультирование по вопросам коммерческой деятельности и управления»; паспорт безопасности — по 74.90 «Деятельность профессиональная, научная и техническая прочая»; программы обучения персонала — по 85.42 «Образование дополнительное профессиональное». Такая привязка не техническая условность интерфейса, а прямое следствие того, что разные виды деятельности регулируются разными нормами: код 43.21 подчиняет фирму требованиям к строительно-монтажным работам, код 62.02 — требованиям к консультационной деятельности в сфере компьютерных технологий, и смешивать эти режимы регулирования, как показано в разделе 1.3, — значит подкладывать под проект неподходящую нормативную базу.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1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Портфели и типы проектов информационной безопасности, разыгрываемых на Старте 0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78"/>
        <w:gridCol w:w="4318"/>
        <w:gridCol w:w="1619"/>
      </w:tblGrid>
      <w:tr>
        <w:trPr>
          <w:cantSplit/>
          <w:tblHeader/>
        </w:trPr>
        <w:tc>
          <w:tcPr>
            <w:tcW w:type="dxa" w:w="540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87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Портфель</w:t>
            </w:r>
          </w:p>
        </w:tc>
        <w:tc>
          <w:tcPr>
            <w:tcW w:type="dxa" w:w="431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Типы проектов</w:t>
            </w:r>
          </w:p>
        </w:tc>
        <w:tc>
          <w:tcPr>
            <w:tcW w:type="dxa" w:w="1619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Код ОКВЭД</w:t>
            </w:r>
          </w:p>
        </w:tc>
      </w:tr>
      <w:tr>
        <w:trPr>
          <w:cantSplit/>
          <w:tblHeader w:val="false"/>
        </w:trPr>
        <w:tc>
          <w:tcPr>
            <w:tcW w:type="dxa" w:w="5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8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Инженерно-технические средства охраны (6 типов)</w:t>
            </w:r>
          </w:p>
        </w:tc>
        <w:tc>
          <w:tcPr>
            <w:tcW w:type="dxa" w:w="43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СКУД, видеонаблюдение, охранная сигнализация, пожарная сигнализация, периметральное ограждение, комплексный проект «под ключ»</w:t>
            </w:r>
          </w:p>
        </w:tc>
        <w:tc>
          <w:tcPr>
            <w:tcW w:type="dxa" w:w="16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43.21</w:t>
            </w:r>
          </w:p>
        </w:tc>
      </w:tr>
      <w:tr>
        <w:trPr>
          <w:cantSplit/>
          <w:tblHeader w:val="false"/>
        </w:trPr>
        <w:tc>
          <w:tcPr>
            <w:tcW w:type="dxa" w:w="5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8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Программно-аппаратный проект ИБ (8 типов)</w:t>
            </w:r>
          </w:p>
        </w:tc>
        <w:tc>
          <w:tcPr>
            <w:tcW w:type="dxa" w:w="43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NGFW, DLP, IAM/MFA/SSO, SIEM/SOC, EDR, VPN, резервное копирование, криптографическая защита</w:t>
            </w:r>
          </w:p>
        </w:tc>
        <w:tc>
          <w:tcPr>
            <w:tcW w:type="dxa" w:w="16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62.02 (backup — 63.11)</w:t>
            </w:r>
          </w:p>
        </w:tc>
      </w:tr>
      <w:tr>
        <w:trPr>
          <w:cantSplit/>
          <w:tblHeader w:val="false"/>
        </w:trPr>
        <w:tc>
          <w:tcPr>
            <w:tcW w:type="dxa" w:w="5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8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Организационно-административный проект (6 типов)</w:t>
            </w:r>
          </w:p>
        </w:tc>
        <w:tc>
          <w:tcPr>
            <w:tcW w:type="dxa" w:w="43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Политика и регламенты ИБ, категорирование КИИ, приведение обработки ПДн, паспорт безопасности, аудит/пентест, обучение персонала</w:t>
            </w:r>
          </w:p>
        </w:tc>
        <w:tc>
          <w:tcPr>
            <w:tcW w:type="dxa" w:w="16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70.22 / 74.90 / 85.42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Данные таблицы 1 свидетельствуют о том, что распределение двадцати типов проекта по кодам ОКВЭД неравномерно: шесть типов первого портфеля укладываются в единственный код, восемь типов второго распадаются на два кода, шесть типов третьего — на три. Разница отражает не произвол классификатора, а объективное различие в характере работ: монтаж физических средств охраны технологически однороден независимо от конкретной системы, тогда как организационно-административные проекты расходятся по существу настолько, что паспорт безопасности объекта и программа обучения персонала попадают под разные коды даже при формальном сходстве заказчика.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Типология проектов информационной безопасности по масштабу и ожидаемому эффекту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Портфельное деление, рассмотренное в разделе 1.1, устроено по содержанию контрмер — оно отвечает на вопрос, что именно защищается и каким классом средств. Существует и второе, независимое основание типологии — масштаб проекта, выраженный через трудоёмкость, стоимость и ожидаемый эффект снижения информационных рисков; оно отвечает на вопрос, сколько ресурсов потребует исполнение, а не что именно исполняется. Оба основания применимы к любому из двадцати типов, разыгранных в разделе 1.1: СКУД частного дома и СКУД аэропорта относятся к одному портфелю и одному типу проекта, но резко расходятся по масштабу.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Массив реализуемых на практике проектов информационной безопасности группируется в три категории — крупные, средние и малые; граница между ними не жёсткая и определяется совокупностью параметров, а не единственным показателем стоимости.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2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Группировка проектов информационной безопасности по масштабу и ожидаемому эффекту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7"/>
        <w:gridCol w:w="1825"/>
        <w:gridCol w:w="1825"/>
        <w:gridCol w:w="1521"/>
        <w:gridCol w:w="2967"/>
      </w:tblGrid>
      <w:tr>
        <w:trPr>
          <w:cantSplit/>
          <w:tblHeader/>
        </w:trPr>
        <w:tc>
          <w:tcPr>
            <w:tcW w:type="dxa" w:w="1217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Группа проектов</w:t>
            </w:r>
          </w:p>
        </w:tc>
        <w:tc>
          <w:tcPr>
            <w:tcW w:type="dxa" w:w="182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Трудоёмкость, этапов</w:t>
            </w:r>
          </w:p>
        </w:tc>
        <w:tc>
          <w:tcPr>
            <w:tcW w:type="dxa" w:w="182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Стоимость, млн руб. (цены 2022 г.)</w:t>
            </w:r>
          </w:p>
        </w:tc>
        <w:tc>
          <w:tcPr>
            <w:tcW w:type="dxa" w:w="1521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Снижение рисков, %</w:t>
            </w:r>
          </w:p>
        </w:tc>
        <w:tc>
          <w:tcPr>
            <w:tcW w:type="dxa" w:w="2967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Характерные примеры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Крупные</w:t>
            </w:r>
          </w:p>
        </w:tc>
        <w:tc>
          <w:tcPr>
            <w:tcW w:type="dxa" w:w="18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20 до 70</w:t>
            </w:r>
          </w:p>
        </w:tc>
        <w:tc>
          <w:tcPr>
            <w:tcW w:type="dxa" w:w="18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0,6 до 8</w:t>
            </w:r>
          </w:p>
        </w:tc>
        <w:tc>
          <w:tcPr>
            <w:tcW w:type="dxa" w:w="152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20 до 90</w:t>
            </w:r>
          </w:p>
        </w:tc>
        <w:tc>
          <w:tcPr>
            <w:tcW w:type="dxa" w:w="296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СКУД, ОПС, видеонаблюдение, телекоммуникационные системы взаимодействия органов власти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Средние</w:t>
            </w:r>
          </w:p>
        </w:tc>
        <w:tc>
          <w:tcPr>
            <w:tcW w:type="dxa" w:w="18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25 до 35</w:t>
            </w:r>
          </w:p>
        </w:tc>
        <w:tc>
          <w:tcPr>
            <w:tcW w:type="dxa" w:w="18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0,15 до 1</w:t>
            </w:r>
          </w:p>
        </w:tc>
        <w:tc>
          <w:tcPr>
            <w:tcW w:type="dxa" w:w="152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30 до 90</w:t>
            </w:r>
          </w:p>
        </w:tc>
        <w:tc>
          <w:tcPr>
            <w:tcW w:type="dxa" w:w="296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Криптографическая защита и ЭП, защита КИИ (187-ФЗ), DLP, АСУ ТП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Малые</w:t>
            </w:r>
          </w:p>
        </w:tc>
        <w:tc>
          <w:tcPr>
            <w:tcW w:type="dxa" w:w="18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10 до 30</w:t>
            </w:r>
          </w:p>
        </w:tc>
        <w:tc>
          <w:tcPr>
            <w:tcW w:type="dxa" w:w="18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0,05 до 0,35</w:t>
            </w:r>
          </w:p>
        </w:tc>
        <w:tc>
          <w:tcPr>
            <w:tcW w:type="dxa" w:w="152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20 до 90</w:t>
            </w:r>
          </w:p>
        </w:tc>
        <w:tc>
          <w:tcPr>
            <w:tcW w:type="dxa" w:w="296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Антивирусная защита, межсетевое экранирование, эшелонированная защита, защита ПДн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2 показывает, что деление на крупные, средние и малые проекты не совпадает с делением по ожидаемому эффекту: даже малые по трудоёмкости проекты — например, антивирусная защита или межсетевое экранирование — способны снижать риски на 80–90%, поскольку закрывают массовые и типовые угрозы. Стоимость и трудоёмкость проекта отражают ресурсную нагрузку на исполнителя, а процент снижения риска — ценность проекта для заказчика; эти два параметра стоит анализировать по отдельности, не подменяя один другим при выборе темы курсовой или выпускной квалификационной работы, равно как и при оценке того, какой из выпавших на Старте 0 объектов — гаражный кооператив или аэропорт — потребует от фирмы кратно большего ресурсного резерва.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Нормативные документы: слоистая структура и её отражение в присвоении кода деятельности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Нормативная база проекта информационной безопасности имеет слоистую структуру: то, что обязательно для проекта защиты критической информационной инфраструктуры, может быть избыточным для проекта видеонаблюдения в малом офисе. Ошибка начинающего разработчика технического задания — попытка учесть все существующие документы сразу, без привязки к типу и масштабу проекта. Правильный порядок обратный: сначала определяется тип проекта, как показано в разделах 1.1–1.2, затем для него отбирается применимое подмножество норм — и уже на этом отборе завязана автоматическая привязка кода ОКВЭД, разобранная в разделе 1.1: код 43.21 подтягивает за собой требования к строительно-монтажным работам, код 62.02 — требования к деятельности в сфере компьютерных технологий, и эти требования не тождественны.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Верхний, первый слой образуют федеральные законы — они действуют для любого проекта независимо от масштаба и задают общие понятия информации, персональных данных, коммерческой тайны и критической инфраструктуры. Второй слой — подзаконные и ведомственные документы ФСТЭК России и ФСБ России: методики оценки угроз, приказы о классах защищённости, регламенты аттестации. Третий слой — национальные стандарты серии ГОСТ Р, включая адаптированные международные стандарты ИСО/МЭК 27000. Нижний, четвёртый слой — локальные документы самой организации: политики информационной безопасности, регламенты доступа, инструкции персоналу, обязательные только внутри конкретного предприятия.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3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Группировка нормативных правовых актов по уровням регулирования проектов информационной безопасности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3877"/>
        <w:gridCol w:w="3287"/>
      </w:tblGrid>
      <w:tr>
        <w:trPr>
          <w:cantSplit/>
          <w:tblHeader/>
        </w:trPr>
        <w:tc>
          <w:tcPr>
            <w:tcW w:type="dxa" w:w="2191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Уровень регулирования</w:t>
            </w:r>
          </w:p>
        </w:tc>
        <w:tc>
          <w:tcPr>
            <w:tcW w:type="dxa" w:w="3877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Документы</w:t>
            </w:r>
          </w:p>
        </w:tc>
        <w:tc>
          <w:tcPr>
            <w:tcW w:type="dxa" w:w="3287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Применимость по масштабу проекта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Законодательный</w:t>
            </w:r>
          </w:p>
        </w:tc>
        <w:tc>
          <w:tcPr>
            <w:tcW w:type="dxa" w:w="38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149-ФЗ, 152-ФЗ, 98-ФЗ, 187-ФЗ</w:t>
            </w:r>
          </w:p>
        </w:tc>
        <w:tc>
          <w:tcPr>
            <w:tcW w:type="dxa" w:w="3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Крупные, средние, малые — обязательны для всех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Ведомственный (ФСТЭК, ФСБ)</w:t>
            </w:r>
          </w:p>
        </w:tc>
        <w:tc>
          <w:tcPr>
            <w:tcW w:type="dxa" w:w="38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Методика оценки угроз (2021), приказы о требованиях к СЗИ</w:t>
            </w:r>
          </w:p>
        </w:tc>
        <w:tc>
          <w:tcPr>
            <w:tcW w:type="dxa" w:w="3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Крупные и средние — обязательны; малые — выборочно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Национальные стандарты</w:t>
            </w:r>
          </w:p>
        </w:tc>
        <w:tc>
          <w:tcPr>
            <w:tcW w:type="dxa" w:w="38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Р 50922-2006, ГОСТ Р ИСО/МЭК 27001-2021, 27002-2021</w:t>
            </w:r>
          </w:p>
        </w:tc>
        <w:tc>
          <w:tcPr>
            <w:tcW w:type="dxa" w:w="3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Крупные — обязательны; средние и малые — рекомендательно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Локальный (корпоративный)</w:t>
            </w:r>
          </w:p>
        </w:tc>
        <w:tc>
          <w:tcPr>
            <w:tcW w:type="dxa" w:w="38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Политика ИБ, регламенты доступа, должностные инструкции</w:t>
            </w:r>
          </w:p>
        </w:tc>
        <w:tc>
          <w:tcPr>
            <w:tcW w:type="dxa" w:w="3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Крупные, средние, малые — обязательны для всех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таблицы 3 видно, что обязательными для проекта любого масштаба остаются только федеральные законы и локальные документы самой организации; ведомственные методики и национальные стандарты образуют переменную часть нормативной базы, которая расширяется по мере роста проекта. Отсюда практический вывод: техническое задание на малый проект — скажем, СКУД частного дома, выпавший фирме на Старте 0 при узком профиле, — перегружать ссылками на полный корпус ГОСТ Р ИСО/МЭК 27000 не следует: это удорожает документацию, не повышая защищённость объекта.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4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Группировка методических документов ФСТЭК России и национальных стандартов по этапам жизненного цикла проекта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3540"/>
        <w:gridCol w:w="3624"/>
      </w:tblGrid>
      <w:tr>
        <w:trPr>
          <w:cantSplit/>
          <w:tblHeader/>
        </w:trPr>
        <w:tc>
          <w:tcPr>
            <w:tcW w:type="dxa" w:w="2191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 проекта</w:t>
            </w:r>
          </w:p>
        </w:tc>
        <w:tc>
          <w:tcPr>
            <w:tcW w:type="dxa" w:w="3540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Профильный документ</w:t>
            </w:r>
          </w:p>
        </w:tc>
        <w:tc>
          <w:tcPr>
            <w:tcW w:type="dxa" w:w="3624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 на данном этапе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Предпроектное обследование</w:t>
            </w:r>
          </w:p>
        </w:tc>
        <w:tc>
          <w:tcPr>
            <w:tcW w:type="dxa" w:w="35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Методика оценки угроз безопасности информации (2021)</w:t>
            </w:r>
          </w:p>
        </w:tc>
        <w:tc>
          <w:tcPr>
            <w:tcW w:type="dxa" w:w="362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Идентификация и классификация угроз объекта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Проектирование мер защиты</w:t>
            </w:r>
          </w:p>
        </w:tc>
        <w:tc>
          <w:tcPr>
            <w:tcW w:type="dxa" w:w="35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Р ИСО/МЭК 27002-2021</w:t>
            </w:r>
          </w:p>
        </w:tc>
        <w:tc>
          <w:tcPr>
            <w:tcW w:type="dxa" w:w="362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Выбор и обоснование мер обеспечения ИБ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Внедрение и монтаж СЗИ</w:t>
            </w:r>
          </w:p>
        </w:tc>
        <w:tc>
          <w:tcPr>
            <w:tcW w:type="dxa" w:w="35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Приказы ФСТЭК России о требованиях к классам защищённости</w:t>
            </w:r>
          </w:p>
        </w:tc>
        <w:tc>
          <w:tcPr>
            <w:tcW w:type="dxa" w:w="362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Установление требований к сертифицированным средствам защиты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Эксплуатация и аудит</w:t>
            </w:r>
          </w:p>
        </w:tc>
        <w:tc>
          <w:tcPr>
            <w:tcW w:type="dxa" w:w="35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Р ИСО/МЭК 27001-2021</w:t>
            </w:r>
          </w:p>
        </w:tc>
        <w:tc>
          <w:tcPr>
            <w:tcW w:type="dxa" w:w="362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Оценка результативности системы менеджмента ИБ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4 демонстрирует, что у каждого этапа проекта есть собственный профильный документ, а не единый «универсальный» стандарт: попытка применять ГОСТ Р ИСО/МЭК 27001 на этапе предпроектного обследования, минуя методику оценки угроз, обычно приводит к формальному, оторванному от объекта перечню мер защиты — и это тот же принцип, что и в разделе 1.1: нормативная база подбирается под уже определённый тип и стадию проекта, а не наоборот.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 Кадровое обеспечение проекта: от профессиональных стандартов к панели подбора персонала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Кадровый ресурс проекта информационной безопасности регулируется не менее детально, чем нормативная база, и именно с него, а не со сметы, начинается практическая работа фирмы на Старте 0. Дисциплина «Управление проектами по защите информации» преподаётся по трём направлениям подготовки: 10.03.01 «Информационная безопасность» (уровень бакалавриата, компетенция ОПК-12), 10.04.01 «Информационная безопасность телекоммуникационных систем» (уровень магистратуры, компетенции УК-2, УК-3), 10.05.01 «Компьютерная безопасность» (уровень специалитета, компетенции УК-2, УК-9); применительно именно к Старту 0 методический блок дисциплины дополнительно задействует ОПК-12 и УК-9 для бакалавриата, ОПК-5 для специалитета и ОПК-1 для магистратуры — индикаторы, отвечающие не за проектирование системы защиты как таковой, а за подготовку исходных кадровых данных, без которых проектирование не начнётся.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 1 марта 2023 года действуют обновлённые профессиональные стандарты 06.033 «Специалист по защите информации в автоматизированных системах» и 06.032 «Специалист по безопасности компьютерных систем и сетей», которые задают квалификационные уровни, перечень трудовых функций и требования к опыту работы для должностей, задействованных в проектах информационной безопасности; отдельно для инженерно-технических средств охраны применим профессиональный стандарт 06.034 «Специалист по технической защите информации» (приказ Минтруда России № 474н), устанавливающий квалификационные уровни 6–8. Постановление Правительства РФ от 03.02.2012 № 79 о лицензировании деятельности по технической защите конфиденциальной информации задаёт для лицензиата минимальную численность инженерно-технического персонала — от пяти до пятнадцати и более специалистов в зависимости от заявленного направления работ, — и именно это требование, а не произвольное усмотрение методиста, определяет минимальный размер штата, который фирма обязана подтвердить ещё до розыгрыша конкретного проекта.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Состав команды заметно различается по группам, установленным в разделе 1.2. Крупные проекты, сопоставимые по бюджету с созданием центра мониторинга информационной безопасности, требуют полного цикла ролей — от архитектора системы защиты до дежурного администратора; крупные организации выделяют на подобные структуры от 10 до 15% ИТ-бюджета. Малые и средние предприятия чаще привлекают внешнего исполнителя или переносят часть функций на аутсорсинг — услуги managed security service provider, — сохраняя в штате одного-двух специалистов, отвечающих за приёмку работ и последующую эксплуатацию.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5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Группировка кадровых ролей проекта информационной безопасности по профессиональным стандартам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6"/>
        <w:gridCol w:w="2211"/>
        <w:gridCol w:w="1531"/>
        <w:gridCol w:w="3147"/>
      </w:tblGrid>
      <w:tr>
        <w:trPr>
          <w:cantSplit/>
          <w:tblHeader/>
        </w:trPr>
        <w:tc>
          <w:tcPr>
            <w:tcW w:type="dxa" w:w="2466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 в проекте</w:t>
            </w:r>
          </w:p>
        </w:tc>
        <w:tc>
          <w:tcPr>
            <w:tcW w:type="dxa" w:w="2211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Профессиональный стандарт</w:t>
            </w:r>
          </w:p>
        </w:tc>
        <w:tc>
          <w:tcPr>
            <w:tcW w:type="dxa" w:w="1531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Квалификационный уровень</w:t>
            </w:r>
          </w:p>
        </w:tc>
        <w:tc>
          <w:tcPr>
            <w:tcW w:type="dxa" w:w="3147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Ключевая трудовая функция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Руководитель проекта ИБ</w:t>
            </w:r>
          </w:p>
        </w:tc>
        <w:tc>
          <w:tcPr>
            <w:tcW w:type="dxa" w:w="22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ФГОС 10.05.01, УК-2, УК-3</w:t>
            </w:r>
          </w:p>
        </w:tc>
        <w:tc>
          <w:tcPr>
            <w:tcW w:type="dxa" w:w="153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7–8</w:t>
            </w:r>
          </w:p>
        </w:tc>
        <w:tc>
          <w:tcPr>
            <w:tcW w:type="dxa" w:w="31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Планирование, контроль этапов, отчётность перед заказчиком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Архитектор / проектировщик СЗИ</w:t>
            </w:r>
          </w:p>
        </w:tc>
        <w:tc>
          <w:tcPr>
            <w:tcW w:type="dxa" w:w="22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06.033, ОПК-6</w:t>
            </w:r>
          </w:p>
        </w:tc>
        <w:tc>
          <w:tcPr>
            <w:tcW w:type="dxa" w:w="153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6–7</w:t>
            </w:r>
          </w:p>
        </w:tc>
        <w:tc>
          <w:tcPr>
            <w:tcW w:type="dxa" w:w="31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Разработка проектных решений и требований к СЗИ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 СЗИ</w:t>
            </w:r>
          </w:p>
        </w:tc>
        <w:tc>
          <w:tcPr>
            <w:tcW w:type="dxa" w:w="22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06.032</w:t>
            </w:r>
          </w:p>
        </w:tc>
        <w:tc>
          <w:tcPr>
            <w:tcW w:type="dxa" w:w="153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5–6</w:t>
            </w:r>
          </w:p>
        </w:tc>
        <w:tc>
          <w:tcPr>
            <w:tcW w:type="dxa" w:w="31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Обслуживание и администрирование средств защиты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Аудитор / эксперт по защищённости</w:t>
            </w:r>
          </w:p>
        </w:tc>
        <w:tc>
          <w:tcPr>
            <w:tcW w:type="dxa" w:w="22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06.033, ОПК-6.2</w:t>
            </w:r>
          </w:p>
        </w:tc>
        <w:tc>
          <w:tcPr>
            <w:tcW w:type="dxa" w:w="153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31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Оценка соответствия объекта требованиям нормативных документов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Специалист по технической защите информации</w:t>
            </w:r>
          </w:p>
        </w:tc>
        <w:tc>
          <w:tcPr>
            <w:tcW w:type="dxa" w:w="22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06.034</w:t>
            </w:r>
          </w:p>
        </w:tc>
        <w:tc>
          <w:tcPr>
            <w:tcW w:type="dxa" w:w="153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5–6</w:t>
            </w:r>
          </w:p>
        </w:tc>
        <w:tc>
          <w:tcPr>
            <w:tcW w:type="dxa" w:w="31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Реализация мер защиты по техническим каналам утечки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Данные таблицы 5 показывают, что одна и та же роль в проекте может опираться сразу на два источника требований — профессиональный стандарт для практической деятельности и образовательный стандарт для подготовки кадров; расхождений между ними, как правило, не возникает, поскольку индикаторы достижения компетенций разрабатывались с прямой опорой на действующие трудовые функции.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Именно эта укомплектованность и проверяется на Старте 0 отдельной панелью подбора персонала — не абстрактным списком должностей, а таблицей конкретных сотрудников с полями «подходит», должность, требуемая квалификация, часовая ставка, коэффициент загрузки от 0 до 1 и итоговый месячный оклад, рассчитываемый по формуле (1.1):</w:t>
      </w:r>
    </w:p>
    <w:p>
      <w:pPr>
        <w:tabs>
          <w:tab w:val="right" w:pos="9026"/>
        </w:tabs>
        <w:spacing w:after="60" w:before="120" w:line="360" w:lineRule="auto"/>
        <w:jc w:val="left"/>
      </w:pPr>
      <m:oMath>
        <m:r>
          <m:t>ФОТ = </m:t>
        </m:r>
        <m:sSub>
          <m:sSubPr/>
          <m:e>
            <m:r>
              <m:t>C</m:t>
            </m:r>
          </m:e>
          <m:sub>
            <m:r>
              <m:t>ч</m:t>
            </m:r>
          </m:sub>
        </m:sSub>
        <m:r>
          <m:t> × 160 × k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(1.1)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ФОТ — месячный фонд оплаты труда сотрудника, руб.; Сч — часовая тарифная ставка сотрудника, руб./ч; 160 — учебная норма рабочих часов в месяце при полной занятости, ч; k — коэффициент загрузки сотрудника на проекте, безразмерная величина в диапазоне от 0 до 1.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Список кандидатов на подбор содержит не только соответствующих профилю выпавшего портфеля специалистов, но и намеренно подмешанные «ловушки» двух родов: реальные должности из других портфелей, правдоподобные по названию, но не подходящие выпавшему типу проекта, и заведомо посторонний персонал — психолог фирмы, массажист директора, водитель, охранник, — включённый в перечень не по ошибке составителя, а как инструмент проверки внимательности студента. Отдельная, более тонкая ловушка — «самозванец на правильной должности»: в перечне может встретиться кандидат, формально называющийся менеджером проекта, но с описанием опыта, не соответствующим требуемому уровню компетенций, и распознать такую подмену сложнее, чем отсеять водителя, потому что название должности само по себе не выдаёт ошибки.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1.5. Материально-технические ресурсы фирмы: категории капитальных и операционных затрат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Параллельно со штатом фирма на Старте 0 формирует материально-технический резерв, размеченный по тем же принципам, что и кадровый: часть позиций заведомо профильна, часть — избыточна для любого проекта. Резерв делится на два вида затрат, различие между которыми имеет не только бухгалтерское, но и управленческое значение. Капитальные затраты (CAPEX) — это единовременные вложения в активы длительного пользования: оборудование, технику, инструмент, — которые ставятся на баланс фирмы, амортизируются и окупаются в течение нескольких лет серией проектов, а не одним заказом; учебная норма полезного использования для таких активов принята в 36 месяцев. Операционные затраты (OPEX) — это текущие, регулярно повторяющиеся расходы на аренду офиса, его содержание, хостинг и связь, привлечение временного персонала по договорам гражданско-правового характера, разовые грузоперевозки и командировочные расходы.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6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Категории ресурсов фирмы по видам затрат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576"/>
        <w:gridCol w:w="5219"/>
      </w:tblGrid>
      <w:tr>
        <w:trPr>
          <w:cantSplit/>
          <w:tblHeader/>
        </w:trPr>
        <w:tc>
          <w:tcPr>
            <w:tcW w:type="dxa" w:w="2560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Категория</w:t>
            </w:r>
          </w:p>
        </w:tc>
        <w:tc>
          <w:tcPr>
            <w:tcW w:type="dxa" w:w="1576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Вид затрат</w:t>
            </w:r>
          </w:p>
        </w:tc>
        <w:tc>
          <w:tcPr>
            <w:tcW w:type="dxa" w:w="5219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Примеры позиций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Основные средства</w:t>
            </w:r>
          </w:p>
        </w:tc>
        <w:tc>
          <w:tcPr>
            <w:tcW w:type="dxa" w:w="15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CAPEX</w:t>
            </w:r>
          </w:p>
        </w:tc>
        <w:tc>
          <w:tcPr>
            <w:tcW w:type="dxa" w:w="52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Ноутбук инженера, МФУ, тестовый стенд, грузовой автомобиль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Аренда офиса</w:t>
            </w:r>
          </w:p>
        </w:tc>
        <w:tc>
          <w:tcPr>
            <w:tcW w:type="dxa" w:w="15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OPEX</w:t>
            </w:r>
          </w:p>
        </w:tc>
        <w:tc>
          <w:tcPr>
            <w:tcW w:type="dxa" w:w="52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Помещение, руб./м² в месяц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Содержание офиса</w:t>
            </w:r>
          </w:p>
        </w:tc>
        <w:tc>
          <w:tcPr>
            <w:tcW w:type="dxa" w:w="15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OPEX</w:t>
            </w:r>
          </w:p>
        </w:tc>
        <w:tc>
          <w:tcPr>
            <w:tcW w:type="dxa" w:w="52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Уборка, коммунальные платежи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Хостинг и связь</w:t>
            </w:r>
          </w:p>
        </w:tc>
        <w:tc>
          <w:tcPr>
            <w:tcW w:type="dxa" w:w="15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OPEX</w:t>
            </w:r>
          </w:p>
        </w:tc>
        <w:tc>
          <w:tcPr>
            <w:tcW w:type="dxa" w:w="52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Интернет, IP-телефония, хостинг CRM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Трудовые ресурсы (ГПХ)</w:t>
            </w:r>
          </w:p>
        </w:tc>
        <w:tc>
          <w:tcPr>
            <w:tcW w:type="dxa" w:w="15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OPEX</w:t>
            </w:r>
          </w:p>
        </w:tc>
        <w:tc>
          <w:tcPr>
            <w:tcW w:type="dxa" w:w="52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Договоры подряда с временными исполнителями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Грузоперевозки</w:t>
            </w:r>
          </w:p>
        </w:tc>
        <w:tc>
          <w:tcPr>
            <w:tcW w:type="dxa" w:w="15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OPEX</w:t>
            </w:r>
          </w:p>
        </w:tc>
        <w:tc>
          <w:tcPr>
            <w:tcW w:type="dxa" w:w="52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Разовые рейсы под конкретную задачу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Командировочные расходы</w:t>
            </w:r>
          </w:p>
        </w:tc>
        <w:tc>
          <w:tcPr>
            <w:tcW w:type="dxa" w:w="15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OPEX</w:t>
            </w:r>
          </w:p>
        </w:tc>
        <w:tc>
          <w:tcPr>
            <w:tcW w:type="dxa" w:w="52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Суточные при выезде на объект, ст. 168 ТК РФ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6 указывает на то, что деление CAPEX/OPEX не совпадает с делением на «нужное» и «лишнее»: обе категории содержат как профильные, так и избыточные для конкретного проекта позиции. Строка фонда оплаты труда постоянного штата рассчитывается автоматически на основании данных вкладки кадрового обеспечения и не участвует в проверке ошибочности выбора — она не предмет решения студента, а производная от уже принятого кадрового решения. Избыточные позиции материально-технического резерва подобраны так же прицельно, как кадровые ловушки: автомобиль директора представительского класса, кофемашина, массажный стол, кулер — предметы, встречающиеся в реальных сметах небольших фирм под видом «представительских расходов», но не имеющие отношения к монтажу, адаптации и пусконаладке систем безопасности.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1.6. Норматив допустимой ошибочности подбора персонала и ресурсов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Подбор и штата, и материально-технического резерва подлежит проверке по единому нормативу: доля ошибочно отмеченных позиций не должна превышать 25% от общего числа позиций в перечне. Ошибочность вычисляется по формуле (1.2):</w:t>
      </w:r>
    </w:p>
    <w:p>
      <w:pPr>
        <w:tabs>
          <w:tab w:val="right" w:pos="9026"/>
        </w:tabs>
        <w:spacing w:after="60" w:before="120" w:line="360" w:lineRule="auto"/>
        <w:jc w:val="left"/>
      </w:pPr>
      <m:oMath>
        <m:sSub>
          <m:sSubPr/>
          <m:e>
            <m:r>
              <m:t>E</m:t>
            </m:r>
          </m:e>
          <m:sub>
            <m:r>
              <m:t>перс</m:t>
            </m:r>
          </m:sub>
        </m:sSub>
        <m:r>
          <m:t> = </m:t>
        </m:r>
        <m:f>
          <m:num>
            <m:sSub>
              <m:sSubPr/>
              <m:e>
                <m:r>
                  <m:t>N</m:t>
                </m:r>
              </m:e>
              <m:sub>
                <m:r>
                  <m:t>ош</m:t>
                </m:r>
              </m:sub>
            </m:sSub>
          </m:num>
          <m:den>
            <m:sSub>
              <m:sSubPr/>
              <m:e>
                <m:r>
                  <m:t>N</m:t>
                </m:r>
              </m:e>
              <m:sub>
                <m:r>
                  <m:t>общ</m:t>
                </m:r>
              </m:sub>
            </m:sSub>
          </m:den>
        </m:f>
        <m:r>
          <m:t> × 100%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(1.2)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Eперс — процент ошибочности подбора персонала или ресурсов; Nош — число позиций, отмеченных студентом неверно (профильный сотрудник или ресурс не отмечен либо непрофильный отмечен ошибочно); Nобщ — общее число позиций в проверяемом перечне.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Если значение Eперс превышает 25%, автоматическая фиксация состава не происходит: студенту предлагается пересмотреть перечень, снять лишние отметки и добавить недостающие. Если значение не превышает 25%, состав фиксируется автоматически, а формулировка вида «при подборе персонала фирмы допущено N ошибочных штатных единиц из M (X,X%)» включается в итоговый отчёт по проекту. Норматив в 25% — не техническое ограничение интерфейса, а методическое решение: он достаточно строг, чтобы отсечь случайное, невнимательное заполнение перечня, и достаточно мягок, чтобы не требовать от студента, впервые видящего незнакомую номенклатуру должностей и позиций снабжения, стопроцентной точности с первой попытки.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Норматив 25% не следует путать с двумя другими пороговыми значениями, действующими в иных разделах практикума: тесты на усвоение компетенций по итогам каждого занятия засчитываются при результате не ниже 75% правильных ответов, а аудит информационной безопасности заказчика, рассматриваемый в отдельной главе этой части учебника, требует не менее 80% правильных ответов по контрольным точкам конкретного вида систем. Совпадение порядка величины — четверть ошибок в одном случае, три четверти и четыре пятых правильных ответов в других — не случайно: все три норматива устанавливают приемлемую, но не нулевую погрешность, признавая, что и в реальной практике управления проектом информационной безопасности стопроцентная точность на каждом шаге недостижима, а профессионализм измеряется способностью удерживать ошибку в разумных пределах, а не полным её отсутствием.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1.7. Итоговый тест по компетенциям Старта 0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Фиксацией штата и ресурсов Старт 0 не заканчивается: этап закрывается отдельной проверкой знаний — тестом на усвоение компетенций, заявленных в цели этапа. Вопросы не выбираются произвольно, а формируются строго по компетенциям, перечисленным для каждого из трёх направлений подготовки в этой цели: для бакалавриата 10.03.01 это ОПК-12 и УК-9, для специалитета 10.05.01 — ОПК-5, для магистратуры 10.04.01 — ОПК-1. На каждую компетенцию банк вопросов содержит четыре формулировки с выбором варианта ответа, и поэтому тест Старта 0 у трёх направлений не совпадает ни по составу, ни по объёму: бакалавр отвечает на восемь вопросов, поскольку у него на этом этапе заявлены две компетенции, специалист и магистр — на четыре вопроса каждый, поскольку у них заявлено по одной. Студент разных направлений в одной учебной группе проходит формально один и тот же этап Старта 0, но содержательно разные тесты — и это не небрежность составителя, а прямое следствие того, что три образовательных стандарта требуют от выпускника разного объёма знаний уже на входе в дисциплину.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Порог зачёта — не ниже 75% правильных ответов, о чём уже шла речь в разделе 1.6 при сравнении с нормативом ошибочности подбора ресурсов. Результат ниже порога не блокирует продолжение работы безвозвратно: студенту предлагается пройти тест заново, и повторная попытка доступна без ограничения по числу заходов. Отдельно от штатной сдачи предусмотрен инструмент принудительного зачёта, которым может воспользоваться преподаватель — например, при демонстрационном прохождении этапа перед аудиторией, когда многократное ожидание корректного ответа от каждого студента группы нецелесообразно; такой зачёт помечается в итоговом отчёте отдельной пометкой и не смешивается с результатом, полученным самостоятельным прохождением теста, — различие остаётся видимым и после того, как практикум сдан.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 теста, независимо от того, получен он самостоятельно или через принудительный зачёт, попадает в итоговый печатный отчёт по проекту вместе с результатами всех последующих этапов — это тот же отчётный механизм, который фиксирует ошибочность подбора персонала и ресурсов, разобранную в разделе 1.6. Совмещение двух форм проверки в одном отчёте — количественной (25% допустимой ошибочности при подборе) и содержательной (75% для зачёта теста) — даёт преподавателю более полную картину готовности студента к следующему занятию, чем любая из этих двух проверок по отдельности: можно правильно собрать штат, но не объяснить, почему выбор именно такой, и наоборот.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1.8. Особенности аудита проектов информационной безопасности по видам систем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Типология, нормативная база и кадровое обеспечение, рассмотренные в разделах 1.1–1.4, определяют, что должно быть заложено в проект ещё на стадии подбора ресурсов. Отдельный вопрос — забегая вперёд, к главам об исполнении и сдаче проекта, — что из заложенного реально проверяется при сдаче объекта и какие пункты систематически выпадают из поля зрения менеджера проекта или администрации заказчика уже после ввода системы в эксплуатацию. Ответ на этот вопрос даёт справочник-аудитор систем безопасности, составленный по материалам курсовых проектов и типовых смет на монтаж СКУД, видеонаблюдения, пожарной и охранной сигнализации. Ниже приведены пять чек-листов — по числу основных видов систем безопасности, входящих в состав проектов, разыгрываемых на Старте 0, — с указанием контрольных точек аудита и типичных упущений, которые справочник фиксирует по каждому виду систем отдельно; студент, только формирующий штат и ресурсы фирмы в разделах 1.4–1.6, увидит здесь, к каким именно ошибкам на объекте приведёт нехватка соответствующего специалиста или инструмента уже на стадии исполнения.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7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Аудит проекта системы контроля и управления доступом (СКУД): контрольные точки и типичные упущения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"/>
        <w:gridCol w:w="4628"/>
        <w:gridCol w:w="4235"/>
      </w:tblGrid>
      <w:tr>
        <w:trPr>
          <w:cantSplit/>
          <w:tblHeader/>
        </w:trPr>
        <w:tc>
          <w:tcPr>
            <w:tcW w:type="dxa" w:w="492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62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Контрольная точка аудита</w:t>
            </w:r>
          </w:p>
        </w:tc>
        <w:tc>
          <w:tcPr>
            <w:tcW w:type="dxa" w:w="423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Типичное упущение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Блоки питания и резервирование (АКБ) контроллеров и замков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Резервирование питания закладывается не для всего оборудования, а выборочно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Заземление контроллеров и металлических корпусов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Проверяется формально, без замера сопротивления контура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Маркировка и запас кабеля на вводе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Кабель маркируют на одном конце линии, запас на вводе — менее 5 м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Журнал учёта регистрации карт доступа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Полнота записей не сверяется с фактическим списком сотрудников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Исполнительная документация по факту монтажа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Схемы соответствуют проекту, но не соответствуют фактическому монтажу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таблицы 7 следует, что для СКУД большинство упущений сосредоточено не на этапе монтажа основного оборудования, а на этапе документального и энергетического резервирования — том самом, который сложнее всего проверить визуально при приёмке объекта.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8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Аудит проекта системы видеонаблюдения: контрольные точки и типичные упущения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"/>
        <w:gridCol w:w="4628"/>
        <w:gridCol w:w="4235"/>
      </w:tblGrid>
      <w:tr>
        <w:trPr>
          <w:cantSplit/>
          <w:tblHeader/>
        </w:trPr>
        <w:tc>
          <w:tcPr>
            <w:tcW w:type="dxa" w:w="492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62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Контрольная точка аудита</w:t>
            </w:r>
          </w:p>
        </w:tc>
        <w:tc>
          <w:tcPr>
            <w:tcW w:type="dxa" w:w="423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Типичное упущение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Резервное питание тракта «камера — регистратор»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ИБП закладывается для регистратора, но не для камер уличного контура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Настройка удалённого доступа (IP, порты, DDNS)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Настраивается на этапе сдачи, но не проверяется при смене провайдера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Лицензии на программное обеспечение видеоаналитики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Лицензия закупается, но не активируется на рабочем сервере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Синхронизация времени (NTP) между камерами и регистратором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Часовой пояс не выставляется, архив «плывёт» по времени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Резервное копирование архива записей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Настраивается локально, без выноса копии на внешний носитель или в облако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8 фиксирует упущения, которые не влияют на работу системы в момент приёмки, но проявляются спустя недели или месяцы эксплуатации — при первом же расследовании инцидента, когда выясняется, что нужный фрагмент архива не сохранился или время на записи не соответствует действительности.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9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Аудит проекта пожарной сигнализации: контрольные точки и типичные упущения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"/>
        <w:gridCol w:w="4628"/>
        <w:gridCol w:w="4235"/>
      </w:tblGrid>
      <w:tr>
        <w:trPr>
          <w:cantSplit/>
          <w:tblHeader/>
        </w:trPr>
        <w:tc>
          <w:tcPr>
            <w:tcW w:type="dxa" w:w="492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62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Контрольная точка аудита</w:t>
            </w:r>
          </w:p>
        </w:tc>
        <w:tc>
          <w:tcPr>
            <w:tcW w:type="dxa" w:w="423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Типичное упущение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Проверка чувствительности извещателей в реальных условиях объекта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Ограничиваются заводским паспортом прибора, без замера на месте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Автономность системы от аккумуляторов (не менее 24 часов)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Проверяется факт наличия АКБ, но не время реальной автономной работы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Передача сигнала на пульт пожарной охраны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Канал связи принимается «по бумагам», без контрольного вызова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Приоритет пожарной тревоги над охранной в общем приборе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Настройка приоритета не проверяется при вводе в эксплуатацию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Согласование проекта с требованиями МЧС (НПБ 104-03, СП 3.13130)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Согласование откладывается «на потом» и выпадает из графика проекта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9 показывает специфику именно противопожарных систем: здесь цена упущения выше, чем для СКУД или видеонаблюдения, поскольку речь идёт не о защите информации в узком смысле, а о жизни и здоровье людей.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10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Аудит проекта охранной сигнализации: контрольные точки и типичные упущения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"/>
        <w:gridCol w:w="4628"/>
        <w:gridCol w:w="4235"/>
      </w:tblGrid>
      <w:tr>
        <w:trPr>
          <w:cantSplit/>
          <w:tblHeader/>
        </w:trPr>
        <w:tc>
          <w:tcPr>
            <w:tcW w:type="dxa" w:w="492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62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Контрольная точка аудита</w:t>
            </w:r>
          </w:p>
        </w:tc>
        <w:tc>
          <w:tcPr>
            <w:tcW w:type="dxa" w:w="423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Типичное упущение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Маркировка шлейфов сигнализации на обоих концах линии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Маркируется только на приборе, без метки на извещателе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Журнал событий (запись всех тревог с датой и временем)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Полнота записи не проверяется, сверяется только факт наличия журнала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Автономная работа при отключении сети 220 В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Переключение на АКБ проверяется, но не контролируется глубина разряда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Передача сигнала на пульт централизованного наблюдения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Канал связи проверяется однократно при сдаче, без периодического теста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Права постановки/снятия с охраны (коды, карты, ключи)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актуальных пользователей не сверяется с кадровыми изменениями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10 демонстрирует, что для охранной сигнализации типичные упущения смещены в сторону эксплуатационной дисциплины: сами технические средства чаще всего исправны, но права доступа и журналы событий не актуализируются вслед за кадровыми изменениями у заказчика.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11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Аудит гибридных проектов информационной безопасности: типичные ошибки интеграции подсистем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"/>
        <w:gridCol w:w="4628"/>
        <w:gridCol w:w="4235"/>
      </w:tblGrid>
      <w:tr>
        <w:trPr>
          <w:cantSplit/>
          <w:tblHeader/>
        </w:trPr>
        <w:tc>
          <w:tcPr>
            <w:tcW w:type="dxa" w:w="492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62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Контрольная точка аудита</w:t>
            </w:r>
          </w:p>
        </w:tc>
        <w:tc>
          <w:tcPr>
            <w:tcW w:type="dxa" w:w="423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Типичное упущение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Резервирование питания для всех подсистем комплекса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Резервируется питание головной станции, но не всех периферийных узлов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Совместимость протоколов оборудования разных производителей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Совместимость не проверяется заранее, выявляется на этапе интеграции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Пропускная способность сети Ethernet для IP-систем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Сеть проектируется без запаса, коммутаторы перегружаются при пиковой нагрузке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Лицензии на модули интеграции между подсистемами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Базовое ПО лицензируется, доплата за интеграционные модули не закладывается в бюджет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Обучение персонала заказчика работе с единой платформой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Обучение проводится формально, без отработки сценариев на реальном объекте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11 обобщает раздел «Распространённые ошибки» справочника-аудитора и показывает, что для гибридных проектов дефицит ресурса проявляется не в отдельных подсистемах, а на стыке между ними: каждая подсистема в отдельности может быть принята без замечаний, а совокупный комплекс — не соответствовать техническому заданию именно из-за нескоординированного резервирования, лицензирования и обучения персонала.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Контрольные вопросы к главе 1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Чем анкета о профиле специализации фирмы на Старте 0 отличается от карточки CRM с данными обратившегося клиента и почему их нельзя заполнять одной формой?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Как ответ на анкету о профиле фирмы влияет на результат розыгрыша типа проекта — определяет его напрямую или сокращает пул возможных вариантов?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Почему три портфеля проектов на Старте 0 открываются последовательно, а не одновременно?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По какому принципу каждому из двадцати типов проекта присваивается код ОКВЭД и почему коду 43.21 соответствуют сразу шесть разных типов проекта?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По каким двум основаниям различаются проекты информационной безопасности?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Чем отличаются друг от друга крупные, средние и малые проекты ИБ по параметрам стоимости и трудоёмкости?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Почему процент снижения риска не всегда коррелирует с масштабом проекта по стоимости?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Перечислите четыре уровня нормативного регулирования проекта ИБ и укажите, какие из них обязательны для проекта любого масштаба.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Какую минимальную численность инженерно-технического персонала устанавливает Постановление Правительства РФ № 79 для лицензиата деятельности по технической защите информации?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По какой формуле рассчитывается месячный фонд оплаты труда сотрудника на панели подбора персонала и что означает в этой формуле коэффициент загрузки?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Какие два рода «ловушек» встречаются в перечне кандидатов на подбор персонала и чем ловушка «самозванец на правильной должности» опаснее очевидно постороннего кандидата?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Чем капитальные затраты (CAPEX) отличаются от операционных (OPEX) применительно к ресурсам фирмы на Старте 0 и какова учебная норма амортизации основных средств?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По какой формуле рассчитывается процент ошибочности подбора персонала или ресурсов и какой порог считается допустимым на Старте 0?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Чем норматив допустимой ошибочности подбора персонала (25%) отличается от порога зачёта теста на компетенции (75%) и порога зачёта аудита ИБ заказчика (80%)?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Почему тест на компетенции Старта 0 состоит из разного числа вопросов у бакалавра, специалиста и магистра и какие компетенции проверяет каждое из трёх направлений?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16. Чем принудительный зачёт теста, доступный преподавателю, отличается от самостоятельной сдачи и почему в итоговом отчёте эти два случая помечаются раздельно?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17. Какие пункты чаще всего упускаются при аудите проекта СКУД и почему они трудно выявляются визуально?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18. В чём заключается специфика типичных ошибок гибридных проектов ИБ по сравнению с ошибками отдельной подсистемы?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источников к главе 1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Федеральный закон от 27.07.2006 № 149-ФЗ «Об информации, информационных технологиях и о защите информации».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Федеральный закон от 27.07.2006 № 152-ФЗ «О персональных данных».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Федеральный закон от 29.07.2004 № 98-ФЗ «О коммерческой тайне».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Федеральный закон от 26.07.2017 № 187-ФЗ «О безопасности критической информационной инфраструктуры Российской Федерации».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ГОСТ Р 50922-2006. Защита информации. Основные термины и определения. — М.: Стандартинформ, 2008.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ГОСТ Р ИСО/МЭК 27001-2021. Информационная технология. Методы и средства обеспечения безопасности. Системы менеджмента информационной безопасности. Требования. — М.: Стандартинформ, 2021.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ГОСТ Р ИСО/МЭК 27002-2021. Информационные технологии. Методы и средства обеспечения безопасности. Свод норм и правил применения мер обеспечения информационной безопасности. — М.: Стандартинформ, 2021.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Методика оценки угроз безопасности информации: утв. ФСТЭК России 05.02.2021.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Постановление Правительства РФ от 03.02.2012 № 79 «О лицензировании деятельности по технической защите конфиденциальной информации».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Приказ Минтруда России от 14.09.2022 № 525н «Об утверждении профессионального стандарта 06.033 «Специалист по защите информации в автоматизированных системах» (действует с 01.03.2023).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Приказ Минтруда России от 14.09.2022 № 533н «Об утверждении профессионального стандарта 06.032 «Специалист по безопасности компьютерных систем и сетей» (действует с 01.03.2023).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Приказ Минтруда России № 474н «Об утверждении профессионального стандарта 06.034 «Специалист по технической защите информации».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Общероссийский классификатор видов экономической деятельности (ОКВЭД 2) ОК 029-2014 (КДЕС Ред. 2): раздел F, код 43.21; раздел J, код 62.02; код 63.11; раздел M, коды 70.22, 74.90; раздел P, код 85.42.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Приказ Минобрнауки России от 17.11.2020 № 1427 «Об утверждении ФГОС ВО по направлению подготовки 10.03.01 Информационная безопасность (уровень бакалавриата)».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Приказ Минобрнауки России от 26.11.2020 № 1455 «Об утверждении ФГОС ВО по направлению подготовки 10.04.01 Информационная безопасность телекоммуникационных систем (уровень магистратуры)».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16. Приказ Минобрнауки России от 26.11.2020 № 1459 «Об утверждении ФГОС ВО по специальности 10.05.01 Компьютерная безопасность (уровень специалитета)».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17. Трудовой кодекс Российской Федерации, ст. 168 «Возмещение расходов, связанных со служебной командировкой».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18. Налоговый кодекс Российской Федерации, ст. 425 «Тарифы страховых взносов».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19. Мандрица И.В., Петренко В.И., Мандрица О.В. Управление проектами по защите информации и экономика защиты информации: учебное пособие. — Ставрополь: Изд-во СКФУ, 2022.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20. Галатенко В.А. Стандарты информационной безопасности: курс лекций. — М.: ИНТУИТ, 2019. — 264 с.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21. Щеглов А.Ю. Защита компьютерной информации от несанкционированного доступа. — СПб.: Наука и Техника, 2017. — 384 с.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22. Справочник аудитора систем безопасности: чек-лист полноты состава работ (СКУД, видеонаблюдение, пожарная и охранная сигнализация, гибридные системы). — 2025. — Версия 1.0.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23. Тесты на усвоение компетенций практикума по десяти этапам (Старт 0, Занятия 1–9): банк вопросов по направлениям 10.03.01, 10.04.01, 10.05.01, по 4 вопроса на компетенцию. — 2026.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32043dfff5951398332e08dd9c24b1c5f5e4a9.svg"/><Relationship Id="rId8" Type="http://schemas.openxmlformats.org/officeDocument/2006/relationships/image" Target="media/c0e3ebae66e5d18ea723b3dce7775c54e6f57fd5.png"/><Relationship Id="rId9" Type="http://schemas.openxmlformats.org/officeDocument/2006/relationships/image" Target="media/922c1241969098272bdb073cb9a46ef854aab6e5.svg"/><Relationship Id="rId10" Type="http://schemas.openxmlformats.org/officeDocument/2006/relationships/image" Target="media/dbd82f16c16f1df028c4941301f55665c3e2c74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2026-07-29T09:05:28.899Z</dcterms:created>
  <dcterms:modified xsi:type="dcterms:W3CDTF">2026-07-29T09:05:28.900Z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