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Часть 3. Занятие 2: Вид работ по проекту и комплектующие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Как и предыдущие части, этот раздел не содержит теории, вывода формул и вопросов теста — они изложены в основном тексте части 2 (глава 2, посвящённая Занятию 2). Здесь описано только то, что реально видит студент на странице 8/15 «Занятие 2: Вид работ по проекту и комплектующие» и что нужно нажать и заполнить, чтобы дойти до перехода к Занятию 3. Скриншоты сняты с боевого адреса https://goxaman2-dot.github.io/upzi-praktikum/ для случайного результата рулетки — портфель ИТСО, тип проекта «Охранная сигнализация», объект заказчика «Оператор связи «ЮгТелеком» (узел + офис)», г. Ставрополь, ул. Октябрьская, 168. У другого студента тип проекта и объект будут своими, но структура страницы и порядок действий — те же.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Шаг 1. Переход с Занятия 1 и шапка Занятия 2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Кнопка «Перейти к следующему этапу практикума →» в конце Занятия 1 (см. часть 2, шаг 6) открывает не сразу страницу Занятия 2, а сначала повторно показывает методический блок текущего пройденного занятия в виде модального окна «📌 Прежде чем перейти дальше…» — тот же гейт-механизм, что описан в приложении для преподавателя (часть 2): окно закрывается вторым кликом по самой карточке, после чего один раз за сеанс предлагается выбрать направление подготовки (10.03.01 / 10.04.01 / 10.05.01, выбор запоминается на весь практикум) и пройти тест на усвоенные компетенции по материалу только что пройденного занятия. После сдачи теста (или принудительного зачёта по преподавательскому шорткату) страница переключается на 8/15 «Занятие 2: Вид работ по проекту и комплектующие».</w:t>
      </w:r>
    </w:p>
    <w:p>
      <w:pPr>
        <w:spacing w:after="40" w:before="120"/>
        <w:jc w:val="center"/>
      </w:pPr>
      <w:r>
        <w:drawing>
          <wp:inline distT="0" distB="0" distL="0" distR="0">
            <wp:extent cx="55816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Рисунок П.10 – Шапка Занятия 2: вкладки этапов, кнопки «Личный кабинет» и «Итоговый отчёт (DOCX)», блок цели и задач занятия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шапке страницы — та же панель, что и на Занятии 1: название фирмы-исполнителя и объекта заказчика, кнопка «← Вернуться к данным заказчика», кнопка «📁 Личный кабинет» и кнопка «📊 Итоговый отчёт (DOCX)». Строка вкладок показывает, что активна вкладка «2. Вид работ по проекту и комплектующие», а вкладки 3–9 остаются бледными до тех пор, пока до них не дойдёт очередь. Панель «Проект» справа (частично видна на скриншоте) показывает текущий бюджет фирмы — CAPEX и OPEX/мес, зафиксированные на Занятии 1, и штат фирмы численностью 14 человек.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Шаг 2. Цель занятия, источники и загрузка перечня задач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Методический блок Занятия 2 устроен так же, как на предыдущих этапах: «ЦЕЛЬ ЗАНЯТИЯ», «ЗАДАЧИ», «ТЕОРИЯ», «ВОПРОСЫ ДЛЯ САМОКОНТРОЛЯ» и «ИСТОЧНИКИ» — в списке источников этого занятия, в частности, ФЗ №125-ФЗ «Об обязательном социальном страховании от несчастных случаев на производстве», ГОСТ Р ИСО 21500-2014 «Руководство по проектному менеджменту» и СП 76.13330.2016 «Электротехнические устройства» (испытания, пусконаладочные работы). Ниже блока — короткая формулировка цели раздела и предупреждение о ловушках: часть задач и часть методов технического контроля в таблице ниже — заведомо неверные варианты, подставленные среди корректных.</w:t>
      </w:r>
    </w:p>
    <w:p>
      <w:pPr>
        <w:spacing w:after="40" w:before="120"/>
        <w:jc w:val="center"/>
      </w:pPr>
      <w:r>
        <w:drawing>
          <wp:inline distT="0" distB="0" distL="0" distR="0">
            <wp:extent cx="55816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Рисунок П.11 – Источники Занятия 2, пояснение к столбцам «Примечание» и «Вид проверочных работ», кнопка загрузки полного перечня задач и первая строка таблицы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Действие: нажать кнопку «📁 Загрузить полный перечень задач этапов монтажа/внедрения-наладки-испытаний-приёмки» — она подставляет в таблицу ниже полный список задач проекта, специфичный для выпавшего типа проекта (для охранной сигнализации — от «Выезда и обследования объекта» до «Ввода в эксплуатацию»), вместо одной демонстрационной строки, показанной по умолчанию. Кнопка «+ Добавить задачу вручную» рядом с ней нужна не на этом занятии, а как резерв для нетиповых случаев, и обычно не используется.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Шаг 3. Таблица задач: примечание, вид проверочных работ, счётчики ловушек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задач состоит из столбцов «#», «Задача», «Этап» (римская цифра I–V), «Длительность», «Исполнитель (ФИО, квалификация)» — заполнен автоматически по данным Занятия 1 и недоступен для правки, «Стоимость (ФОТ)» — считается автоматически по формуле (2.1) для назначенного исполнителя, «Примечание» — выпадающий список с вопросом «что появляется на выходе?» и «Вид проверочных работ» — выпадающий список метода технического контроля, заполненный не у всех задач (только там, где применим). Оба выпадающих списка — стандартные элементы браузера: открытое меню рисуется поверх страницы и не входит в область снимка экрана, поэтому на рисунках ниже видно состояние до выбора, со значением-подсказкой «— что появляется на выходе? —».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Ловушки в столбце «Примечание» — реальные выходные документы ДРУГИХ задач того же проекта, подставленные как варианты для текущей строки (например, акт о выполнении монтажных работ вместо протокола настройки оборудования). Ловушки в столбце «Вид проверочных работ» — методы контроля, похожие по смыслу, но относящиеся к другой операции (например, «сопротивление изоляции» вместо «сопротивление контура заземления», «прозвонка кабеля» вместо «проверка обжима разъёма»). Порог допустимой ошибочности по обоим столбцам — 40% (выше, чем 25% для ресурсов и персонала, поскольку сопоставление ответа с задачей — более неоднозначная операция), и счётчики по каждому столбцу работают независимо друг от друга.</w:t>
      </w:r>
    </w:p>
    <w:p>
      <w:pPr>
        <w:spacing w:after="40" w:before="120"/>
        <w:jc w:val="center"/>
      </w:pPr>
      <w:r>
        <w:drawing>
          <wp:inline distT="0" distB="0" distL="0" distR="0">
            <wp:extent cx="55816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Рисунок П.12 – Панель «Счётчик ловушек квалификации» по завершении этапа I, разделительная полоса «ВОДОРАЗДЕЛ» и первые задачи этапа II с предупреждающими значками у исполнителя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Под последней задачей каждого из пяти этапов проекта (I — подготовительный, II — монтаж, III — наладка, IV — испытания, V — приёмка) расположена голубая строка «🎯 Счётчик ловушек квалификации» с кнопкой «Проверить»: она сравнивает уже выставленные значения «Примечание» и «Вид проверочных работ» с эталоном и показывает результат вида «верно 9 из 11, ошибок 2 (18%)». Полоса «⚡ ВОДОРАЗДЕЛ» между этапами отмечает содержательную границу — переход от подготовительного этапа (аванс получен, проект инициализирован) к этапам самого монтажа и внедрения. Предупреждающий значок ⚠️ рядом с исполнителем на задачах этапа II появляется по той же логике, что и на Занятии 1: фактическая квалификация назначенного сотрудника не полностью соответствует требованиям конкретной монтажной операции.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Действие: для каждой задачи выбрать в столбце «Примечание» документ, который реально появляется на её выходе, и там, где столбец «Вид проверочных работ» присутствует, — метод контроля, применимый именно к этой операции. После заполнения каждого этапа нажимать кнопку «Проверить» в соответствующей голубой строке, чтобы увидеть текущий процент ошибочности и, при необходимости, вернуться к таблице и поправить отдельные строки.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Дополнение от 05.08.2026. У задач, где столбец «Вид проверочных работ» заполнен, под выпадающим списком появляется кнопка «🖼️ Как процесс (PMBOK)» — на снимках экрана выше её не видно, поскольку кнопка добавлена в интерфейс позже, чем сняты скриншоты этой части путеводителя. Кнопка открывает отдельную карточку, раскладывающую ту же задачу на вход, инструменты и методы контроля, выход и критерий приёмки по модели ITTO стандарта PMBOK; теоретическое обоснование этой раскладки и её отличие от диаграмм IDEF0 на страницах 2–3 вводного сценария практикума приведено в главе 3 учебника, раздел 3.4.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Действие: нажать кнопку у одной-двух задач для проверки, затем — «🖨️ Печать» или «💾 Скачать как PNG», чтобы получить карточку отдельным изображением. Для дальнейшей работы над таблицей задач эта кнопка не обязательна и не влияет на счётчики ловушек; у задач без метода контроля, а также у задач, добавленных вручную через «+ Добавить задачу вручную», кнопка не появляется.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Шаг 4. Комплектующие проекта по трём уровням цены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Ниже таблицы задач и итоговой строки «ИТОГО по проекту» (длительность в днях/часах и суммарная стоимость труда) расположены две панели «СЧЁТЧИК-ТОЧНОСТЬ» — по одной на каждый из столбцов «Примечание» и «Вид проверочных работ», с кнопками «🔍 Проверить точность выбора», подводящими общий итог по всей таблице сразу, а не по отдельному этапу. Далее — раздел «Комплектующие проекта (по рулетке — [тип проекта])»: готовый перечень оборудования, подлежащего установке по выпавшему типу проекта (датчики, контроллеры, замки и тому подобное), с тремя ценами по вендорам 2026 года — «Бюджетная», «Middle», «VIP» — и переключателем «Уровень цены» над таблицей. В отличие от таблиц задач и ресурсов, в этом перечне нет ловушек и нет отметок «верно/ошибка»: набор позиций и цены — не предмет выбора, а рыночный факт для выпавшего типа проекта.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Таблица 2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Комплектующие проекта «Охранная сигнализация» при уровне цены «Middle» (фрагмент)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2"/>
        <w:gridCol w:w="2891"/>
        <w:gridCol w:w="1265"/>
        <w:gridCol w:w="1265"/>
        <w:gridCol w:w="1265"/>
        <w:gridCol w:w="2217"/>
      </w:tblGrid>
      <w:tr>
        <w:trPr>
          <w:cantSplit/>
          <w:tblHeader/>
        </w:trPr>
        <w:tc>
          <w:tcPr>
            <w:tcW w:type="dxa" w:w="452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891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1265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Бюджетная</w:t>
            </w:r>
          </w:p>
        </w:tc>
        <w:tc>
          <w:tcPr>
            <w:tcW w:type="dxa" w:w="1265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Middle</w:t>
            </w:r>
          </w:p>
        </w:tc>
        <w:tc>
          <w:tcPr>
            <w:tcW w:type="dxa" w:w="1265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VIP</w:t>
            </w:r>
          </w:p>
        </w:tc>
        <w:tc>
          <w:tcPr>
            <w:tcW w:type="dxa" w:w="2217"/>
            <w:shd w:fill="D9E4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Вендор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8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ИК-извещатель (точечный)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3 875 ₽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12 000 ₽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45 000 ₽</w:t>
            </w:r>
          </w:p>
        </w:tc>
        <w:tc>
          <w:tcPr>
            <w:tcW w:type="dxa" w:w="2217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Bolid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8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ИК-извещатель (объёмный)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415 ₽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1 153 ₽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3 500 ₽</w:t>
            </w:r>
          </w:p>
        </w:tc>
        <w:tc>
          <w:tcPr>
            <w:tcW w:type="dxa" w:w="2217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Риэлта (Фотон-9) / Bolid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8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Магнитоконтакт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150 ₽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400 ₽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1 200 ₽</w:t>
            </w:r>
          </w:p>
        </w:tc>
        <w:tc>
          <w:tcPr>
            <w:tcW w:type="dxa" w:w="2217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Bolid / Астра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8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Комплект радиоканальный начального уровня (Астра-Р)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3 450 ₽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217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Teko (Астра-Р)</w:t>
            </w:r>
          </w:p>
        </w:tc>
      </w:tr>
      <w:tr>
        <w:trPr>
          <w:cantSplit/>
          <w:tblHeader w:val="false"/>
        </w:trPr>
        <w:tc>
          <w:tcPr>
            <w:tcW w:type="dxa" w:w="45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8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 по уровню «Middle»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13 553 ₽</w:t>
            </w:r>
          </w:p>
        </w:tc>
        <w:tc>
          <w:tcPr>
            <w:tcW w:type="dxa" w:w="126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17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200" w:before="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Сумма по выбранному уровню цены не привязана к конкретной монтажной задаче — она добавляется одним платежом в дату задачи «Инициализация проекта» (сразу после получения аванса, когда фирма реально закупает оборудование у поставщика). Именно поэтому эта сумма входит в строку «Материалы» итоговой сметы (Занятие 4) и образует заметный скачок на графике освоенного бюджета (Занятие 3) в день инициализации проекта — переключение уровня цены здесь напрямую меняет размер этого скачка.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Действие: выбрать уровень цены («Бюджет», «Мидл» или «VIP») в зависимости от того, какая стратегия комплектации закладывается в проект — решение не проверяется на «верно/ошибка», но должно быть согласовано с дальнейшей сметой на Занятии 4. После просмотра перечня прокрутить страницу до конца.</w:t>
      </w:r>
    </w:p>
    <w:p>
      <w:pPr>
        <w:spacing w:after="80" w:before="20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Шаг 5. Взгляд с другой стороны стола и переход к Занятию 3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Как и на предыдущих занятиях, после раздела комплектующих показан необязательный блок «👁 Взгляд с другой стороны стола» с двумя полями — о пользе выбора уровня цены для заказчика и о том, что заказчику обычно трудно проверить, за что именно он переплачивает на уровне VIP. Кнопка «Перейди к следующему этапу практикума →» становится доступной сразу после заполнения перечня задач; счётчики ловушек и точности не блокируют переход технически, но их низкий процент указывает, что часть примечаний и методов контроля выставлена наугад.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Действие: нажать «Перейди к следующему этапу практикума →». Как и при переходе с Занятия 1 на Занятие 2, повторно откроется гейт-модалка с методическим блоком Занятия 2, закрывающаяся вторым кликом по карточке, а затем — тест на усвоенные компетенции по материалу Занятия 2 (компетенции ОПК-2.1 и УК-2 направления 10.03.01 — декомпозиция проекта на задачи с привязкой к выходным документам и подбор комплектующих по уровням цены). После сдачи теста откроется страница 9/15, «Занятие 3: Календарь работ по Ганту».</w:t>
      </w:r>
    </w:p>
    <w:p>
      <w:pPr>
        <w:spacing w:before="30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8"/>
          <w:szCs w:val="28"/>
        </w:rPr>
        <w:t xml:space="preserve">Продолжение путеводителя — по Занятиям 3–9 — оформляется отдельными файлами по мере готовности соответствующих глав учебника.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dfb1a090d3bfdc3927a1348483c33a27fd886ee.jpg"/><Relationship Id="rId8" Type="http://schemas.openxmlformats.org/officeDocument/2006/relationships/image" Target="media/ec22df7c5a9e717dc984ff7b8f6d7c29aa41cb9e.jpg"/><Relationship Id="rId9" Type="http://schemas.openxmlformats.org/officeDocument/2006/relationships/image" Target="media/dae289b34a66b4ed00c8d99d24c6d33db6bc15a8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2026-07-30T06:46:09.800Z</dcterms:created>
  <dcterms:modified xsi:type="dcterms:W3CDTF">2026-07-30T06:46:09.802Z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