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ГЛАВА 3. ЗАНЯТИЕ 2: ДЕКОМПОЗИЦИЯ ПРОЕКТА НА ЗАДАЧИ И ПОДБОР КОМПЛЕКТУЮЩИХ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Занятие 1 закончилось фиксацией ресурсной базы фирмы и назначением исполнителей на первые задачи подготовительного этапа — до этого момента проект существовал как список статей затрат, но не как последовательность работ с измеримым результатом на выходе каждой. Занятие 2 превращает эту рамку в развёрнутый план: полный перечень задач пяти этапов жизненного цикла проекта (подготовительный, монтаж, наладка, испытания, приёмка), закреплённый за каждой задачей выходной документ и метод технического контроля, а также перечень комплектующих, без которого расчёт сметы на занятии 4 невозможен в принципе.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Цель и задачи занятия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Компетентностная рамка занятия узкая по составу направлений — это не пробел в дизайне практикума, а следствие принципа избирательности, введённого ещё в главе 1: компетенция формируется только там, где содержание занятия действительно требует именно её, а не механически дублируется на все три направления подготовки. Формируемые здесь компетенции принадлежат исключительно направлению 10.03.01 «Информационная безопасность» (бакалавриат): ОПК-2.1 профиля «Организация и технологии защиты информации» — способность анализировать функциональный процесс объекта защиты и выявлять источники информационных угроз, и УК-2 — способность определять круг задач в рамках поставленной цели, на которую опирается сама процедура декомпозиции проекта. Направления 10.04.01 (магистратура) и 10.05.01 (специалитет) на этом занятии не формируют ни одной новой компетенции согласно ФГОС ВО по соответствующим направлениям — их профильные компетенции по проектному управлению уже отработаны на более ранних и более поздних этапах практикума, где декомпозиция задач не является центральной темой.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Сопоставить каждой задаче её фактический выходной документ, отличив его от правдоподобных документов других задач того же проекта.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Определить корректный метод технического контроля (верификации) для задач монтажа, наладки, испытаний и приёмки — там, где такой метод применим.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Рассчитать стоимость труда по каждой задаче с учётом обязательных страховых взносов работодателя.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Подобрать комплектующие проекта по одному из трёх уровней цены и связать полученную сумму со сметой, которая будет строиться на занятии 4.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Нормативно-правовые основания декомпозиции проекта и технического контроля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Три нормативных документа образуют основу занятия, и у каждого — своя зона ответственности, не пересекающаяся с другими. Коэффициент 1,302 в формуле стоимости труда задачи (раздел 3.3) складывается из двух федеральных норм: тарифа страховых взносов 30% по НК РФ, ст. 425 (уже применявшегося в главах 1–2 для фонда оплаты труда) и взносов на травматизм приблизительно 0,2%, установленных Федеральным законом №125-ФЗ от 24.07.1998 «Об обязательном социальном страховании от несчастных случаев на производстве». Смешение этих двух источников в одном числовом коэффициенте методически оправдано тем, что обе ставки применяются к одной и той же базе — фонду оплаты труда по конкретной задаче, — и раздельный учёт ничего не добавил бы к результату расчёта, лишь усложнив формулу.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Требование привязывать каждую задачу к измеримому выходному документу опирается на процессный подход, закреплённый в ГОСТ Р ИСО 21500-2014 «Руководство по проектному менеджменту»: управление проектом там понимается как совокупность процессов, каждый из которых должен иметь наблюдаемый результат, а не просто отметку «выполнено» без артефакта. Конкретные методы технического контроля для этапов монтажа, наладки и испытаний систем физической защиты (сопротивление изоляции, сопротивление контура заземления, проверка обжима разъёмов и подобные операции) взяты из СП 76.13330.2016 «Электротехнические устройства», раздела об испытаниях и пусконаладочных работах — документа, регламентирующего порядок приёмо-сдаточных испытаний электротехнических систем, к которым относится и физическая охранная сигнализация, и её родственные портфели.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14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Нормативно-правовая база декомпозиции проекта и технического контроля на Занятии 2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55"/>
      </w:tblGrid>
      <w:tr>
        <w:trPr>
          <w:cantSplit/>
          <w:tblHeader/>
        </w:trPr>
        <w:tc>
          <w:tcPr>
            <w:tcW w:type="dxa" w:w="2400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Документ</w:t>
            </w:r>
          </w:p>
        </w:tc>
        <w:tc>
          <w:tcPr>
            <w:tcW w:type="dxa" w:w="4200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устанавливает</w:t>
            </w:r>
          </w:p>
        </w:tc>
        <w:tc>
          <w:tcPr>
            <w:tcW w:type="dxa" w:w="275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Применение на занятии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НК РФ, ст. 425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Единый тариф страховых взносов — 30% от ФОТ</w:t>
            </w:r>
          </w:p>
        </w:tc>
        <w:tc>
          <w:tcPr>
            <w:tcW w:type="dxa" w:w="27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Часть коэффициента 1,302 в формуле (2.1)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ФЗ №125-ФЗ от 24.07.1998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Взносы на травматизм — ≈0,2% от ФОТ</w:t>
            </w:r>
          </w:p>
        </w:tc>
        <w:tc>
          <w:tcPr>
            <w:tcW w:type="dxa" w:w="27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Вторая часть коэффициента 1,302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 Р ИСО 21500-2014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Процессный подход: каждый процесс — с измеримым результатом</w:t>
            </w:r>
          </w:p>
        </w:tc>
        <w:tc>
          <w:tcPr>
            <w:tcW w:type="dxa" w:w="27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Требование выходного документа у каждой задачи (столбец «Примечание»)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 76.13330.2016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Порядок испытаний и пусконаладочных работ электротехнических систем</w:t>
            </w:r>
          </w:p>
        </w:tc>
        <w:tc>
          <w:tcPr>
            <w:tcW w:type="dxa" w:w="27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Методы технического контроля (столбец «Вид проверочных работ»)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Показательно, что ни один из четырёх источников этого занятия впрямую не регулирует именно охранную или пожарную сигнализацию как отдельный класс оборудования: ГОСТ Р ИСО 21500-2014 универсален для любого проекта, а СП 76.13330.2016 писан для электротехнических устройств в целом. Это не недостаток подбора источников, а отражение реального положения дел — специализированного СП по пусконаладке систем безопасности как отдельного документа не существует, и практикующие инженеры действительно опираются на общеэлектротехнический свод правил, экстраполируя его требования на конкретный тип оборудования.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Стоимость труда по задаче: формула, уже введённая в главе 2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Занятие 2 не вводит новый способ считать стоимость труда — оно применяет формулу (2.1), полученную в главе 2 для задач подготовительного этапа, к полному перечню задач всех пяти этапов проекта. На странице занятия эта же формула записана в свёрнутом виде: З = Сч × Н × 1,302, где 1,302 — числовое значение того самого множителя (1 + Встр), который в главе 2 был расписан на составляющие явно. Расхождение в форме записи — не ошибка и не два разных правила: 1 + 0,302 = 1,302, и обе записи дают идентичный результат для любого набора исходных данных; свёрнутая форма выбрана для интерфейса практикума ради краткости, а не по методическим соображениям.</w:t>
      </w:r>
    </w:p>
    <w:p>
      <w:pPr>
        <w:tabs>
          <w:tab w:val="right" w:pos="9026"/>
        </w:tabs>
        <w:spacing w:after="60" w:before="120" w:line="360" w:lineRule="auto"/>
        <w:jc w:val="left"/>
      </w:pPr>
      <m:oMath>
        <m:r>
          <m:t>З = </m:t>
        </m:r>
        <m:d>
          <m:dPr/>
          <m:e>
            <m:nary>
              <m:naryPr>
                <m:chr m:val="∑"/>
                <m:limLoc m:val="undOvr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r>
                  <m:t>Т × 8 × </m:t>
                </m:r>
                <m:sSub>
                  <m:sSubPr/>
                  <m:e>
                    <m:r>
                      <m:t>С</m:t>
                    </m:r>
                  </m:e>
                  <m:sub>
                    <m:r>
                      <m:t>ч,i</m:t>
                    </m:r>
                  </m:sub>
                </m:sSub>
              </m:e>
            </m:nary>
          </m:e>
        </m:d>
        <m:r>
          <m:t> × </m:t>
        </m:r>
        <m:d>
          <m:dPr/>
          <m:e>
            <m:r>
              <m:t>1 + </m:t>
            </m:r>
            <m:sSub>
              <m:sSubPr/>
              <m:e>
                <m:r>
                  <m:t>В</m:t>
                </m:r>
              </m:e>
              <m:sub>
                <m:r>
                  <m:t>стр</m:t>
                </m:r>
              </m:sub>
            </m:sSub>
          </m:e>
        </m:d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(2.1)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З — стоимость труда по задаче, ₽; Т — трудоёмкость задачи в днях (переводится в часы через постоянный коэффициент 8 ч/дн, принятый в практикуме); Сч,i — часовая ставка i-го исполнителя, ₽/ч; N — число исполнителей, назначенных на задачу (обычно один, но при кнопке «+ доп. исполнитель» может быть больше); Встр — суммарная ставка страховых взносов, 0,302. Если на задачу назначено несколько исполнителей, их часовые вклады складываются под знаком суммы до умножения на страховую надбавку — иначе говоря, стоимость труда по задаче считается по сумме ставок всех исполнителей, а не по ставке только основного из них.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Например, задача «Монтаж несущих конструкций, кронштейнов, стоек» длительностью 2 дня (16 ч) с одним исполнителем-монтажником со ставкой 550 ₽/ч даёт стоимость 550 × 16 × 1,302 ≈ 11 458 ₽ — именно эта сумма и появляется в столбце «Стоимость (ФОТ)» напротив соответствующей строки таблицы. Задача «Установка контроллеров / приёмно-контрольных приборов, блоков питания» длительностью 1 день (8 ч) при той же ставке даёт 550 × 8 × 1,302 ≈ 5 729 ₽ — ровно вдвое меньше первой, поскольку трудоёмкость вдвое ниже при одинаковой квалификации исполнителя.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Ловушки декомпозиции: выходной документ и метод технического контроля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каждой задачи в таблице занятия есть строка с восемью столбцами: номер, наименование задачи, этап (римская цифра от I до V), длительность, исполнитель, стоимость по формуле (2.1), «Примечание» и «Вид проверочных работ». Первые шесть заполняются автоматически — практикум либо переносит их из уже пройденных занятий, либо считает по формуле; два последних столбца требуют выбора студента из выпадающего списка, и именно они содержат ловушки, аналогичные по назначению ловушкам в таблице персонала и ресурсов, но иначе устроенные.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Ловушка столбца «Примечание» — не выдуманный, а вполне реальный документ, только принадлежащий другой задаче того же проекта: например, акт о выполнении монтажных работ, предложенный как вариант ответа для задачи настройки оборудования, — оба документа существуют в жизненном цикле проекта, но не для этой строки. Задача студента — узнать, какой документ появляется именно на выходе конкретной операции, а не выбрать первый попавшийся правдоподобный вариант. Ловушка столбца «Вид проверочных работ» устроена тоньше: рядом с корректным методом контроля предлагается метод, применяемый к смежной, но иной операции — скажем, «сопротивление изоляции» вместо «сопротивление контура заземления» или «прозвонка кабеля» вместо «проверка обжима разъёма». Спутать эти пары — типичная ошибка неопытного исполнителя на реальном объекте, а не мелкая формальность интерфейса.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Столбец «Вид проверочных работ» заполнен не у всех задач: он относится примерно к половине операций проекта — тем, где применим измеримый технический метод контроля (монтаж, наладка, испытания, приёмка), тогда как чисто организационные и документарные задачи (выезд на объект, инициализация проекта, подписание акта) такого метода не имеют по определению и отмечены прочерком «н/п» — не применимо. Порог допустимой ошибочности по обоим столбцам — 40% верных ответов, что ниже норматива в 75% (эквивалент ошибочности не выше 25%), действовавшего для персонала и ресурсов на Старте 0 и Занятии 1. Разница в порогах отражает разную природу задачи: сопоставление отмеченной галочкой позиции с эталонным списком — операция бинарная и почти механическая, тогда как подбор правильного документа или метода контроля для конкретной формулировки задачи требует содержательного понимания процесса, и с этим сопоставлением справиться труднее. Оба счётчика — по примечанию и по виду проверочных работ — работают независимо друг от друга и считаются отдельно для каждого из пяти этапов.</w:t>
      </w:r>
    </w:p>
    <w:p>
      <w:pPr>
        <w:spacing w:after="60" w:before="120"/>
        <w:jc w:val="center"/>
      </w:pPr>
      <w:r>
        <w:drawing>
          <wp:inline distT="0" distB="0" distL="0" distR="0">
            <wp:extent cx="558165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Рисунок 4 – Декомпозиция проекта на пять этапов, две независимые ловушки таблицы задач и их схождение в формулу стоимости проекта (3.1)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иллюстрирует не хронологию заполнения таблицы (студент может двигаться по строкам в любом порядке), а логическую структуру данных: каждая задача несёт свою стоимость труда по формуле (2.1), два столбца-ловушки проверяются отдельными счётчиками с общим порогом 40%, а результат работы над всей таблицей задач сходится с независимо подобранными комплектующими в единую стоимость проекта, которая становится исходными данными для сметы на занятии 4.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Оба столбца-ловушки, если студент заполнил их верно, дают не просто пару зачётных отметок — они фиксируют задачу как отдельный процесс с распознаваемым входом, инструментом контроля и результатом на выходе. Эта идея не нова для управления проектами: PMBOK Guide описывает каждый процесс через модель «входы — инструменты и методы — выходы» (ITTO), и ровно эти три элемента, взятые порознь, уже присутствуют в данных практикума — «Вид проверочных работ» это инструмент контроля, «Примечание» это выход, а материал предыдущего этапа образует вход, хотя отдельного поля для входа таблица не предусматривает.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 августа 2026 года у 30 задач этапов монтажа, наладки, испытаний и приёмки (тех самых, для которых столбец «Вид проверочных работ» заполнен и указывает конкретный метод, а не отметку «н/п») добавлена кнопка «🖼️ Как процесс (PMBOK)». Она открывает карточку, собирающую четыре блока: вход (обобщённая формулировка по этапу — материалы, документация или результат предыдущей операции), инструменты и методы (метод контроля из столбца «Вид проверочных работ»), выход (документ из столбца «Примечание») и критерий приёмки — числовой норматив, если он явно указан в описании метода (например, «сопротивление изоляции ≥0,5 МОм»). Эту раскладку не следует путать с диаграммой бизнес-процесса на страницах 2–3 вводного сценария практикума: там применена другая нотация, IDEF0 (вход — управление — выход — механизм, ICOM), и совмещение двух разных стандартов под одним названием увело бы студента от точного понимания обоих.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Карточка не заменяет счётчики ловушек и не проверяется на правильность — у неё другая задача, чисто иллюстративная: показать, что оценка задачи как «верно или неверно заполненной строки таблицы» и оценка той же задачи как процесса с определёнными границами — два разных, но совместимых уровня описания одной операции. Кнопки «Печать» и «Скачать как PNG» выводят карточку отдельным изображением, пригодным для вставки в отчёт студента или для разбора на семинаре. У задач без метода контроля, включая задачи, добавленные студентом вручную через «+ Добавить задачу вручную» и потому не имеющие кода из справочника методов, кнопка не появляется вовсе — это не ограничение интерфейса, а прямое следствие того, что для таких задач нет измеримого метода, из которого можно построить содержательную карточку.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Комплектующие проекта: три уровня цены без ловушек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Раздел комплектующих устроен принципиально иначе, чем всё остальное содержание занятия. Для каждого из двадцати типов проекта практикума заранее подготовлен перечень оборудования, подлежащего установке (для охранной сигнализации — извещатели, магнитоконтакты, приёмно-контрольные приборы и подобные позиции), с тремя ценами по вендорам актуального прайс-листа: «Бюджетная», «Middle» и «VIP», и указанием конкретного вендора. Ни в одной строке этого перечня нет отметки «верно/ошибка» и нет счётчика точности — набор позиций и их цены не предмет выбора, а зафиксированный рыночный факт для выпавшего типа проекта. Единственное действие студента — выбрать один из трёх уровней цены переключателем над таблицей; выбранный уровень определяет, какая колонка суммируется в итоговую стоимость комплектующих.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15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Комплектующие проекта «Охранная сигнализация» при уровне цены «Middle» (иллюстративный фрагмент)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"/>
        <w:gridCol w:w="3072"/>
        <w:gridCol w:w="1355"/>
        <w:gridCol w:w="1355"/>
        <w:gridCol w:w="1355"/>
        <w:gridCol w:w="1766"/>
      </w:tblGrid>
      <w:tr>
        <w:trPr>
          <w:cantSplit/>
          <w:tblHeader/>
        </w:trPr>
        <w:tc>
          <w:tcPr>
            <w:tcW w:type="dxa" w:w="452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072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135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Бюджетная</w:t>
            </w:r>
          </w:p>
        </w:tc>
        <w:tc>
          <w:tcPr>
            <w:tcW w:type="dxa" w:w="135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Middle</w:t>
            </w:r>
          </w:p>
        </w:tc>
        <w:tc>
          <w:tcPr>
            <w:tcW w:type="dxa" w:w="135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VIP</w:t>
            </w:r>
          </w:p>
        </w:tc>
        <w:tc>
          <w:tcPr>
            <w:tcW w:type="dxa" w:w="1766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Вендор</w:t>
            </w:r>
          </w:p>
        </w:tc>
      </w:tr>
      <w:tr>
        <w:trPr>
          <w:cantSplit/>
          <w:tblHeader w:val="false"/>
        </w:trPr>
        <w:tc>
          <w:tcPr>
            <w:tcW w:type="dxa" w:w="45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0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ИК-извещатель (точечный)</w:t>
            </w:r>
          </w:p>
        </w:tc>
        <w:tc>
          <w:tcPr>
            <w:tcW w:type="dxa" w:w="13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3 875 ₽</w:t>
            </w:r>
          </w:p>
        </w:tc>
        <w:tc>
          <w:tcPr>
            <w:tcW w:type="dxa" w:w="13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12 000 ₽</w:t>
            </w:r>
          </w:p>
        </w:tc>
        <w:tc>
          <w:tcPr>
            <w:tcW w:type="dxa" w:w="13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45 000 ₽</w:t>
            </w:r>
          </w:p>
        </w:tc>
        <w:tc>
          <w:tcPr>
            <w:tcW w:type="dxa" w:w="17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Bolid</w:t>
            </w:r>
          </w:p>
        </w:tc>
      </w:tr>
      <w:tr>
        <w:trPr>
          <w:cantSplit/>
          <w:tblHeader w:val="false"/>
        </w:trPr>
        <w:tc>
          <w:tcPr>
            <w:tcW w:type="dxa" w:w="45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0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ИК-извещатель (объёмный)</w:t>
            </w:r>
          </w:p>
        </w:tc>
        <w:tc>
          <w:tcPr>
            <w:tcW w:type="dxa" w:w="13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415 ₽</w:t>
            </w:r>
          </w:p>
        </w:tc>
        <w:tc>
          <w:tcPr>
            <w:tcW w:type="dxa" w:w="13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1 153 ₽</w:t>
            </w:r>
          </w:p>
        </w:tc>
        <w:tc>
          <w:tcPr>
            <w:tcW w:type="dxa" w:w="13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3 500 ₽</w:t>
            </w:r>
          </w:p>
        </w:tc>
        <w:tc>
          <w:tcPr>
            <w:tcW w:type="dxa" w:w="17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Риэлта (Фотон-9) / Bolid</w:t>
            </w:r>
          </w:p>
        </w:tc>
      </w:tr>
      <w:tr>
        <w:trPr>
          <w:cantSplit/>
          <w:tblHeader w:val="false"/>
        </w:trPr>
        <w:tc>
          <w:tcPr>
            <w:tcW w:type="dxa" w:w="45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0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Магнитоконтакт</w:t>
            </w:r>
          </w:p>
        </w:tc>
        <w:tc>
          <w:tcPr>
            <w:tcW w:type="dxa" w:w="13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150 ₽</w:t>
            </w:r>
          </w:p>
        </w:tc>
        <w:tc>
          <w:tcPr>
            <w:tcW w:type="dxa" w:w="13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400 ₽</w:t>
            </w:r>
          </w:p>
        </w:tc>
        <w:tc>
          <w:tcPr>
            <w:tcW w:type="dxa" w:w="13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1 200 ₽</w:t>
            </w:r>
          </w:p>
        </w:tc>
        <w:tc>
          <w:tcPr>
            <w:tcW w:type="dxa" w:w="17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Bolid / Астра</w:t>
            </w:r>
          </w:p>
        </w:tc>
      </w:tr>
      <w:tr>
        <w:trPr>
          <w:cantSplit/>
          <w:tblHeader w:val="false"/>
        </w:trPr>
        <w:tc>
          <w:tcPr>
            <w:tcW w:type="dxa" w:w="45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0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Комплект радиоканальный начального уровня (Астра-Р)</w:t>
            </w:r>
          </w:p>
        </w:tc>
        <w:tc>
          <w:tcPr>
            <w:tcW w:type="dxa" w:w="13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3 450 ₽</w:t>
            </w:r>
          </w:p>
        </w:tc>
        <w:tc>
          <w:tcPr>
            <w:tcW w:type="dxa" w:w="13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3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7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Teko (Астра-Р)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Прочерк в столбцах «Middle» и «VIP» для радиоканального комплекта начального уровня — не пропуск данных, а честное отражение того, что этот класс оборудования вендор не предлагает в более дорогих комплектациях: студент, выбравший уровень «VIP», для этой позиции получит либо альтернативный товар из проводного сегмента, либо ноль, но не выдуманную цену. Итоговая сумма по выбранному уровню не привязывается к конкретной монтажной задаче — она добавляется одним платежом в дату задачи «Инициализация проекта», сразу после получения аванса, когда фирма реально закупает оборудование у поставщика.</w:t>
      </w:r>
    </w:p>
    <w:p>
      <w:pPr>
        <w:tabs>
          <w:tab w:val="right" w:pos="9026"/>
        </w:tabs>
        <w:spacing w:after="60" w:before="120" w:line="360" w:lineRule="auto"/>
        <w:jc w:val="left"/>
      </w:pPr>
      <m:oMath>
        <m:sSub>
          <m:sSubPr/>
          <m:e>
            <m:r>
              <m:t>C</m:t>
            </m:r>
          </m:e>
          <m:sub>
            <m:r>
              <m:t>проект</m:t>
            </m:r>
          </m:sub>
        </m:sSub>
        <m:r>
          <m:t> = </m:t>
        </m:r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M</m:t>
            </m:r>
          </m:sup>
          <m:e>
            <m:r>
              <m:t>З</m:t>
            </m:r>
          </m:e>
        </m:nary>
        <m:r>
          <m:t> + </m:t>
        </m:r>
        <m:sSub>
          <m:sSubPr/>
          <m:e>
            <m:r>
              <m:t>К</m:t>
            </m:r>
          </m:e>
          <m:sub>
            <m:r>
              <m:t>ур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(3.1)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Спроект — суммарная стоимость проекта, ₽; М — общее число задач проекта во всех пяти этапах; Зi — стоимость труда i-й задачи по формуле (2.1); Кур — сумма комплектующих по выбранному уровню цены (ур ∈ {Бюджет, Мидл, VIP}). Формула (3.1) — первое место в практикуме, где стоимость труда и стоимость материалов сводятся в единую величину; на занятии 4 эта сумма станет отправной точкой для полной сметы проекта, куда добавятся ещё накладные расходы фирмы и плановая маржа.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 Итоговый тест по компетенциям Занятия 2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 на усвоенные компетенции формируется только для направления 10.03.01 и состоит из восьми вопросов — по четыре на каждую из двух компетенций занятия. Блок ОПК-2.1 проверяет понимание коэффициента 1,302 в формуле стоимости труда, смысл столбца «Примечание» как конкретного выходного документа (а не просто отметки о выполнении задачи), индивидуальность метода технического контроля для разных операций и умение различать похожие, но разные методы контроля. Блок УК-2 проверяет понимание того, что полная структура задач строится с привязкой к выходным документам и методам контроля, порядок выбора комплектующих по трём уровням цены, связь итоговой суммы комплектующих со сметой на занятии 4 и правило суммирования ставок нескольких исполнителей одной задачи.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направлений 10.04.01 и 10.05.01 отдельный тест на этом занятии не формируется — это не техническая недоработка, а прямое следствие того, что цель занятия в METHOD_BLOCKS практикума называет компетенции только направления 10.03.01: там, где формируемая компетенция для направления не заявлена явно, отдельный блок вопросов для него не создаётся, чтобы не подменять реальное содержание занятия вопросами общего характера, не привязанными к конкретной формируемой способности.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Контрольные вопросы к главе 3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Почему компетенции ОПК-2.1 и УК-2 на этом занятии формируются только у направления 10.03.01, а не у всех трёх направлений практикума?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Из каких двух федеральных норм складывается коэффициент 1,302 в формуле стоимости труда по задаче и почему они объединены в одном числе, а не учтены раздельно?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Чем отличается свёрнутая запись формулы стоимости труда (З = Сч × Т × 1,302) от развёрнутой формы главы 2 и почему они дают одинаковый результат?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Как формула стоимости труда изменяется, если на задачу назначено несколько исполнителей через кнопку «+ доп. исполнитель»?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Какой принцип проектного менеджмента, закреплённый в ГОСТ Р ИСО 21500-2014, лежит в основе требования привязывать каждую задачу к выходному документу?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Почему для методов технического контроля систем физической защиты практикум опирается на общеэлектротехнический СП 76.13330.2016, а не на специализированный документ по охранной сигнализации?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В чём заключается ловушка столбца «Примечание» и чем она принципиально отличается от ловушек в таблице персонала на Старте 0?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Приведите пример пары методов технического контроля, которые легко перепутать между собой, и объясните, почему подмена метода — не формальная, а содержательная ошибка.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Почему столбец «Вид проверочных работ» заполнен не у всех задач проекта и что означает отметка «н/п» в этом столбце?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Почему порог допустимой ошибочности для декомпозиции задач (40%) ниже, чем для персонала и ресурсов (25%), и что это говорит о сложности соответствующей когнитивной операции?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Чем принципиально отличается таблица комплектующих проекта от таблиц персонала, ресурсов и задач с точки зрения наличия ловушек и проверки правильности?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Что означает прочерк в столбце цены комплектующего и почему это не техническая ошибка данных?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В какой момент жизненного цикла проекта сумма по выбранному уровню цены комплектующих становится частью движения денежных средств фирмы и почему именно тогда?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14. Как соотносятся между собой формулы (2.1) и (3.1) — почему вторая не заменяет первую, а строится поверх неё?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источников к главе 3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Налоговый кодекс Российской Федерации. Часть вторая. Глава 34. Статья 425. Тарифы страховых взносов.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Федеральный закон от 24.07.1998 №125-ФЗ «Об обязательном социальном страховании от несчастных случаев на производстве и профессиональных заболеваний».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ГОСТ Р ИСО 21500-2014. Руководство по проектному менеджменту. — М.: Стандартинформ, 2015.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СП 76.13330.2016. Электротехнические устройства. Актуализированная редакция СНиП 3.05.06-85. — М.: Минстрой России, 2016.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Пусконаладочные работы // Википедия. Свободная энциклопедия. URL: https://ru.wikipedia.org/wiki/Пусконаладочные_работы (дата обращения: 30.07.2026).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Приказ Минобрнауки России от 17.11.2020 №1427 «Об утверждении федерального государственного образовательного стандарта высшего образования — бакалавриат по направлению подготовки 10.03.01 Информационная безопасность».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Приказ Минобрнауки России от 26.11.2020 №1455 «Об утверждении федерального государственного образовательного стандарта высшего образования — магистратура по направлению подготовки 10.04.01 Информационная безопасность».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Приказ Минобрнауки России от 26.11.2020 №1459 «Об утверждении федерального государственного образовательного стандарта высшего образования — специалитет по направлению подготовки 10.05.01 Компьютерная безопасность».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Тесты на усвоенные компетенции практикума «Управление проектами по защите информации и экономика защиты информации».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fa8dc7515eafad038c450ff186e58a97a94c176.svg"/><Relationship Id="rId8" Type="http://schemas.openxmlformats.org/officeDocument/2006/relationships/image" Target="media/2e35996bff84d0a92064189fec8323146ac2d10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2026-07-30T14:51:39.196Z</dcterms:created>
  <dcterms:modified xsi:type="dcterms:W3CDTF">2026-07-30T14:51:39.196Z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