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9. Занятие 8: Аудит ИБ заказчика — состояние до и после проекта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9.1. Постановка задачи: два среза одного каталога угроз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Занятие 8 закрывает содержательный цикл практикума вопросом, который заказчик неизбежно задаёт по завершении работ: изменилось ли что-то на самом деле, или средства потрачены на бумажный отчёт без реального эффекта. Ответ строится на двукратном срезе одного и того же перечня угроз — до начала работ и после их завершения, — а не на единственной оценке постфактум: единственная оценка не отличает эффект проекта от исходного уровня риска, который мог быть невысоким и без вмешательства. Менеджмент риска информационной безопасности как процесс идентификации, анализа и оценивания угроз закреплён ГОСТ Р ИСО/МЭК 27005-2021 [2], а требование определять состав мер защиты результатом такой оценки, а не универсальным перечнем «для всех случаев», — ГОСТ Р ИСО/МЭК 27001-2021 [3]. Действующий с 1 марта 2026 года приказ ФСТЭК России №117 от 11.04.2025, заменивший приказ №17 от 11.02.2013 (действовавший более двенадцати лет), закрепляет то же требование для государственных информационных систем: состав защитных мер обосновывается моделью угроз конкретного объекта [4].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угроз практикума размечен по типам проектов не универсально. Для проекта «видеонаблюдение», например, профилю системы напрямую соответствуют лишь две позиции из более чем девяноста угроз каталога — вандализм и умышленная порча имущества (У-ФИЗ-04) и физическое повреждение производственного оборудования как способ атаки (У-АСУ-03); остальные полтора десятка угроз того же портфеля добавлены в перечень занятия как ловушки, не относящиеся к конкретному типу системы. Узкий круг реально релевантных угроз — не недоработка практикума, а верное отражение практики: система видеонаблюдения физически не устраняет фишинговую атаку или утечку данных через канал DLP, и студент, отметивший подобную угрозу устранённой проектом, совершает содержательную ошибку, а не техническую опечатку.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9.2. Метод Дельфи: от классической процедуры к учебному упрощению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Классический метод Дельфи, экспериментально описанный Н. Далки и О. Хелмером в 1963 году, строился на анонимном опросе группы экспертов в несколько туров с контролируемой обратной связью между турами: участники не видели чужих имён, только агрегированные оценки предыдущего тура, что снижало давление авторитета на итоговое суждение [1]. Учебная версия практикума сокращает состав экспертов до двух-трёх очных участников — студента и одного-двух одногруппников — и заменяет многотуровую процедуру условным «раундом 2», который включается автоматически при разбросе оценок в два балла и более по любому из двух индексов, вероятности или тяжести последствий. Упрощение осознанное, а не случайное: цель занятия — привить логику согласования оценки, а не воспроизвести исследовательский протокол RAND Corporation в аудиторных условиях за один академический час.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Разброс оценок вычисляется отдельно для каждого индекса как разница между максимальной и минимальной из выставленных экспертами оценок. Если хотя бы один индекс расходится на два балла и более, практикум требует не механического усреднения, а обсуждения и ручного ввода согласованного значения — тогда реальная договорённость экспертов, а не среднее арифметическое, определяет итоговый балл риска в спорном случае. При разбросе менее двух баллов согласованное значение вычисляется как простое среднее автоматически, без дополнительного действия студента.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9.3. Формула балла риска</w:t>
      </w:r>
    </w:p>
    <w:p>
      <w:pPr>
        <w:tabs>
          <w:tab w:val="right" w:pos="9026"/>
        </w:tabs>
        <w:spacing w:after="160" w:before="160"/>
      </w:pPr>
      <m:oMathPara xmlns:m="http://schemas.openxmlformats.org/officeDocument/2006/math">
        <m:oMath>
          <m:r>
            <m:rPr>
              <m:sty m:val="i"/>
            </m:rPr>
            <m:t xml:space="preserve">R</m:t>
          </m:r>
          <m:r>
            <m:t xml:space="preserve"> = </m:t>
          </m:r>
          <m:r>
            <m:rPr>
              <m:sty m:val="i"/>
            </m:rPr>
            <m:t xml:space="preserve">P</m:t>
          </m:r>
          <m:r>
            <m:t xml:space="preserve"> × </m:t>
          </m:r>
          <m:r>
            <m:rPr>
              <m:sty m:val="i"/>
            </m:rPr>
            <m:t xml:space="preserve">I</m:t>
          </m:r>
        </m:oMath>
      </m:oMathPara>
      <w:r>
        <w:rPr>
          <w:rFonts w:ascii="Times New Roman" w:cs="Times New Roman" w:eastAsia="Times New Roman" w:hAnsi="Times New Roman"/>
          <w:sz w:val="28"/>
          <w:szCs w:val="28"/>
        </w:rPr>
        <w:t xml:space="preserve">	(9.1)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R — балл риска угрозы по шкале от 1 до 25; P (Probability) — согласованная оценка вероятности реализации угрозы экспертами, по шкале от 1 до 5; I (Impact) — согласованная оценка тяжести последствий для заказчика, по шкале от 1 до 5. Матрица «вероятность × ущерб» — распространённый инструмент качественной оценки риска, закреплённый ГОСТ Р ИСО/МЭК 27005-2021 как один из допустимых методов анализа риска информационной безопасности [2]. Произведение, а не сумма индексов выбрано намеренно: угроза с максимальной вероятностью, но ничтожным ущербом (P=5, I=1, R=5), и угроза с ничтожной вероятностью, но катастрофическим ущербом (P=1, I=5, R=5), получают равный балл риска — что отражает их равную практическую значимость для планирования защитных мер при разном характере самой угрозы.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9.4. Пример расчёта: снижение риска по двум релевантным угрозам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показан иллюстративный, но формульно точный пример расчёта: коды и наименования обеих угроз — реальные позиции каталога практикума для проекта «видеонаблюдение» (единственные две, чей профиль совпадает с этим типом системы), а конкретные оценки экспертов P и I — авторская иллюстрация процедуры, а не результат живого учебного прогона, поскольку на момент подготовки этой главы браузерное окружение для записи сессии было недоступно. Прозрачность этой оговорки важна: студент, читающий главу, должен воспроизводить логику расчёта на собственных данных занятия, а не заучивать приведённые числа как эталонные.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угрозы У-ФИЗ-04 на этапе «до проекта» три эксперта оценили вероятность в 4, 5 и 3 балла — разброс ΔP = 5 − 3 = 2 балла запускает раунд 2: после обсуждения эксперты сошлись на согласованном значении P = 4,0. Оценки тяжести последствий (3, 4 и 3 балла) разошлись только на 1 балл, поэтому согласованное значение вычислено автоматически как среднее: I = 3,3. Балл риска до проекта — R = 4,0 × 3,3 = 13,2. На этапе «после проекта» становится доступной видеофиксация, которая одновременно снижает вероятность попытки (за счёт сдерживающего эффекта камер) и тяжесть последствий (за счёт быстрого обнаружения и доказательной базы для расследования): согласованные P = 1,7 и I = 2,3 дают R = 1,7 × 2,3 = 3,9 — снижение риска на 70,5%.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угрозы У-АСУ-03 оба индекса на обоих этапах разошлись менее чем на два балла, поэтому раунд 2 не потребовался ни разу: согласованные значения до проекта — P = 3,3, I = 4,7 (R = 15,5), после проекта — P = 1,7, I = 3,7 (R = 6,3), снижение — 59,4%. Суммарный балл риска по обеим угрозам снижается с 28,7 до 10,2, то есть на 64,5% (таблица 24, рисунок 9).</w:t>
      </w:r>
    </w:p>
    <w:p>
      <w:pPr>
        <w:spacing w:after="0" w:before="2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24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Балл риска до и после проекта по угрозам, релевантным типу системы «видеонаблюдение»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4200"/>
        <w:gridCol w:w="900"/>
        <w:gridCol w:w="1000"/>
        <w:gridCol w:w="1150"/>
      </w:tblGrid>
      <w:tr>
        <w:trPr>
          <w:tblHeader/>
        </w:trPr>
        <w:tc>
          <w:tcPr>
            <w:tcW w:type="dxa" w:w="500"/>
            <w:shd w:fill="D9D9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600"/>
            <w:shd w:fill="D9D9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 угрозы</w:t>
            </w:r>
          </w:p>
        </w:tc>
        <w:tc>
          <w:tcPr>
            <w:tcW w:type="dxa" w:w="4200"/>
            <w:shd w:fill="D9D9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угрозы</w:t>
            </w:r>
          </w:p>
        </w:tc>
        <w:tc>
          <w:tcPr>
            <w:tcW w:type="dxa" w:w="900"/>
            <w:shd w:fill="D9D9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 до</w:t>
            </w:r>
          </w:p>
        </w:tc>
        <w:tc>
          <w:tcPr>
            <w:tcW w:type="dxa" w:w="1000"/>
            <w:shd w:fill="D9D9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 после</w:t>
            </w:r>
          </w:p>
        </w:tc>
        <w:tc>
          <w:tcPr>
            <w:tcW w:type="dxa" w:w="1150"/>
            <w:shd w:fill="D9D9D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Снижение, %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У-ФИЗ-04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Вандализм, умышленная порча имущества</w:t>
            </w:r>
          </w:p>
        </w:tc>
        <w:tc>
          <w:tcPr>
            <w:tcW w:type="dxa" w:w="9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13,2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3,9</w:t>
            </w:r>
          </w:p>
        </w:tc>
        <w:tc>
          <w:tcPr>
            <w:tcW w:type="dxa" w:w="115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70,5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У-АСУ-03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Физическое повреждение производственного оборудования как способ атаки</w:t>
            </w:r>
          </w:p>
        </w:tc>
        <w:tc>
          <w:tcPr>
            <w:tcW w:type="dxa" w:w="9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15,5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6,3</w:t>
            </w:r>
          </w:p>
        </w:tc>
        <w:tc>
          <w:tcPr>
            <w:tcW w:type="dxa" w:w="115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59,4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(Σ по 2 угрозам)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9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28,7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10,2</w:t>
            </w:r>
          </w:p>
        </w:tc>
        <w:tc>
          <w:tcPr>
            <w:tcW w:type="dxa" w:w="115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64,5</w:t>
            </w:r>
          </w:p>
        </w:tc>
      </w:tr>
    </w:tbl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24 показывает, что снижение риска на двух угрозах различно по величине (70,5% и 59,4%) при одинаковой формуле расчёта: угроза У-ФИЗ-04 поддаётся более выраженному снижению, поскольку видеонаблюдение воздействует на оба индекса одновременно, тогда как У-АСУ-03 — преимущественно физическая угроза оборудованию, на которую видеофиксация влияет слабее по индексу тяжести последствий, чем по вероятности.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сопоставляет оба балла риска — до и после проекта — по каждой из двух угроз на одной шкале от 1 до 25, вместе с суммарным итогом.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снижение балла риска по угрозам, релевантным типу системы «видеонаблюдение»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подтверждает, что итоговое снижение суммарного риска (64,5%) не результат усреднения двух равных эффектов, а сумма двух разных по величине улучшений: доля вклада У-ФИЗ-04 в итоговое снижение выше доли его исходного риска в общей сумме, потому что мера защиты воздействует на эту угрозу сильнее.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Источники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Dalkey N., Helmer O. An Experimental Application of the Delphi Method to the Use of Experts // Management Science. — 1963. — Vol. 9, No. 3. — P. 458–467.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ГОСТ Р ИСО/МЭК 27005-2021 «Информационные технологии. Методы и средства обеспечения безопасности. Менеджмент риска информационной безопасности».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ГОСТ Р ИСО/МЭК 27001-2021 «Информационные технологии. Методы и средства обеспечения безопасности. Системы менеджмента информационной безопасности. Требования».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Приказ ФСТЭК России от 11.04.2025 №117 «Об утверждении Требований по обеспечению безопасности информации в информационных системах» (заменил приказ ФСТЭК России от 11.02.2013 №17 с 01.03.2026).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Банк данных угроз безопасности информации ФСТЭК России [Электронный ресурс]. URL: https://bdu.fstec.ru/</w:t>
      </w:r>
    </w:p>
    <w:p>
      <w:pPr>
        <w:spacing w:after="6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Метод Дельфи [Электронный ресурс] // Википедия. URL: https://ru.wikipedia.org/wiki/Метод_Дельфи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6b2f299592546efb8bde20c8d0e6dfe7f1fcd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2026-08-01T07:30:56.383Z</dcterms:created>
  <dcterms:modified xsi:type="dcterms:W3CDTF">2026-08-01T07:30:56.384Z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