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24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32"/>
          <w:szCs w:val="32"/>
        </w:rPr>
        <w:t xml:space="preserve">Глава 7. Занятие 6: Управление дефицитом ресурса</w:t>
      </w:r>
    </w:p>
    <w:p>
      <w:pPr>
        <w:spacing w:after="60" w:before="18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7.1. Понятие дефицита ресурса и его отличие от дефицита срока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Слово «дефицит» в обиходной речи почти всегда означает нехватку времени: «не успеваем», «сроки горят». Проектный менеджмент разводит эти две вещи гораздо строже. Срок проекта — производная величина, результат календарного расчёта по сети предшествования задач; сам по себе он ничего не потребляет и не может «закончиться» в физическом смысле. Ресурс — это конкретный человек, оборудование или материал с измеримой суточной или месячной нормой отдачи, и именно превышение этой нормы, а не абстрактное «поджимает время», является первопричиной срыва расписания. Трудовой кодекс РФ фиксирует такую норму для труда прямо: нормальная продолжительность рабочего времени не превышает 40 часов в неделю (ст. 91) — восемь часов в день при пятидневной рабочей неделе. Средняя нагрузка сотрудника на проекте считается по формуле (7.1).</w:t>
      </w:r>
    </w:p>
    <w:p>
      <w:pPr>
        <w:tabs>
          <w:tab w:val="right" w:pos="9026"/>
        </w:tabs>
        <w:spacing w:after="60" w:before="120" w:line="360" w:lineRule="auto"/>
      </w:pPr>
      <m:oMath xmlns:m="http://schemas.openxmlformats.org/officeDocument/2006/math">
        <m:sSub>
          <m:sSubPr/>
          <m:e>
            <m:r>
              <m:t>L</m:t>
            </m:r>
          </m:e>
          <m:sub>
            <m:r>
              <m:t>e</m:t>
            </m:r>
          </m:sub>
        </m:sSub>
        <m:r>
          <m:t xml:space="preserve"> = </m:t>
        </m:r>
        <m:f>
          <m:fPr/>
          <m:num>
            <m:sSub>
              <m:sSubPr/>
              <m:e>
                <m:r>
                  <m:t>H</m:t>
                </m:r>
              </m:e>
              <m:sub>
                <m:r>
                  <m:t>e</m:t>
                </m:r>
              </m:sub>
            </m:sSub>
          </m:num>
          <m:den>
            <m:sSub>
              <m:sSubPr/>
              <m:e>
                <m:r>
                  <m:t>T</m:t>
                </m:r>
              </m:e>
              <m:sub>
                <m:r>
                  <m:t>e</m:t>
                </m:r>
              </m:sub>
            </m:sSub>
          </m:den>
        </m:f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(7.1)</w:t>
      </w:r>
    </w:p>
    <w:p>
      <w:pPr>
        <w:spacing w:after="0" w:before="12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где Le — средняя нагрузка сотрудника e, ч/день; He — суммарные часы сотрудника по всем задачам проекта, на которые он назначен; Te — период его собственной фактической занятости на проекте, дн. (от старта первой назначенной ему задачи до финиша последней по календарному графику). Знаменатель здесь принципиален: если поделить часы монтажника на весь срок проекта целиком, а не на период его личной занятости, оценка получится заниженной для любого исполнителя, не участвующего в подготовительном и сдаточном этапах, — а такая ошибка знаменателя маскирует реальный дефицит вместо того, чтобы его показывать.</w:t>
      </w:r>
    </w:p>
    <w:p>
      <w:pPr>
        <w:spacing w:after="60" w:before="18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7.2. Модели ограниченных ресурсов в теории расписаний: от критического пути к RCPSP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Классический метод критического пути (Critical Path Method, CPM), формализованный Дж. Келли в 1961 году, по построению исходит из допущения о неограниченности ресурсов: последовательность и длительность задач определяются исключительно технологическими зависимостями между ними [1]. Пока проект укладывается в это допущение, единственный рычаг сокращения срока — работа с самими задачами критического пути: их «сжатие» (crashing) за счёт дополнительных вложений в темп исполнения. Задачи вне критического пути обладают резервом (float) и на итоговый срок не влияют.</w:t>
      </w:r>
    </w:p>
    <w:p>
      <w:pPr>
        <w:spacing w:after="0" w:before="12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Ограниченность этого допущения обнаружилась быстро: физический мир проекта устроен так, что за одной и той же единицей персонала или оборудования может стоять несколько технологически независимых задач одновременно, и сеть предшествования сама по себе этого конфликта не видит. Эвристическая модель Дж. Уиста (1967) стала одним из первых работоспособных ответов — алгоритм периодического распределения ограниченного ресурса по задачам с учётом доступного резерва времени [2]. Задача, которую Уист решал эвристически, получила два десятилетия спустя строгую теоретическую характеристику: Блажевич, Ленстра и Ринной Кан показали в 1983 году, что задача составления расписания при ограниченных ресурсах (RCPSP — Resource-Constrained Project Scheduling Problem) принадлежит классу NP-трудных задач в сильном смысле [3]. Из этого результата следует практический вывод, прямо касающийся и учебного расчётного движка настоящего практикума: точное оптимальное расписание при ограниченных ресурсах не может быть найдено переборным или аналитическим методом за приемлемое время уже на проектах умеренного размера, и весь дальнейший инструментарий управления дефицитом — не альтернатива точному расчёту, а единственный практически доступный класс методов.</w:t>
      </w:r>
    </w:p>
    <w:p>
      <w:pPr>
        <w:spacing w:after="60" w:before="18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7.3. Два эмпирических типа дефицита: мощность и доступность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Прикладная классификация, используемая в настоящем практикуме, детализирует общую постановку RCPSP до двух различимых по симптомам и по устранению случаев. Первый — дефицит мощности: в отдельные дни исполнителю назначено суммарно больше восьми часов задач, что физически не помещается в рабочие сутки (Le &gt; 8). Второй — дефицит доступности: суммарный объём часов исполнителя на одном проекте достигает или превышает пороговое значение Hпор (формула 7.2), даже если среднесуточная нагрузка не выходит за пределы нормы, — сотрудник растягивает занятость на этом единственном проекте почти на весь рабочий месяц, и увольнение, болезнь или конфликт приоритетов превращают его в единую точку отказа всего расписания.</w:t>
      </w:r>
    </w:p>
    <w:p>
      <w:pPr>
        <w:tabs>
          <w:tab w:val="right" w:pos="9026"/>
        </w:tabs>
        <w:spacing w:after="60" w:before="120" w:line="360" w:lineRule="auto"/>
      </w:pPr>
      <m:oMath xmlns:m="http://schemas.openxmlformats.org/officeDocument/2006/math">
        <m:sSub>
          <m:sSubPr/>
          <m:e>
            <m:r>
              <m:t>H</m:t>
            </m:r>
          </m:e>
          <m:sub>
            <m:r>
              <m:t>e</m:t>
            </m:r>
          </m:sub>
        </m:sSub>
        <m:r>
          <m:t xml:space="preserve"> ≥ </m:t>
        </m:r>
        <m:sSub>
          <m:sSubPr/>
          <m:e>
            <m:r>
              <m:t>H</m:t>
            </m:r>
          </m:e>
          <m:sub>
            <m:r>
              <m:t>пор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(7.2)</w:t>
      </w:r>
    </w:p>
    <w:p>
      <w:pPr>
        <w:spacing w:after="0" w:before="12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где Hпор = 100 ч — пороговое значение, синхронизированное в практикуме с учебной месячной нормой рабочего времени (около 160 ч/мес при 8-часовом дне и примерно двадцати рабочих днях по ТК РФ): сто часов — это более двенадцати рабочих дней месяца, растянутых на произвольный по календарю срок одного проекта. Разграничение двух типов дефицита методологически небезразлично: оно фальсифицируемо в строгом смысле критерия Поппера — для любого сотрудника с известными He и Te можно однозначно проверить, какое из двух условий выполняется, и ошибочная классификация обнаруживается пересчётом, а не спором об интерпретации.</w:t>
      </w:r>
    </w:p>
    <w:p>
      <w:pPr>
        <w:spacing w:after="60" w:before="18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7.4. Управленческие ответы: resource leveling, crashing и критическая цепь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Теория расписаний предлагает не решение единственного вида, а вилку из двух разнонаправленных по цене мер. Resource leveling — выравнивание ресурса — сдвигает задачи перегруженного исполнителя во времени, ничего не меняя в составе персонала; цена этого решения выражается в сроке: общая длительность проекта, как правило, увеличивается [2, 4]. Crashing — компрессия — привлекает дополнительного исполнителя («дублёра») на часть нагрузки; цена здесь денежная — рост расходов на оплату труда, а не срока [1]. Ни одна из двух мер не является нейтральной, и выбор между ними — управленческое решение, а не техническая операция, выполняемая автоматически.</w:t>
      </w:r>
    </w:p>
    <w:p>
      <w:pPr>
        <w:spacing w:after="0" w:before="12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Э. Голдратт предложил в 1997 году третий, отличный от обеих классических мер взгляд на проблему — метод критической цепи (Critical Chain): вместо резерва времени внутри каждой отдельной задачи он вводит единый защитный буфер в конце цепочки задач, учитывающей одновременно и технологическую последовательность, и занятость общих ресурсов [4]. Критическая цепь в этом смысле — не альтернатива RCPSP, а его частный управленческий протокол: там, где классический критический путь видит только технологическую сеть, критическая цепь дополнительно видит конкуренцию задач за одного и того же человека или единицу оборудования — то есть именно то различие, из которого в разделе 7.3 выведены дефицит мощности и дефицит доступности.</w:t>
      </w:r>
    </w:p>
    <w:p>
      <w:pPr>
        <w:spacing w:after="0" w:before="12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В практикуме crashing реализован не как абстрактное «добавление ресурса», а как конкретное управленческое действие с двумя последовательными шагами. Первый — вернуться к штатному расписанию Старта 0 и снять с него фиксацию (кнопка «Изменить состав»), после чего в перечень отмеченных сотрудников можно внести дополнительные фамилии — то есть буквально расширить штатное расписание фирмы теми специалистами каталога, которых до этого момента студент не отмечал галочкой. Второй шаг — на занятии 6 назначить одного из уже отмеченных (в том числе только что добавленных) сотрудников «дублёром» перегруженного или длительно занятого исполнителя через выпадающий список напротив его строки в таблице загрузки. Ключевое отличие от resource leveling здесь количественно измеримо и наблюдается немедленно: расширение штатного расписания увеличивает фонд оплаты труда фирмы (ФОТ), и приложение показывает это тем же индикатором «Перерасход по бюджету фирмы (OPEX)», что и на занятии 1, — управленческое решение о дефиците ресурса на занятии 6 и решение о допустимом штате фирмы на Старте 0 считаются по одной и той же формуле и обязаны быть согласованы друг с другом, а не приниматься изолированно.</w:t>
      </w:r>
    </w:p>
    <w:p>
      <w:pPr>
        <w:spacing w:after="0" w:before="12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Практическое разграничение дополняется ещё одним диагностическим правилом, важным для воспроизводимости управленческого решения: не всякая перегрузка устраняется расширением штата или переназначением дублёра. Если перегружена штатная единица, не имеющая дублирующей позиции в организационной структуре фирмы (главный инженер, заведующий складом), причина почти всегда не в нехватке рук, а в ошибочно назначенной задаче чужой квалификации (см. занятие 3, «Статус подбора») — и лечится переназначением исполнителя на задаче, а не добавлением новой штатной единицы, которой формально неоткуда взяться в организационной структуре фирмы. Только когда перегружен один из нескольких исполнителей одной и той же специальности, обоснованно и расширение штата, и назначение дублёра.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i w:val="false"/>
          <w:iCs w:val="false"/>
          <w:sz w:val="28"/>
          <w:szCs w:val="28"/>
        </w:rPr>
        <w:t xml:space="preserve">Три реальных случая, зафиксированных на демонстрационном прогоне практикума («Тестовый Клиент», гибридный портфель ИТСО, встроенный тестовый профиль фирмы), иллюстрируют оба типа дефицита в чистом виде и одновременно проверяют формулы (7.1)–(7.2) на конкретных числах, а не на абстрактном примере (таблица 26).</w:t>
      </w:r>
    </w:p>
    <w:p>
      <w:pPr>
        <w:spacing w:after="0" w:before="200"/>
        <w:jc w:val="righ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26</w:t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Диагностика дефицита мощности и доступности (демонстрационный прогон «Тестовый Клиент»)</w:t>
      </w:r>
    </w:p>
    <w:tbl>
      <w:tblPr>
        <w:tblW w:type="dxa" w:w="9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600"/>
        <w:gridCol w:w="1000"/>
        <w:gridCol w:w="1000"/>
        <w:gridCol w:w="1400"/>
        <w:gridCol w:w="2600"/>
      </w:tblGrid>
      <w:tr>
        <w:trPr>
          <w:tblHeader/>
        </w:trPr>
        <w:tc>
          <w:tcPr>
            <w:tcW w:type="dxa" w:w="500"/>
            <w:shd w:fill="D9D9D9" w:val="clear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№</w:t>
            </w:r>
          </w:p>
        </w:tc>
        <w:tc>
          <w:tcPr>
            <w:tcW w:type="dxa" w:w="2600"/>
            <w:shd w:fill="D9D9D9" w:val="clear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Сотрудник (ФИО, должность)</w:t>
            </w:r>
          </w:p>
        </w:tc>
        <w:tc>
          <w:tcPr>
            <w:tcW w:type="dxa" w:w="1000"/>
            <w:shd w:fill="D9D9D9" w:val="clear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He, ч</w:t>
            </w:r>
          </w:p>
        </w:tc>
        <w:tc>
          <w:tcPr>
            <w:tcW w:type="dxa" w:w="1000"/>
            <w:shd w:fill="D9D9D9" w:val="clear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Te, дн</w:t>
            </w:r>
          </w:p>
        </w:tc>
        <w:tc>
          <w:tcPr>
            <w:tcW w:type="dxa" w:w="1400"/>
            <w:shd w:fill="D9D9D9" w:val="clear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Le=He/Te, ч/день</w:t>
            </w:r>
          </w:p>
        </w:tc>
        <w:tc>
          <w:tcPr>
            <w:tcW w:type="dxa" w:w="2600"/>
            <w:shd w:fill="D9D9D9" w:val="clear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Диагноз и управленческое решение</w:t>
            </w:r>
          </w:p>
        </w:tc>
      </w:tr>
      <w:tr>
        <w:trPr>
          <w:cantSplit/>
        </w:trPr>
        <w:tc>
          <w:tcPr>
            <w:tcW w:type="dxa" w:w="500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1</w:t>
            </w:r>
          </w:p>
        </w:tc>
        <w:tc>
          <w:tcPr>
            <w:tcW w:type="dxa" w:w="2600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Директоров С.П., генеральный директор</w:t>
            </w:r>
          </w:p>
        </w:tc>
        <w:tc>
          <w:tcPr>
            <w:tcW w:type="dxa" w:w="1000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28</w:t>
            </w:r>
          </w:p>
        </w:tc>
        <w:tc>
          <w:tcPr>
            <w:tcW w:type="dxa" w:w="1000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2</w:t>
            </w:r>
          </w:p>
        </w:tc>
        <w:tc>
          <w:tcPr>
            <w:tcW w:type="dxa" w:w="1400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14,0</w:t>
            </w:r>
          </w:p>
        </w:tc>
        <w:tc>
          <w:tcPr>
            <w:tcW w:type="dxa" w:w="2600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Дефицит МОЩНОСТИ (Le&gt;8); дублёра нет (tierFamilyOf=null) — только сдвиг дат, занятие 3</w:t>
            </w:r>
          </w:p>
        </w:tc>
      </w:tr>
      <w:tr>
        <w:trPr>
          <w:cantSplit/>
        </w:trPr>
        <w:tc>
          <w:tcPr>
            <w:tcW w:type="dxa" w:w="500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2</w:t>
            </w:r>
          </w:p>
        </w:tc>
        <w:tc>
          <w:tcPr>
            <w:tcW w:type="dxa" w:w="2600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Монтажников С.А., специалист-монтажник</w:t>
            </w:r>
          </w:p>
        </w:tc>
        <w:tc>
          <w:tcPr>
            <w:tcW w:type="dxa" w:w="1000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152</w:t>
            </w:r>
          </w:p>
        </w:tc>
        <w:tc>
          <w:tcPr>
            <w:tcW w:type="dxa" w:w="1000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25</w:t>
            </w:r>
          </w:p>
        </w:tc>
        <w:tc>
          <w:tcPr>
            <w:tcW w:type="dxa" w:w="1400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6,1</w:t>
            </w:r>
          </w:p>
        </w:tc>
        <w:tc>
          <w:tcPr>
            <w:tcW w:type="dxa" w:w="2600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Дефицит ДОСТУПНОСТИ (He≥100); дублёр найден — Помощников В.Е., та же тарифная «семья»</w:t>
            </w:r>
          </w:p>
        </w:tc>
      </w:tr>
      <w:tr>
        <w:trPr>
          <w:cantSplit/>
        </w:trPr>
        <w:tc>
          <w:tcPr>
            <w:tcW w:type="dxa" w:w="500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3</w:t>
            </w:r>
          </w:p>
        </w:tc>
        <w:tc>
          <w:tcPr>
            <w:tcW w:type="dxa" w:w="2600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Наладчиков Ф.И., наладчик</w:t>
            </w:r>
          </w:p>
        </w:tc>
        <w:tc>
          <w:tcPr>
            <w:tcW w:type="dxa" w:w="1000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104</w:t>
            </w:r>
          </w:p>
        </w:tc>
        <w:tc>
          <w:tcPr>
            <w:tcW w:type="dxa" w:w="1000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18</w:t>
            </w:r>
          </w:p>
        </w:tc>
        <w:tc>
          <w:tcPr>
            <w:tcW w:type="dxa" w:w="1400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5,8</w:t>
            </w:r>
          </w:p>
        </w:tc>
        <w:tc>
          <w:tcPr>
            <w:tcW w:type="dxa" w:w="2600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Дефицит ДОСТУПНОСТИ (He≥100); дублёр невозможен — в каталоге фирмы наладчик единственный</w:t>
            </w:r>
          </w:p>
        </w:tc>
      </w:tr>
    </w:tbl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i w:val="false"/>
          <w:iCs w:val="false"/>
          <w:sz w:val="28"/>
          <w:szCs w:val="28"/>
        </w:rPr>
        <w:t xml:space="preserve">Таблица 26 показывает, что диагноз не определяется одним только суммарным объёмом часов: у Директорова С.П. He=28 ч — меньше половины порога Hпор, но эти часы сконцентрированы в двух днях, что даёт Le=14,0 ч/день — почти вдвое выше нормы ст. 91 ТК РФ, и классифицирует случай как дефицит мощности. У Монтажникова С.А. и Наладчикова Ф.И. — обратная картина: среднесуточная нагрузка ниже 8 ч/день у обоих, но суммарный объём собственной занятости на проекте (152 ч и 104 ч соответственно) превышает порог Hпор, из чего следует дефицит доступности — риск единой точки отказа расписания, а не физическая невозможность рабочего дня. Управленческий ответ поэтому у всех троих разный: только Монтажникову С.А. нашёлся дублёр той же тарифной «семьи» (Помощников В.Е.), у Наладчикова Ф.И. дублёра в каталоге нет вовсе, а у Директорова С.П. расширение штата не поможет в принципе — единственный работающий инструмент для него — сдвиг дат на занятии 3.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i w:val="false"/>
          <w:iCs w:val="false"/>
          <w:sz w:val="28"/>
          <w:szCs w:val="28"/>
        </w:rPr>
        <w:t xml:space="preserve">Оба порога формул (7.1) и (7.2) можно свести на одну плоскость, если отложить по осям период занятости Te и среднюю нагрузку Le, — тогда дефицит мощности и дефицит доступности становятся двумя разными геометрическими областями одного графика, а не двумя изолированными числовыми правилами (рисунок 11).</w:t>
      </w:r>
    </w:p>
    <w:p>
      <w:pPr>
        <w:spacing w:before="120"/>
        <w:jc w:val="center"/>
      </w:pPr>
      <w:r>
        <w:drawing>
          <wp:inline distT="0" distB="0" distL="0" distR="0">
            <wp:extent cx="5905500" cy="393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93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11 – два порога дефицита ресурса на одной плоскости (Te, Le) и три реальных диагностических случая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i w:val="false"/>
          <w:iCs w:val="false"/>
          <w:sz w:val="28"/>
          <w:szCs w:val="28"/>
        </w:rPr>
        <w:t xml:space="preserve">Рисунок 11 показывает то, что не видно из одних только формул по отдельности: обе области пересекаются при Te = 12,5 дн — именно в этой точке порог мощности (Le = 8 ч/день) и порог доступности (He = Le×Te = 100 ч) дают одно и то же условие. Слева от этой точки (короткая занятость) дефицит доступности геометрически недостижим без одновременного дефицита мощности — сотрудник физически не может накопить 100 часов за 10 дней, не превысив 8 ч/день в среднем; справа же (Te &gt; 12,5 дн, как у обоих реальных случаев доступности в таблице 26) дефицит доступности существует уже самостоятельно, при вполне умеренной среднесуточной нагрузке. Это не свойство конкретного прогона, а прямое алгебраическое следствие формул (7.1)–(7.2), проверяемое для любых значений Te и Le.</w:t>
      </w:r>
    </w:p>
    <w:p>
      <w:pPr>
        <w:spacing w:after="60" w:before="18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7.5. Итоговый тест по компетенциям Занятия 6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i w:val="false"/>
          <w:iCs w:val="false"/>
          <w:sz w:val="28"/>
          <w:szCs w:val="28"/>
        </w:rPr>
        <w:t xml:space="preserve">Тест на усвоенные компетенции формируется для всех трёх направлений практикума — случай, отличающий занятие 6 от большинства других, где компетенции закрываются избирательно. Для 10.03.01 (бакалавриат) — четыре вопроса на компетенцию ОПК-10 («...организовывать и поддерживать выполнение комплекса мер по обеспечению информационной безопасности, управлять процессом их реализации на объекте защиты»): норму рабочего времени по ст. 91 ТК РФ, порог 8 ч/день в таблице загрузки, смысл знаменателя Te в формуле (7.1) и способ устранения перегрузки, вызванной не объёмом работ, а ошибкой подбора исполнителя по квалификации по данным занятия 3. Для 10.04.01 (магистратура) и 10.05.01 (специалитет) — по четыре дословно одинаковых вопроса на компетенцию УК-3 («способен организовывать и руководить работой команды»): условие, при котором перегруженному сотруднику вообще может быть назначен дублёр, и цена каждого из двух управленческих ответов на дефицит — resource leveling (срок) и crashing (деньги).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i w:val="false"/>
          <w:iCs w:val="false"/>
          <w:sz w:val="28"/>
          <w:szCs w:val="28"/>
        </w:rPr>
        <w:t xml:space="preserve">Совпадение вопросов для двух направлений — не техническая экономия, а следствие того, что формулировка компетенции УК-3 в ФГОС ВО магистратуры и специалитета идентична дословно, тогда как в бакалавриате та же управленческая задача закреплена не за универсальной, а за профильной компетенцией (ОПК-10): один и тот же инструмент интерфейса — назначение дублёра — проверяет разные по формулировке, хотя и близкие по смыслу способности в зависимости от уровня подготовки студента.</w:t>
      </w:r>
    </w:p>
    <w:p>
      <w:pPr>
        <w:spacing w:after="60" w:before="18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Контрольные вопросы к главе 7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i w:val="false"/>
          <w:iCs w:val="false"/>
          <w:sz w:val="28"/>
          <w:szCs w:val="28"/>
        </w:rPr>
        <w:t xml:space="preserve">1. Чем дефицит ресурса принципиально отличается от дефицита срока проекта?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i w:val="false"/>
          <w:iCs w:val="false"/>
          <w:sz w:val="28"/>
          <w:szCs w:val="28"/>
        </w:rPr>
        <w:t xml:space="preserve">2. Почему в формуле (7.1) знаменателем служит период фактической занятости сотрудника Te, а не весь календарный срок проекта?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i w:val="false"/>
          <w:iCs w:val="false"/>
          <w:sz w:val="28"/>
          <w:szCs w:val="28"/>
        </w:rPr>
        <w:t xml:space="preserve">3. В чём заключается NP-трудность задачи RCPSP и какой практический вывод из неё следует для расчётного движка практикума?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i w:val="false"/>
          <w:iCs w:val="false"/>
          <w:sz w:val="28"/>
          <w:szCs w:val="28"/>
        </w:rPr>
        <w:t xml:space="preserve">4. Чем эвристическая модель Уиста (1967) отличается от классического метода критического пути по своему допущению о ресурсах?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i w:val="false"/>
          <w:iCs w:val="false"/>
          <w:sz w:val="28"/>
          <w:szCs w:val="28"/>
        </w:rPr>
        <w:t xml:space="preserve">5. Приведите оба условия, разграничивающих дефицит мощности и дефицит доступности, и объясните, почему их можно проверить однозначно (критерий Поппера).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i w:val="false"/>
          <w:iCs w:val="false"/>
          <w:sz w:val="28"/>
          <w:szCs w:val="28"/>
        </w:rPr>
        <w:t xml:space="preserve">6. Почему пороговое значение Hпор=100 ч синхронизировано именно с месячной нормой рабочего времени, а не выбрано произвольно?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i w:val="false"/>
          <w:iCs w:val="false"/>
          <w:sz w:val="28"/>
          <w:szCs w:val="28"/>
        </w:rPr>
        <w:t xml:space="preserve">7. Чем resource leveling отличается от crashing по цене управленческого решения?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i w:val="false"/>
          <w:iCs w:val="false"/>
          <w:sz w:val="28"/>
          <w:szCs w:val="28"/>
        </w:rPr>
        <w:t xml:space="preserve">8. В чём состоит вклад метода критической цепи Голдратта (1997) в дополнение к RCPSP?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i w:val="false"/>
          <w:iCs w:val="false"/>
          <w:sz w:val="28"/>
          <w:szCs w:val="28"/>
        </w:rPr>
        <w:t xml:space="preserve">9. Опишите два последовательных шага, которыми crashing реализован в интерфейсе практикума (Старт 0 и занятие 6).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i w:val="false"/>
          <w:iCs w:val="false"/>
          <w:sz w:val="28"/>
          <w:szCs w:val="28"/>
        </w:rPr>
        <w:t xml:space="preserve">10. Почему перегрузка сотрудника без дублирующей позиции в штате (например, главного инженера) не устраняется ни назначением дублёра, ни расширением штата?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i w:val="false"/>
          <w:iCs w:val="false"/>
          <w:sz w:val="28"/>
          <w:szCs w:val="28"/>
        </w:rPr>
        <w:t xml:space="preserve">11. Какие компетенции формирует занятие 6 у направлений 10.03.01, 10.04.01 и 10.05.01, и почему тест для двух последних совпадает дословно?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i w:val="false"/>
          <w:iCs w:val="false"/>
          <w:sz w:val="28"/>
          <w:szCs w:val="28"/>
        </w:rPr>
        <w:t xml:space="preserve">12. По данным таблицы 26, почему Наладчиков Ф.И. классифицирован как дефицит доступности, а не мощности, несмотря на общий объём часов выше порога?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i w:val="false"/>
          <w:iCs w:val="false"/>
          <w:sz w:val="28"/>
          <w:szCs w:val="28"/>
        </w:rPr>
        <w:t xml:space="preserve">13. При каком значении Te пороги дефицита мощности и доступности численно совпадают, и что означает эта точка содержательно (см. рисунок 11)?</w:t>
      </w:r>
    </w:p>
    <w:p>
      <w:pPr>
        <w:spacing w:after="60" w:before="18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Список источников к главе 7</w:t>
      </w:r>
    </w:p>
    <w:p>
      <w:pPr>
        <w:spacing w:after="60" w:before="0" w:line="360" w:lineRule="auto"/>
        <w:ind w:firstLine="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1. Kelley J.E. Critical-Path Planning and Scheduling: Mathematical Basis // Operations Research. — 1961. — Vol. 9, No. 3. — P. 296–320.</w:t>
      </w:r>
    </w:p>
    <w:p>
      <w:pPr>
        <w:spacing w:after="60" w:before="0" w:line="360" w:lineRule="auto"/>
        <w:ind w:firstLine="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2. Wiest J.D. A Heuristic Model for Scheduling Large Projects with Limited Resources // Management Science. — 1967. — Vol. 13, No. 6. — P. B-359–B-377.</w:t>
      </w:r>
    </w:p>
    <w:p>
      <w:pPr>
        <w:spacing w:after="60" w:before="0" w:line="360" w:lineRule="auto"/>
        <w:ind w:firstLine="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3. Blazewicz J., Lenstra J.K., Rinnooy Kan A.H.G. Scheduling Subject to Resource Constraints: Classification and Complexity // Discrete Applied Mathematics. — 1983. — Vol. 5. — P. 11–24.</w:t>
      </w:r>
    </w:p>
    <w:p>
      <w:pPr>
        <w:spacing w:after="60" w:before="0" w:line="360" w:lineRule="auto"/>
        <w:ind w:firstLine="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4. Goldratt E.M. Critical Chain. — Great Barrington, MA: North River Press, 1997.</w:t>
      </w:r>
    </w:p>
    <w:p>
      <w:pPr>
        <w:spacing w:after="60" w:before="0" w:line="360" w:lineRule="auto"/>
        <w:ind w:firstLine="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5. ГОСТ Р 54869-2011. Проектный менеджмент. Требования к управлению проектом.</w:t>
      </w:r>
    </w:p>
    <w:p>
      <w:pPr>
        <w:spacing w:after="60" w:before="0" w:line="360" w:lineRule="auto"/>
        <w:ind w:firstLine="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6. Трудовой кодекс Российской Федерации, ст. 91 «Понятие рабочего времени. Нормальная продолжительность рабочего времени».</w:t>
      </w:r>
    </w:p>
    <w:p>
      <w:pPr>
        <w:spacing w:after="60" w:before="0" w:line="360" w:lineRule="auto"/>
        <w:ind w:firstLine="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7. Выравнивание ресурсов (Resource Leveling) [Электронный ресурс] // PM Practice. URL: https://pmpractice.ru/knowledgebase/gloss/detail/524.php</w:t>
      </w:r>
    </w:p>
    <w:p>
      <w:pPr>
        <w:spacing w:after="60" w:before="0" w:line="360" w:lineRule="auto"/>
        <w:ind w:firstLine="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8. Управление ресурсами проекта: виды, процессы, пример плана [Электронный ресурс] // ELMA365. URL: https://elma365.com/ru/articles/resource-management/</w:t>
      </w:r>
    </w:p>
    <w:sectPr>
      <w:pgSz w:w="11906" w:h="16838" w:orient="portrait"/>
      <w:pgMar w:top="1134" w:right="850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8" Type="http://schemas.openxmlformats.org/officeDocument/2006/relationships/image" Target="media/fig11_diagnostika.png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2026-07-31T09:01:37.040Z</dcterms:created>
  <dcterms:modified xsi:type="dcterms:W3CDTF">2026-07-31T09:01:37.040Z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