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360" w:lineRule="auto"/>
        <w:jc w:val="center"/>
      </w:pPr>
      <w:r>
        <w:rPr>
          <w:rFonts w:ascii="Times New Roman" w:cs="Times New Roman" w:eastAsia="Times New Roman" w:hAnsi="Times New Roman"/>
          <w:b/>
          <w:bCs/>
          <w:i w:val="false"/>
          <w:iCs w:val="false"/>
          <w:sz w:val="32"/>
          <w:szCs w:val="32"/>
        </w:rPr>
        <w:t xml:space="preserve">ГЛАВА 6. ЗАНЯТИЕ 5: ПЛАНОВЫЙ БЮДЖЕТ ПРОЕКТА — ДВЕ ЛОГИКИ ОБОСНОВАНИЯ ЦЕНЫ</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Занятие 4 закрепило цену Договора Ц юридически: заказчик обязан заплатить именно эту сумму, а не любую другую, о которой стороны могли бы договориться позже. Занятие 5 берёт эту уже зафиксированную цену и проверяет её с противоположной стороны — снизу, из фактического состава затрат фирмы-исполнителя, а не сверху, из расчёта прибыли и налога. Такая перепроверка не техническая формальность: если восходящая себестоимость разойдётся с ценой, установленной на предыдущем занятии, разойдётся не число в ячейке таблицы, а два независимых способа доказательства одного и того же факта — и практикум обязан объяснить студенту, что именно пошло не так.</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Но у бюджета проекта информационной безопасности есть и вторая, менее очевидная сторона, которую занятие 4 намеренно оставило за кадром. Фирма-исполнитель отвечает на вопрос «во сколько это обойдётся нам»; заказчик стоит перед качественно другим вопросом — «достаточно ли того, что нам предлагают, и по какому критерию это вообще можно проверить». Первый вопрос решается бухгалтерски. Вторым занимается отдельная исследовательская традиция — от процентных нормативов ИТ-бюджета до риск-ориентированных моделей вроде индекса Гордона–Лёба. Именно на занятии 5, где практикум впервые сводит себестоимость и цену в одной точке, уместно показать студенту: цена Договора удовлетворяет фирму, но сама по себе ничего не говорит заказчику о достаточности защиты. Настоящая глава поэтому разворачивается в двух самостоятельных, но связанных разделах. Раздел 6.2 реконструирует бюджет со стороны фирмы способом, который практикум уже применяет в интерфейсе занятия 5. Раздел 6.3 излагает встречную, нисходящую логику обоснования того же бюджета со стороны заказчика, включая позицию кафедры организации и технологии защиты информации (ОТЗИ) Северо-Кавказского федерального университета по этому вопросу.</w:t>
      </w:r>
    </w:p>
    <w:p>
      <w:pPr>
        <w:spacing w:after="60" w:before="180" w:line="360" w:lineRule="auto"/>
        <w:ind w:firstLine="709"/>
        <w:jc w:val="both"/>
      </w:pPr>
      <w:r>
        <w:rPr>
          <w:rFonts w:ascii="Times New Roman" w:cs="Times New Roman" w:eastAsia="Times New Roman" w:hAnsi="Times New Roman"/>
          <w:b/>
          <w:bCs/>
          <w:i w:val="false"/>
          <w:iCs w:val="false"/>
          <w:sz w:val="28"/>
          <w:szCs w:val="28"/>
        </w:rPr>
        <w:t xml:space="preserve">6.1. Цель и задачи занятия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Занятие сохраняет компетентностную рамку, знакомую по расчётным этапам практикума, но перераспределяет её иначе. УК-9 и ОПК-12 направления 10.03.01 отвечают за экономическую обоснованность решения: бюджет фирмы обязан сходиться с ранее подтверждёнными числами, а не браться из воздуха. УК-2 направлений 10.04.01 и 10.05.01 — «способен управлять проектом на всех этапах жизненного цикла» — распространяется и на занятие 5: бюджетирование трактуется не как разовая процедура, а как контрольная точка внутри цикла, уже начатого на Старте 0 и продолженного через занятия 1, 2 и 4. Направление 10.05.01 отдельной специфической компетенции, привязанной именно к бюджету, не формирует — управленческая рамка УК-2 у него общая с магистратурой.</w:t>
      </w:r>
    </w:p>
    <w:p>
      <w:pPr>
        <w:spacing w:after="4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Практикум ставит перед студентом четыре задачи, выполняемые последовательно и проверяемые количественно, а не декларативно:</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1. Собрать плановый бюджет фирмы по проекту: комплектующие, труд по этапам, накладные расходы офиса.</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2. Пропорционировать месячные накладные расходы фирмы по фактическому сроку проекта, а не засчитывать их полным месяцем.</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3. Сопоставить плановую себестоимость с ценой Договора и рассчитать маржинальность проекта.</w:t>
      </w:r>
    </w:p>
    <w:p>
      <w:pPr>
        <w:spacing w:after="120" w:before="0" w:line="360" w:lineRule="auto"/>
        <w:ind w:firstLine="0"/>
        <w:jc w:val="both"/>
      </w:pPr>
      <w:r>
        <w:rPr>
          <w:rFonts w:ascii="Times New Roman" w:cs="Times New Roman" w:eastAsia="Times New Roman" w:hAnsi="Times New Roman"/>
          <w:b w:val="false"/>
          <w:bCs w:val="false"/>
          <w:i w:val="false"/>
          <w:iCs w:val="false"/>
          <w:sz w:val="28"/>
          <w:szCs w:val="28"/>
        </w:rPr>
        <w:t xml:space="preserve">4. Сверить реальные накладные расходы с ориентиром для выбранного уровня цены и объяснить отклонение.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 этим четырём задачам глава добавляет пятую, учебниковую, а не интерфейсную: объяснить, почему сама фирма не может ответить на вопрос заказчика о достаточности бюджета, и на какую литературу заказчику стоит опираться, если он хочет получить такой ответ. Разделы 6.2 и 6.3 решают эти пять задач по отдельности.</w:t>
      </w:r>
    </w:p>
    <w:p>
      <w:pPr>
        <w:spacing w:after="60" w:before="180" w:line="360" w:lineRule="auto"/>
        <w:ind w:firstLine="709"/>
        <w:jc w:val="both"/>
      </w:pPr>
      <w:r>
        <w:rPr>
          <w:rFonts w:ascii="Times New Roman" w:cs="Times New Roman" w:eastAsia="Times New Roman" w:hAnsi="Times New Roman"/>
          <w:b/>
          <w:bCs/>
          <w:i w:val="false"/>
          <w:iCs w:val="false"/>
          <w:sz w:val="28"/>
          <w:szCs w:val="28"/>
        </w:rPr>
        <w:t xml:space="preserve">6.2. Бюджет проекта со стороны фирмы-исполнителя: пересборка себестоимости «снизу вверх»</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 занятии 4 себестоимость Ссеб была слагаемым в формуле цены: практикум складывал прямые затраты и накладные расходы, чтобы затем начислить прибыль и НДС и получить Ц (формула 5.2 предыдущей главы). Занятие 5 идёт в противоположном направлении — цена Ц уже известна и зафиксирована в подписанном Договоре, а себестоимость требуется восстановить заново, из более мелких и более разнородных статей, чем две укрупнённые строки прошлой сметы. Если результат совпадёт, студент получает подтверждение, что все данные о проекте — комплектующие занятия 2, задачи и сроки занятия 3, ресурсы фирмы Старта 0 — согласованы между собой. Если не совпадёт на сколько-нибудь заметную величину, это почти всегда следствие ручной правки данных на одном из предыдущих занятий уже после того, как смета была одобрена.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Первая статья пересобираемой себестоимости — комплектующие проекта, взятые не итоговой суммой сметы, а прайсовой ценой выбранного уровня («бюджетный», «средний» или «VIP») с надбавкой на позиции, которые спецификация занятия 2 поштучно не перечисляет: кабельные стяжки, крепёж, мелкий расходный материал монтажа. Практикум фиксирует эту надбавку на уровне 10% сверх прайсовой суммы — величина не выбирается студентом произвольно, поскольку иначе несопоставимость смет разных студентов сделала бы проверку бессмысленной.</w:t>
      </w:r>
    </w:p>
    <w:p>
      <w:pPr>
        <w:tabs>
          <w:tab w:val="right" w:pos="9026"/>
        </w:tabs>
        <w:spacing w:after="60" w:before="120" w:line="360" w:lineRule="auto"/>
      </w:pPr>
      <m:oMath xmlns:m="http://schemas.openxmlformats.org/officeDocument/2006/math">
        <m:sSub>
          <m:sSubPr/>
          <m:e>
            <m:r>
              <m:t>С</m:t>
            </m:r>
          </m:e>
          <m:sub>
            <m:r>
              <m:t>компл</m:t>
            </m:r>
          </m:sub>
        </m:sSub>
        <m:r>
          <m:t xml:space="preserve"> = </m:t>
        </m:r>
        <m:sSub>
          <m:sSubPr/>
          <m:e>
            <m:r>
              <m:t>S</m:t>
            </m:r>
          </m:e>
          <m:sub>
            <m:r>
              <m:t>прайс</m:t>
            </m:r>
          </m:sub>
        </m:sSub>
        <m:r>
          <m:t xml:space="preserve"> × (1 + </m:t>
        </m:r>
        <m:sSub>
          <m:sSubPr/>
          <m:e>
            <m:r>
              <m:t>k</m:t>
            </m:r>
          </m:e>
          <m:sub>
            <m:r>
              <m:t>фурн</m:t>
            </m:r>
          </m:sub>
        </m:sSub>
        <m:r>
          <m:t xml:space="preserve">)</m:t>
        </m:r>
      </m:oMath>
      <w:r>
        <w:rPr>
          <w:rFonts w:ascii="Times New Roman" w:cs="Times New Roman" w:eastAsia="Times New Roman" w:hAnsi="Times New Roman"/>
          <w:sz w:val="28"/>
          <w:szCs w:val="28"/>
        </w:rPr>
        <w:t xml:space="preserve">	(6.1)</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где Скомпл — итоговая стоимость комплектующих с учётом надбавки, ₽; Sприс — сумма по прайсу вендоров на выбранном уровне цены (занятие 2), ₽; kфурн — доля надбавки на фурнитуру, крепёж и расходники, зафиксированная практикумом на уровне 0,10.</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Вторая статья — труд и материалы задач проекта, но не одной суммой, а в разбивке по четырём укрупнённым этапам, которые практикум вводит впервые именно на этом занятии: подготовительный этап (обследование, техническое задание, проект, смета, согласование и подписание Договора, получение аванса), монтаж и устройство (прокладка трасс, установка и подключение оборудования), пусконаладочные работы (настройка, программирование, технические испытания) и ввод в эксплуатацию с последующим абонентским обслуживанием (приёмо-сдаточные испытания, документация, обучение персонала заказчика, подписание акта). Таблица 18 сводит эти четыре этапа с содержанием работ и источником стоимости, унаследованным из занятий 2–3, — без повторного учёта комплектующих, чтобы не задвоить статью, уже отражённую формулой 6.1.</w:t>
      </w:r>
    </w:p>
    <w:p>
      <w:pPr>
        <w:spacing w:after="0" w:before="0" w:line="360" w:lineRule="auto"/>
        <w:jc w:val="right"/>
      </w:pPr>
      <w:r>
        <w:rPr>
          <w:rFonts w:ascii="Times New Roman" w:cs="Times New Roman" w:eastAsia="Times New Roman" w:hAnsi="Times New Roman"/>
          <w:b w:val="false"/>
          <w:bCs w:val="false"/>
          <w:i w:val="false"/>
          <w:iCs w:val="false"/>
          <w:sz w:val="28"/>
          <w:szCs w:val="28"/>
        </w:rPr>
        <w:t xml:space="preserve">Таблица 18</w:t>
      </w:r>
    </w:p>
    <w:p>
      <w:pPr>
        <w:spacing w:after="0" w:before="0" w:line="360" w:lineRule="auto"/>
        <w:jc w:val="center"/>
      </w:pPr>
      <w:r>
        <w:rPr>
          <w:rFonts w:ascii="Times New Roman" w:cs="Times New Roman" w:eastAsia="Times New Roman" w:hAnsi="Times New Roman"/>
          <w:b/>
          <w:bCs/>
          <w:i w:val="false"/>
          <w:iCs w:val="false"/>
          <w:sz w:val="28"/>
          <w:szCs w:val="28"/>
        </w:rPr>
        <w:t xml:space="preserve">Разбивка планового бюджета проекта по укрупнённым этапам исполнения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855"/>
        <w:gridCol w:w="2400"/>
      </w:tblGrid>
      <w:tr>
        <w:trPr>
          <w:tblHeader/>
        </w:trPr>
        <w:tc>
          <w:tcPr>
            <w:tcW w:type="dxa" w:w="500"/>
            <w:shd w:fill="D9E4F1"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w:t>
            </w:r>
          </w:p>
        </w:tc>
        <w:tc>
          <w:tcPr>
            <w:tcW w:type="dxa" w:w="2600"/>
            <w:shd w:fill="D9E4F1"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Этап проекта</w:t>
            </w:r>
          </w:p>
        </w:tc>
        <w:tc>
          <w:tcPr>
            <w:tcW w:type="dxa" w:w="3855"/>
            <w:shd w:fill="D9E4F1"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Содержание работ этапа</w:t>
            </w:r>
          </w:p>
        </w:tc>
        <w:tc>
          <w:tcPr>
            <w:tcW w:type="dxa" w:w="2400"/>
            <w:shd w:fill="D9E4F1"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Источник стоимости</w:t>
            </w:r>
          </w:p>
        </w:tc>
      </w:tr>
      <w:tr>
        <w:tc>
          <w:tcPr>
            <w:tcW w:type="dxa" w:w="5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1</w:t>
            </w:r>
          </w:p>
        </w:tc>
        <w:tc>
          <w:tcPr>
            <w:tcW w:type="dxa" w:w="26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Подготовительный</w:t>
            </w:r>
          </w:p>
        </w:tc>
        <w:tc>
          <w:tcPr>
            <w:tcW w:type="dxa" w:w="385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Обследование объекта, техническое задание, проект, смета, согласование и подписание Договора, получение аванса</w:t>
            </w:r>
          </w:p>
        </w:tc>
        <w:tc>
          <w:tcPr>
            <w:tcW w:type="dxa" w:w="24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Труд и материалы задач этапа I (занятия 2–3)</w:t>
            </w:r>
          </w:p>
        </w:tc>
      </w:tr>
      <w:tr>
        <w:tc>
          <w:tcPr>
            <w:tcW w:type="dxa" w:w="5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2</w:t>
            </w:r>
          </w:p>
        </w:tc>
        <w:tc>
          <w:tcPr>
            <w:tcW w:type="dxa" w:w="26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Монтаж и устройство</w:t>
            </w:r>
          </w:p>
        </w:tc>
        <w:tc>
          <w:tcPr>
            <w:tcW w:type="dxa" w:w="385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Прокладка трасс, установка и подключение оборудования</w:t>
            </w:r>
          </w:p>
        </w:tc>
        <w:tc>
          <w:tcPr>
            <w:tcW w:type="dxa" w:w="24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Труд и материалы задач этапа II</w:t>
            </w:r>
          </w:p>
        </w:tc>
      </w:tr>
      <w:tr>
        <w:tc>
          <w:tcPr>
            <w:tcW w:type="dxa" w:w="5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3</w:t>
            </w:r>
          </w:p>
        </w:tc>
        <w:tc>
          <w:tcPr>
            <w:tcW w:type="dxa" w:w="26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Пусконаладочные работы</w:t>
            </w:r>
          </w:p>
        </w:tc>
        <w:tc>
          <w:tcPr>
            <w:tcW w:type="dxa" w:w="385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Настройка, программирование, технические испытания</w:t>
            </w:r>
          </w:p>
        </w:tc>
        <w:tc>
          <w:tcPr>
            <w:tcW w:type="dxa" w:w="24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Труд и материалы задач этапов III–IV</w:t>
            </w:r>
          </w:p>
        </w:tc>
      </w:tr>
      <w:tr>
        <w:tc>
          <w:tcPr>
            <w:tcW w:type="dxa" w:w="5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4</w:t>
            </w:r>
          </w:p>
        </w:tc>
        <w:tc>
          <w:tcPr>
            <w:tcW w:type="dxa" w:w="26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Ввод в эксплуатацию</w:t>
            </w:r>
          </w:p>
        </w:tc>
        <w:tc>
          <w:tcPr>
            <w:tcW w:type="dxa" w:w="385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Приёмо-сдаточные испытания, документация, обучение персонала заказчика, подписание акта; далее — абонентское обслуживание</w:t>
            </w:r>
          </w:p>
        </w:tc>
        <w:tc>
          <w:tcPr>
            <w:tcW w:type="dxa" w:w="24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Труд и материалы задач этапа V</w:t>
            </w:r>
          </w:p>
        </w:tc>
      </w:tr>
      <w:tr>
        <w:tc>
          <w:tcPr>
            <w:tcW w:type="dxa" w:w="500"/>
            <w:shd w:fill="F2F2F2"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
            </w:r>
          </w:p>
        </w:tc>
        <w:tc>
          <w:tcPr>
            <w:tcW w:type="dxa" w:w="2600"/>
            <w:shd w:fill="F2F2F2"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Итого Sэт</w:t>
            </w:r>
          </w:p>
        </w:tc>
        <w:tc>
          <w:tcPr>
            <w:tcW w:type="dxa" w:w="3855"/>
            <w:shd w:fill="F2F2F2"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
            </w:r>
          </w:p>
        </w:tc>
        <w:tc>
          <w:tcPr>
            <w:tcW w:type="dxa" w:w="2400"/>
            <w:shd w:fill="F2F2F2"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Сумма строк 1–4 (входит в формулу 6.2)</w:t>
            </w:r>
          </w:p>
        </w:tc>
      </w:tr>
    </w:tbl>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Стоимость каждого этапа в таблице 18 — не новое вычисление, а перегруппировка уже посчитанных затрат по задачам: практикум суммирует стоимость всех задач, отнесённых к этапу, включая начисления 30,2% страховых взносов на труд и стоимость мелких материалов задачи. Разбивка по этапам решает практическую задачу, которую единая сумма скрывала бы: студент видит, на каком именно интервале проекта сосредоточены основные затраты труда, и может сопоставить это с календарным графиком, а не только с итоговым сроком. Справочно, в разрезе «кто именно и сколько часов», та же сумма труда представлена по сотрудникам фирмы — эта построчная разбивка предназначена для внутреннего учёта фирмы и не прибавляется повторно к итоговому бюджету, поскольку совпадает по величине со строками таблицы 18.</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Третья статья себестоимости — накладные расходы офиса, наиболее методически спорная часть занятия 5 внутри самого практикума. Ранняя версия расчёта, как отмечено в разделе 5.2 предыдущей главы, брала месячные статьи (аренда, связь, содержание офиса) полной суммой независимо от фактического срока проекта, а основные средства — грузовой автомобиль монтажников, автомобиль директора, тестовые стенды — включала в накладные полной стоимостью покупки на один-единственный проект. Занятие 5 наследует уже исправленную формулу (5.1): регулярные статьи пропорционируются по факту (Tпр/30), капитальные — амортизируются за учебную норму 36 месяцев и также пропорционируются сроку проекта. Повторно выводить эту формулу здесь нет необходимости — глава 5 уже подробно разобрала обе методические правки и указала на абсурдный результат (накладные до 305% от прямых затрат), к которому приводила прежняя версия расчёта. Занятие 5 применяет формулу (5.1) не к абстрактной смете, а к конкретному, ранее отмеченному студентом на Старте 0 составу ресурсов фирмы — и именно поэтому расхождение здесь показательнее, чем в договорной смете: если студент отметил на Старте 0 лишний или неоправданно дорогой актив, например представительский автомобиль директора за 3 500 000 ₽, не имеющий отношения к выездам на объект, это отклонение проявится именно в таблице 19.</w:t>
      </w:r>
    </w:p>
    <w:p>
      <w:pPr>
        <w:spacing w:after="0" w:before="0" w:line="360" w:lineRule="auto"/>
        <w:jc w:val="right"/>
      </w:pPr>
      <w:r>
        <w:rPr>
          <w:rFonts w:ascii="Times New Roman" w:cs="Times New Roman" w:eastAsia="Times New Roman" w:hAnsi="Times New Roman"/>
          <w:b w:val="false"/>
          <w:bCs w:val="false"/>
          <w:i w:val="false"/>
          <w:iCs w:val="false"/>
          <w:sz w:val="28"/>
          <w:szCs w:val="28"/>
        </w:rPr>
        <w:t xml:space="preserve">Таблица 19</w:t>
      </w:r>
    </w:p>
    <w:p>
      <w:pPr>
        <w:spacing w:after="0" w:before="0" w:line="360" w:lineRule="auto"/>
        <w:jc w:val="center"/>
      </w:pPr>
      <w:r>
        <w:rPr>
          <w:rFonts w:ascii="Times New Roman" w:cs="Times New Roman" w:eastAsia="Times New Roman" w:hAnsi="Times New Roman"/>
          <w:b/>
          <w:bCs/>
          <w:i w:val="false"/>
          <w:iCs w:val="false"/>
          <w:sz w:val="28"/>
          <w:szCs w:val="28"/>
        </w:rPr>
        <w:t xml:space="preserve">Смета накладных расходов офиса фирмы: операционные (OPEX) и капитальные (CAPEX) статьи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400"/>
        <w:gridCol w:w="4255"/>
      </w:tblGrid>
      <w:tr>
        <w:trPr>
          <w:tblHeader/>
        </w:trPr>
        <w:tc>
          <w:tcPr>
            <w:tcW w:type="dxa" w:w="500"/>
            <w:shd w:fill="D9E4F1"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w:t>
            </w:r>
          </w:p>
        </w:tc>
        <w:tc>
          <w:tcPr>
            <w:tcW w:type="dxa" w:w="3200"/>
            <w:shd w:fill="D9E4F1"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Статья расходов</w:t>
            </w:r>
          </w:p>
        </w:tc>
        <w:tc>
          <w:tcPr>
            <w:tcW w:type="dxa" w:w="1400"/>
            <w:shd w:fill="D9E4F1"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Тип</w:t>
            </w:r>
          </w:p>
        </w:tc>
        <w:tc>
          <w:tcPr>
            <w:tcW w:type="dxa" w:w="4255"/>
            <w:shd w:fill="D9E4F1"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Способ включения в бюджет проекта</w:t>
            </w:r>
          </w:p>
        </w:tc>
      </w:tr>
      <w:tr>
        <w:tc>
          <w:tcPr>
            <w:tcW w:type="dxa" w:w="5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1</w:t>
            </w:r>
          </w:p>
        </w:tc>
        <w:tc>
          <w:tcPr>
            <w:tcW w:type="dxa" w:w="32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Аренда и содержание офиса, связь, хостинг</w:t>
            </w:r>
          </w:p>
        </w:tc>
        <w:tc>
          <w:tcPr>
            <w:tcW w:type="dxa" w:w="14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OPEX регулярная</w:t>
            </w:r>
          </w:p>
        </w:tc>
        <w:tc>
          <w:tcPr>
            <w:tcW w:type="dxa" w:w="425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Доля от месячной суммы, пропорционально Tпр/30 (формула 5.1)</w:t>
            </w:r>
          </w:p>
        </w:tc>
      </w:tr>
      <w:tr>
        <w:tc>
          <w:tcPr>
            <w:tcW w:type="dxa" w:w="5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2</w:t>
            </w:r>
          </w:p>
        </w:tc>
        <w:tc>
          <w:tcPr>
            <w:tcW w:type="dxa" w:w="32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Грузоперевозки, разовые ГПХ-договоры</w:t>
            </w:r>
          </w:p>
        </w:tc>
        <w:tc>
          <w:tcPr>
            <w:tcW w:type="dxa" w:w="14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OPEX разовая</w:t>
            </w:r>
          </w:p>
        </w:tc>
        <w:tc>
          <w:tcPr>
            <w:tcW w:type="dxa" w:w="425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Полной суммой, без пропорционирования сроку</w:t>
            </w:r>
          </w:p>
        </w:tc>
      </w:tr>
      <w:tr>
        <w:tc>
          <w:tcPr>
            <w:tcW w:type="dxa" w:w="5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3</w:t>
            </w:r>
          </w:p>
        </w:tc>
        <w:tc>
          <w:tcPr>
            <w:tcW w:type="dxa" w:w="32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Основные средства (транспорт, вычислительная и оргтехника и т.п.)</w:t>
            </w:r>
          </w:p>
        </w:tc>
        <w:tc>
          <w:tcPr>
            <w:tcW w:type="dxa" w:w="14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CAPEX</w:t>
            </w:r>
          </w:p>
        </w:tc>
        <w:tc>
          <w:tcPr>
            <w:tcW w:type="dxa" w:w="425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Доля амортизации за 36 месяцев, пропорционально Tпр (формула 5.1)</w:t>
            </w:r>
          </w:p>
        </w:tc>
      </w:tr>
      <w:tr>
        <w:tc>
          <w:tcPr>
            <w:tcW w:type="dxa" w:w="500"/>
            <w:shd w:fill="F2F2F2"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
            </w:r>
          </w:p>
        </w:tc>
        <w:tc>
          <w:tcPr>
            <w:tcW w:type="dxa" w:w="3200"/>
            <w:shd w:fill="F2F2F2"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Итого Нр</w:t>
            </w:r>
          </w:p>
        </w:tc>
        <w:tc>
          <w:tcPr>
            <w:tcW w:type="dxa" w:w="1400"/>
            <w:shd w:fill="F2F2F2"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
            </w:r>
          </w:p>
        </w:tc>
        <w:tc>
          <w:tcPr>
            <w:tcW w:type="dxa" w:w="4255"/>
            <w:shd w:fill="F2F2F2"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Сумма строк 1–3; ориентир — 25 / 35 / 60% от труда и материалов, по уровню цены</w:t>
            </w:r>
          </w:p>
        </w:tc>
      </w:tr>
    </w:tbl>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Столбец-ориентир таблицы 19 сверяется с процентом, зависящим от уровня цены комплектующих: 25% для бюджетного уровня, 35% для среднего, 60% для VIP — более состоятельный заказчик подразумевает более оснащённый, а значит и более затратный офис фирмы. Отклонение реального процента от ориентира больше чем на 10 процентных пунктов практикум трактует как сигнал вернуться на Старт 0 и пересмотреть состав отмеченных ресурсов — избыточный набор основных средств или, напротив, недостаточный для проекта такого масштаба.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Сумма трёх статей — комплектующих (формула 6.1), труда и материалов по этапам (таблица 18) и накладных расходов (таблица 19, формула 5.1) — даёт плановую себестоимость проекта, восстановленную независимо от того, как она считалась при формировании цены Договора на занятии 4.</w:t>
      </w:r>
    </w:p>
    <w:p>
      <w:pPr>
        <w:tabs>
          <w:tab w:val="right" w:pos="9026"/>
        </w:tabs>
        <w:spacing w:after="60" w:before="120" w:line="360" w:lineRule="auto"/>
      </w:pPr>
      <m:oMath xmlns:m="http://schemas.openxmlformats.org/officeDocument/2006/math">
        <m:sSub>
          <m:sSubPr/>
          <m:e>
            <m:r>
              <m:t>С</m:t>
            </m:r>
          </m:e>
          <m:sub>
            <m:r>
              <m:t>себ</m:t>
            </m:r>
          </m:sub>
        </m:sSub>
        <m:r>
          <m:t xml:space="preserve"> = </m:t>
        </m:r>
        <m:sSub>
          <m:sSubPr/>
          <m:e>
            <m:r>
              <m:t>С</m:t>
            </m:r>
          </m:e>
          <m:sub>
            <m:r>
              <m:t>компл</m:t>
            </m:r>
          </m:sub>
        </m:sSub>
        <m:r>
          <m:t xml:space="preserve"> + </m:t>
        </m:r>
        <m:sSub>
          <m:sSubPr/>
          <m:e>
            <m:r>
              <m:t>S</m:t>
            </m:r>
          </m:e>
          <m:sub>
            <m:r>
              <m:t>эт</m:t>
            </m:r>
          </m:sub>
        </m:sSub>
        <m:r>
          <m:t xml:space="preserve"> + </m:t>
        </m:r>
        <m:sSub>
          <m:sSubPr/>
          <m:e>
            <m:r>
              <m:t>Н</m:t>
            </m:r>
          </m:e>
          <m:sub>
            <m:r>
              <m:t>р</m:t>
            </m:r>
          </m:sub>
        </m:sSub>
      </m:oMath>
      <w:r>
        <w:rPr>
          <w:rFonts w:ascii="Times New Roman" w:cs="Times New Roman" w:eastAsia="Times New Roman" w:hAnsi="Times New Roman"/>
          <w:sz w:val="28"/>
          <w:szCs w:val="28"/>
        </w:rPr>
        <w:t xml:space="preserve">	(6.2)</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где Ссеб — плановая себестоимость проекта, восстановленная «снизу вверх», ₽; Скомпл — из формулы 6.1; Sэт — суммарная стоимость труда и материалов по всем четырём этапам (итоговая строка таблицы 18); Нр — накладные расходы офиса, пропорционированные сроку проекта по формуле (5.1) предыдущей главы.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Финальный шаг занятия 5 — не построение чего-то нового, а сверка: полученная Ссеб сопоставляется с ценой Ц, зафиксированной Договором на занятии 4, и разница между ними — маржа — либо совпадает по порядку величины с прибылью M, заложенной формулой (5.2) при расчёте цены, либо расходится с ней, указывая на ошибку в одном из предыдущих занятий.</w:t>
      </w:r>
    </w:p>
    <w:p>
      <w:pPr>
        <w:tabs>
          <w:tab w:val="right" w:pos="9026"/>
        </w:tabs>
        <w:spacing w:after="60" w:before="120" w:line="360" w:lineRule="auto"/>
      </w:pPr>
      <m:oMath xmlns:m="http://schemas.openxmlformats.org/officeDocument/2006/math">
        <m:r>
          <m:t xml:space="preserve">M = Ц − </m:t>
        </m:r>
        <m:sSub>
          <m:sSubPr/>
          <m:e>
            <m:r>
              <m:t>С</m:t>
            </m:r>
          </m:e>
          <m:sub>
            <m:r>
              <m:t>себ</m:t>
            </m:r>
          </m:sub>
        </m:sSub>
      </m:oMath>
      <w:r>
        <w:rPr>
          <w:rFonts w:ascii="Times New Roman" w:cs="Times New Roman" w:eastAsia="Times New Roman" w:hAnsi="Times New Roman"/>
          <w:sz w:val="28"/>
          <w:szCs w:val="28"/>
        </w:rPr>
        <w:t xml:space="preserve">	(6.3)</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где M — маржа, полученная восходящим способом, ₽; Ц — цена Договора с заказчиком, включая НДС (занятие 4, формула 5.2); Ссеб — из формулы 6.2. Знак M важен содержательно, а не только арифметически: отрицательное значение означает, что фирма согласилась на цену, не покрывающую даже фактические затраты, — событие, которое практикум не запрещает технически (студент волен ввести любые данные), но которое таблица 20 делает видимым сразу, а не прячет за общими цифрами.</w:t>
      </w:r>
    </w:p>
    <w:p>
      <w:pPr>
        <w:spacing w:after="0" w:before="0" w:line="360" w:lineRule="auto"/>
        <w:jc w:val="right"/>
      </w:pPr>
      <w:r>
        <w:rPr>
          <w:rFonts w:ascii="Times New Roman" w:cs="Times New Roman" w:eastAsia="Times New Roman" w:hAnsi="Times New Roman"/>
          <w:b w:val="false"/>
          <w:bCs w:val="false"/>
          <w:i w:val="false"/>
          <w:iCs w:val="false"/>
          <w:sz w:val="28"/>
          <w:szCs w:val="28"/>
        </w:rPr>
        <w:t xml:space="preserve">Таблица 20</w:t>
      </w:r>
    </w:p>
    <w:p>
      <w:pPr>
        <w:spacing w:after="0" w:before="0" w:line="360" w:lineRule="auto"/>
        <w:jc w:val="center"/>
      </w:pPr>
      <w:r>
        <w:rPr>
          <w:rFonts w:ascii="Times New Roman" w:cs="Times New Roman" w:eastAsia="Times New Roman" w:hAnsi="Times New Roman"/>
          <w:b/>
          <w:bCs/>
          <w:i w:val="false"/>
          <w:iCs w:val="false"/>
          <w:sz w:val="28"/>
          <w:szCs w:val="28"/>
        </w:rPr>
        <w:t xml:space="preserve">Сопоставление цены Договора (занятие 4) и восходящей себестоимости проекта (занятие 5)</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955"/>
        <w:gridCol w:w="3100"/>
      </w:tblGrid>
      <w:tr>
        <w:trPr>
          <w:tblHeader/>
        </w:trPr>
        <w:tc>
          <w:tcPr>
            <w:tcW w:type="dxa" w:w="500"/>
            <w:shd w:fill="D9E4F1"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w:t>
            </w:r>
          </w:p>
        </w:tc>
        <w:tc>
          <w:tcPr>
            <w:tcW w:type="dxa" w:w="2800"/>
            <w:shd w:fill="D9E4F1"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Показатель</w:t>
            </w:r>
          </w:p>
        </w:tc>
        <w:tc>
          <w:tcPr>
            <w:tcW w:type="dxa" w:w="2955"/>
            <w:shd w:fill="D9E4F1"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Источник</w:t>
            </w:r>
          </w:p>
        </w:tc>
        <w:tc>
          <w:tcPr>
            <w:tcW w:type="dxa" w:w="3100"/>
            <w:shd w:fill="D9E4F1"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Направление счёта</w:t>
            </w:r>
          </w:p>
        </w:tc>
      </w:tr>
      <w:tr>
        <w:tc>
          <w:tcPr>
            <w:tcW w:type="dxa" w:w="5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1</w:t>
            </w:r>
          </w:p>
        </w:tc>
        <w:tc>
          <w:tcPr>
            <w:tcW w:type="dxa" w:w="28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Цена Договора Ц</w:t>
            </w:r>
          </w:p>
        </w:tc>
        <w:tc>
          <w:tcPr>
            <w:tcW w:type="dxa" w:w="295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Занятие 4, формула 5.2</w:t>
            </w:r>
          </w:p>
        </w:tc>
        <w:tc>
          <w:tcPr>
            <w:tcW w:type="dxa" w:w="31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Сверху вниз: Ссеб → M → Ц</w:t>
            </w:r>
          </w:p>
        </w:tc>
      </w:tr>
      <w:tr>
        <w:tc>
          <w:tcPr>
            <w:tcW w:type="dxa" w:w="5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2</w:t>
            </w:r>
          </w:p>
        </w:tc>
        <w:tc>
          <w:tcPr>
            <w:tcW w:type="dxa" w:w="28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Плановая себестоимость Ссеб</w:t>
            </w:r>
          </w:p>
        </w:tc>
        <w:tc>
          <w:tcPr>
            <w:tcW w:type="dxa" w:w="295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Занятие 5, формула 6.2</w:t>
            </w:r>
          </w:p>
        </w:tc>
        <w:tc>
          <w:tcPr>
            <w:tcW w:type="dxa" w:w="31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Снизу вверх: Скомпл + Sэт + Нр → Ссеб</w:t>
            </w:r>
          </w:p>
        </w:tc>
      </w:tr>
      <w:tr>
        <w:tc>
          <w:tcPr>
            <w:tcW w:type="dxa" w:w="5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3</w:t>
            </w:r>
          </w:p>
        </w:tc>
        <w:tc>
          <w:tcPr>
            <w:tcW w:type="dxa" w:w="28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Маржа M (восходящий способ)</w:t>
            </w:r>
          </w:p>
        </w:tc>
        <w:tc>
          <w:tcPr>
            <w:tcW w:type="dxa" w:w="295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Ц − Ссеб, формула 6.3</w:t>
            </w:r>
          </w:p>
        </w:tc>
        <w:tc>
          <w:tcPr>
            <w:tcW w:type="dxa" w:w="31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Сверка результата</w:t>
            </w:r>
          </w:p>
        </w:tc>
      </w:tr>
      <w:tr>
        <w:tc>
          <w:tcPr>
            <w:tcW w:type="dxa" w:w="5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4</w:t>
            </w:r>
          </w:p>
        </w:tc>
        <w:tc>
          <w:tcPr>
            <w:tcW w:type="dxa" w:w="28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Плановая прибыль M (нисходящий способ)</w:t>
            </w:r>
          </w:p>
        </w:tc>
        <w:tc>
          <w:tcPr>
            <w:tcW w:type="dxa" w:w="295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15% от Ссеб, занятие 4, формула 5.2</w:t>
            </w:r>
          </w:p>
        </w:tc>
        <w:tc>
          <w:tcPr>
            <w:tcW w:type="dxa" w:w="31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Контрольное значение</w:t>
            </w:r>
          </w:p>
        </w:tc>
      </w:tr>
      <w:tr>
        <w:tc>
          <w:tcPr>
            <w:tcW w:type="dxa" w:w="5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5</w:t>
            </w:r>
          </w:p>
        </w:tc>
        <w:tc>
          <w:tcPr>
            <w:tcW w:type="dxa" w:w="28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Плановые накопления</w:t>
            </w:r>
          </w:p>
        </w:tc>
        <w:tc>
          <w:tcPr>
            <w:tcW w:type="dxa" w:w="295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M × kнак, формула 5.3</w:t>
            </w:r>
          </w:p>
        </w:tc>
        <w:tc>
          <w:tcPr>
            <w:tcW w:type="dxa" w:w="31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Справочно, от маржи строки 3</w:t>
            </w:r>
          </w:p>
        </w:tc>
      </w:tr>
    </w:tbl>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20 — не повторение уже показанных чисел, а единственное место занятия 5, где восходящая и нисходящая арифметика сведены рядом намеренно. Формула (5.2) предыдущей главы вычисляла Ц, отталкиваясь от плановой прибыли в 15% себестоимости; формула 6.3 идёт в противоположную сторону — от уже известной Ц к фактически полученной марже. Совпадение строки 3 со строкой 4 в пределах округления — свидетельство того, что все данные проекта согласованы; значимое расхождение почти всегда означает точечную правку одного из предыдущих занятий уже после согласования сметы, а не ошибку самой формулы. Плановые накопления фирмы, о которых говорит раздел 5.4 предыдущей главы, продолжают считаться от этой же маржи M, а не от цены Ц целиком, — по формуле (5.3), уже установленной ранее и не требующей повторного вывода.</w:t>
      </w:r>
    </w:p>
    <w:p>
      <w:pPr>
        <w:spacing w:after="60" w:before="180" w:line="360" w:lineRule="auto"/>
        <w:ind w:firstLine="709"/>
        <w:jc w:val="both"/>
      </w:pPr>
      <w:r>
        <w:rPr>
          <w:rFonts w:ascii="Times New Roman" w:cs="Times New Roman" w:eastAsia="Times New Roman" w:hAnsi="Times New Roman"/>
          <w:b/>
          <w:bCs/>
          <w:i w:val="false"/>
          <w:iCs w:val="false"/>
          <w:sz w:val="28"/>
          <w:szCs w:val="28"/>
        </w:rPr>
        <w:t xml:space="preserve">6.3. Обоснование бюджета со стороны заказчика: нисходящая логика и позиция кафедры ОТЗИ СКФУ</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Раздел 6.2 отвечает на вопрос фирмы-исполнителя «сколько нам будет стоить выполнить этот проект» — вопрос закрытый, проверяемый арифметически и не оставляющий пространства для содержательного спора при согласованных исходных данных. У заказчика вопрос принципиально иной по структуре: не «сколько это стоит», а «достаточно ли предложенного объёма защиты для рисков, с которыми организация реально сталкивается, и по какому измеримому критерию эту достаточность вообще можно оценить». Практикум формально не требует от студента отвечать на этот второй вопрос — Договор подписывается на занятии 4 раньше, чем структура защиты становится вопросом заказчика в явном виде, — но глава не может обойти его молчанием, раз уж именно на занятии 5 себестоимость и цена сведены в одной точке.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Наиболее распространённый в российской и международной практике ответ на вопрос «сколько тратить на ИБ» — процентный: фиксированная доля ИТ-бюджета, обычно 5–15%, в финансовом секторе — до 20–25%. У этого подхода одно фундаментальное ограничение: он нечувствителен к составу угроз. Если число облачных инцидентов организации удвоится за год, процентный норматив не изменится ни на пункт, пока не изменится сам ИТ-бюджет, — правило реагирует на бюджет предприятия, а не на ландшафт угроз, которому это предприятие подвергается. Нормативный подход — требования ФСТЭК России, Положение Банка России №683-П, международные NIS2 и NIST CSF 2.0 — устраняет часть проблемы, но вносит свою: нормотворческий процесс занимает годы, тогда как каталог угроз меняется помесячно, и регулятор описывает риски прошлого цикла, а не текущего.</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Total Cost of Ownership (TCO) частично сдвигает разговор в верную сторону, заставляя заказчика считать не разовую цену Договора, а совокупную стоимость владения защитой на всём горизонте эксплуатации — включая абонентское обслуживание, о котором Договор занятия 4 говорит отдельным пунктом (раздел 5.4 предыдущей главы) и которое таблица 18 этой главы фиксирует как отдельный, четвёртый этап работ. Индустриальная статистика делает эту разницу ощутимой: по оценке IBM, средняя стоимость единичной утечки данных в 2024 году составила 4,88 млн долларов США, при этом глобальные расходы организаций на информационную безопасность, по данным Gartner, выросли со 193 млрд долларов в 2024 году до 213 млрд в 2025-м, с прогнозом около 240 млрд к 2026 году, — рост расходов не сопровождается пропорциональным снижением частоты инцидентов. TCO, однако, отвечает лишь на вопрос «во что обойдётся защита за весь срок», но не говорит, каким должен быть этот срок и объём защиты в принципе, — тот же методологический пробел, что и у процентного норматива, просто перенесённый на более длинный временной горизонт.</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Классическая экономическая модель, устраняющая часть этого пробела, принадлежит Гордону и Лёбу (2002): оптимальный объём вложений в защиту актива x* не должен превышать 36,8% произведения вероятности реализации угрозы v на величину потерь L — условие x* ≤ 0,368·v·L, уже встроенное в занятие 9 настоящего практикума (формула 13) как верхняя граница вложений. Модель по-прежнему опирается на два входных параметра, v и L, которые сама не оценивает: она задаёт потолок расходов, а не отвечает на вопрос, откуда взять v и L для конкретного каталога угроз. Обновление 2025 года (Callegaro, Fontana, Hillairet, Ongarato — стохастическая версия модели Гордона–Лёба для кластеризованных атак) частично снимает ещё одно ограничение классической версии — предположение о независимости атак друг от друга, которое плохо описывает волны скоординированных инцидентов, характерные для последних лет, — но по-прежнему не формализует, как именно организация должна распределять бюджет между полутора десятками разнородных доменов защиты.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Кафедра организации и технологии защиты информации (ОТЗИ) факультета математики и компьютерных наук им. Н.И. Червякова Северо-Кавказского федерального университета предлагает иной, не альтернативный, а дополняющий ответ на тот же вопрос — методологию, разработанную И.В. Мандрицей, В.В. Антоновым, О.В. Мандрицей и А.В. Бугаевой и представленную в статье «Индекс Парето как критерий адаптивного бюджетирования информационной безопасности», в материалах XII Международной научно-практической конференции (Симферополь, 2026) и в выпускной квалификационной работе А.В. Бугаевой. Центральный тезис этой позиции сформулирован предельно определённо: расходы на информационную безопасность носят операционный (OPEX), а не инвестиционный характер — они не порождают дохода и не «возвращаются» организации в виде прибыли, а конвертируются в потенциал противодействия угрозам. Из этого тезиса следует прямое методологическое ограничение: показатель ROSI (Return on Security Investment), уже встроенный в занятие 9 практикума (формула 9) и полезный там для сравнения вариантов «до» и «после» одного и того же проекта, неприменим к более общему вопросу достаточности бюджета — вопросу не «окупились ли уже сделанные вложения», а «сколько вообще нужно вложить, прежде чем прекратить».</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Отправная точка методологии — перевод качественного описания угрозы из реестра БДУ ФСТЭК в числовой показатель, пригодный для ранжирования и кластеризации. Авторы называют его индексом токсичности угрозы (Threat Danger Index, TDI) — по аналогии с токсикологией, где опасность вещества определяется не только концентрацией, но и способом воздействия и уязвимостью субъекта. Индекс строится по шести множителям: три из них — бинарные индикаторы нарушения конфиденциальности (C), целостности (I) и доступности (A); один — потенциал нарушителя (P, от рядового злоумышленника до государственного актора); один — вектор атаки (V, от локального физического доступа до удалённой сетевой атаки); один — сложность реализации (S); один — итоговый ущерб (D); и один, ключевое нововведение самой методологии, — частота реализации угрозы, скорректированная с учётом распространения генеративного искусственного интеллекта в атакующей инфраструктуре (Fии).</w:t>
      </w:r>
    </w:p>
    <w:p>
      <w:pPr>
        <w:tabs>
          <w:tab w:val="right" w:pos="9026"/>
        </w:tabs>
        <w:spacing w:after="60" w:before="120" w:line="360" w:lineRule="auto"/>
      </w:pPr>
      <m:oMath xmlns:m="http://schemas.openxmlformats.org/officeDocument/2006/math">
        <m:sSub>
          <m:sSubPr/>
          <m:e>
            <m:r>
              <m:t>TDI</m:t>
            </m:r>
          </m:e>
          <m:sub>
            <m:r>
              <m:t>j</m:t>
            </m:r>
          </m:sub>
        </m:sSub>
        <m:r>
          <m:t xml:space="preserve"> = (C + I + A) × P × V × (1 + S) × </m:t>
        </m:r>
        <m:sSub>
          <m:sSubPr/>
          <m:e>
            <m:r>
              <m:t>F</m:t>
            </m:r>
          </m:e>
          <m:sub>
            <m:r>
              <m:t>ии</m:t>
            </m:r>
          </m:sub>
        </m:sSub>
        <m:r>
          <m:t xml:space="preserve"> × D</m:t>
        </m:r>
      </m:oMath>
      <w:r>
        <w:rPr>
          <w:rFonts w:ascii="Times New Roman" w:cs="Times New Roman" w:eastAsia="Times New Roman" w:hAnsi="Times New Roman"/>
          <w:sz w:val="28"/>
          <w:szCs w:val="28"/>
        </w:rPr>
        <w:t xml:space="preserve">	(6.4)</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где TDIj — индекс токсичности j-й угрозы; (C + I + A) — сумма бинарных индикаторов нарушения конфиденциальности, целостности и доступности, принимающая значения от 0 до 3; P — потенциал нарушителя (1 — рядовой злоумышленник, 3 — государственный актор); V — коэффициент вектора атаки (от 1 для физического доступа до 3 для удалённой сетевой атаки); S — бинарный индикатор сложности реализации; Fии — частота реализации угрозы, скорректированная на AI-мультипликатор; D — совокупный ущерб по шкале от 1 до 10. Структура формулы мультипликативна и потому «нулечувствительна»: если хотя бы один из шести множителей обнуляется, обнуляется весь индекс, что автоматически выводит экономически незначимые угрозы за пределы бюджетного рассмотрения. На двух полярных примерах из выпускной работы Бугаевой разница получается наглядной: угроза класса «ransomware с сетевым распространением», нарушающая всю триаду CIA, с максимальным потенциалом нарушителя и катастрофическим ущербом, даёт TDI = 2187; угроза «физическое хищение носителя», нарушающая только конфиденциальность, с низким потенциалом и ограниченным ущербом, даёт TDI = 6 — различие в 365 раз, отражающее реальный экономический разрыв между этими двумя случаями, а не произвольную шкалу баллов.</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Полученные значения нормализуются к единой шкале [0; 100] методом min-max по эмпирическим границам всего реестра:</w:t>
      </w:r>
    </w:p>
    <w:p>
      <w:pPr>
        <w:tabs>
          <w:tab w:val="right" w:pos="9026"/>
        </w:tabs>
        <w:spacing w:after="60" w:before="120" w:line="360" w:lineRule="auto"/>
      </w:pPr>
      <m:oMath xmlns:m="http://schemas.openxmlformats.org/officeDocument/2006/math">
        <m:sSub>
          <m:sSubPr/>
          <m:e>
            <m:r>
              <m:t>TDI</m:t>
            </m:r>
          </m:e>
          <m:sub>
            <m:r>
              <m:t>norm</m:t>
            </m:r>
          </m:sub>
        </m:sSub>
        <m:r>
          <m:t xml:space="preserve"> = </m:t>
        </m:r>
        <m:f>
          <m:fPr/>
          <m:num>
            <m:r>
              <m:t xml:space="preserve">TDI − α</m:t>
            </m:r>
          </m:num>
          <m:den>
            <m:r>
              <m:t xml:space="preserve">β − α</m:t>
            </m:r>
          </m:den>
        </m:f>
        <m:r>
          <m:t xml:space="preserve"> × 100</m:t>
        </m:r>
      </m:oMath>
      <w:r>
        <w:rPr>
          <w:rFonts w:ascii="Times New Roman" w:cs="Times New Roman" w:eastAsia="Times New Roman" w:hAnsi="Times New Roman"/>
          <w:sz w:val="28"/>
          <w:szCs w:val="28"/>
        </w:rPr>
        <w:t xml:space="preserve">	(6.5)</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где α = 30,48 и β = 949,54 — минимальное и максимальное значения TDI, зафиксированные по 227 угрозам реестра БДУ ФСТЭК на 01.01.2026 года (по данным авторов методологии). Суммарная токсичность всего реестра, TDItotal, — сумма токсичностей по шестнадцати доменам защиты, на которые распределены угрозы, — величина не постоянная: с 4627,0 в 2023 году она выросла до 5035,3 к 2025–2026 году, отражая как появление новых угроз в реестре, так и рост частоты Fии под влиянием автоматизации атак.</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Кластеризация 227 угроз по шестнадцати доменам защиты и последующее ранжирование по вкладу в TDItotal вскрывает эмпирическую закономерность, которую авторы называют «ядром Парето»: первые восемь доменов из шестнадцати, ровно половина номенклатуры, аккумулируют 80,69% суммарной токсичности реестра. Таблица 21 воспроизводит эту структуру по данным, приведённым в выпускной квалификационной работе А.В. Бугаевой.</w:t>
      </w:r>
    </w:p>
    <w:p>
      <w:pPr>
        <w:spacing w:after="0" w:before="0" w:line="360" w:lineRule="auto"/>
        <w:jc w:val="right"/>
      </w:pPr>
      <w:r>
        <w:rPr>
          <w:rFonts w:ascii="Times New Roman" w:cs="Times New Roman" w:eastAsia="Times New Roman" w:hAnsi="Times New Roman"/>
          <w:b w:val="false"/>
          <w:bCs w:val="false"/>
          <w:i w:val="false"/>
          <w:iCs w:val="false"/>
          <w:sz w:val="28"/>
          <w:szCs w:val="28"/>
        </w:rPr>
        <w:t xml:space="preserve">Таблица 21</w:t>
      </w:r>
    </w:p>
    <w:p>
      <w:pPr>
        <w:spacing w:after="0" w:before="0" w:line="360" w:lineRule="auto"/>
        <w:jc w:val="center"/>
      </w:pPr>
      <w:r>
        <w:rPr>
          <w:rFonts w:ascii="Times New Roman" w:cs="Times New Roman" w:eastAsia="Times New Roman" w:hAnsi="Times New Roman"/>
          <w:b/>
          <w:bCs/>
          <w:i w:val="false"/>
          <w:iCs w:val="false"/>
          <w:sz w:val="28"/>
          <w:szCs w:val="28"/>
        </w:rPr>
        <w:t xml:space="preserve">Структура индекса TDI по шестнадцати доменам защиты и ядро Парето</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50"/>
        <w:gridCol w:w="3700"/>
        <w:gridCol w:w="1300"/>
        <w:gridCol w:w="1300"/>
        <w:gridCol w:w="1300"/>
        <w:gridCol w:w="1305"/>
      </w:tblGrid>
      <w:tr>
        <w:trPr>
          <w:tblHeader/>
        </w:trPr>
        <w:tc>
          <w:tcPr>
            <w:tcW w:type="dxa" w:w="450"/>
            <w:shd w:fill="D9E4F1"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w:t>
            </w:r>
          </w:p>
        </w:tc>
        <w:tc>
          <w:tcPr>
            <w:tcW w:type="dxa" w:w="3700"/>
            <w:shd w:fill="D9E4F1"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Домен защиты</w:t>
            </w:r>
          </w:p>
        </w:tc>
        <w:tc>
          <w:tcPr>
            <w:tcW w:type="dxa" w:w="1300"/>
            <w:shd w:fill="D9E4F1"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TDIi</w:t>
            </w:r>
          </w:p>
        </w:tc>
        <w:tc>
          <w:tcPr>
            <w:tcW w:type="dxa" w:w="1300"/>
            <w:shd w:fill="D9E4F1"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Вклад, %</w:t>
            </w:r>
          </w:p>
        </w:tc>
        <w:tc>
          <w:tcPr>
            <w:tcW w:type="dxa" w:w="1300"/>
            <w:shd w:fill="D9E4F1"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Накопл., %</w:t>
            </w:r>
          </w:p>
        </w:tc>
        <w:tc>
          <w:tcPr>
            <w:tcW w:type="dxa" w:w="1305"/>
            <w:shd w:fill="D9E4F1"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Ядро Парето</w:t>
            </w:r>
          </w:p>
        </w:tc>
      </w:tr>
      <w:tr>
        <w:tc>
          <w:tcPr>
            <w:tcW w:type="dxa" w:w="45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1</w:t>
            </w:r>
          </w:p>
        </w:tc>
        <w:tc>
          <w:tcPr>
            <w:tcW w:type="dxa" w:w="37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Cloud Security / CSPM</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949,54</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18,86</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18,86</w:t>
            </w:r>
          </w:p>
        </w:tc>
        <w:tc>
          <w:tcPr>
            <w:tcW w:type="dxa" w:w="130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Да</w:t>
            </w:r>
          </w:p>
        </w:tc>
      </w:tr>
      <w:tr>
        <w:tc>
          <w:tcPr>
            <w:tcW w:type="dxa" w:w="45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2</w:t>
            </w:r>
          </w:p>
        </w:tc>
        <w:tc>
          <w:tcPr>
            <w:tcW w:type="dxa" w:w="37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Virtualization / Hardening</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621,74</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12,35</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31,20</w:t>
            </w:r>
          </w:p>
        </w:tc>
        <w:tc>
          <w:tcPr>
            <w:tcW w:type="dxa" w:w="130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Да</w:t>
            </w:r>
          </w:p>
        </w:tc>
      </w:tr>
      <w:tr>
        <w:tc>
          <w:tcPr>
            <w:tcW w:type="dxa" w:w="45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3</w:t>
            </w:r>
          </w:p>
        </w:tc>
        <w:tc>
          <w:tcPr>
            <w:tcW w:type="dxa" w:w="37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Firmware / UEFI</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617,90</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12,27</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43,48</w:t>
            </w:r>
          </w:p>
        </w:tc>
        <w:tc>
          <w:tcPr>
            <w:tcW w:type="dxa" w:w="130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Да</w:t>
            </w:r>
          </w:p>
        </w:tc>
      </w:tr>
      <w:tr>
        <w:tc>
          <w:tcPr>
            <w:tcW w:type="dxa" w:w="45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4</w:t>
            </w:r>
          </w:p>
        </w:tc>
        <w:tc>
          <w:tcPr>
            <w:tcW w:type="dxa" w:w="37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Endpoint / EDR / Ransomware</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519,18</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10,31</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53,79</w:t>
            </w:r>
          </w:p>
        </w:tc>
        <w:tc>
          <w:tcPr>
            <w:tcW w:type="dxa" w:w="130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Да</w:t>
            </w:r>
          </w:p>
        </w:tc>
      </w:tr>
      <w:tr>
        <w:tc>
          <w:tcPr>
            <w:tcW w:type="dxa" w:w="45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5</w:t>
            </w:r>
          </w:p>
        </w:tc>
        <w:tc>
          <w:tcPr>
            <w:tcW w:type="dxa" w:w="37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AppSec / WAF</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421,38</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8,37</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62,16</w:t>
            </w:r>
          </w:p>
        </w:tc>
        <w:tc>
          <w:tcPr>
            <w:tcW w:type="dxa" w:w="130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Да</w:t>
            </w:r>
          </w:p>
        </w:tc>
      </w:tr>
      <w:tr>
        <w:tc>
          <w:tcPr>
            <w:tcW w:type="dxa" w:w="45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6</w:t>
            </w:r>
          </w:p>
        </w:tc>
        <w:tc>
          <w:tcPr>
            <w:tcW w:type="dxa" w:w="37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IAM / Identity Lifecycle</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365,51</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7,26</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69,41</w:t>
            </w:r>
          </w:p>
        </w:tc>
        <w:tc>
          <w:tcPr>
            <w:tcW w:type="dxa" w:w="130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Да</w:t>
            </w:r>
          </w:p>
        </w:tc>
      </w:tr>
      <w:tr>
        <w:tc>
          <w:tcPr>
            <w:tcW w:type="dxa" w:w="45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7</w:t>
            </w:r>
          </w:p>
        </w:tc>
        <w:tc>
          <w:tcPr>
            <w:tcW w:type="dxa" w:w="37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MFA &amp; Encryption</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286,30</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5,69</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75,10</w:t>
            </w:r>
          </w:p>
        </w:tc>
        <w:tc>
          <w:tcPr>
            <w:tcW w:type="dxa" w:w="130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Да</w:t>
            </w:r>
          </w:p>
        </w:tc>
      </w:tr>
      <w:tr>
        <w:tc>
          <w:tcPr>
            <w:tcW w:type="dxa" w:w="45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8</w:t>
            </w:r>
          </w:p>
        </w:tc>
        <w:tc>
          <w:tcPr>
            <w:tcW w:type="dxa" w:w="37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Phishing / Social Engineering</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281,50</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5,59</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80,69</w:t>
            </w:r>
          </w:p>
        </w:tc>
        <w:tc>
          <w:tcPr>
            <w:tcW w:type="dxa" w:w="130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Да</w:t>
            </w:r>
          </w:p>
        </w:tc>
      </w:tr>
      <w:tr>
        <w:tc>
          <w:tcPr>
            <w:tcW w:type="dxa" w:w="45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9</w:t>
            </w:r>
          </w:p>
        </w:tc>
        <w:tc>
          <w:tcPr>
            <w:tcW w:type="dxa" w:w="37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Key Management / Crypto</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265,18</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5,27</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85,96</w:t>
            </w:r>
          </w:p>
        </w:tc>
        <w:tc>
          <w:tcPr>
            <w:tcW w:type="dxa" w:w="130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Нет</w:t>
            </w:r>
          </w:p>
        </w:tc>
      </w:tr>
      <w:tr>
        <w:tc>
          <w:tcPr>
            <w:tcW w:type="dxa" w:w="45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10</w:t>
            </w:r>
          </w:p>
        </w:tc>
        <w:tc>
          <w:tcPr>
            <w:tcW w:type="dxa" w:w="37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Config Drift / Change Mgmt</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178,27</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3,54</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89,50</w:t>
            </w:r>
          </w:p>
        </w:tc>
        <w:tc>
          <w:tcPr>
            <w:tcW w:type="dxa" w:w="130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Нет</w:t>
            </w:r>
          </w:p>
        </w:tc>
      </w:tr>
      <w:tr>
        <w:tc>
          <w:tcPr>
            <w:tcW w:type="dxa" w:w="45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11</w:t>
            </w:r>
          </w:p>
        </w:tc>
        <w:tc>
          <w:tcPr>
            <w:tcW w:type="dxa" w:w="37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Vulnerability / Patching</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157,01</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3,12</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92,62</w:t>
            </w:r>
          </w:p>
        </w:tc>
        <w:tc>
          <w:tcPr>
            <w:tcW w:type="dxa" w:w="130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Нет</w:t>
            </w:r>
          </w:p>
        </w:tc>
      </w:tr>
      <w:tr>
        <w:tc>
          <w:tcPr>
            <w:tcW w:type="dxa" w:w="45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12</w:t>
            </w:r>
          </w:p>
        </w:tc>
        <w:tc>
          <w:tcPr>
            <w:tcW w:type="dxa" w:w="37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Backup &amp; DR</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117,14</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2,33</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94,94</w:t>
            </w:r>
          </w:p>
        </w:tc>
        <w:tc>
          <w:tcPr>
            <w:tcW w:type="dxa" w:w="130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Нет</w:t>
            </w:r>
          </w:p>
        </w:tc>
      </w:tr>
      <w:tr>
        <w:tc>
          <w:tcPr>
            <w:tcW w:type="dxa" w:w="45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13</w:t>
            </w:r>
          </w:p>
        </w:tc>
        <w:tc>
          <w:tcPr>
            <w:tcW w:type="dxa" w:w="37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MTTD / Detection / SOC</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104,50</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2,08</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97,02</w:t>
            </w:r>
          </w:p>
        </w:tc>
        <w:tc>
          <w:tcPr>
            <w:tcW w:type="dxa" w:w="130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Нет</w:t>
            </w:r>
          </w:p>
        </w:tc>
      </w:tr>
      <w:tr>
        <w:tc>
          <w:tcPr>
            <w:tcW w:type="dxa" w:w="45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14</w:t>
            </w:r>
          </w:p>
        </w:tc>
        <w:tc>
          <w:tcPr>
            <w:tcW w:type="dxa" w:w="37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Network Segmentation</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62,58</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1,24</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98,26</w:t>
            </w:r>
          </w:p>
        </w:tc>
        <w:tc>
          <w:tcPr>
            <w:tcW w:type="dxa" w:w="130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Нет</w:t>
            </w:r>
          </w:p>
        </w:tc>
      </w:tr>
      <w:tr>
        <w:tc>
          <w:tcPr>
            <w:tcW w:type="dxa" w:w="45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15</w:t>
            </w:r>
          </w:p>
        </w:tc>
        <w:tc>
          <w:tcPr>
            <w:tcW w:type="dxa" w:w="37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PAM / Privileged Access</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57,14</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1,13</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99,39</w:t>
            </w:r>
          </w:p>
        </w:tc>
        <w:tc>
          <w:tcPr>
            <w:tcW w:type="dxa" w:w="130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Нет</w:t>
            </w:r>
          </w:p>
        </w:tc>
      </w:tr>
      <w:tr>
        <w:tc>
          <w:tcPr>
            <w:tcW w:type="dxa" w:w="45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16</w:t>
            </w:r>
          </w:p>
        </w:tc>
        <w:tc>
          <w:tcPr>
            <w:tcW w:type="dxa" w:w="37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DLP / Data Leaks</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30,48</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0,61</w:t>
            </w:r>
          </w:p>
        </w:tc>
        <w:tc>
          <w:tcPr>
            <w:tcW w:type="dxa" w:w="13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100,00</w:t>
            </w:r>
          </w:p>
        </w:tc>
        <w:tc>
          <w:tcPr>
            <w:tcW w:type="dxa" w:w="130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Нет</w:t>
            </w:r>
          </w:p>
        </w:tc>
      </w:tr>
      <w:tr>
        <w:tc>
          <w:tcPr>
            <w:tcW w:type="dxa" w:w="450"/>
            <w:shd w:fill="F2F2F2"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
            </w:r>
          </w:p>
        </w:tc>
        <w:tc>
          <w:tcPr>
            <w:tcW w:type="dxa" w:w="3700"/>
            <w:shd w:fill="F2F2F2"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Итого TDItotal</w:t>
            </w:r>
          </w:p>
        </w:tc>
        <w:tc>
          <w:tcPr>
            <w:tcW w:type="dxa" w:w="1300"/>
            <w:shd w:fill="F2F2F2" w:color="auto" w:val="clear"/>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bCs/>
                <w:i w:val="false"/>
                <w:iCs w:val="false"/>
                <w:sz w:val="24"/>
                <w:szCs w:val="24"/>
              </w:rPr>
              <w:t xml:space="preserve">5 035,3</w:t>
            </w:r>
          </w:p>
        </w:tc>
        <w:tc>
          <w:tcPr>
            <w:tcW w:type="dxa" w:w="1300"/>
            <w:shd w:fill="F2F2F2" w:color="auto" w:val="clear"/>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bCs/>
                <w:i w:val="false"/>
                <w:iCs w:val="false"/>
                <w:sz w:val="24"/>
                <w:szCs w:val="24"/>
              </w:rPr>
              <w:t xml:space="preserve">100,00</w:t>
            </w:r>
          </w:p>
        </w:tc>
        <w:tc>
          <w:tcPr>
            <w:tcW w:type="dxa" w:w="1300"/>
            <w:shd w:fill="F2F2F2" w:color="auto" w:val="clear"/>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bCs/>
                <w:i w:val="false"/>
                <w:iCs w:val="false"/>
                <w:sz w:val="24"/>
                <w:szCs w:val="24"/>
              </w:rPr>
              <w:t xml:space="preserve">—</w:t>
            </w:r>
          </w:p>
        </w:tc>
        <w:tc>
          <w:tcPr>
            <w:tcW w:type="dxa" w:w="1305"/>
            <w:shd w:fill="F2F2F2"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8 из 16</w:t>
            </w:r>
          </w:p>
        </w:tc>
      </w:tr>
    </w:tbl>
    <w:p>
      <w:pPr>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Составлено по данным выпускной квалификационной работы А.В. Бугаевой (СКФУ, кафедра ОТЗИ, 2026) — кластеризация 227 угроз реестра БДУ ФСТЭК по состоянию на 01.01.2026 года.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Асимметрия таблицы 21 разительна: домен облачной безопасности (Cloud Security/CSPM) в одиночку отвечает за 18,86% суммарной токсичности реестра, тогда как защита от утечек данных (DLP) — всего за 0,61%, при том что оба домена присутствуют в реестре как полноправные пункты защиты. Восемь доменов ядра Парето — от облачной безопасности до противодействия фишингу — образуют экономически обоснованный приоритет распределения бюджета; оставшиеся восемь, от управления криптографическими ключами до защиты от утечек данных, обеспечивают меньшую часть суммарного риска на рубль вложений, не становясь от этого второстепенными полностью. Существеннее другое наблюдение, зафиксированное авторами по данным нескольких лет наблюдений: состав ядра Парето не статичен — по одной из версий модели число доменов, формирующих 80-процентный порог, менялось от семи в 2023 году до десяти в 2024–2025 годах, с прогнозом одиннадцать доменов на 2026 год, а порядок доменов внутри ядра при этом также перестраивался. Портфель защитных мер, однажды выстроенный под структуру угроз конкретного года, рискует устареть за два-три года не потому, что меры перестали работать, а потому, что изменился сам ландшафт угроз, который эти меры должны покрывать.</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этой динамики авторы методологии выводят два критерия достаточности бюджета — величины, для которых, по их утверждению, в отечественной литературе по информационной безопасности ранее не существовало формализованного числового аналога, в отличие от давно известных DREAD, CVSS, ALE и методики ФСТЭК 2021 года, ни одна из которых не связывает оценку угрозы напрямую с конкретным бюджетным решением. Первый критерий, β, — отношение бюджета, минимально достаточного для покрытия ядра Парето (B₈₀), к бюджету полного покрытия всех шестнадцати доменов (Bmax); по данным авторов, это отношение остаётся стабильным в диапазоне 0,807–0,833 на протяжении 2023–2026 годов при росте суммарной токсичности реестра почти на 40% — устойчивость показателя на фоне заметного роста самих угроз авторы приводят как довод в пользу его практической применимости. Второй критерий, P-Index, — точка перегиба функции остаточного риска: порог, за которым предельный прирост защищённости на каждый дополнительно вложенный рубль начинает быстро убывать, что содержательно родственно правилу Гордона–Лёба, но выведено из конкретной, обновляемой структуры реестра угроз, а не из абстрактных v и L.</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Прямая связь между методологией кафедры ОТЗИ и уже существующим инструментом настоящего практикума короче, чем может показаться на первый взгляд. Занятие 8 практикума оценивает угрозы заказчика методом Дельфи по двум параметрам — вероятности P и последствиям I, оба по шкале от 1 до 5, — и вычисляет балл риска как их произведение; тот же балл риска, отнесённый к максимально возможному значению (P = I = 5, риск = 25) и приведённый к шкале [0; 100], представлен на странице занятия как TDInorm практикума.</w:t>
      </w:r>
    </w:p>
    <w:p>
      <w:pPr>
        <w:tabs>
          <w:tab w:val="right" w:pos="9026"/>
        </w:tabs>
        <w:spacing w:after="60" w:before="120" w:line="360" w:lineRule="auto"/>
      </w:pPr>
      <m:oMath xmlns:m="http://schemas.openxmlformats.org/officeDocument/2006/math">
        <m:sSub>
          <m:sSubPr/>
          <m:e>
            <m:r>
              <m:t>TDI</m:t>
            </m:r>
          </m:e>
          <m:sub>
            <m:r>
              <m:t>практ</m:t>
            </m:r>
          </m:sub>
        </m:sSub>
        <m:r>
          <m:t xml:space="preserve"> = </m:t>
        </m:r>
        <m:f>
          <m:fPr/>
          <m:num>
            <m:r>
              <m:t xml:space="preserve">100 × P × I</m:t>
            </m:r>
          </m:num>
          <m:den>
            <m:r>
              <m:t xml:space="preserve">25</m:t>
            </m:r>
          </m:den>
        </m:f>
      </m:oMath>
      <w:r>
        <w:rPr>
          <w:rFonts w:ascii="Times New Roman" w:cs="Times New Roman" w:eastAsia="Times New Roman" w:hAnsi="Times New Roman"/>
          <w:sz w:val="28"/>
          <w:szCs w:val="28"/>
        </w:rPr>
        <w:t xml:space="preserve">	(6.6)</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где TDIпракт — упрощённая, приведённая к шкале [0; 100] оценка риска угрозы, используемая занятием 8 практикума; P, I — согласованные экспертные оценки вероятности и последствий по методу Дельфи, каждая по шкале от 1 до 5; 25 — максимально достижимое произведение P × I. Формула 6.6 — не самостоятельная альтернатива методологии кафедры ОТЗИ, а её двухфакторная педагогическая проекция: там, где полная модель раздела 6.3 использует восемь параметров TDI-группы и восемь параметров η-группы контрмер, занятие 8 практикума удерживает только два — вероятность и последствия, — потому что именно эти два параметра студент способен содержательно оценить методом экспертных суждений за одно практическое занятие, не разворачивая кластерный анализ реестра из 227 угроз. Связь между формулами 6.5 и 6.6 не формальная, а архитектурная: обе — нормализация мультипликативно построенного индекса токсичности угрозы к шкале [0; 100], различающиеся числом факторов, из которых индекс складывается.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Основание методологии кафедры ОТЗИ продолжает развиваться: наиболее свежая по времени публикация — статья И.В. Мандрицы, В.И. Петренко и О.В. Мандрицы «Теоретическое обоснование трёхуровневого каркаса бюджетирования информационной безопасности для организаций малого и среднего бизнеса» (2026) — не заменяет изложенную выше модель, а достраивает её ещё одним, третьим уровнем агрегации. Авторы формализуют наблюдение, которое до сих пор оставалось в стороне: 227 угроз реестра БДУ ФСТЭК статистически неоднородны не только по вкладу в TDItotal, как показывает ядро Парето таблицы 21, но и по самому закону распределения ущерба. Кластерный анализ методом Фишера–Дженкса, применённый к нормализованному индексу TDInorm, выделяет на данных 94 предприятий малого и среднего бизнеса Южного федерального округа (347 инцидентов, 2022–2025 годы) три статистически разделимых класса угроз — массовые (Opportunist), катастрофические (Apex Predator) и формирующиеся AI-угрозы (Emerging AI); разделимость подтверждена F-критерием Фишера (F = 47,3; p &lt; 0,001), а не заявлена умозрительно.</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Практическое следствие этой неоднородности — методологический запрет на единую линейную свёртку риска для всего реестра угроз: если частотный компонент массовых угроз и тяжесть редких катастрофических сценариев складывать одной формулой, частота начинает подавлять тяжесть последствий, и бюджетная оценка теряет чувствительность именно к тем событиям, ради которых она вообще составляется. Таблица 22 сводит статистические характеристики трёх кластеров и закреплённую за каждым функцию свёртки.</w:t>
      </w:r>
    </w:p>
    <w:p>
      <w:pPr>
        <w:spacing w:after="0" w:before="0" w:line="360" w:lineRule="auto"/>
        <w:jc w:val="right"/>
      </w:pPr>
      <w:r>
        <w:rPr>
          <w:rFonts w:ascii="Times New Roman" w:cs="Times New Roman" w:eastAsia="Times New Roman" w:hAnsi="Times New Roman"/>
          <w:b w:val="false"/>
          <w:bCs w:val="false"/>
          <w:i w:val="false"/>
          <w:iCs w:val="false"/>
          <w:sz w:val="28"/>
          <w:szCs w:val="28"/>
        </w:rPr>
        <w:t xml:space="preserve">Таблица 22</w:t>
      </w:r>
    </w:p>
    <w:p>
      <w:pPr>
        <w:spacing w:after="0" w:before="0" w:line="360" w:lineRule="auto"/>
        <w:jc w:val="center"/>
      </w:pPr>
      <w:r>
        <w:rPr>
          <w:rFonts w:ascii="Times New Roman" w:cs="Times New Roman" w:eastAsia="Times New Roman" w:hAnsi="Times New Roman"/>
          <w:b/>
          <w:bCs/>
          <w:i w:val="false"/>
          <w:iCs w:val="false"/>
          <w:sz w:val="28"/>
          <w:szCs w:val="28"/>
        </w:rPr>
        <w:t xml:space="preserve">Статистические характеристики трёх кластеров угроз БДУ ФСТЭК и функции бюджетной свёртки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00"/>
        <w:gridCol w:w="750"/>
        <w:gridCol w:w="1000"/>
        <w:gridCol w:w="1800"/>
        <w:gridCol w:w="2005"/>
        <w:gridCol w:w="1900"/>
      </w:tblGrid>
      <w:tr>
        <w:trPr>
          <w:tblHeader/>
        </w:trPr>
        <w:tc>
          <w:tcPr>
            <w:tcW w:type="dxa" w:w="1900"/>
            <w:shd w:fill="D9E4F1"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Кластер угроз</w:t>
            </w:r>
          </w:p>
        </w:tc>
        <w:tc>
          <w:tcPr>
            <w:tcW w:type="dxa" w:w="750"/>
            <w:shd w:fill="D9E4F1"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n, угроз</w:t>
            </w:r>
          </w:p>
        </w:tc>
        <w:tc>
          <w:tcPr>
            <w:tcW w:type="dxa" w:w="1000"/>
            <w:shd w:fill="D9E4F1"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TDInorm</w:t>
            </w:r>
          </w:p>
        </w:tc>
        <w:tc>
          <w:tcPr>
            <w:tcW w:type="dxa" w:w="1800"/>
            <w:shd w:fill="D9E4F1"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Закон ущерба</w:t>
            </w:r>
          </w:p>
        </w:tc>
        <w:tc>
          <w:tcPr>
            <w:tcW w:type="dxa" w:w="2005"/>
            <w:shd w:fill="D9E4F1"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Функция свёртки</w:t>
            </w:r>
          </w:p>
        </w:tc>
        <w:tc>
          <w:tcPr>
            <w:tcW w:type="dxa" w:w="1900"/>
            <w:shd w:fill="D9E4F1"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Доля в бюджете, %</w:t>
            </w:r>
          </w:p>
        </w:tc>
      </w:tr>
      <w:tr>
        <w:tc>
          <w:tcPr>
            <w:tcW w:type="dxa" w:w="19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Opportunist (массовые)</w:t>
            </w:r>
          </w:p>
        </w:tc>
        <w:tc>
          <w:tcPr>
            <w:tcW w:type="dxa" w:w="75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120</w:t>
            </w:r>
          </w:p>
        </w:tc>
        <w:tc>
          <w:tcPr>
            <w:tcW w:type="dxa" w:w="10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12–55</w:t>
            </w:r>
          </w:p>
        </w:tc>
        <w:tc>
          <w:tcPr>
            <w:tcW w:type="dxa" w:w="18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Субэкспоненциальный</w:t>
            </w:r>
          </w:p>
        </w:tc>
        <w:tc>
          <w:tcPr>
            <w:tcW w:type="dxa" w:w="200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EAL = f · TDInorm · A · w1</w:t>
            </w:r>
          </w:p>
        </w:tc>
        <w:tc>
          <w:tcPr>
            <w:tcW w:type="dxa" w:w="19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55–70</w:t>
            </w:r>
          </w:p>
        </w:tc>
      </w:tr>
      <w:tr>
        <w:tc>
          <w:tcPr>
            <w:tcW w:type="dxa" w:w="19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Apex Predator (катастрофические)</w:t>
            </w:r>
          </w:p>
        </w:tc>
        <w:tc>
          <w:tcPr>
            <w:tcW w:type="dxa" w:w="75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55</w:t>
            </w:r>
          </w:p>
        </w:tc>
        <w:tc>
          <w:tcPr>
            <w:tcW w:type="dxa" w:w="10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56–85</w:t>
            </w:r>
          </w:p>
        </w:tc>
        <w:tc>
          <w:tcPr>
            <w:tcW w:type="dxa" w:w="18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Тяжёлый хвост Парето (ξ = 2,2)</w:t>
            </w:r>
          </w:p>
        </w:tc>
        <w:tc>
          <w:tcPr>
            <w:tcW w:type="dxa" w:w="200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CVaR0,95 (формула 6.7)</w:t>
            </w:r>
          </w:p>
        </w:tc>
        <w:tc>
          <w:tcPr>
            <w:tcW w:type="dxa" w:w="19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25–35</w:t>
            </w:r>
          </w:p>
        </w:tc>
      </w:tr>
      <w:tr>
        <w:tc>
          <w:tcPr>
            <w:tcW w:type="dxa" w:w="19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Emerging AI (формирующиеся)</w:t>
            </w:r>
          </w:p>
        </w:tc>
        <w:tc>
          <w:tcPr>
            <w:tcW w:type="dxa" w:w="75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52</w:t>
            </w:r>
          </w:p>
        </w:tc>
        <w:tc>
          <w:tcPr>
            <w:tcW w:type="dxa" w:w="10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55–80</w:t>
            </w:r>
          </w:p>
        </w:tc>
        <w:tc>
          <w:tcPr>
            <w:tcW w:type="dxa" w:w="1800"/>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Смешанный, нестационарный</w:t>
            </w:r>
          </w:p>
        </w:tc>
        <w:tc>
          <w:tcPr>
            <w:tcW w:type="dxa" w:w="2005"/>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val="false"/>
                <w:bCs w:val="false"/>
                <w:i w:val="false"/>
                <w:iCs w:val="false"/>
                <w:sz w:val="24"/>
                <w:szCs w:val="24"/>
              </w:rPr>
              <w:t xml:space="preserve">BAI = β0·exp(β1·NTI)·CVaR</w:t>
            </w:r>
          </w:p>
        </w:tc>
        <w:tc>
          <w:tcPr>
            <w:tcW w:type="dxa" w:w="1900"/>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val="false"/>
                <w:bCs w:val="false"/>
                <w:i w:val="false"/>
                <w:iCs w:val="false"/>
                <w:sz w:val="24"/>
                <w:szCs w:val="24"/>
              </w:rPr>
              <w:t xml:space="preserve">5–20</w:t>
            </w:r>
          </w:p>
        </w:tc>
      </w:tr>
      <w:tr>
        <w:tc>
          <w:tcPr>
            <w:tcW w:type="dxa" w:w="1900"/>
            <w:shd w:fill="F2F2F2"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Итого</w:t>
            </w:r>
          </w:p>
        </w:tc>
        <w:tc>
          <w:tcPr>
            <w:tcW w:type="dxa" w:w="750"/>
            <w:shd w:fill="F2F2F2" w:color="auto" w:val="clear"/>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bCs/>
                <w:i w:val="false"/>
                <w:iCs w:val="false"/>
                <w:sz w:val="24"/>
                <w:szCs w:val="24"/>
              </w:rPr>
              <w:t xml:space="preserve">227</w:t>
            </w:r>
          </w:p>
        </w:tc>
        <w:tc>
          <w:tcPr>
            <w:tcW w:type="dxa" w:w="1000"/>
            <w:shd w:fill="F2F2F2" w:color="auto" w:val="clear"/>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bCs/>
                <w:i w:val="false"/>
                <w:iCs w:val="false"/>
                <w:sz w:val="24"/>
                <w:szCs w:val="24"/>
              </w:rPr>
              <w:t xml:space="preserve">—</w:t>
            </w:r>
          </w:p>
        </w:tc>
        <w:tc>
          <w:tcPr>
            <w:tcW w:type="dxa" w:w="1800"/>
            <w:shd w:fill="F2F2F2"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F = 47,3; p &lt; 0,001</w:t>
            </w:r>
          </w:p>
        </w:tc>
        <w:tc>
          <w:tcPr>
            <w:tcW w:type="dxa" w:w="2005"/>
            <w:shd w:fill="F2F2F2" w:color="auto" w:val="clear"/>
            <w:tcMar>
              <w:top w:type="dxa" w:w="60"/>
              <w:left w:type="dxa" w:w="80"/>
              <w:bottom w:type="dxa" w:w="60"/>
              <w:right w:type="dxa" w:w="80"/>
            </w:tcMar>
            <w:vAlign w:val="center"/>
          </w:tcPr>
          <w:p>
            <w:pPr>
              <w:spacing w:after="0" w:before="0" w:line="276" w:lineRule="auto"/>
            </w:pPr>
            <w:r>
              <w:rPr>
                <w:rFonts w:ascii="Times New Roman" w:cs="Times New Roman" w:eastAsia="Times New Roman" w:hAnsi="Times New Roman"/>
                <w:b/>
                <w:bCs/>
                <w:i w:val="false"/>
                <w:iCs w:val="false"/>
                <w:sz w:val="24"/>
                <w:szCs w:val="24"/>
              </w:rPr>
              <w:t xml:space="preserve">Кусочная функция (3 кластера)</w:t>
            </w:r>
          </w:p>
        </w:tc>
        <w:tc>
          <w:tcPr>
            <w:tcW w:type="dxa" w:w="1900"/>
            <w:shd w:fill="F2F2F2" w:color="auto" w:val="clear"/>
            <w:tcMar>
              <w:top w:type="dxa" w:w="60"/>
              <w:left w:type="dxa" w:w="80"/>
              <w:bottom w:type="dxa" w:w="60"/>
              <w:right w:type="dxa" w:w="80"/>
            </w:tcMar>
            <w:vAlign w:val="center"/>
          </w:tcPr>
          <w:p>
            <w:pPr>
              <w:spacing w:after="0" w:before="0" w:line="276" w:lineRule="auto"/>
              <w:jc w:val="right"/>
            </w:pPr>
            <w:r>
              <w:rPr>
                <w:rFonts w:ascii="Times New Roman" w:cs="Times New Roman" w:eastAsia="Times New Roman" w:hAnsi="Times New Roman"/>
                <w:b/>
                <w:bCs/>
                <w:i w:val="false"/>
                <w:iCs w:val="false"/>
                <w:sz w:val="24"/>
                <w:szCs w:val="24"/>
              </w:rPr>
              <w:t xml:space="preserve">100</w:t>
            </w:r>
          </w:p>
        </w:tc>
      </w:tr>
    </w:tbl>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кластера Opportunist, где ущерб распределён субэкспоненциально и его математическое ожидание конечно, авторы сохраняют ожидаемые годовые потери (EAL) — меру, методологически родственную классической модели Гордона–Лёба и пропорциональную TDInorm при постоянной частоте, то есть согласованную с формулой 6.5 этой главы. Для кластера Apex Predator, где хвост распределения тяжёл (оценка Хилла по выборке МСП даёт параметр хвоста ξ = 2,2), ожидание ущерба перестаёт быть информативной мерой — при ξ &lt; 2 дисперсия расходится, — и авторы переходят к условной стоимости под риском (CVaR), которая, в отличие от VaR, удовлетворяет аксиомам когерентной меры риска: монотонности, субаддитивности, положительной однородности и трансляционной инвариантности.</w:t>
      </w:r>
    </w:p>
    <w:p>
      <w:pPr>
        <w:tabs>
          <w:tab w:val="right" w:pos="9026"/>
        </w:tabs>
        <w:spacing w:after="60" w:before="120" w:line="360" w:lineRule="auto"/>
      </w:pPr>
      <m:oMath xmlns:m="http://schemas.openxmlformats.org/officeDocument/2006/math">
        <m:sSub>
          <m:sSubPr/>
          <m:e>
            <m:r>
              <m:t>CVaR</m:t>
            </m:r>
          </m:e>
          <m:sub>
            <m:r>
              <m:t>α</m:t>
            </m:r>
          </m:sub>
        </m:sSub>
        <m:r>
          <m:t xml:space="preserve">(X) = </m:t>
        </m:r>
        <m:sSub>
          <m:sSubPr/>
          <m:e>
            <m:r>
              <m:t>VaR</m:t>
            </m:r>
          </m:e>
          <m:sub>
            <m:r>
              <m:t>α</m:t>
            </m:r>
          </m:sub>
        </m:sSub>
        <m:r>
          <m:t xml:space="preserve">(X) × </m:t>
        </m:r>
        <m:f>
          <m:fPr/>
          <m:num>
            <m:r>
              <m:t xml:space="preserve">ξ</m:t>
            </m:r>
          </m:num>
          <m:den>
            <m:r>
              <m:t xml:space="preserve">ξ − 1</m:t>
            </m:r>
          </m:den>
        </m:f>
      </m:oMath>
      <w:r>
        <w:rPr>
          <w:rFonts w:ascii="Times New Roman" w:cs="Times New Roman" w:eastAsia="Times New Roman" w:hAnsi="Times New Roman"/>
          <w:sz w:val="28"/>
          <w:szCs w:val="28"/>
        </w:rPr>
        <w:t xml:space="preserve">	(6.7)</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где CVaRα(X) — условная стоимость под риском ущерба X на уровне доверия α (в исследовании — 0,95 либо 0,99); VaRα(X) — квантиль распределения ущерба того же уровня доверия; ξ — параметр хвоста распределения Парето, оцениваемый оценкой Хилла по эмпирической выборке инцидентов. Для третьего кластера, Emerging AI, объединяющего угрозы, чьи координаты в пространстве «токсичность × частота» смещаются со временем в сторону катастрофического класса, авторы вводят функцию бюджетного упреждения BAI — экспоненциальную по адаптивному индексу NTI и умноженную на прогнозное значение CVaR на горизонте нескольких кварталов; по оценке авторов на выборке МСП ЮФО (β0 = 2,5, β1 = 2,8, R² = 0,97), переход к ускоренному росту этой функции происходит при NTI, приближающемся к 0,45.</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Отдельного внимания заслуживает доказанная авторами теорема о вертикальной совместимости уровней: при частоте угрозы, зафиксированной постоянной, и весовом коэффициенте w1 = 1 функция EAL кластера Opportunist сводится к прямому ранжированию по TDInorm, воспроизводя результат исходной шестнадцатифакторной модели как предельный частный случай; аналогично, при хвостовом параметре ξ → ∞ функция CVaR катастрофического кластера сходится к EAL. Формально показано, что трёхуровневая надстройка не отменяет более простую модель, изложенную выше в разделе 6.3, а поглощает её на правах вырожденного случая, — свойство, которое авторы прямо связывают с требованием преемственности между более простой и более сложной версией одной научной модели, а не с их взаимоисключением.</w:t>
      </w:r>
    </w:p>
    <w:p>
      <w:pPr>
        <w:spacing w:after="60" w:before="180" w:line="360" w:lineRule="auto"/>
        <w:ind w:firstLine="709"/>
        <w:jc w:val="both"/>
      </w:pPr>
      <w:r>
        <w:rPr>
          <w:rFonts w:ascii="Times New Roman" w:cs="Times New Roman" w:eastAsia="Times New Roman" w:hAnsi="Times New Roman"/>
          <w:b/>
          <w:bCs/>
          <w:i w:val="false"/>
          <w:iCs w:val="false"/>
          <w:sz w:val="28"/>
          <w:szCs w:val="28"/>
        </w:rPr>
        <w:t xml:space="preserve">6.4. Точка синтеза восходящей и нисходящей логик</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Рисунок 7 сводит оба раздела главы в единую схему, показывая, что восходящая и нисходящая логики не конкурируют за одно и то же число, а описывают два разных объекта, которые практикум сводит вместе только на занятиях 8–9. Раздел 6.2 заканчивается себестоимостью Ссеб и маржой M — числами, полностью определяемыми внутренним устройством фирмы и не зависящими от того, насколько заказчик доволен уровнем защиты. Раздел 6.3 заканчивается порогом достаточности β и точкой перегиба P-Index — числами, полностью определяемыми ландшафтом угроз заказчика и не зависящими от того, во что фирме обошлось выполнение проекта. Общая точка появляется позже: себестоимость C, полученная в разделе 6.2 (совпадающая с себестоимостью, которую занятие 9 использует как знаменатель формулы ROSI), и балл риска «до» и «после» реализации проекта, полученный методом Дельфи на занятии 8, впервые встречаются в одной формуле — ROSI = ((Rдо − Rпосле) − C) / C × 100% — и там же сопоставляются с верхней границей Гордона–Лёба.</w:t>
      </w:r>
    </w:p>
    <w:p>
      <w:pPr>
        <w:spacing w:after="60" w:before="120"/>
        <w:jc w:val="center"/>
      </w:pPr>
      <w:r>
        <w:drawing>
          <wp:inline distT="0" distB="0" distL="0" distR="0">
            <wp:extent cx="581025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extLst>
                        <a:ext uri="{96DAC541-7B7A-43D3-8B79-37D633B846F1}">
                          <asvg:svgBlip xmlns:asvg="http://schemas.microsoft.com/office/drawing/2016/SVG/main" r:embed="rId7"/>
                        </a:ext>
                      </a:extLst>
                    </a:blip>
                    <a:srcRect/>
                    <a:stretch>
                      <a:fillRect/>
                    </a:stretch>
                  </pic:blipFill>
                  <pic:spPr bwMode="auto">
                    <a:xfrm>
                      <a:off x="0" y="0"/>
                      <a:ext cx="5810250" cy="4429125"/>
                    </a:xfrm>
                    <a:prstGeom prst="rect">
                      <a:avLst/>
                    </a:prstGeom>
                  </pic:spPr>
                </pic:pic>
              </a:graphicData>
            </a:graphic>
          </wp:inline>
        </w:drawing>
      </w:r>
    </w:p>
    <w:p>
      <w:pPr>
        <w:spacing w:after="0" w:before="0" w:line="360" w:lineRule="auto"/>
        <w:jc w:val="center"/>
      </w:pPr>
      <w:r>
        <w:rPr>
          <w:rFonts w:ascii="Times New Roman" w:cs="Times New Roman" w:eastAsia="Times New Roman" w:hAnsi="Times New Roman"/>
          <w:b w:val="false"/>
          <w:bCs w:val="false"/>
          <w:i w:val="false"/>
          <w:iCs w:val="false"/>
          <w:sz w:val="28"/>
          <w:szCs w:val="28"/>
        </w:rPr>
        <w:t xml:space="preserve">Рисунок 7 – Две логики обоснования бюджета проекта информационной безопасности: восходящая (фирма) и нисходящая (заказчик), зона синтеза на занятиях 8–9</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Рисунок демонстрирует, что занятие 5 — не изолированный расчётный эпизод практикума, а точка разветвления: результат раздела 6.2 (Ссеб, M) двигается вперёд к занятию 9 по одной линии рассуждения, а материал раздела 6.3 (TDI, ядро Парето, β, P-Index) — по независимой от неё, параллельной линии, обоснованной отдельной литературой и отдельной кафедральной традицией; обе линии соединяются только в зоне синтеза, а не на каждом промежуточном шаге. Понимание этого разделения защищает студента от типичной путаницы: не следует ожидать, что более высокая себестоимость проекта сама по себе означает более высокую защищённость заказчика, — связь между C и достигнутым снижением риска устанавливается не бухгалтерией занятия 5, а результатом оценки методом Дельфи на занятии 8, который зависит от качества, а не от цены выполненных работ.</w:t>
      </w:r>
    </w:p>
    <w:p>
      <w:pPr>
        <w:spacing w:after="60" w:before="180" w:line="360" w:lineRule="auto"/>
        <w:ind w:firstLine="709"/>
        <w:jc w:val="both"/>
      </w:pPr>
      <w:r>
        <w:rPr>
          <w:rFonts w:ascii="Times New Roman" w:cs="Times New Roman" w:eastAsia="Times New Roman" w:hAnsi="Times New Roman"/>
          <w:b/>
          <w:bCs/>
          <w:i w:val="false"/>
          <w:iCs w:val="false"/>
          <w:sz w:val="28"/>
          <w:szCs w:val="28"/>
        </w:rPr>
        <w:t xml:space="preserve">Контрольные вопросы к главе 6</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1. Почему себестоимость проекта на занятии 5 считается заново, «снизу вверх», хотя её значение уже фигурировало в формуле цены Договора на занятии 4?</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2. Из каких трёх статей складывается плановая себестоимость проекта по формуле 6.2, и почему персонал фирмы в таблице занятия 5 показан отдельной строкой, не прибавляемой повторно к итогу?</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3. Почему надбавка на фурнитуру и расходники в формуле 6.1 зафиксирована практикумом на уровне 10%, а не выбирается студентом произвольно?</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4. Что означает отрицательное значение маржи M, полученной по формуле 6.3, и запрещает ли практикум студенту получить такой результат технически?</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5. Почему процентный норматив ИТ-бюджета нечувствителен к изменению состава угроз организации, даже если сам норматив соблюдается точно?</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6. В чём заключается принципиальное ограничение правила Гордона–Лёба (x* ≤ 0,368·v·L) как критерия достаточности бюджета информационной безопасности?</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7. Почему кафедра ОТЗИ СКФУ считает показатель ROSI неприменимым к вопросу достаточности бюджета, хотя тот же показатель используется практикумом на занятии 9?</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8. Почему мультипликативная структура формулы TDI (формула 6.4) обнуляет индекс угрозы при равенстве нулю хотя бы одного из шести множителей, и какой содержательный смысл имеет это свойство?</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9. Что показывает «ядро Парето» из таблицы 21, и почему авторы методологии подчёркивают, что состав этого ядра меняется от года к году?</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10. Чем отличаются друг от друга критерии достаточности бюджета β и P-Index, предложенные кафедрой ОТЗИ СКФУ?</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11. Как формула 6.6 связана с формулой 6.5, и почему она названа в главе «педагогической проекцией», а не самостоятельной альтернативой полной модели TDI?</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12. Почему рисунок 7 показывает восходящую и нисходящую логики бюджета как параллельные, сходящиеся только на занятиях 8–9, а не как единую последовательность вычислений?</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13. Почему авторы трёхуровневого каркаса отказались от единой линейной свёртки риска для всех 227 угроз реестра БДУ ФСТЭК, и что показывает F-критерий Фишера (F = 47,3; p &lt; 0,001) в этом контексте?</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14. В чём состоит теорема о вертикальной совместимости уровней, и почему она важна для оценки согласованности всей методологии кафедры ОТЗИ, а не только раздела 6.3 главы?</w:t>
      </w:r>
    </w:p>
    <w:p>
      <w:pPr>
        <w:spacing w:after="60" w:before="180" w:line="360" w:lineRule="auto"/>
        <w:ind w:firstLine="709"/>
        <w:jc w:val="both"/>
      </w:pPr>
      <w:r>
        <w:rPr>
          <w:rFonts w:ascii="Times New Roman" w:cs="Times New Roman" w:eastAsia="Times New Roman" w:hAnsi="Times New Roman"/>
          <w:b/>
          <w:bCs/>
          <w:i w:val="false"/>
          <w:iCs w:val="false"/>
          <w:sz w:val="28"/>
          <w:szCs w:val="28"/>
        </w:rPr>
        <w:t xml:space="preserve">Список источников к главе 6</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1. Gordon L.A., Loeb M.P. The Economics of Information Security Investment // ACM Transactions on Information and System Security. — 2002. — Vol. 5, No. 4. — P. 438–457.</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2. Callegaro G., Fontana C., Hillairet C., Ongarato B. A stochastic Gordon-Loeb model for optimal cybersecurity investment under clustered attacks. — arXiv:2505.01221, 2025. URL: https://arxiv.org/abs/2505.01221 (дата обращения: 31.07.2026).</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3. Мандрица И.В., Антонов В.В., Мандрица О.В., Бугаева А.В. Индекс Парето как критерий адаптивного бюджетирования информационной безопасности // Правовая информатика. — 2026. — №1. — С. 16–30. — DOI 10.24412/1994-1404-2026-1-00-02. — EDN MZJQEI.</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4. Мандрица И.В., Бугаева А.В. Методы и подходы к составлению бюджета информационной безопасности организации // Труды XII Международной научно-практической конференции. — Симферополь: ИП Зуева Т.В., 2026. — С. 40–46.</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5. Бугаева А.В. Метод планирования бюджета информационной безопасности на основе шестнадцатифакторной модели оценки угроз и контрмер: выпускная квалификационная работа. — Ставрополь: СКФУ, кафедра организации и технологии защиты информации, 2026. — Рукопись.</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6. Sonnenreich W., Albanese J., Stout B. Return On Security Investment (ROSI): A Practical Quantitative Model, 2006. URL: https://www.researchgate.net/publication/221399805_Return_On_Security_Investment_ROSI_A_Practical_Quantitative_Model (дата обращения: 31.07.2026).</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7. IBM Security. Cost of a Data Breach Report 2024. — Armonk: IBM Corp., 2024. URL: https://www.ibm.com/reports/data-breach (дата обращения: 31.07.2026).</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8. Gartner. Gartner Forecasts Worldwide End-User Spending on Information Security to Total $213 Billion in 2025. — 2025. URL: https://www.gartner.com/en/newsroom/press-releases/2025-07-29-gartner-forecasts-worldwide-end-user-spending-on-information-security-to-total-213-billion-us-dollars-in-2025 (дата обращения: 31.07.2026).</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9. ГОСТ Р ИСО 21500-2014 «Руководство по проектному менеджменту» (процессы управления стоимостью). URL: http://docs.cntd.ru/document/1200118020 (дата обращения: 30.07.2026).</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10. ГОСТ Р 54869-2011. Проектный менеджмент. Требования к управлению проектом. — М.: Стандартинформ, 2012.</w:t>
      </w:r>
    </w:p>
    <w:p>
      <w:pPr>
        <w:spacing w:after="0" w:before="0" w:line="360" w:lineRule="auto"/>
        <w:ind w:firstLine="0"/>
        <w:jc w:val="both"/>
      </w:pPr>
      <w:r>
        <w:rPr>
          <w:rFonts w:ascii="Times New Roman" w:cs="Times New Roman" w:eastAsia="Times New Roman" w:hAnsi="Times New Roman"/>
          <w:b w:val="false"/>
          <w:bCs w:val="false"/>
          <w:i w:val="false"/>
          <w:iCs w:val="false"/>
          <w:sz w:val="28"/>
          <w:szCs w:val="28"/>
        </w:rPr>
        <w:t xml:space="preserve">11. Мандрица И.В., Петренко В.И., Мандрица О.В. Теоретическое обоснование трёхуровневого каркаса бюджетирования информационной безопасности для организаций малого и среднего бизнеса // Экономика науки. — 2026. — [статья принята к публикации; номер выпуска и страницы на момент подготовки главы не присвоены].</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dbe17f77dc55eb04d8fd1219dc8f7a259f13548.svg"/><Relationship Id="rId8" Type="http://schemas.openxmlformats.org/officeDocument/2006/relationships/image" Target="media/9f1786f5adfb8b12d38b5c7d0636a58aea7a4aa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2026-07-31T07:59:06.360Z</dcterms:created>
  <dcterms:modified xsi:type="dcterms:W3CDTF">2026-07-31T07:59:06.360Z</dcterms:modified>
</cp:coreProperties>
</file>

<file path=docProps/custom.xml><?xml version="1.0" encoding="utf-8"?>
<Properties xmlns="http://schemas.openxmlformats.org/officeDocument/2006/custom-properties" xmlns:vt="http://schemas.openxmlformats.org/officeDocument/2006/docPropsVTypes"/>
</file>