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17348" w14:textId="77777777" w:rsidR="00AD46CB" w:rsidRDefault="00000000">
      <w:pPr>
        <w:spacing w:before="240" w:after="240" w:line="360" w:lineRule="auto"/>
        <w:jc w:val="center"/>
      </w:pPr>
      <w:r>
        <w:rPr>
          <w:b/>
          <w:bCs/>
          <w:sz w:val="32"/>
          <w:szCs w:val="32"/>
        </w:rPr>
        <w:t>ГЛАВА 3. ЗАНЯТИЕ 2: ДЕКОМПОЗИЦИЯ ПРОЕКТА НА ЗАДАЧИ И ПОДБОР КОМПЛЕКТУЮЩИХ</w:t>
      </w:r>
    </w:p>
    <w:p w14:paraId="4B804B60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Занятие 1 закончилось фиксацией ресурсной базы фирмы и назначением исполнителей на первые задачи подготовительного этапа — до этого момента проект существовал как список статей затрат, но не как последовательность работ с измеримым результатом на выходе каждой. Занятие 2 превращает эту рамку в развёрнутый план: полный перечень задач пяти этапов жизненного цикла проекта (подготовительный, монтаж, наладка, испытания, приёмка), закреплённый за каждой задачей выходной документ и метод технического контроля, а также перечень комплектующих, без которого расчёт сметы на занятии 4 невозможен в принципе.</w:t>
      </w:r>
    </w:p>
    <w:p w14:paraId="13D880E3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3.1. Цель и задачи занятия</w:t>
      </w:r>
    </w:p>
    <w:p w14:paraId="73D5443A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Компетентностная рамка занятия узкая по составу направлений — это не пробел в дизайне практикума, а следствие принципа избирательности, введённого ещё в главе 1: компетенция формируется только там, где содержание занятия действительно требует именно её, а не механически дублируется на все три направления подготовки. Формируемые здесь компетенции принадлежат исключительно направлению 10.03.01 «Информационная безопасность» (бакалавриат): ОПК-2.1 профиля «Организация и технологии защиты информации» — способность анализировать функциональный процесс объекта защиты и выявлять источники информационных угроз, и УК-2 — способность определять круг задач в рамках поставленной цели, на которую опирается сама процедура декомпозиции проекта. Направления 10.04.01 (магистратура) и 10.05.01 (специалитет) на этом занятии не формируют ни одной новой компетенции согласно ФГОС ВО по соответствующим направлениям — их профильные компетенции по проектному управлению уже отработаны на более ранних и </w:t>
      </w:r>
      <w:r>
        <w:rPr>
          <w:sz w:val="28"/>
          <w:szCs w:val="28"/>
        </w:rPr>
        <w:lastRenderedPageBreak/>
        <w:t>более поздних этапах практикума, где декомпозиция задач не является центральной темой.</w:t>
      </w:r>
    </w:p>
    <w:p w14:paraId="57A75503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1. Сопоставить каждой задаче её фактический выходной документ, отличив его от правдоподобных документов других задач того же проекта.</w:t>
      </w:r>
    </w:p>
    <w:p w14:paraId="49753C51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2. Определить корректный метод технического контроля (верификации) для задач монтажа, наладки, испытаний и приёмки — там, где такой метод применим.</w:t>
      </w:r>
    </w:p>
    <w:p w14:paraId="3197BC4E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3. Рассчитать стоимость труда по каждой задаче с учётом обязательных страховых взносов работодателя.</w:t>
      </w:r>
    </w:p>
    <w:p w14:paraId="251FBDC0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4. Подобрать комплектующие проекта по одному из трёх уровней цены и связать полученную сумму со сметой, которая будет строиться на занятии 4.</w:t>
      </w:r>
    </w:p>
    <w:p w14:paraId="4DBF382E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3.2. Нормативно-правовые основания декомпозиции проекта и технического контроля</w:t>
      </w:r>
    </w:p>
    <w:p w14:paraId="3BDB16DA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Три нормативных документа образуют основу занятия, и у каждого — своя зона ответственности, не пересекающаяся с другими. Коэффициент 1,302 в формуле стоимости труда задачи (раздел 3.3) складывается из двух федеральных норм: тарифа страховых взносов 30% по НК РФ, ст. 425 (уже применявшегося в главах 1–2 для фонда оплаты труда) и взносов на травматизм приблизительно 0,2%, установленных Федеральным законом №125-ФЗ от 24.07.1998 «Об обязательном социальном страховании от несчастных случаев на производстве». Смешение этих двух источников в одном числовом коэффициенте методически оправдано тем, что обе ставки применяются к одной и той же базе — фонду оплаты труда по конкретной задаче, — и раздельный учёт ничего не добавил бы к результату расчёта, лишь усложнив формулу.</w:t>
      </w:r>
    </w:p>
    <w:p w14:paraId="5F087060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Требование привязывать каждую задачу к измеримому выходному документу опирается на процессный подход, закреплённый в ГОСТ Р ИСО 21500-2014 «Руководство по проектному менеджменту»: управление проектом там понимается как совокупность процессов, каждый из которых должен иметь наблюдаемый результат, а не просто отметку «выполнено» без </w:t>
      </w:r>
      <w:r>
        <w:rPr>
          <w:sz w:val="28"/>
          <w:szCs w:val="28"/>
        </w:rPr>
        <w:lastRenderedPageBreak/>
        <w:t>артефакта. Конкретные методы технического контроля для этапов монтажа, наладки и испытаний систем физической защиты (сопротивление изоляции, сопротивление контура заземления, проверка обжима разъёмов и подобные операции) взяты из СП 76.13330.2016 «Электротехнические устройства», раздела об испытаниях и пусконаладочных работах — документа, регламентирующего порядок приёмо-сдаточных испытаний электротехнических систем, к которым относится и физическая охранная сигнализация, и её родственные портфели.</w:t>
      </w:r>
    </w:p>
    <w:p w14:paraId="61CC0224" w14:textId="77777777" w:rsidR="00AD46CB" w:rsidRDefault="00000000">
      <w:pPr>
        <w:spacing w:line="360" w:lineRule="auto"/>
        <w:jc w:val="right"/>
      </w:pPr>
      <w:r>
        <w:rPr>
          <w:sz w:val="28"/>
          <w:szCs w:val="28"/>
        </w:rPr>
        <w:t>Таблица 9</w:t>
      </w:r>
    </w:p>
    <w:p w14:paraId="6A7B152A" w14:textId="77777777" w:rsidR="00AD46CB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Нормативно-правовая база декомпозиции проекта и технического контроля на Занятии 2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200"/>
        <w:gridCol w:w="2755"/>
      </w:tblGrid>
      <w:tr w:rsidR="00AD46CB" w14:paraId="669D3D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7D04A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200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E6D2A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Что устанавливает</w:t>
            </w:r>
          </w:p>
        </w:tc>
        <w:tc>
          <w:tcPr>
            <w:tcW w:w="2755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ECCA3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Применение на занятии</w:t>
            </w:r>
          </w:p>
        </w:tc>
      </w:tr>
      <w:tr w:rsidR="00AD46CB" w14:paraId="0D89D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6622A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НК РФ, ст. 425</w:t>
            </w:r>
          </w:p>
        </w:tc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0AB51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Единый тариф страховых взносов — 30% от ФОТ</w:t>
            </w:r>
          </w:p>
        </w:tc>
        <w:tc>
          <w:tcPr>
            <w:tcW w:w="27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915E6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Часть коэффициента 1,302 в формуле (2.1)</w:t>
            </w:r>
          </w:p>
        </w:tc>
      </w:tr>
      <w:tr w:rsidR="00AD46CB" w14:paraId="7FC3B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4C98E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ФЗ №125-ФЗ от 24.07.1998</w:t>
            </w:r>
          </w:p>
        </w:tc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547B1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Взносы на травматизм — ≈0,2% от ФОТ</w:t>
            </w:r>
          </w:p>
        </w:tc>
        <w:tc>
          <w:tcPr>
            <w:tcW w:w="27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C3BED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Вторая часть коэффициента 1,302</w:t>
            </w:r>
          </w:p>
        </w:tc>
      </w:tr>
      <w:tr w:rsidR="00AD46CB" w14:paraId="43E74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4A7A7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ГОСТ Р ИСО 21500-2014</w:t>
            </w:r>
          </w:p>
        </w:tc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F060CC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Процессный подход: каждый процесс — с измеримым результатом</w:t>
            </w:r>
          </w:p>
        </w:tc>
        <w:tc>
          <w:tcPr>
            <w:tcW w:w="27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E559C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Требование выходного документа у каждой задачи (столбец «Примечание»)</w:t>
            </w:r>
          </w:p>
        </w:tc>
      </w:tr>
      <w:tr w:rsidR="00AD46CB" w14:paraId="314CC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18F1A4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СП 76.13330.2016</w:t>
            </w:r>
          </w:p>
        </w:tc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AD960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Порядок испытаний и пусконаладочных работ электротехнических систем</w:t>
            </w:r>
          </w:p>
        </w:tc>
        <w:tc>
          <w:tcPr>
            <w:tcW w:w="27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20594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Методы технического контроля (столбец «Вид проверочных работ»)</w:t>
            </w:r>
          </w:p>
        </w:tc>
      </w:tr>
    </w:tbl>
    <w:p w14:paraId="68728E45" w14:textId="77777777" w:rsidR="00AD46CB" w:rsidRDefault="00AD46CB"/>
    <w:p w14:paraId="0DC8D6D5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Показательно, что ни один из четырёх источников этого занятия впрямую не регулирует именно охранную или пожарную сигнализацию как отдельный класс оборудования: ГОСТ Р ИСО 21500-2014 универсален для любого проекта, а СП 76.13330.2016 писан для электротехнических устройств в целом. Это не недостаток подбора источников, а отражение реального положения дел — специализированного СП по пусконаладке систем безопасности как отдельного документа не существует, и практикующие инженеры действительно опираются на </w:t>
      </w:r>
      <w:proofErr w:type="spellStart"/>
      <w:r>
        <w:rPr>
          <w:sz w:val="28"/>
          <w:szCs w:val="28"/>
        </w:rPr>
        <w:t>общеэлектротехнический</w:t>
      </w:r>
      <w:proofErr w:type="spellEnd"/>
      <w:r>
        <w:rPr>
          <w:sz w:val="28"/>
          <w:szCs w:val="28"/>
        </w:rPr>
        <w:t xml:space="preserve"> свод правил, экстраполируя его требования на конкретный тип оборудования.</w:t>
      </w:r>
    </w:p>
    <w:p w14:paraId="6CE6586E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lastRenderedPageBreak/>
        <w:t>3.3. Стоимость труда по задаче: формула, уже введённая в главе 2</w:t>
      </w:r>
    </w:p>
    <w:p w14:paraId="6D38955D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Занятие 2 не вводит новый способ считать стоимость труда — оно применяет формулу (2.1), полученную в главе 2 для задач подготовительного этапа, к полному перечню задач всех пяти этапов проекта. </w:t>
      </w:r>
    </w:p>
    <w:p w14:paraId="2120C27E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странице занятия эта же формула записана в свёрнутом виде: З = </w:t>
      </w:r>
      <w:proofErr w:type="spellStart"/>
      <w:r>
        <w:rPr>
          <w:sz w:val="28"/>
          <w:szCs w:val="28"/>
        </w:rPr>
        <w:t>Сч</w:t>
      </w:r>
      <w:proofErr w:type="spellEnd"/>
      <w:r>
        <w:rPr>
          <w:sz w:val="28"/>
          <w:szCs w:val="28"/>
        </w:rPr>
        <w:t xml:space="preserve"> × Н × 1,302, где 1,302 — числовое значение того самого множителя (1 + </w:t>
      </w:r>
      <w:proofErr w:type="spellStart"/>
      <w:r>
        <w:rPr>
          <w:sz w:val="28"/>
          <w:szCs w:val="28"/>
        </w:rPr>
        <w:t>Встр</w:t>
      </w:r>
      <w:proofErr w:type="spellEnd"/>
      <w:r>
        <w:rPr>
          <w:sz w:val="28"/>
          <w:szCs w:val="28"/>
        </w:rPr>
        <w:t xml:space="preserve">), который в главе 2 был расписан на составляющие явно. </w:t>
      </w:r>
    </w:p>
    <w:p w14:paraId="5BDB76DC" w14:textId="2EC6F138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Расхождение в форме записи — не ошибка и не два разных правила: 1 + 0,302 = 1,302, и обе записи дают идентичный результат для любого набора исходных данных; свёрнутая форма выбрана для интерфейса практикума ради краткости, а не по методическим соображениям.</w:t>
      </w:r>
    </w:p>
    <w:p w14:paraId="0D6BBC5A" w14:textId="77777777" w:rsidR="00AD46CB" w:rsidRDefault="00000000">
      <w:pPr>
        <w:tabs>
          <w:tab w:val="right" w:pos="9026"/>
        </w:tabs>
        <w:spacing w:before="120" w:after="60" w:line="360" w:lineRule="auto"/>
      </w:pPr>
      <m:oMath>
        <m:r>
          <w:rPr>
            <w:rFonts w:ascii="Cambria Math" w:hAnsi="Cambria Math"/>
            <w:sz w:val="24"/>
            <w:szCs w:val="24"/>
          </w:rPr>
          <m:t xml:space="preserve">З = 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Т × 8 ×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ч,i</m:t>
                    </m:r>
                  </m:sub>
                </m:sSub>
              </m:e>
            </m:nary>
          </m:e>
        </m:d>
        <m:r>
          <w:rPr>
            <w:rFonts w:ascii="Cambria Math" w:hAnsi="Cambria Math"/>
            <w:sz w:val="24"/>
            <w:szCs w:val="24"/>
          </w:rPr>
          <m:t xml:space="preserve"> × 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 + 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В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стр</m:t>
                </m:r>
              </m:sub>
            </m:sSub>
          </m:e>
        </m:d>
      </m:oMath>
      <w:r>
        <w:rPr>
          <w:sz w:val="28"/>
          <w:szCs w:val="28"/>
        </w:rPr>
        <w:tab/>
        <w:t>(2.1)</w:t>
      </w:r>
    </w:p>
    <w:p w14:paraId="19BECC76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З — стоимость труда по задаче, ₽; </w:t>
      </w:r>
    </w:p>
    <w:p w14:paraId="42588DC4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 — трудоёмкость задачи в днях (переводится в часы через постоянный коэффициент 8 ч/</w:t>
      </w:r>
      <w:proofErr w:type="spellStart"/>
      <w:r>
        <w:rPr>
          <w:sz w:val="28"/>
          <w:szCs w:val="28"/>
        </w:rPr>
        <w:t>дн</w:t>
      </w:r>
      <w:proofErr w:type="spellEnd"/>
      <w:r>
        <w:rPr>
          <w:sz w:val="28"/>
          <w:szCs w:val="28"/>
        </w:rPr>
        <w:t xml:space="preserve">, принятый в практикуме); </w:t>
      </w:r>
    </w:p>
    <w:p w14:paraId="6A5AEC11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Сч,i</w:t>
      </w:r>
      <w:proofErr w:type="spellEnd"/>
      <w:r>
        <w:rPr>
          <w:sz w:val="28"/>
          <w:szCs w:val="28"/>
        </w:rPr>
        <w:t xml:space="preserve"> — часовая ставка i-го исполнителя, ₽/ч; </w:t>
      </w:r>
    </w:p>
    <w:p w14:paraId="74705FAD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N — число исполнителей, назначенных на задачу (обычно один, но при кнопке «+ доп. исполнитель» может быть больше); </w:t>
      </w:r>
    </w:p>
    <w:p w14:paraId="7EBC42B6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Встр</w:t>
      </w:r>
      <w:proofErr w:type="spellEnd"/>
      <w:r>
        <w:rPr>
          <w:sz w:val="28"/>
          <w:szCs w:val="28"/>
        </w:rPr>
        <w:t xml:space="preserve"> — суммарная ставка страховых взносов, 0,302. </w:t>
      </w:r>
    </w:p>
    <w:p w14:paraId="792587C8" w14:textId="1613554E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Если на задачу назначено несколько исполнителей, их часовые вклады складываются под знаком суммы до умножения на страховую надбавку — иначе говоря, стоимость труда по задаче считается по сумме ставок всех исполнителей, а не по ставке только основного из них.</w:t>
      </w:r>
    </w:p>
    <w:p w14:paraId="2FD7019D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Например, задача «Монтаж несущих конструкций, кронштейнов, стоек» длительностью 2 дня (16 ч) с одним исполнителем-монтажником со ставкой 550 ₽/ч даёт стоимость 550 × 16 × 1,302 ≈ 11 458 ₽ — именно эта сумма и появляется в столбце «Стоимость (ФОТ)» напротив соответствующей строки таблицы. Задача «Установка контроллеров / приёмно-контрольных приборов, блоков питания» длительностью 1 день (8 ч) при той же ставке даёт 550 × 8 × </w:t>
      </w:r>
      <w:r>
        <w:rPr>
          <w:sz w:val="28"/>
          <w:szCs w:val="28"/>
        </w:rPr>
        <w:lastRenderedPageBreak/>
        <w:t>1,302 ≈ 5 729 ₽ — ровно вдвое меньше первой, поскольку трудоёмкость вдвое ниже при одинаковой квалификации исполнителя.</w:t>
      </w:r>
    </w:p>
    <w:p w14:paraId="6665A48C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3.4. Ловушки декомпозиции: выходной документ и метод технического контроля</w:t>
      </w:r>
    </w:p>
    <w:p w14:paraId="2DF08F66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каждой задачи в таблице занятия есть строка с восемью столбцами: номер, наименование задачи, этап (римская цифра от I до V), длительность, исполнитель, стоимость по формуле (2.1), «Примечание» и «Вид проверочных работ». </w:t>
      </w:r>
    </w:p>
    <w:p w14:paraId="646677C2" w14:textId="175834DC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Первые шесть заполняются автоматически — практикум либо переносит их из уже пройденных занятий, либо считает по формуле; два последних столбца требуют выбора студента из выпадающего списка, и именно они содержат ловушки, аналогичные по назначению ловушкам в таблице персонала и ресурсов, но иначе устроенные.</w:t>
      </w:r>
    </w:p>
    <w:p w14:paraId="7CAD71F5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Ловушка столбца «Примечание» — не выдуманный, а вполне реальный документ, только принадлежащий другой задаче того же проекта: например, акт о выполнении монтажных работ, предложенный как вариант ответа для задачи настройки оборудования, — оба документа существуют в жизненном цикле проекта, но не для этой строки. </w:t>
      </w:r>
    </w:p>
    <w:p w14:paraId="1B2B7683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Задача студента — узнать, какой документ появляется именно на выходе конкретной операции, а не выбрать первый попавшийся правдоподобный вариант. Ловушка столбца «Вид проверочных работ» устроена тоньше: рядом с корректным методом контроля предлагается метод, применяемый к смежной, но иной операции — скажем, «сопротивление изоляции» вместо «сопротивление контура заземления» или «</w:t>
      </w:r>
      <w:proofErr w:type="spellStart"/>
      <w:r>
        <w:rPr>
          <w:sz w:val="28"/>
          <w:szCs w:val="28"/>
        </w:rPr>
        <w:t>прозвонка</w:t>
      </w:r>
      <w:proofErr w:type="spellEnd"/>
      <w:r>
        <w:rPr>
          <w:sz w:val="28"/>
          <w:szCs w:val="28"/>
        </w:rPr>
        <w:t xml:space="preserve"> кабеля» вместо «проверка обжима разъёма». </w:t>
      </w:r>
    </w:p>
    <w:p w14:paraId="4A0D32B4" w14:textId="24F9B898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Спутать эти пары — типичная ошибка неопытного исполнителя на реальном объекте, а не мелкая формальность интерфейса.</w:t>
      </w:r>
    </w:p>
    <w:p w14:paraId="3B2D9C5F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Столбец «Вид проверочных работ» заполнен не у всех задач: он относится примерно к половине операций проекта — тем, где применим измеримый технический метод контроля (монтаж, наладка, испытания, </w:t>
      </w:r>
      <w:r>
        <w:rPr>
          <w:sz w:val="28"/>
          <w:szCs w:val="28"/>
        </w:rPr>
        <w:lastRenderedPageBreak/>
        <w:t xml:space="preserve">приёмка), тогда как чисто организационные и документарные задачи (выезд на объект, инициализация проекта, подписание акта) такого метода не имеют по определению и отмечены прочерком «н/п» — не применимо. Порог допустимой ошибочности по обоим столбцам — 40% верных ответов, что ниже норматива в 75% (эквивалент ошибочности не выше 25%), действовавшего для персонала и ресурсов на Старте 0 и Занятии 1. </w:t>
      </w:r>
    </w:p>
    <w:p w14:paraId="775F0C70" w14:textId="6D6E4A84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Разница в порогах отражает разную природу задачи: сопоставление отмеченной галочкой позиции с эталонным списком — операция бинарная и почти механическая, тогда как подбор правильного документа или метода контроля для конкретной формулировки задачи требует содержательного понимания процесса, и с этим сопоставлением справиться труднее. Оба счётчика — по примечанию и по виду проверочных работ — работают независимо друг от друга и считаются отдельно для каждого из пяти этапов.</w:t>
      </w:r>
    </w:p>
    <w:p w14:paraId="146D17DB" w14:textId="77777777" w:rsidR="00AD46CB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F47F101" wp14:editId="65F5A6E7">
            <wp:extent cx="5581650" cy="3219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E714" w14:textId="77777777" w:rsidR="00AD46CB" w:rsidRDefault="00000000">
      <w:pPr>
        <w:spacing w:line="360" w:lineRule="auto"/>
        <w:jc w:val="center"/>
      </w:pPr>
      <w:r>
        <w:rPr>
          <w:sz w:val="28"/>
          <w:szCs w:val="28"/>
        </w:rPr>
        <w:t>Рисунок 4 – Декомпозиция проекта на пять этапов, две независимые ловушки таблицы задач и их схождение в формулу стоимости проекта (3.1)</w:t>
      </w:r>
    </w:p>
    <w:p w14:paraId="7A05BEC8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Рисунок иллюстрирует не хронологию заполнения таблицы (студент может двигаться по строкам в любом порядке), а логическую структуру данных: каждая задача несёт свою стоимость труда по формуле (2.1), два столбца-ловушки проверяются отдельными счётчиками с общим порогом </w:t>
      </w:r>
      <w:r>
        <w:rPr>
          <w:sz w:val="28"/>
          <w:szCs w:val="28"/>
        </w:rPr>
        <w:lastRenderedPageBreak/>
        <w:t>40%, а результат работы над всей таблицей задач сходится с независимо подобранными комплектующими в единую стоимость проекта, которая становится исходными данными для сметы на занятии 4.</w:t>
      </w:r>
    </w:p>
    <w:p w14:paraId="4974FAAA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3.5. Комплектующие проекта: три уровня цены без ловушек</w:t>
      </w:r>
    </w:p>
    <w:p w14:paraId="27C116EA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Раздел комплектующих устроен принципиально иначе, чем всё остальное содержание занятия. Для каждого из двадцати типов проекта практикума заранее подготовлен перечень оборудования, подлежащего установке (для охранной сигнализации — извещатели, </w:t>
      </w:r>
      <w:proofErr w:type="spellStart"/>
      <w:r>
        <w:rPr>
          <w:sz w:val="28"/>
          <w:szCs w:val="28"/>
        </w:rPr>
        <w:t>магнитоконтакты</w:t>
      </w:r>
      <w:proofErr w:type="spellEnd"/>
      <w:r>
        <w:rPr>
          <w:sz w:val="28"/>
          <w:szCs w:val="28"/>
        </w:rPr>
        <w:t>, приёмно-контрольные приборы и подобные позиции), с тремя ценами по вендорам актуального прайс-листа: «Бюджетная», «Middle» и «VIP», и указанием конкретного вендора. Ни в одной строке этого перечня нет отметки «верно/ошибка» и нет счётчика точности — набор позиций и их цены не предмет выбора, а зафиксированный рыночный факт для выпавшего типа проекта. Единственное действие студента — выбрать один из трёх уровней цены переключателем над таблицей; выбранный уровень определяет, какая колонка суммируется в итоговую стоимость комплектующих.</w:t>
      </w:r>
    </w:p>
    <w:p w14:paraId="3598C99A" w14:textId="77777777" w:rsidR="00AD46CB" w:rsidRDefault="00000000">
      <w:pPr>
        <w:spacing w:line="360" w:lineRule="auto"/>
        <w:jc w:val="right"/>
      </w:pPr>
      <w:r>
        <w:rPr>
          <w:sz w:val="28"/>
          <w:szCs w:val="28"/>
        </w:rPr>
        <w:t>Таблица 10</w:t>
      </w:r>
    </w:p>
    <w:p w14:paraId="417AF46F" w14:textId="77777777" w:rsidR="00AD46CB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Комплектующие проекта «Охранная сигнализация» при уровне цены «Middle» (иллюстративный фрагмент)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"/>
        <w:gridCol w:w="3051"/>
        <w:gridCol w:w="1411"/>
        <w:gridCol w:w="1347"/>
        <w:gridCol w:w="1342"/>
        <w:gridCol w:w="1753"/>
      </w:tblGrid>
      <w:tr w:rsidR="00AD46CB" w14:paraId="211165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2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0017D9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072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FAB4A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355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AE5FC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Бюджетная</w:t>
            </w:r>
          </w:p>
        </w:tc>
        <w:tc>
          <w:tcPr>
            <w:tcW w:w="1355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5E5EA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Middle</w:t>
            </w:r>
          </w:p>
        </w:tc>
        <w:tc>
          <w:tcPr>
            <w:tcW w:w="1355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2151B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VIP</w:t>
            </w:r>
          </w:p>
        </w:tc>
        <w:tc>
          <w:tcPr>
            <w:tcW w:w="1766" w:type="dxa"/>
            <w:shd w:val="clear" w:color="auto" w:fill="D9E4F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07124" w14:textId="77777777" w:rsidR="00AD46CB" w:rsidRDefault="00000000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Вендор</w:t>
            </w:r>
          </w:p>
        </w:tc>
      </w:tr>
      <w:tr w:rsidR="00AD46CB" w14:paraId="03DBE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01C97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07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35A2A7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ИК-извещатель (точечный)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AD9351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3 875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98289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12 000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1A220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45 000 ₽</w:t>
            </w:r>
          </w:p>
        </w:tc>
        <w:tc>
          <w:tcPr>
            <w:tcW w:w="176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59618" w14:textId="77777777" w:rsidR="00AD46CB" w:rsidRDefault="00000000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Bolid</w:t>
            </w:r>
            <w:proofErr w:type="spellEnd"/>
          </w:p>
        </w:tc>
      </w:tr>
      <w:tr w:rsidR="00AD46CB" w14:paraId="5B92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D4729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07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BFB80E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ИК-извещатель (объёмный)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04A17D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415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41F49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1 153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11C6B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3 500 ₽</w:t>
            </w:r>
          </w:p>
        </w:tc>
        <w:tc>
          <w:tcPr>
            <w:tcW w:w="176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C1A1A" w14:textId="77777777" w:rsidR="00AD46CB" w:rsidRDefault="00000000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Риэлта</w:t>
            </w:r>
            <w:proofErr w:type="spellEnd"/>
            <w:r>
              <w:rPr>
                <w:sz w:val="24"/>
                <w:szCs w:val="24"/>
              </w:rPr>
              <w:t xml:space="preserve"> (Фотон-9) / </w:t>
            </w:r>
            <w:proofErr w:type="spellStart"/>
            <w:r>
              <w:rPr>
                <w:sz w:val="24"/>
                <w:szCs w:val="24"/>
              </w:rPr>
              <w:t>Bolid</w:t>
            </w:r>
            <w:proofErr w:type="spellEnd"/>
          </w:p>
        </w:tc>
      </w:tr>
      <w:tr w:rsidR="00AD46CB" w14:paraId="35B80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15728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7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953FA" w14:textId="77777777" w:rsidR="00AD46CB" w:rsidRDefault="00000000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Магнитоконтакт</w:t>
            </w:r>
            <w:proofErr w:type="spellEnd"/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76B5E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150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EF546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400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46F80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1 200 ₽</w:t>
            </w:r>
          </w:p>
        </w:tc>
        <w:tc>
          <w:tcPr>
            <w:tcW w:w="176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38A6" w14:textId="77777777" w:rsidR="00AD46CB" w:rsidRDefault="00000000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Bolid</w:t>
            </w:r>
            <w:proofErr w:type="spellEnd"/>
            <w:r>
              <w:rPr>
                <w:sz w:val="24"/>
                <w:szCs w:val="24"/>
              </w:rPr>
              <w:t xml:space="preserve"> / Астра</w:t>
            </w:r>
          </w:p>
        </w:tc>
      </w:tr>
      <w:tr w:rsidR="00AD46CB" w14:paraId="2BF7D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D0FBCE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07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58EE6B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 xml:space="preserve">Комплект </w:t>
            </w:r>
            <w:proofErr w:type="spellStart"/>
            <w:r>
              <w:rPr>
                <w:sz w:val="24"/>
                <w:szCs w:val="24"/>
              </w:rPr>
              <w:t>радиоканальный</w:t>
            </w:r>
            <w:proofErr w:type="spellEnd"/>
            <w:r>
              <w:rPr>
                <w:sz w:val="24"/>
                <w:szCs w:val="24"/>
              </w:rPr>
              <w:t xml:space="preserve"> начального уровня (Астра-Р)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F5DF4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3 450 ₽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8446BD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3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9A861F" w14:textId="77777777" w:rsidR="00AD46CB" w:rsidRDefault="00000000">
            <w:pPr>
              <w:spacing w:line="276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76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81558" w14:textId="77777777" w:rsidR="00AD46CB" w:rsidRDefault="00000000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Teko</w:t>
            </w:r>
            <w:proofErr w:type="spellEnd"/>
            <w:r>
              <w:rPr>
                <w:sz w:val="24"/>
                <w:szCs w:val="24"/>
              </w:rPr>
              <w:t xml:space="preserve"> (Астра-Р)</w:t>
            </w:r>
          </w:p>
        </w:tc>
      </w:tr>
    </w:tbl>
    <w:p w14:paraId="5E510905" w14:textId="77777777" w:rsidR="00AD46CB" w:rsidRDefault="00AD46CB"/>
    <w:p w14:paraId="65D3FCB3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Прочерк в столбцах «Middle» и «VIP» для </w:t>
      </w:r>
      <w:proofErr w:type="spellStart"/>
      <w:r>
        <w:rPr>
          <w:sz w:val="28"/>
          <w:szCs w:val="28"/>
        </w:rPr>
        <w:t>радиоканального</w:t>
      </w:r>
      <w:proofErr w:type="spellEnd"/>
      <w:r>
        <w:rPr>
          <w:sz w:val="28"/>
          <w:szCs w:val="28"/>
        </w:rPr>
        <w:t xml:space="preserve"> комплекта начального уровня — не пропуск данных, а честное отражение того, что этот класс оборудования вендор не предлагает в более дорогих комплектациях: </w:t>
      </w:r>
      <w:r>
        <w:rPr>
          <w:sz w:val="28"/>
          <w:szCs w:val="28"/>
        </w:rPr>
        <w:lastRenderedPageBreak/>
        <w:t>студент, выбравший уровень «VIP», для этой позиции получит либо альтернативный товар из проводного сегмента, либо ноль, но не выдуманную цену. Итоговая сумма по выбранному уровню не привязывается к конкретной монтажной задаче — она добавляется одним платежом в дату задачи «Инициализация проекта», сразу после получения аванса, когда фирма реально закупает оборудование у поставщика.</w:t>
      </w:r>
    </w:p>
    <w:p w14:paraId="109250D9" w14:textId="77777777" w:rsidR="00AD46CB" w:rsidRDefault="00000000">
      <w:pPr>
        <w:tabs>
          <w:tab w:val="right" w:pos="9026"/>
        </w:tabs>
        <w:spacing w:before="120" w:after="60" w:line="360" w:lineRule="auto"/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проект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З</m:t>
            </m:r>
          </m:e>
        </m:nary>
        <m:r>
          <w:rPr>
            <w:rFonts w:ascii="Cambria Math" w:hAnsi="Cambria Math"/>
            <w:sz w:val="24"/>
            <w:szCs w:val="24"/>
          </w:rPr>
          <m:t xml:space="preserve"> +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К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ур</m:t>
            </m:r>
          </m:sub>
        </m:sSub>
      </m:oMath>
      <w:r>
        <w:rPr>
          <w:sz w:val="28"/>
          <w:szCs w:val="28"/>
        </w:rPr>
        <w:tab/>
        <w:t>(3.1)</w:t>
      </w:r>
    </w:p>
    <w:p w14:paraId="7C8D7244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proofErr w:type="spellStart"/>
      <w:r>
        <w:rPr>
          <w:sz w:val="28"/>
          <w:szCs w:val="28"/>
        </w:rPr>
        <w:t>Спроект</w:t>
      </w:r>
      <w:proofErr w:type="spellEnd"/>
      <w:r>
        <w:rPr>
          <w:sz w:val="28"/>
          <w:szCs w:val="28"/>
        </w:rPr>
        <w:t xml:space="preserve"> — суммарная стоимость проекта, ₽; </w:t>
      </w:r>
    </w:p>
    <w:p w14:paraId="28C3D5BD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 — общее число задач проекта во всех пяти этапах; </w:t>
      </w:r>
    </w:p>
    <w:p w14:paraId="1413B688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Зi</w:t>
      </w:r>
      <w:proofErr w:type="spellEnd"/>
      <w:r>
        <w:rPr>
          <w:sz w:val="28"/>
          <w:szCs w:val="28"/>
        </w:rPr>
        <w:t xml:space="preserve"> — стоимость труда i-й задачи по формуле (2.1); </w:t>
      </w:r>
    </w:p>
    <w:p w14:paraId="7C2AC0F1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Кур — сумма комплектующих по выбранному уровню цены (</w:t>
      </w:r>
      <w:proofErr w:type="spellStart"/>
      <w:r>
        <w:rPr>
          <w:sz w:val="28"/>
          <w:szCs w:val="28"/>
        </w:rPr>
        <w:t>ур</w:t>
      </w:r>
      <w:proofErr w:type="spellEnd"/>
      <w:r>
        <w:rPr>
          <w:sz w:val="28"/>
          <w:szCs w:val="28"/>
        </w:rPr>
        <w:t xml:space="preserve"> ∈ {Бюджет, Мидл, VIP}). </w:t>
      </w:r>
    </w:p>
    <w:p w14:paraId="583444EF" w14:textId="534E4144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Формула (3.1) — первое место в практикуме, где стоимость труда и стоимость материалов сводятся в единую величину; на занятии 4 эта сумма станет отправной точкой для полной сметы проекта, куда добавятся ещё накладные расходы фирмы и плановая маржа.</w:t>
      </w:r>
    </w:p>
    <w:p w14:paraId="68457630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3.6. Итоговый тест по компетенциям Занятия 2</w:t>
      </w:r>
    </w:p>
    <w:p w14:paraId="0FF6F106" w14:textId="77777777" w:rsidR="00D0769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на усвоенные компетенции формируется только для направления 10.03.01 и состоит из восьми вопросов — по четыре на каждую из двух компетенций занятия. Блок ОПК-2.1 проверяет понимание коэффициента 1,302 в формуле стоимости труда, смысл столбца «Примечание» как конкретного выходного документа (а не просто отметки о выполнении задачи), индивидуальность метода технического контроля для разных операций и умение различать похожие, но разные методы контроля. </w:t>
      </w:r>
    </w:p>
    <w:p w14:paraId="4BD408D2" w14:textId="0F38C554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Блок УК-2 проверяет понимание того, что полная структура задач строится с привязкой к выходным документам и методам контроля, порядок выбора комплектующих по трём уровням цены, связь итоговой суммы комплектующих со сметой на занятии 4 и правило суммирования ставок нескольких исполнителей одной задачи.</w:t>
      </w:r>
    </w:p>
    <w:p w14:paraId="20634405" w14:textId="77777777" w:rsidR="00AD46CB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Для направлений 10.04.01 и 10.05.01 отдельный тест на этом занятии не формируется — это не техническая недоработка, а прямое следствие того, что цель занятия в METHOD_BLOCKS практикума называет компетенции только направления 10.03.01: там, где формируемая компетенция для направления не заявлена явно, отдельный блок вопросов для него не создаётся, чтобы не подменять реальное содержание занятия вопросами общего характера, не привязанными к конкретной формируемой способности.</w:t>
      </w:r>
    </w:p>
    <w:p w14:paraId="1B354497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Контрольные вопросы к главе 3</w:t>
      </w:r>
    </w:p>
    <w:p w14:paraId="65952759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1. Почему компетенции ОПК-2.1 и УК-2 на этом занятии формируются только у направления 10.03.01, а не у всех трёх направлений практикума?</w:t>
      </w:r>
    </w:p>
    <w:p w14:paraId="26138103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2. Из каких двух федеральных норм складывается коэффициент 1,302 в формуле стоимости труда по задаче и почему они объединены в одном числе, а не учтены раздельно?</w:t>
      </w:r>
    </w:p>
    <w:p w14:paraId="55491758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 xml:space="preserve">3. Чем отличается свёрнутая запись формулы стоимости труда (З = </w:t>
      </w:r>
      <w:proofErr w:type="spellStart"/>
      <w:r>
        <w:rPr>
          <w:sz w:val="28"/>
          <w:szCs w:val="28"/>
        </w:rPr>
        <w:t>Сч</w:t>
      </w:r>
      <w:proofErr w:type="spellEnd"/>
      <w:r>
        <w:rPr>
          <w:sz w:val="28"/>
          <w:szCs w:val="28"/>
        </w:rPr>
        <w:t xml:space="preserve"> × Т × 1,302) от развёрнутой формы главы 2 и почему они дают одинаковый результат?</w:t>
      </w:r>
    </w:p>
    <w:p w14:paraId="70118134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4. Как формула стоимости труда изменяется, если на задачу назначено несколько исполнителей через кнопку «+ доп. исполнитель»?</w:t>
      </w:r>
    </w:p>
    <w:p w14:paraId="6A9699DB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5. Какой принцип проектного менеджмента, закреплённый в ГОСТ Р ИСО 21500-2014, лежит в основе требования привязывать каждую задачу к выходному документу?</w:t>
      </w:r>
    </w:p>
    <w:p w14:paraId="2E994B0A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 xml:space="preserve">6. Почему для методов технического контроля систем физической защиты практикум опирается на </w:t>
      </w:r>
      <w:proofErr w:type="spellStart"/>
      <w:r>
        <w:rPr>
          <w:sz w:val="28"/>
          <w:szCs w:val="28"/>
        </w:rPr>
        <w:t>общеэлектротехнический</w:t>
      </w:r>
      <w:proofErr w:type="spellEnd"/>
      <w:r>
        <w:rPr>
          <w:sz w:val="28"/>
          <w:szCs w:val="28"/>
        </w:rPr>
        <w:t xml:space="preserve"> СП 76.13330.2016, а не на специализированный документ по охранной сигнализации?</w:t>
      </w:r>
    </w:p>
    <w:p w14:paraId="49E0885D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7. В чём заключается ловушка столбца «Примечание» и чем она принципиально отличается от ловушек в таблице персонала на Старте 0?</w:t>
      </w:r>
    </w:p>
    <w:p w14:paraId="45DC276F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8. Приведите пример пары методов технического контроля, которые легко перепутать между собой, и объясните, почему подмена метода — не формальная, а содержательная ошибка.</w:t>
      </w:r>
    </w:p>
    <w:p w14:paraId="29E1AA63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lastRenderedPageBreak/>
        <w:t>9. Почему столбец «Вид проверочных работ» заполнен не у всех задач проекта и что означает отметка «н/п» в этом столбце?</w:t>
      </w:r>
    </w:p>
    <w:p w14:paraId="5152625E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10. Почему порог допустимой ошибочности для декомпозиции задач (40%) ниже, чем для персонала и ресурсов (25%), и что это говорит о сложности соответствующей когнитивной операции?</w:t>
      </w:r>
    </w:p>
    <w:p w14:paraId="60949826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11. Чем принципиально отличается таблица комплектующих проекта от таблиц персонала, ресурсов и задач с точки зрения наличия ловушек и проверки правильности?</w:t>
      </w:r>
    </w:p>
    <w:p w14:paraId="3F9DC824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12. Что означает прочерк в столбце цены комплектующего и почему это не техническая ошибка данных?</w:t>
      </w:r>
    </w:p>
    <w:p w14:paraId="2313DADB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13. В какой момент жизненного цикла проекта сумма по выбранному уровню цены комплектующих становится частью движения денежных средств фирмы и почему именно тогда?</w:t>
      </w:r>
    </w:p>
    <w:p w14:paraId="4BBFCBDD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14. Как соотносятся между собой формулы (2.1) и (3.1) — почему вторая не заменяет первую, а строится поверх неё?</w:t>
      </w:r>
    </w:p>
    <w:p w14:paraId="17FCC1FE" w14:textId="77777777" w:rsidR="00AD46CB" w:rsidRDefault="00000000">
      <w:pPr>
        <w:spacing w:before="180" w:after="60" w:line="360" w:lineRule="auto"/>
        <w:ind w:firstLine="709"/>
        <w:jc w:val="both"/>
      </w:pPr>
      <w:r>
        <w:rPr>
          <w:b/>
          <w:bCs/>
          <w:sz w:val="28"/>
          <w:szCs w:val="28"/>
        </w:rPr>
        <w:t>Список источников к главе 3</w:t>
      </w:r>
    </w:p>
    <w:p w14:paraId="56AAE58B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1. Налоговый кодекс Российской Федерации. Часть вторая. Глава 34. Статья 425. Тарифы страховых взносов.</w:t>
      </w:r>
    </w:p>
    <w:p w14:paraId="7534EF24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2. Федеральный закон от 24.07.1998 №125-ФЗ «Об обязательном социальном страховании от несчастных случаев на производстве и профессиональных заболеваний».</w:t>
      </w:r>
    </w:p>
    <w:p w14:paraId="0AC73CA1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 xml:space="preserve">3. ГОСТ Р ИСО 21500-2014. Руководство по проектному менеджменту. — М.: </w:t>
      </w:r>
      <w:proofErr w:type="spellStart"/>
      <w:r>
        <w:rPr>
          <w:sz w:val="28"/>
          <w:szCs w:val="28"/>
        </w:rPr>
        <w:t>Стандартинформ</w:t>
      </w:r>
      <w:proofErr w:type="spellEnd"/>
      <w:r>
        <w:rPr>
          <w:sz w:val="28"/>
          <w:szCs w:val="28"/>
        </w:rPr>
        <w:t>, 2015.</w:t>
      </w:r>
    </w:p>
    <w:p w14:paraId="186DAC68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4. СП 76.13330.2016. Электротехнические устройства. Актуализированная редакция СНиП 3.05.06-85. — М.: Минстрой России, 2016.</w:t>
      </w:r>
    </w:p>
    <w:p w14:paraId="427BC2EF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5. Пусконаладочные работы // Википедия. Свободная энциклопедия. URL: https://ru.wikipedia.org/wiki/Пусконаладочные_работы (дата обращения: 30.07.2026).</w:t>
      </w:r>
    </w:p>
    <w:p w14:paraId="20F22AA9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 xml:space="preserve">6. Приказ Минобрнауки России от 17.11.2020 №1427 «Об утверждении федерального государственного образовательного стандарта высшего </w:t>
      </w:r>
      <w:r>
        <w:rPr>
          <w:sz w:val="28"/>
          <w:szCs w:val="28"/>
        </w:rPr>
        <w:lastRenderedPageBreak/>
        <w:t>образования — бакалавриат по направлению подготовки 10.03.01 Информационная безопасность».</w:t>
      </w:r>
    </w:p>
    <w:p w14:paraId="055B5516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7. Приказ Минобрнауки России от 26.11.2020 №1455 «Об утверждении федерального государственного образовательного стандарта высшего образования — магистратура по направлению подготовки 10.04.01 Информационная безопасность».</w:t>
      </w:r>
    </w:p>
    <w:p w14:paraId="1BDBEF9B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8. Приказ Минобрнауки России от 26.11.2020 №1459 «Об утверждении федерального государственного образовательного стандарта высшего образования — специалитет по направлению подготовки 10.05.01 Компьютерная безопасность».</w:t>
      </w:r>
    </w:p>
    <w:p w14:paraId="5F83D324" w14:textId="77777777" w:rsidR="00AD46CB" w:rsidRDefault="00000000">
      <w:pPr>
        <w:spacing w:line="360" w:lineRule="auto"/>
        <w:jc w:val="both"/>
      </w:pPr>
      <w:r>
        <w:rPr>
          <w:sz w:val="28"/>
          <w:szCs w:val="28"/>
        </w:rPr>
        <w:t>9. Тесты на усвоенные компетенции практикума «Управление проектами по защите информации и экономика защиты информации».</w:t>
      </w:r>
    </w:p>
    <w:sectPr w:rsidR="00AD46CB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30603"/>
    <w:multiLevelType w:val="hybridMultilevel"/>
    <w:tmpl w:val="BCE8B540"/>
    <w:lvl w:ilvl="0" w:tplc="D938B8A2">
      <w:start w:val="1"/>
      <w:numFmt w:val="bullet"/>
      <w:lvlText w:val="●"/>
      <w:lvlJc w:val="left"/>
      <w:pPr>
        <w:ind w:left="720" w:hanging="360"/>
      </w:pPr>
    </w:lvl>
    <w:lvl w:ilvl="1" w:tplc="C846BCEA">
      <w:start w:val="1"/>
      <w:numFmt w:val="bullet"/>
      <w:lvlText w:val="○"/>
      <w:lvlJc w:val="left"/>
      <w:pPr>
        <w:ind w:left="1440" w:hanging="360"/>
      </w:pPr>
    </w:lvl>
    <w:lvl w:ilvl="2" w:tplc="06960D46">
      <w:start w:val="1"/>
      <w:numFmt w:val="bullet"/>
      <w:lvlText w:val="■"/>
      <w:lvlJc w:val="left"/>
      <w:pPr>
        <w:ind w:left="2160" w:hanging="360"/>
      </w:pPr>
    </w:lvl>
    <w:lvl w:ilvl="3" w:tplc="AFBA0138">
      <w:start w:val="1"/>
      <w:numFmt w:val="bullet"/>
      <w:lvlText w:val="●"/>
      <w:lvlJc w:val="left"/>
      <w:pPr>
        <w:ind w:left="2880" w:hanging="360"/>
      </w:pPr>
    </w:lvl>
    <w:lvl w:ilvl="4" w:tplc="180E212E">
      <w:start w:val="1"/>
      <w:numFmt w:val="bullet"/>
      <w:lvlText w:val="○"/>
      <w:lvlJc w:val="left"/>
      <w:pPr>
        <w:ind w:left="3600" w:hanging="360"/>
      </w:pPr>
    </w:lvl>
    <w:lvl w:ilvl="5" w:tplc="6C184DFA">
      <w:start w:val="1"/>
      <w:numFmt w:val="bullet"/>
      <w:lvlText w:val="■"/>
      <w:lvlJc w:val="left"/>
      <w:pPr>
        <w:ind w:left="4320" w:hanging="360"/>
      </w:pPr>
    </w:lvl>
    <w:lvl w:ilvl="6" w:tplc="CC708670">
      <w:start w:val="1"/>
      <w:numFmt w:val="bullet"/>
      <w:lvlText w:val="●"/>
      <w:lvlJc w:val="left"/>
      <w:pPr>
        <w:ind w:left="5040" w:hanging="360"/>
      </w:pPr>
    </w:lvl>
    <w:lvl w:ilvl="7" w:tplc="05BA0344">
      <w:start w:val="1"/>
      <w:numFmt w:val="bullet"/>
      <w:lvlText w:val="●"/>
      <w:lvlJc w:val="left"/>
      <w:pPr>
        <w:ind w:left="5760" w:hanging="360"/>
      </w:pPr>
    </w:lvl>
    <w:lvl w:ilvl="8" w:tplc="868AF3EC">
      <w:start w:val="1"/>
      <w:numFmt w:val="bullet"/>
      <w:lvlText w:val="●"/>
      <w:lvlJc w:val="left"/>
      <w:pPr>
        <w:ind w:left="6480" w:hanging="360"/>
      </w:pPr>
    </w:lvl>
  </w:abstractNum>
  <w:num w:numId="1" w16cid:durableId="12075217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6CB"/>
    <w:rsid w:val="00AD46CB"/>
    <w:rsid w:val="00D07697"/>
    <w:rsid w:val="00F85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D11B8"/>
  <w15:docId w15:val="{95D8DAAE-7A1B-48DB-87AE-8F6C26A0E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2616</Words>
  <Characters>14913</Characters>
  <Application>Microsoft Office Word</Application>
  <DocSecurity>0</DocSecurity>
  <Lines>124</Lines>
  <Paragraphs>34</Paragraphs>
  <ScaleCrop>false</ScaleCrop>
  <Company/>
  <LinksUpToDate>false</LinksUpToDate>
  <CharactersWithSpaces>17495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Мандрица Игорь Владимирович</cp:lastModifiedBy>
  <cp:revision>2</cp:revision>
  <dcterms:created xsi:type="dcterms:W3CDTF">2026-07-30T07:09:00Z</dcterms:created>
  <dcterms:modified xsi:type="dcterms:W3CDTF">2026-07-30T10:14:00Z</dcterms:modified>
</cp:coreProperties>
</file>