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rPr>
          <w:rFonts w:ascii="Times New Roman" w:cs="Times New Roman" w:eastAsia="Times New Roman" w:hAnsi="Times New Roman"/>
          <w:b/>
          <w:bCs/>
          <w:sz w:val="28"/>
          <w:szCs w:val="28"/>
        </w:rPr>
        <w:t xml:space="preserve">Практикум «Управление проектами информационной безопасности и экономика защиты информации»</w:t>
      </w:r>
    </w:p>
    <w:p>
      <w:pPr>
        <w:spacing w:after="240" w:before="120" w:line="360" w:lineRule="auto"/>
        <w:jc w:val="center"/>
      </w:pPr>
      <w:r>
        <w:rPr>
          <w:rFonts w:ascii="Times New Roman" w:cs="Times New Roman" w:eastAsia="Times New Roman" w:hAnsi="Times New Roman"/>
          <w:b/>
          <w:bCs/>
          <w:sz w:val="32"/>
          <w:szCs w:val="32"/>
        </w:rPr>
        <w:t xml:space="preserve">Комплект типовых документов для 14 типов проектов портфеля II (программно-аппаратный / организационно-административный)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Настоящий комплект дополняет уже описанный в учебнике «канонический список из пяти документов» (ТЗ, Договор, специфический документ этапа приёмки, документ обучения, акт ввода/итоговый акт) применительно к шести типам физического портфеля ИТСО. Для остальных 14 типов проектов практикума (портфель II — программно-аппаратные и организационно-административные решения) единого нормативного шаблона наподобие РД 78.145-93 не существует: у каждого класса систем — свой регулятор и своя итоговая форма. Поэтому ниже приведён не переписанный под кальку список, а адаптация под фактическую структуру задач каждого типа, взятую из значений apply[] в GANTT_SOFT_COMMON и GANTT_SOFT_SPECIFIC исходного кода практикума — там, где применимость документа к типу в коде отсутствует (apply=false), это оговорено прямо, а не восполнено вымышленным названием.</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Отдельно — по заданному прямому вопросу о статистике судебных дел между исполнителем и заказчиком: специализированной, отделённой от общей категории «споры по договору подряда» статистики доли дел, выигранных именно заказчиком в спорах об информационной безопасности/IT-внедрении, найти не удалось. Общедоступные обзоры судебной практики выделяют типовые основания таких споров (нарушение сроков, недостатки качества работ, отказ от оплаты), но не публикуют сегментированный процент побед той или иной стороны для этой узкой категории. Указанная пользователем ориентировочная цифра (≈2%) поэтому не может быть подтверждена и не используется ниже как факт — приводить её как проверенную статистику было бы нарушением принципа «не выдумывать источники», которого проект придерживается на всём своём протяжении.</w:t>
      </w:r>
    </w:p>
    <w:p>
      <w:pPr>
        <w:spacing w:after="120" w:before="240" w:line="360" w:lineRule="auto"/>
      </w:pPr>
      <w:r>
        <w:rPr>
          <w:rFonts w:ascii="Times New Roman" w:cs="Times New Roman" w:eastAsia="Times New Roman" w:hAnsi="Times New Roman"/>
          <w:b/>
          <w:bCs/>
          <w:color w:val="000000"/>
          <w:sz w:val="32"/>
          <w:szCs w:val="32"/>
        </w:rPr>
        <w:t xml:space="preserve">NGFW — межсетевое экранирование нового поколения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Специфическая задача этапа приёмки данного типа (доп. 3 в таблице ниже): «Разработка и внедрение правил межсетевого экранирования (ACL, NAT, приложения)».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900"/>
        <w:gridCol w:w="2000"/>
      </w:tblGrid>
      <w:tr>
        <w:trPr>
          <w:tblHeader/>
        </w:trPr>
        <w:tc>
          <w:tcPr>
            <w:tcW w:type="dxa" w:w="500"/>
            <w:shd w:fill="D9D9D9" w:val="clear"/>
          </w:tcPr>
          <w:p>
            <w:pPr>
              <w:spacing w:after="0" w:before="0" w:line="276" w:lineRule="auto"/>
              <w:jc w:val="center"/>
            </w:pPr>
            <w:r>
              <w:rPr>
                <w:rFonts w:ascii="Times New Roman" w:cs="Times New Roman" w:eastAsia="Times New Roman" w:hAnsi="Times New Roman"/>
                <w:b/>
                <w:bCs/>
                <w:sz w:val="22"/>
                <w:szCs w:val="22"/>
              </w:rPr>
              <w:t xml:space="preserve">№</w:t>
            </w:r>
          </w:p>
        </w:tc>
        <w:tc>
          <w:tcPr>
            <w:tcW w:type="dxa" w:w="2600"/>
            <w:shd w:fill="D9D9D9" w:val="clear"/>
          </w:tcPr>
          <w:p>
            <w:pPr>
              <w:spacing w:after="0" w:before="0" w:line="276" w:lineRule="auto"/>
              <w:jc w:val="left"/>
            </w:pPr>
            <w:r>
              <w:rPr>
                <w:rFonts w:ascii="Times New Roman" w:cs="Times New Roman" w:eastAsia="Times New Roman" w:hAnsi="Times New Roman"/>
                <w:b/>
                <w:bCs/>
                <w:sz w:val="22"/>
                <w:szCs w:val="22"/>
              </w:rPr>
              <w:t xml:space="preserve">Документ</w:t>
            </w:r>
          </w:p>
        </w:tc>
        <w:tc>
          <w:tcPr>
            <w:tcW w:type="dxa" w:w="3900"/>
            <w:shd w:fill="D9D9D9" w:val="clear"/>
          </w:tcPr>
          <w:p>
            <w:pPr>
              <w:spacing w:after="0" w:before="0" w:line="276" w:lineRule="auto"/>
              <w:jc w:val="left"/>
            </w:pPr>
            <w:r>
              <w:rPr>
                <w:rFonts w:ascii="Times New Roman" w:cs="Times New Roman" w:eastAsia="Times New Roman" w:hAnsi="Times New Roman"/>
                <w:b/>
                <w:bCs/>
                <w:sz w:val="22"/>
                <w:szCs w:val="22"/>
              </w:rPr>
              <w:t xml:space="preserve">Назначение / основание</w:t>
            </w:r>
          </w:p>
        </w:tc>
        <w:tc>
          <w:tcPr>
            <w:tcW w:type="dxa" w:w="2000"/>
            <w:shd w:fill="D9D9D9" w:val="clear"/>
          </w:tcPr>
          <w:p>
            <w:pPr>
              <w:spacing w:after="0" w:before="0" w:line="276" w:lineRule="auto"/>
              <w:jc w:val="left"/>
            </w:pPr>
            <w:r>
              <w:rPr>
                <w:rFonts w:ascii="Times New Roman" w:cs="Times New Roman" w:eastAsia="Times New Roman" w:hAnsi="Times New Roman"/>
                <w:b/>
                <w:bCs/>
                <w:sz w:val="22"/>
                <w:szCs w:val="22"/>
              </w:rPr>
              <w:t xml:space="preserve">Кто подписывает</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1</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Техническое задание (ТЗ)</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Архитектура сегментирования сети, зоны доверия, перечень правил ACL/NAT/DPI, требования к отказоустойчивости кластера МЭ. Основание: ГОСТ Р ИСО/МЭК 27002-2021 (архитектурная схема внедрения, II.1); Методика ФСТЭК России от 05.02.2021 (модель угроз и модель нарушителя, II.3); Приказ ФСТЭК №21, меры ИАФ/УПД (матрица политик доступа, II.5).</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Специалист по ИБ / Архитектор ИБ — утверждает Заказчик</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2</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Договор подряда / оказания услуг по ИБ</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Предмет — «Разработка и внедрение правил межсетевого экранирования (ACL, NAT, приложения)»; структура — как в базовом Договоре практикума (занятие 4), меняется предмет и приложения.</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Руководитель проекта — Руководитель Заказчика</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3</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Акт внедрения правил межсетевого экранирования</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Специфический для типа документ (GANTT_SOFT_SPECIFIC). Установка в тестовом контуре — по документации производителя (III.2); интеграция с инфраструктурой — акт интеграции (III.3); ввод в промышленную эксплуатацию (III.7).</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Инженер ИБ / Специалист по ИБ — утверждает Руководитель проекта</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4</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Документ обучения для этого типа в Гантте не предусмотрен</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Обучение по данному типу проекта закрывается универсальным Актом передачи документации и ключей доступа (V.3, apply=true для всех 14 типов) — отдельного протокола в Гантте нет (IV.5/IV.6 apply=false для этого типа).</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5</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Акт ввода в эксплуатацию</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Акт ввода в эксплуатацию (V.1) — внутренний регламент приёмки, подписывает Комиссия.</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Комиссия / Аудитор / Руководитель проекта (см. основание)</w:t>
            </w:r>
          </w:p>
        </w:tc>
      </w:tr>
    </w:tbl>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содержит пять документов делового цикла проекта данного типа: техническое задание, договор с адаптированным предметом, специфический документ этапа приёмки (тот, что реально фигурирует в коде практикума для этого типа), документ обучения (где предусмотрен Гантт-строками IV.5/IV.6) и закрывающий документ (акт ввода, итоговый отчёт/акт аудита либо, где ни один из двух не предусмотрен, — универсальный акт передачи документации).</w:t>
      </w:r>
    </w:p>
    <w:p>
      <w:pPr>
        <w:spacing w:after="120" w:before="240" w:line="360" w:lineRule="auto"/>
      </w:pPr>
      <w:r>
        <w:rPr>
          <w:rFonts w:ascii="Times New Roman" w:cs="Times New Roman" w:eastAsia="Times New Roman" w:hAnsi="Times New Roman"/>
          <w:b/>
          <w:bCs/>
          <w:color w:val="000000"/>
          <w:sz w:val="32"/>
          <w:szCs w:val="32"/>
        </w:rPr>
        <w:t xml:space="preserve">DLP — предотвращение утечек данных</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Специфическая задача этапа приёмки данного типа (доп. 3 в таблице ниже): «Настройка политик контроля каналов утечки (почта, USB, печать, облако)».</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900"/>
        <w:gridCol w:w="2000"/>
      </w:tblGrid>
      <w:tr>
        <w:trPr>
          <w:tblHeader/>
        </w:trPr>
        <w:tc>
          <w:tcPr>
            <w:tcW w:type="dxa" w:w="500"/>
            <w:shd w:fill="D9D9D9" w:val="clear"/>
          </w:tcPr>
          <w:p>
            <w:pPr>
              <w:spacing w:after="0" w:before="0" w:line="276" w:lineRule="auto"/>
              <w:jc w:val="center"/>
            </w:pPr>
            <w:r>
              <w:rPr>
                <w:rFonts w:ascii="Times New Roman" w:cs="Times New Roman" w:eastAsia="Times New Roman" w:hAnsi="Times New Roman"/>
                <w:b/>
                <w:bCs/>
                <w:sz w:val="22"/>
                <w:szCs w:val="22"/>
              </w:rPr>
              <w:t xml:space="preserve">№</w:t>
            </w:r>
          </w:p>
        </w:tc>
        <w:tc>
          <w:tcPr>
            <w:tcW w:type="dxa" w:w="2600"/>
            <w:shd w:fill="D9D9D9" w:val="clear"/>
          </w:tcPr>
          <w:p>
            <w:pPr>
              <w:spacing w:after="0" w:before="0" w:line="276" w:lineRule="auto"/>
              <w:jc w:val="left"/>
            </w:pPr>
            <w:r>
              <w:rPr>
                <w:rFonts w:ascii="Times New Roman" w:cs="Times New Roman" w:eastAsia="Times New Roman" w:hAnsi="Times New Roman"/>
                <w:b/>
                <w:bCs/>
                <w:sz w:val="22"/>
                <w:szCs w:val="22"/>
              </w:rPr>
              <w:t xml:space="preserve">Документ</w:t>
            </w:r>
          </w:p>
        </w:tc>
        <w:tc>
          <w:tcPr>
            <w:tcW w:type="dxa" w:w="3900"/>
            <w:shd w:fill="D9D9D9" w:val="clear"/>
          </w:tcPr>
          <w:p>
            <w:pPr>
              <w:spacing w:after="0" w:before="0" w:line="276" w:lineRule="auto"/>
              <w:jc w:val="left"/>
            </w:pPr>
            <w:r>
              <w:rPr>
                <w:rFonts w:ascii="Times New Roman" w:cs="Times New Roman" w:eastAsia="Times New Roman" w:hAnsi="Times New Roman"/>
                <w:b/>
                <w:bCs/>
                <w:sz w:val="22"/>
                <w:szCs w:val="22"/>
              </w:rPr>
              <w:t xml:space="preserve">Назначение / основание</w:t>
            </w:r>
          </w:p>
        </w:tc>
        <w:tc>
          <w:tcPr>
            <w:tcW w:type="dxa" w:w="2000"/>
            <w:shd w:fill="D9D9D9" w:val="clear"/>
          </w:tcPr>
          <w:p>
            <w:pPr>
              <w:spacing w:after="0" w:before="0" w:line="276" w:lineRule="auto"/>
              <w:jc w:val="left"/>
            </w:pPr>
            <w:r>
              <w:rPr>
                <w:rFonts w:ascii="Times New Roman" w:cs="Times New Roman" w:eastAsia="Times New Roman" w:hAnsi="Times New Roman"/>
                <w:b/>
                <w:bCs/>
                <w:sz w:val="22"/>
                <w:szCs w:val="22"/>
              </w:rPr>
              <w:t xml:space="preserve">Кто подписывает</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1</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Техническое задание (ТЗ)</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Перечень контролируемых каналов, категории защищаемой информации, правила блокировки/теневого копирования. Основание: ГОСТ Р ИСО/МЭК 27002-2021 (архитектурная схема внедрения, II.1); Приказ ФСТЭК №21, меры ИАФ/УПД (матрица политик доступа, II.5) — модель угроз для DLP отдельно не разрабатывается (II.3 apply=false).</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Специалист по ИБ / Архитектор ИБ — утверждает Заказчик</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2</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Договор подряда / оказания услуг по ИБ</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Предмет — «Настройка политик контроля каналов утечки (почта, USB, печать, облако)»; структура — как в базовом Договоре практикума (занятие 4), меняется предмет и приложения.</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Руководитель проекта — Руководитель Заказчика</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3</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Утверждённая политика контроля каналов утечки</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Специфический для типа документ (GANTT_SOFT_SPECIFIC). Установка в тестовом контуре (III.2); интеграция с инфраструктурой (III.3); ввод в промышленную эксплуатацию (III.7).</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Инженер ИБ / Специалист по ИБ — утверждает Руководитель проекта</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4</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Документ обучения для этого типа в Гантте не предусмотрен</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Обучение по данному типу проекта закрывается универсальным Актом передачи документации и ключей доступа (V.3, apply=true для всех 14 типов) — отдельного протокола в Гантте нет (IV.5/IV.6 apply=false для этого типа).</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5</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Акт ввода в эксплуатацию</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Акт ввода в эксплуатацию (V.1) — внутренний регламент приёмки, подписывает Комиссия.</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Комиссия / Аудитор / Руководитель проекта (см. основание)</w:t>
            </w:r>
          </w:p>
        </w:tc>
      </w:tr>
    </w:tbl>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содержит пять документов делового цикла проекта данного типа: техническое задание, договор с адаптированным предметом, специфический документ этапа приёмки (тот, что реально фигурирует в коде практикума для этого типа), документ обучения (где предусмотрен Гантт-строками IV.5/IV.6) и закрывающий документ (акт ввода, итоговый отчёт/акт аудита либо, где ни один из двух не предусмотрен, — универсальный акт передачи документации).</w:t>
      </w:r>
    </w:p>
    <w:p>
      <w:pPr>
        <w:spacing w:after="120" w:before="240" w:line="360" w:lineRule="auto"/>
      </w:pPr>
      <w:r>
        <w:rPr>
          <w:rFonts w:ascii="Times New Roman" w:cs="Times New Roman" w:eastAsia="Times New Roman" w:hAnsi="Times New Roman"/>
          <w:b/>
          <w:bCs/>
          <w:color w:val="000000"/>
          <w:sz w:val="32"/>
          <w:szCs w:val="32"/>
        </w:rPr>
        <w:t xml:space="preserve">IAM — управление доступом и учётными записями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Специфическая задача этапа приёмки данного типа (доп. 3 в таблице ниже): «Интеграция с LDAP/AD, настройка ролевой модели доступа (RBAC)».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900"/>
        <w:gridCol w:w="2000"/>
      </w:tblGrid>
      <w:tr>
        <w:trPr>
          <w:tblHeader/>
        </w:trPr>
        <w:tc>
          <w:tcPr>
            <w:tcW w:type="dxa" w:w="500"/>
            <w:shd w:fill="D9D9D9" w:val="clear"/>
          </w:tcPr>
          <w:p>
            <w:pPr>
              <w:spacing w:after="0" w:before="0" w:line="276" w:lineRule="auto"/>
              <w:jc w:val="center"/>
            </w:pPr>
            <w:r>
              <w:rPr>
                <w:rFonts w:ascii="Times New Roman" w:cs="Times New Roman" w:eastAsia="Times New Roman" w:hAnsi="Times New Roman"/>
                <w:b/>
                <w:bCs/>
                <w:sz w:val="22"/>
                <w:szCs w:val="22"/>
              </w:rPr>
              <w:t xml:space="preserve">№</w:t>
            </w:r>
          </w:p>
        </w:tc>
        <w:tc>
          <w:tcPr>
            <w:tcW w:type="dxa" w:w="2600"/>
            <w:shd w:fill="D9D9D9" w:val="clear"/>
          </w:tcPr>
          <w:p>
            <w:pPr>
              <w:spacing w:after="0" w:before="0" w:line="276" w:lineRule="auto"/>
              <w:jc w:val="left"/>
            </w:pPr>
            <w:r>
              <w:rPr>
                <w:rFonts w:ascii="Times New Roman" w:cs="Times New Roman" w:eastAsia="Times New Roman" w:hAnsi="Times New Roman"/>
                <w:b/>
                <w:bCs/>
                <w:sz w:val="22"/>
                <w:szCs w:val="22"/>
              </w:rPr>
              <w:t xml:space="preserve">Документ</w:t>
            </w:r>
          </w:p>
        </w:tc>
        <w:tc>
          <w:tcPr>
            <w:tcW w:type="dxa" w:w="3900"/>
            <w:shd w:fill="D9D9D9" w:val="clear"/>
          </w:tcPr>
          <w:p>
            <w:pPr>
              <w:spacing w:after="0" w:before="0" w:line="276" w:lineRule="auto"/>
              <w:jc w:val="left"/>
            </w:pPr>
            <w:r>
              <w:rPr>
                <w:rFonts w:ascii="Times New Roman" w:cs="Times New Roman" w:eastAsia="Times New Roman" w:hAnsi="Times New Roman"/>
                <w:b/>
                <w:bCs/>
                <w:sz w:val="22"/>
                <w:szCs w:val="22"/>
              </w:rPr>
              <w:t xml:space="preserve">Назначение / основание</w:t>
            </w:r>
          </w:p>
        </w:tc>
        <w:tc>
          <w:tcPr>
            <w:tcW w:type="dxa" w:w="2000"/>
            <w:shd w:fill="D9D9D9" w:val="clear"/>
          </w:tcPr>
          <w:p>
            <w:pPr>
              <w:spacing w:after="0" w:before="0" w:line="276" w:lineRule="auto"/>
              <w:jc w:val="left"/>
            </w:pPr>
            <w:r>
              <w:rPr>
                <w:rFonts w:ascii="Times New Roman" w:cs="Times New Roman" w:eastAsia="Times New Roman" w:hAnsi="Times New Roman"/>
                <w:b/>
                <w:bCs/>
                <w:sz w:val="22"/>
                <w:szCs w:val="22"/>
              </w:rPr>
              <w:t xml:space="preserve">Кто подписывает</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1</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Техническое задание (ТЗ)</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Каталог ролей, матрица разграничения полномочий, регламент согласования заявок на доступ. Основание: ГОСТ Р ИСО/МЭК 27002-2021 (архитектурная схема внедрения, II.1); Приказ ФСТЭК №21, меры ИАФ/УПД (матрица политик доступа, II.5) — модель угроз отдельно не разрабатывается (II.3 apply=false).</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Специалист по ИБ / Архитектор ИБ — утверждает Заказчик</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2</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Договор подряда / оказания услуг по ИБ</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Предмет — «Интеграция с LDAP/AD, настройка ролевой модели доступа (RBAC)»; структура — как в базовом Договоре практикума (занятие 4), меняется предмет и приложения.</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Руководитель проекта — Руководитель Заказчика</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3</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Акт внедрения ролевой модели доступа (RBAC)</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Специфический для типа документ (GANTT_SOFT_SPECIFIC). Установка в тестовом контуре (III.2); интеграция с инфраструктурой AD/LDAP (III.3); ввод в промышленную эксплуатацию (III.7).</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Инженер ИБ / Специалист по ИБ — утверждает Руководитель проекта</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4</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Протокол обучения и результатов фишинг-симуляции (IV.5)</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ГОСТ Р ИСО/МЭК 27002-2021, п.6.3 — единственный тип портфеля II, где обучение сочетается с блоком NGFW/DLP-класса (доступ к учётным записям).</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Специалист по обучению / Специалист по ИБ</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5</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Акт ввода в эксплуатацию</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Акт ввода в эксплуатацию (V.1) — внутренний регламент приёмки, подписывает Комиссия.</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Комиссия / Аудитор / Руководитель проекта (см. основание)</w:t>
            </w:r>
          </w:p>
        </w:tc>
      </w:tr>
    </w:tbl>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содержит пять документов делового цикла проекта данного типа: техническое задание, договор с адаптированным предметом, специфический документ этапа приёмки (тот, что реально фигурирует в коде практикума для этого типа), документ обучения (где предусмотрен Гантт-строками IV.5/IV.6) и закрывающий документ (акт ввода, итоговый отчёт/акт аудита либо, где ни один из двух не предусмотрен, — универсальный акт передачи документации).</w:t>
      </w:r>
    </w:p>
    <w:p>
      <w:pPr>
        <w:spacing w:after="120" w:before="240" w:line="360" w:lineRule="auto"/>
      </w:pPr>
      <w:r>
        <w:rPr>
          <w:rFonts w:ascii="Times New Roman" w:cs="Times New Roman" w:eastAsia="Times New Roman" w:hAnsi="Times New Roman"/>
          <w:b/>
          <w:bCs/>
          <w:color w:val="000000"/>
          <w:sz w:val="32"/>
          <w:szCs w:val="32"/>
        </w:rPr>
        <w:t xml:space="preserve">SIEM — мониторинг и корреляция событий безопасности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Специфическая задача этапа приёмки данного типа (доп. 3 в таблице ниже): «Подключение источников логов (log sources) и разработка корреляционных правил».</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900"/>
        <w:gridCol w:w="2000"/>
      </w:tblGrid>
      <w:tr>
        <w:trPr>
          <w:tblHeader/>
        </w:trPr>
        <w:tc>
          <w:tcPr>
            <w:tcW w:type="dxa" w:w="500"/>
            <w:shd w:fill="D9D9D9" w:val="clear"/>
          </w:tcPr>
          <w:p>
            <w:pPr>
              <w:spacing w:after="0" w:before="0" w:line="276" w:lineRule="auto"/>
              <w:jc w:val="center"/>
            </w:pPr>
            <w:r>
              <w:rPr>
                <w:rFonts w:ascii="Times New Roman" w:cs="Times New Roman" w:eastAsia="Times New Roman" w:hAnsi="Times New Roman"/>
                <w:b/>
                <w:bCs/>
                <w:sz w:val="22"/>
                <w:szCs w:val="22"/>
              </w:rPr>
              <w:t xml:space="preserve">№</w:t>
            </w:r>
          </w:p>
        </w:tc>
        <w:tc>
          <w:tcPr>
            <w:tcW w:type="dxa" w:w="2600"/>
            <w:shd w:fill="D9D9D9" w:val="clear"/>
          </w:tcPr>
          <w:p>
            <w:pPr>
              <w:spacing w:after="0" w:before="0" w:line="276" w:lineRule="auto"/>
              <w:jc w:val="left"/>
            </w:pPr>
            <w:r>
              <w:rPr>
                <w:rFonts w:ascii="Times New Roman" w:cs="Times New Roman" w:eastAsia="Times New Roman" w:hAnsi="Times New Roman"/>
                <w:b/>
                <w:bCs/>
                <w:sz w:val="22"/>
                <w:szCs w:val="22"/>
              </w:rPr>
              <w:t xml:space="preserve">Документ</w:t>
            </w:r>
          </w:p>
        </w:tc>
        <w:tc>
          <w:tcPr>
            <w:tcW w:type="dxa" w:w="3900"/>
            <w:shd w:fill="D9D9D9" w:val="clear"/>
          </w:tcPr>
          <w:p>
            <w:pPr>
              <w:spacing w:after="0" w:before="0" w:line="276" w:lineRule="auto"/>
              <w:jc w:val="left"/>
            </w:pPr>
            <w:r>
              <w:rPr>
                <w:rFonts w:ascii="Times New Roman" w:cs="Times New Roman" w:eastAsia="Times New Roman" w:hAnsi="Times New Roman"/>
                <w:b/>
                <w:bCs/>
                <w:sz w:val="22"/>
                <w:szCs w:val="22"/>
              </w:rPr>
              <w:t xml:space="preserve">Назначение / основание</w:t>
            </w:r>
          </w:p>
        </w:tc>
        <w:tc>
          <w:tcPr>
            <w:tcW w:type="dxa" w:w="2000"/>
            <w:shd w:fill="D9D9D9" w:val="clear"/>
          </w:tcPr>
          <w:p>
            <w:pPr>
              <w:spacing w:after="0" w:before="0" w:line="276" w:lineRule="auto"/>
              <w:jc w:val="left"/>
            </w:pPr>
            <w:r>
              <w:rPr>
                <w:rFonts w:ascii="Times New Roman" w:cs="Times New Roman" w:eastAsia="Times New Roman" w:hAnsi="Times New Roman"/>
                <w:b/>
                <w:bCs/>
                <w:sz w:val="22"/>
                <w:szCs w:val="22"/>
              </w:rPr>
              <w:t xml:space="preserve">Кто подписывает</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1</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Техническое задание (ТЗ)</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Перечень источников логов, состав корреляционных правил, регламент реагирования на инциденты. Основание: ГОСТ Р ИСО/МЭК 27002-2021 (архитектурная схема внедрения, II.1); Методика ФСТЭК России от 05.02.2021 (модель угроз и модель нарушителя, II.3) — матрица политик доступа для SIEM отдельно не разрабатывается (II.5 apply=false).</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Специалист по ИБ / Архитектор ИБ — утверждает Заказчик</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2</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Договор подряда / оказания услуг по ИБ</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Предмет — «Подключение источников логов (log sources) и разработка корреляционных правил»; структура — как в базовом Договоре практикума (занятие 4), меняется предмет и приложения.</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Руководитель проекта — Руководитель Заказчика</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3</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Перечень источников логов и корреляционных правил</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Специфический для типа документ (GANTT_SOFT_SPECIFIC). Установка в тестовом контуре (III.2); интеграция с инфраструктурой — источники логов AD/LDAP/SIEM (III.3); ввод в промышленную эксплуатацию (III.7); регламент правил реагирования, справочно MITRE ATT&amp;CK (IV.1).</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Инженер ИБ / Специалист по ИБ — утверждает Руководитель проекта</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4</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Документ обучения для этого типа в Гантте не предусмотрен</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Обучение по данному типу проекта закрывается универсальным Актом передачи документации и ключей доступа (V.3, apply=true для всех 14 типов) — отдельного протокола в Гантте нет (IV.5/IV.6 apply=false для этого типа).</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5</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Акт ввода в эксплуатацию</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Акт ввода в эксплуатацию (V.1) — внутренний регламент приёмки, подписывает Комиссия.</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Комиссия / Аудитор / Руководитель проекта (см. основание)</w:t>
            </w:r>
          </w:p>
        </w:tc>
      </w:tr>
    </w:tbl>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содержит пять документов делового цикла проекта данного типа: техническое задание, договор с адаптированным предметом, специфический документ этапа приёмки (тот, что реально фигурирует в коде практикума для этого типа), документ обучения (где предусмотрен Гантт-строками IV.5/IV.6) и закрывающий документ (акт ввода, итоговый отчёт/акт аудита либо, где ни один из двух не предусмотрен, — универсальный акт передачи документации).</w:t>
      </w:r>
    </w:p>
    <w:p>
      <w:pPr>
        <w:spacing w:after="120" w:before="240" w:line="360" w:lineRule="auto"/>
      </w:pPr>
      <w:r>
        <w:rPr>
          <w:rFonts w:ascii="Times New Roman" w:cs="Times New Roman" w:eastAsia="Times New Roman" w:hAnsi="Times New Roman"/>
          <w:b/>
          <w:bCs/>
          <w:color w:val="000000"/>
          <w:sz w:val="32"/>
          <w:szCs w:val="32"/>
        </w:rPr>
        <w:t xml:space="preserve">EDR — обнаружение и реагирование на конечных точках</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Специфическая задача этапа приёмки данного типа (доп. 3 в таблице ниже): «Развёртывание агентов на конечных точках, настройка политик реагирования».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900"/>
        <w:gridCol w:w="2000"/>
      </w:tblGrid>
      <w:tr>
        <w:trPr>
          <w:tblHeader/>
        </w:trPr>
        <w:tc>
          <w:tcPr>
            <w:tcW w:type="dxa" w:w="500"/>
            <w:shd w:fill="D9D9D9" w:val="clear"/>
          </w:tcPr>
          <w:p>
            <w:pPr>
              <w:spacing w:after="0" w:before="0" w:line="276" w:lineRule="auto"/>
              <w:jc w:val="center"/>
            </w:pPr>
            <w:r>
              <w:rPr>
                <w:rFonts w:ascii="Times New Roman" w:cs="Times New Roman" w:eastAsia="Times New Roman" w:hAnsi="Times New Roman"/>
                <w:b/>
                <w:bCs/>
                <w:sz w:val="22"/>
                <w:szCs w:val="22"/>
              </w:rPr>
              <w:t xml:space="preserve">№</w:t>
            </w:r>
          </w:p>
        </w:tc>
        <w:tc>
          <w:tcPr>
            <w:tcW w:type="dxa" w:w="2600"/>
            <w:shd w:fill="D9D9D9" w:val="clear"/>
          </w:tcPr>
          <w:p>
            <w:pPr>
              <w:spacing w:after="0" w:before="0" w:line="276" w:lineRule="auto"/>
              <w:jc w:val="left"/>
            </w:pPr>
            <w:r>
              <w:rPr>
                <w:rFonts w:ascii="Times New Roman" w:cs="Times New Roman" w:eastAsia="Times New Roman" w:hAnsi="Times New Roman"/>
                <w:b/>
                <w:bCs/>
                <w:sz w:val="22"/>
                <w:szCs w:val="22"/>
              </w:rPr>
              <w:t xml:space="preserve">Документ</w:t>
            </w:r>
          </w:p>
        </w:tc>
        <w:tc>
          <w:tcPr>
            <w:tcW w:type="dxa" w:w="3900"/>
            <w:shd w:fill="D9D9D9" w:val="clear"/>
          </w:tcPr>
          <w:p>
            <w:pPr>
              <w:spacing w:after="0" w:before="0" w:line="276" w:lineRule="auto"/>
              <w:jc w:val="left"/>
            </w:pPr>
            <w:r>
              <w:rPr>
                <w:rFonts w:ascii="Times New Roman" w:cs="Times New Roman" w:eastAsia="Times New Roman" w:hAnsi="Times New Roman"/>
                <w:b/>
                <w:bCs/>
                <w:sz w:val="22"/>
                <w:szCs w:val="22"/>
              </w:rPr>
              <w:t xml:space="preserve">Назначение / основание</w:t>
            </w:r>
          </w:p>
        </w:tc>
        <w:tc>
          <w:tcPr>
            <w:tcW w:type="dxa" w:w="2000"/>
            <w:shd w:fill="D9D9D9" w:val="clear"/>
          </w:tcPr>
          <w:p>
            <w:pPr>
              <w:spacing w:after="0" w:before="0" w:line="276" w:lineRule="auto"/>
              <w:jc w:val="left"/>
            </w:pPr>
            <w:r>
              <w:rPr>
                <w:rFonts w:ascii="Times New Roman" w:cs="Times New Roman" w:eastAsia="Times New Roman" w:hAnsi="Times New Roman"/>
                <w:b/>
                <w:bCs/>
                <w:sz w:val="22"/>
                <w:szCs w:val="22"/>
              </w:rPr>
              <w:t xml:space="preserve">Кто подписывает</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1</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Техническое задание (ТЗ)</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Перечень защищаемых конечных точек, политики реагирования (карантин/блокировка процесса), интеграция с SIEM/SOC. Основание: ГОСТ Р ИСО/МЭК 27002-2021 (архитектурная схема внедрения, II.1) — модель угроз и матрица политик доступа для EDR отдельно не разрабатываются (II.3, II.5 apply=false).</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Специалист по ИБ / Архитектор ИБ — утверждает Заказчик</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2</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Договор подряда / оказания услуг по ИБ</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Предмет — «Развёртывание агентов на конечных точках, настройка политик реагирования»; структура — как в базовом Договоре практикума (занятие 4), меняется предмет и приложения.</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Руководитель проекта — Руководитель Заказчика</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3</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Акт развёртывания агентов EDR</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Специфический для типа документ (GANTT_SOFT_SPECIFIC). Установка в тестовом контуре (III.2); интеграция с инфраструктурой (III.3); ввод в промышленную эксплуатацию (III.7); регламент правил реагирования, справочно MITRE ATT&amp;CK (IV.1).</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Инженер ИБ / Специалист по ИБ — утверждает Руководитель проекта</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4</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Документ обучения для этого типа в Гантте не предусмотрен</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Обучение по данному типу проекта закрывается универсальным Актом передачи документации и ключей доступа (V.3, apply=true для всех 14 типов) — отдельного протокола в Гантте нет (IV.5/IV.6 apply=false для этого типа).</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5</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Акт ввода в эксплуатацию</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Акт ввода в эксплуатацию (V.1) — внутренний регламент приёмки, подписывает Комиссия.</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Комиссия / Аудитор / Руководитель проекта (см. основание)</w:t>
            </w:r>
          </w:p>
        </w:tc>
      </w:tr>
    </w:tbl>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содержит пять документов делового цикла проекта данного типа: техническое задание, договор с адаптированным предметом, специфический документ этапа приёмки (тот, что реально фигурирует в коде практикума для этого типа), документ обучения (где предусмотрен Гантт-строками IV.5/IV.6) и закрывающий документ (акт ввода, итоговый отчёт/акт аудита либо, где ни один из двух не предусмотрен, — универсальный акт передачи документации).</w:t>
      </w:r>
    </w:p>
    <w:p>
      <w:pPr>
        <w:spacing w:after="120" w:before="240" w:line="360" w:lineRule="auto"/>
      </w:pPr>
      <w:r>
        <w:rPr>
          <w:rFonts w:ascii="Times New Roman" w:cs="Times New Roman" w:eastAsia="Times New Roman" w:hAnsi="Times New Roman"/>
          <w:b/>
          <w:bCs/>
          <w:color w:val="000000"/>
          <w:sz w:val="32"/>
          <w:szCs w:val="32"/>
        </w:rPr>
        <w:t xml:space="preserve">VPN — защищённые каналы связи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Специфическая задача этапа приёмки данного типа (доп. 3 в таблице ниже): «Настройка туннелей (IPsec/SSL/ГОСТ VPN), выдача сертификатов и ключей».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900"/>
        <w:gridCol w:w="2000"/>
      </w:tblGrid>
      <w:tr>
        <w:trPr>
          <w:tblHeader/>
        </w:trPr>
        <w:tc>
          <w:tcPr>
            <w:tcW w:type="dxa" w:w="500"/>
            <w:shd w:fill="D9D9D9" w:val="clear"/>
          </w:tcPr>
          <w:p>
            <w:pPr>
              <w:spacing w:after="0" w:before="0" w:line="276" w:lineRule="auto"/>
              <w:jc w:val="center"/>
            </w:pPr>
            <w:r>
              <w:rPr>
                <w:rFonts w:ascii="Times New Roman" w:cs="Times New Roman" w:eastAsia="Times New Roman" w:hAnsi="Times New Roman"/>
                <w:b/>
                <w:bCs/>
                <w:sz w:val="22"/>
                <w:szCs w:val="22"/>
              </w:rPr>
              <w:t xml:space="preserve">№</w:t>
            </w:r>
          </w:p>
        </w:tc>
        <w:tc>
          <w:tcPr>
            <w:tcW w:type="dxa" w:w="2600"/>
            <w:shd w:fill="D9D9D9" w:val="clear"/>
          </w:tcPr>
          <w:p>
            <w:pPr>
              <w:spacing w:after="0" w:before="0" w:line="276" w:lineRule="auto"/>
              <w:jc w:val="left"/>
            </w:pPr>
            <w:r>
              <w:rPr>
                <w:rFonts w:ascii="Times New Roman" w:cs="Times New Roman" w:eastAsia="Times New Roman" w:hAnsi="Times New Roman"/>
                <w:b/>
                <w:bCs/>
                <w:sz w:val="22"/>
                <w:szCs w:val="22"/>
              </w:rPr>
              <w:t xml:space="preserve">Документ</w:t>
            </w:r>
          </w:p>
        </w:tc>
        <w:tc>
          <w:tcPr>
            <w:tcW w:type="dxa" w:w="3900"/>
            <w:shd w:fill="D9D9D9" w:val="clear"/>
          </w:tcPr>
          <w:p>
            <w:pPr>
              <w:spacing w:after="0" w:before="0" w:line="276" w:lineRule="auto"/>
              <w:jc w:val="left"/>
            </w:pPr>
            <w:r>
              <w:rPr>
                <w:rFonts w:ascii="Times New Roman" w:cs="Times New Roman" w:eastAsia="Times New Roman" w:hAnsi="Times New Roman"/>
                <w:b/>
                <w:bCs/>
                <w:sz w:val="22"/>
                <w:szCs w:val="22"/>
              </w:rPr>
              <w:t xml:space="preserve">Назначение / основание</w:t>
            </w:r>
          </w:p>
        </w:tc>
        <w:tc>
          <w:tcPr>
            <w:tcW w:type="dxa" w:w="2000"/>
            <w:shd w:fill="D9D9D9" w:val="clear"/>
          </w:tcPr>
          <w:p>
            <w:pPr>
              <w:spacing w:after="0" w:before="0" w:line="276" w:lineRule="auto"/>
              <w:jc w:val="left"/>
            </w:pPr>
            <w:r>
              <w:rPr>
                <w:rFonts w:ascii="Times New Roman" w:cs="Times New Roman" w:eastAsia="Times New Roman" w:hAnsi="Times New Roman"/>
                <w:b/>
                <w:bCs/>
                <w:sz w:val="22"/>
                <w:szCs w:val="22"/>
              </w:rPr>
              <w:t xml:space="preserve">Кто подписывает</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1</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Техническое задание (ТЗ)</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Топология туннелей, алгоритмы шифрования, регламент выдачи и отзыва сертификатов/ключей. Основание: ГОСТ Р ИСО/МЭК 27002-2021 (архитектурная схема внедрения, II.1); Приказ ФСТЭК №21, меры ИАФ/УПД (матрица политик доступа, II.5) — модель угроз отдельно не разрабатывается (II.3 apply=false).</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Специалист по ИБ / Архитектор ИБ — утверждает Заказчик</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2</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Договор подряда / оказания услуг по ИБ</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Предмет — «Настройка туннелей (IPsec/SSL/ГОСТ VPN), выдача сертификатов и ключей»; структура — как в базовом Договоре практикума (занятие 4), меняется предмет и приложения.</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Руководитель проекта — Руководитель Заказчика</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3</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Акт настройки каналов, реестр сертификатов/ключей</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Специфический для типа документ (GANTT_SOFT_SPECIFIC). Установка в тестовом контуре (III.2); интеграция с инфраструктурой (III.3); ввод в промышленную эксплуатацию (III.7).</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Инженер ИБ / Специалист по ИБ — утверждает Руководитель проекта</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4</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Документ обучения для этого типа в Гантте не предусмотрен</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Обучение по данному типу проекта закрывается универсальным Актом передачи документации и ключей доступа (V.3, apply=true для всех 14 типов) — отдельного протокола в Гантте нет (IV.5/IV.6 apply=false для этого типа).</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5</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Акт ввода в эксплуатацию</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Акт ввода в эксплуатацию (V.1) — внутренний регламент приёмки, подписывает Комиссия.</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Комиссия / Аудитор / Руководитель проекта (см. основание)</w:t>
            </w:r>
          </w:p>
        </w:tc>
      </w:tr>
    </w:tbl>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содержит пять документов делового цикла проекта данного типа: техническое задание, договор с адаптированным предметом, специфический документ этапа приёмки (тот, что реально фигурирует в коде практикума для этого типа), документ обучения (где предусмотрен Гантт-строками IV.5/IV.6) и закрывающий документ (акт ввода, итоговый отчёт/акт аудита либо, где ни один из двух не предусмотрен, — универсальный акт передачи документации).</w:t>
      </w:r>
    </w:p>
    <w:p>
      <w:pPr>
        <w:spacing w:after="120" w:before="240" w:line="360" w:lineRule="auto"/>
      </w:pPr>
      <w:r>
        <w:rPr>
          <w:rFonts w:ascii="Times New Roman" w:cs="Times New Roman" w:eastAsia="Times New Roman" w:hAnsi="Times New Roman"/>
          <w:b/>
          <w:bCs/>
          <w:color w:val="000000"/>
          <w:sz w:val="32"/>
          <w:szCs w:val="32"/>
        </w:rPr>
        <w:t xml:space="preserve">Резервное копирование и восстановление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Специфическая задача этапа приёмки данного типа (доп. 3 в таблице ниже): «Настройка расписания РК, проверка RPO/RTO, тестовое восстановление».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900"/>
        <w:gridCol w:w="2000"/>
      </w:tblGrid>
      <w:tr>
        <w:trPr>
          <w:tblHeader/>
        </w:trPr>
        <w:tc>
          <w:tcPr>
            <w:tcW w:type="dxa" w:w="500"/>
            <w:shd w:fill="D9D9D9" w:val="clear"/>
          </w:tcPr>
          <w:p>
            <w:pPr>
              <w:spacing w:after="0" w:before="0" w:line="276" w:lineRule="auto"/>
              <w:jc w:val="center"/>
            </w:pPr>
            <w:r>
              <w:rPr>
                <w:rFonts w:ascii="Times New Roman" w:cs="Times New Roman" w:eastAsia="Times New Roman" w:hAnsi="Times New Roman"/>
                <w:b/>
                <w:bCs/>
                <w:sz w:val="22"/>
                <w:szCs w:val="22"/>
              </w:rPr>
              <w:t xml:space="preserve">№</w:t>
            </w:r>
          </w:p>
        </w:tc>
        <w:tc>
          <w:tcPr>
            <w:tcW w:type="dxa" w:w="2600"/>
            <w:shd w:fill="D9D9D9" w:val="clear"/>
          </w:tcPr>
          <w:p>
            <w:pPr>
              <w:spacing w:after="0" w:before="0" w:line="276" w:lineRule="auto"/>
              <w:jc w:val="left"/>
            </w:pPr>
            <w:r>
              <w:rPr>
                <w:rFonts w:ascii="Times New Roman" w:cs="Times New Roman" w:eastAsia="Times New Roman" w:hAnsi="Times New Roman"/>
                <w:b/>
                <w:bCs/>
                <w:sz w:val="22"/>
                <w:szCs w:val="22"/>
              </w:rPr>
              <w:t xml:space="preserve">Документ</w:t>
            </w:r>
          </w:p>
        </w:tc>
        <w:tc>
          <w:tcPr>
            <w:tcW w:type="dxa" w:w="3900"/>
            <w:shd w:fill="D9D9D9" w:val="clear"/>
          </w:tcPr>
          <w:p>
            <w:pPr>
              <w:spacing w:after="0" w:before="0" w:line="276" w:lineRule="auto"/>
              <w:jc w:val="left"/>
            </w:pPr>
            <w:r>
              <w:rPr>
                <w:rFonts w:ascii="Times New Roman" w:cs="Times New Roman" w:eastAsia="Times New Roman" w:hAnsi="Times New Roman"/>
                <w:b/>
                <w:bCs/>
                <w:sz w:val="22"/>
                <w:szCs w:val="22"/>
              </w:rPr>
              <w:t xml:space="preserve">Назначение / основание</w:t>
            </w:r>
          </w:p>
        </w:tc>
        <w:tc>
          <w:tcPr>
            <w:tcW w:type="dxa" w:w="2000"/>
            <w:shd w:fill="D9D9D9" w:val="clear"/>
          </w:tcPr>
          <w:p>
            <w:pPr>
              <w:spacing w:after="0" w:before="0" w:line="276" w:lineRule="auto"/>
              <w:jc w:val="left"/>
            </w:pPr>
            <w:r>
              <w:rPr>
                <w:rFonts w:ascii="Times New Roman" w:cs="Times New Roman" w:eastAsia="Times New Roman" w:hAnsi="Times New Roman"/>
                <w:b/>
                <w:bCs/>
                <w:sz w:val="22"/>
                <w:szCs w:val="22"/>
              </w:rPr>
              <w:t xml:space="preserve">Кто подписывает</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1</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Техническое задание (ТЗ)</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Целевые показатели RPO/RTO, расписание резервного копирования, состав защищаемых систем. Основание: ГОСТ Р ИСО/МЭК 27002-2021 (архитектурная схема внедрения, II.1) — модель угроз, матрица политик доступа и интеграция с инфраструктурой для этого типа отдельно не выделены (II.3, II.5, III.3 apply=false).</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Специалист по ИБ / Архитектор ИБ — утверждает Заказчик</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2</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Договор подряда / оказания услуг по ИБ</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Предмет — «Настройка расписания РК, проверка RPO/RTO, тестовое восстановление»; структура — как в базовом Договоре практикума (занятие 4), меняется предмет и приложения.</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Руководитель проекта — Руководитель Заказчика</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3</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Акт проверки RPO/RTO и тестового восстановления</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Специфический для типа документ (GANTT_SOFT_SPECIFIC). Установка в тестовом контуре (III.2); ввод в промышленную эксплуатацию (III.7); тестовое восстановление из резервной копии — DRP-тест (IV.3, ISO/IEC 27031:2011) — единственный тип портфеля II с отдельным протоколом DRP-теста.</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Инженер ИБ / Специалист по ИБ — утверждает Руководитель проекта</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4</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Документ обучения для этого типа в Гантте не предусмотрен</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Обучение по данному типу проекта закрывается универсальным Актом передачи документации и ключей доступа (V.3, apply=true для всех 14 типов) — отдельного протокола в Гантте нет (IV.5/IV.6 apply=false для этого типа).</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5</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Акт ввода в эксплуатацию</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Акт ввода в эксплуатацию (V.1) — внутренний регламент приёмки, подписывает Комиссия.</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Комиссия / Аудитор / Руководитель проекта (см. основание)</w:t>
            </w:r>
          </w:p>
        </w:tc>
      </w:tr>
    </w:tbl>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содержит пять документов делового цикла проекта данного типа: техническое задание, договор с адаптированным предметом, специфический документ этапа приёмки (тот, что реально фигурирует в коде практикума для этого типа), документ обучения (где предусмотрен Гантт-строками IV.5/IV.6) и закрывающий документ (акт ввода, итоговый отчёт/акт аудита либо, где ни один из двух не предусмотрен, — универсальный акт передачи документации).</w:t>
      </w:r>
    </w:p>
    <w:p>
      <w:pPr>
        <w:spacing w:after="120" w:before="240" w:line="360" w:lineRule="auto"/>
      </w:pPr>
      <w:r>
        <w:rPr>
          <w:rFonts w:ascii="Times New Roman" w:cs="Times New Roman" w:eastAsia="Times New Roman" w:hAnsi="Times New Roman"/>
          <w:b/>
          <w:bCs/>
          <w:color w:val="000000"/>
          <w:sz w:val="32"/>
          <w:szCs w:val="32"/>
        </w:rPr>
        <w:t xml:space="preserve">СКЗИ — средства криптографической защиты информации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Специфическая задача этапа приёмки данного типа (доп. 3 в таблице ниже): «Установка сертифицированных СКЗИ, генерация и учёт ключей».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900"/>
        <w:gridCol w:w="2000"/>
      </w:tblGrid>
      <w:tr>
        <w:trPr>
          <w:tblHeader/>
        </w:trPr>
        <w:tc>
          <w:tcPr>
            <w:tcW w:type="dxa" w:w="500"/>
            <w:shd w:fill="D9D9D9" w:val="clear"/>
          </w:tcPr>
          <w:p>
            <w:pPr>
              <w:spacing w:after="0" w:before="0" w:line="276" w:lineRule="auto"/>
              <w:jc w:val="center"/>
            </w:pPr>
            <w:r>
              <w:rPr>
                <w:rFonts w:ascii="Times New Roman" w:cs="Times New Roman" w:eastAsia="Times New Roman" w:hAnsi="Times New Roman"/>
                <w:b/>
                <w:bCs/>
                <w:sz w:val="22"/>
                <w:szCs w:val="22"/>
              </w:rPr>
              <w:t xml:space="preserve">№</w:t>
            </w:r>
          </w:p>
        </w:tc>
        <w:tc>
          <w:tcPr>
            <w:tcW w:type="dxa" w:w="2600"/>
            <w:shd w:fill="D9D9D9" w:val="clear"/>
          </w:tcPr>
          <w:p>
            <w:pPr>
              <w:spacing w:after="0" w:before="0" w:line="276" w:lineRule="auto"/>
              <w:jc w:val="left"/>
            </w:pPr>
            <w:r>
              <w:rPr>
                <w:rFonts w:ascii="Times New Roman" w:cs="Times New Roman" w:eastAsia="Times New Roman" w:hAnsi="Times New Roman"/>
                <w:b/>
                <w:bCs/>
                <w:sz w:val="22"/>
                <w:szCs w:val="22"/>
              </w:rPr>
              <w:t xml:space="preserve">Документ</w:t>
            </w:r>
          </w:p>
        </w:tc>
        <w:tc>
          <w:tcPr>
            <w:tcW w:type="dxa" w:w="3900"/>
            <w:shd w:fill="D9D9D9" w:val="clear"/>
          </w:tcPr>
          <w:p>
            <w:pPr>
              <w:spacing w:after="0" w:before="0" w:line="276" w:lineRule="auto"/>
              <w:jc w:val="left"/>
            </w:pPr>
            <w:r>
              <w:rPr>
                <w:rFonts w:ascii="Times New Roman" w:cs="Times New Roman" w:eastAsia="Times New Roman" w:hAnsi="Times New Roman"/>
                <w:b/>
                <w:bCs/>
                <w:sz w:val="22"/>
                <w:szCs w:val="22"/>
              </w:rPr>
              <w:t xml:space="preserve">Назначение / основание</w:t>
            </w:r>
          </w:p>
        </w:tc>
        <w:tc>
          <w:tcPr>
            <w:tcW w:type="dxa" w:w="2000"/>
            <w:shd w:fill="D9D9D9" w:val="clear"/>
          </w:tcPr>
          <w:p>
            <w:pPr>
              <w:spacing w:after="0" w:before="0" w:line="276" w:lineRule="auto"/>
              <w:jc w:val="left"/>
            </w:pPr>
            <w:r>
              <w:rPr>
                <w:rFonts w:ascii="Times New Roman" w:cs="Times New Roman" w:eastAsia="Times New Roman" w:hAnsi="Times New Roman"/>
                <w:b/>
                <w:bCs/>
                <w:sz w:val="22"/>
                <w:szCs w:val="22"/>
              </w:rPr>
              <w:t xml:space="preserve">Кто подписывает</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1</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Техническое задание (ТЗ)</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Перечень сертифицированных СКЗИ, схема ключевой системы, регламент учёта и уничтожения ключей. Основание: ГОСТ Р ИСО/МЭК 27002-2021 (архитектурная схема внедрения, II.1); Методика ФСТЭК России от 05.02.2021 (модель угроз и модель нарушителя, II.3); закупка — Приказ ФАПСИ №152 от 13.06.2001, единственный тип портфеля II с прямой ссылкой на этот приказ (III.1).</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Специалист по ИБ / Архитектор ИБ — утверждает Заказчик</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2</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Договор подряда / оказания услуг по ИБ</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Предмет — «Установка сертифицированных СКЗИ, генерация и учёт ключей»; структура — как в базовом Договоре практикума (занятие 4), меняется предмет и приложения.</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Руководитель проекта — Руководитель Заказчика</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3</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Акт установки СКЗИ, журнал учёта ключей</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Специфический для типа документ (GANTT_SOFT_SPECIFIC). Установка в тестовом контуре (III.2); ввод в промышленную эксплуатацию (III.7) — интеграция с инфраструктурой для СКЗИ отдельно не выделена (III.3 apply=false).</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Инженер ИБ / Специалист по ИБ — утверждает Руководитель проекта</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4</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Документ обучения для этого типа в Гантте не предусмотрен</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Обучение по данному типу проекта закрывается универсальным Актом передачи документации и ключей доступа (V.3, apply=true для всех 14 типов) — отдельного протокола в Гантте нет (IV.5/IV.6 apply=false для этого типа).</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5</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Акт ввода в эксплуатацию</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Акт ввода в эксплуатацию (V.1) — внутренний регламент приёмки, подписывает Комиссия.</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Комиссия / Аудитор / Руководитель проекта (см. основание)</w:t>
            </w:r>
          </w:p>
        </w:tc>
      </w:tr>
    </w:tbl>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содержит пять документов делового цикла проекта данного типа: техническое задание, договор с адаптированным предметом, специфический документ этапа приёмки (тот, что реально фигурирует в коде практикума для этого типа), документ обучения (где предусмотрен Гантт-строками IV.5/IV.6) и закрывающий документ (акт ввода, итоговый отчёт/акт аудита либо, где ни один из двух не предусмотрен, — универсальный акт передачи документации).</w:t>
      </w:r>
    </w:p>
    <w:p>
      <w:pPr>
        <w:spacing w:after="120" w:before="240" w:line="360" w:lineRule="auto"/>
      </w:pPr>
      <w:r>
        <w:rPr>
          <w:rFonts w:ascii="Times New Roman" w:cs="Times New Roman" w:eastAsia="Times New Roman" w:hAnsi="Times New Roman"/>
          <w:b/>
          <w:bCs/>
          <w:color w:val="000000"/>
          <w:sz w:val="32"/>
          <w:szCs w:val="32"/>
        </w:rPr>
        <w:t xml:space="preserve">Политика ИБ — организационно-распорядительная документация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Специфическая задача этапа приёмки данного типа (доп. 3 в таблице ниже): «Разработка комплекта ОРД: политика ИБ, регламенты, инструкции пользователя/администратора».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900"/>
        <w:gridCol w:w="2000"/>
      </w:tblGrid>
      <w:tr>
        <w:trPr>
          <w:tblHeader/>
        </w:trPr>
        <w:tc>
          <w:tcPr>
            <w:tcW w:type="dxa" w:w="500"/>
            <w:shd w:fill="D9D9D9" w:val="clear"/>
          </w:tcPr>
          <w:p>
            <w:pPr>
              <w:spacing w:after="0" w:before="0" w:line="276" w:lineRule="auto"/>
              <w:jc w:val="center"/>
            </w:pPr>
            <w:r>
              <w:rPr>
                <w:rFonts w:ascii="Times New Roman" w:cs="Times New Roman" w:eastAsia="Times New Roman" w:hAnsi="Times New Roman"/>
                <w:b/>
                <w:bCs/>
                <w:sz w:val="22"/>
                <w:szCs w:val="22"/>
              </w:rPr>
              <w:t xml:space="preserve">№</w:t>
            </w:r>
          </w:p>
        </w:tc>
        <w:tc>
          <w:tcPr>
            <w:tcW w:type="dxa" w:w="2600"/>
            <w:shd w:fill="D9D9D9" w:val="clear"/>
          </w:tcPr>
          <w:p>
            <w:pPr>
              <w:spacing w:after="0" w:before="0" w:line="276" w:lineRule="auto"/>
              <w:jc w:val="left"/>
            </w:pPr>
            <w:r>
              <w:rPr>
                <w:rFonts w:ascii="Times New Roman" w:cs="Times New Roman" w:eastAsia="Times New Roman" w:hAnsi="Times New Roman"/>
                <w:b/>
                <w:bCs/>
                <w:sz w:val="22"/>
                <w:szCs w:val="22"/>
              </w:rPr>
              <w:t xml:space="preserve">Документ</w:t>
            </w:r>
          </w:p>
        </w:tc>
        <w:tc>
          <w:tcPr>
            <w:tcW w:type="dxa" w:w="3900"/>
            <w:shd w:fill="D9D9D9" w:val="clear"/>
          </w:tcPr>
          <w:p>
            <w:pPr>
              <w:spacing w:after="0" w:before="0" w:line="276" w:lineRule="auto"/>
              <w:jc w:val="left"/>
            </w:pPr>
            <w:r>
              <w:rPr>
                <w:rFonts w:ascii="Times New Roman" w:cs="Times New Roman" w:eastAsia="Times New Roman" w:hAnsi="Times New Roman"/>
                <w:b/>
                <w:bCs/>
                <w:sz w:val="22"/>
                <w:szCs w:val="22"/>
              </w:rPr>
              <w:t xml:space="preserve">Назначение / основание</w:t>
            </w:r>
          </w:p>
        </w:tc>
        <w:tc>
          <w:tcPr>
            <w:tcW w:type="dxa" w:w="2000"/>
            <w:shd w:fill="D9D9D9" w:val="clear"/>
          </w:tcPr>
          <w:p>
            <w:pPr>
              <w:spacing w:after="0" w:before="0" w:line="276" w:lineRule="auto"/>
              <w:jc w:val="left"/>
            </w:pPr>
            <w:r>
              <w:rPr>
                <w:rFonts w:ascii="Times New Roman" w:cs="Times New Roman" w:eastAsia="Times New Roman" w:hAnsi="Times New Roman"/>
                <w:b/>
                <w:bCs/>
                <w:sz w:val="22"/>
                <w:szCs w:val="22"/>
              </w:rPr>
              <w:t xml:space="preserve">Кто подписывает</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1</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Техническое задание (ТЗ)</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Перечень разрабатываемых документов ОРД, область действия политики, порядок пересмотра. Основание: Приказ ФСТЭК №21/№117/№239, состав мер (комплект ОРД, II.2); Методика ФСТЭК России от 05.02.2021 (модель угроз и модель нарушителя, II.3).</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Специалист по ИБ / Архитектор ИБ — утверждает Заказчик</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2</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Договор подряда / оказания услуг по ИБ</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Предмет — «Разработка комплекта ОРД: политика ИБ, регламенты, инструкции пользователя/администратора»; структура — как в базовом Договоре практикума (занятие 4), меняется предмет и приложения.</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Руководитель проекта — Руководитель Заказчика</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3</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Утверждённый комплект ОРД по ИБ</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Специфический для типа документ (GANTT_SOFT_SPECIFIC). Утверждение и подписание разработанных документов руководством Заказчика — внутренний регламент документооборота (III.4).</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Инженер ИБ / Специалист по ИБ — утверждает Руководитель проекта</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4</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Протокол обучения и результатов фишинг-симуляции (IV.5) + Лист ознакомления с политиками под подпись (IV.6)</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ГОСТ Р ИСО/МЭК 27002-2021, п.6.3 (обучение); Приказ ФСТЭК №21, мера ИАФ (лист ознакомления, IV.6) — единственный тип портфеля II, где присутствуют оба документа сразу.</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Специалист по обучению / Специалист по ИБ</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5</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Акт передачи документации и ключей доступа</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Акт передачи документации и ключей доступа (V.3) — единственный закрывающий документ для этого типа (V.1 и V.2 apply=false). Это честный пробел данных практикума, а не редакционная ошибка: политика ИБ не «вводится в эксплуатацию» как техническое средство, а вступает в силу приказом руководства Заказчика.</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Комиссия / Аудитор / Руководитель проекта (см. основание)</w:t>
            </w:r>
          </w:p>
        </w:tc>
      </w:tr>
    </w:tbl>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содержит пять документов делового цикла проекта данного типа: техническое задание, договор с адаптированным предметом, специфический документ этапа приёмки (тот, что реально фигурирует в коде практикума для этого типа), документ обучения (где предусмотрен Гантт-строками IV.5/IV.6) и закрывающий документ (акт ввода, итоговый отчёт/акт аудита либо, где ни один из двух не предусмотрен, — универсальный акт передачи документации).</w:t>
      </w:r>
    </w:p>
    <w:p>
      <w:pPr>
        <w:spacing w:after="120" w:before="240" w:line="360" w:lineRule="auto"/>
      </w:pPr>
      <w:r>
        <w:rPr>
          <w:rFonts w:ascii="Times New Roman" w:cs="Times New Roman" w:eastAsia="Times New Roman" w:hAnsi="Times New Roman"/>
          <w:b/>
          <w:bCs/>
          <w:color w:val="000000"/>
          <w:sz w:val="32"/>
          <w:szCs w:val="32"/>
        </w:rPr>
        <w:t xml:space="preserve">КИИ — значимый объект критической информационной инфраструктуры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Специфическая задача этапа приёмки данного типа (доп. 3 в таблице ниже): «Категорирование объекта, разработка модели угроз, включение в реестр ФСТЭК».</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900"/>
        <w:gridCol w:w="2000"/>
      </w:tblGrid>
      <w:tr>
        <w:trPr>
          <w:tblHeader/>
        </w:trPr>
        <w:tc>
          <w:tcPr>
            <w:tcW w:type="dxa" w:w="500"/>
            <w:shd w:fill="D9D9D9" w:val="clear"/>
          </w:tcPr>
          <w:p>
            <w:pPr>
              <w:spacing w:after="0" w:before="0" w:line="276" w:lineRule="auto"/>
              <w:jc w:val="center"/>
            </w:pPr>
            <w:r>
              <w:rPr>
                <w:rFonts w:ascii="Times New Roman" w:cs="Times New Roman" w:eastAsia="Times New Roman" w:hAnsi="Times New Roman"/>
                <w:b/>
                <w:bCs/>
                <w:sz w:val="22"/>
                <w:szCs w:val="22"/>
              </w:rPr>
              <w:t xml:space="preserve">№</w:t>
            </w:r>
          </w:p>
        </w:tc>
        <w:tc>
          <w:tcPr>
            <w:tcW w:type="dxa" w:w="2600"/>
            <w:shd w:fill="D9D9D9" w:val="clear"/>
          </w:tcPr>
          <w:p>
            <w:pPr>
              <w:spacing w:after="0" w:before="0" w:line="276" w:lineRule="auto"/>
              <w:jc w:val="left"/>
            </w:pPr>
            <w:r>
              <w:rPr>
                <w:rFonts w:ascii="Times New Roman" w:cs="Times New Roman" w:eastAsia="Times New Roman" w:hAnsi="Times New Roman"/>
                <w:b/>
                <w:bCs/>
                <w:sz w:val="22"/>
                <w:szCs w:val="22"/>
              </w:rPr>
              <w:t xml:space="preserve">Документ</w:t>
            </w:r>
          </w:p>
        </w:tc>
        <w:tc>
          <w:tcPr>
            <w:tcW w:type="dxa" w:w="3900"/>
            <w:shd w:fill="D9D9D9" w:val="clear"/>
          </w:tcPr>
          <w:p>
            <w:pPr>
              <w:spacing w:after="0" w:before="0" w:line="276" w:lineRule="auto"/>
              <w:jc w:val="left"/>
            </w:pPr>
            <w:r>
              <w:rPr>
                <w:rFonts w:ascii="Times New Roman" w:cs="Times New Roman" w:eastAsia="Times New Roman" w:hAnsi="Times New Roman"/>
                <w:b/>
                <w:bCs/>
                <w:sz w:val="22"/>
                <w:szCs w:val="22"/>
              </w:rPr>
              <w:t xml:space="preserve">Назначение / основание</w:t>
            </w:r>
          </w:p>
        </w:tc>
        <w:tc>
          <w:tcPr>
            <w:tcW w:type="dxa" w:w="2000"/>
            <w:shd w:fill="D9D9D9" w:val="clear"/>
          </w:tcPr>
          <w:p>
            <w:pPr>
              <w:spacing w:after="0" w:before="0" w:line="276" w:lineRule="auto"/>
              <w:jc w:val="left"/>
            </w:pPr>
            <w:r>
              <w:rPr>
                <w:rFonts w:ascii="Times New Roman" w:cs="Times New Roman" w:eastAsia="Times New Roman" w:hAnsi="Times New Roman"/>
                <w:b/>
                <w:bCs/>
                <w:sz w:val="22"/>
                <w:szCs w:val="22"/>
              </w:rPr>
              <w:t xml:space="preserve">Кто подписывает</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1</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Техническое задание (ТЗ)</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Перечень критических процессов, категория значимости, границы объекта КИИ. Основание: Приказ ФСТЭК №21/№117/№239, состав мер (комплект ОРД, II.2); Методика ФСТЭК России от 05.02.2021 (модель угроз и модель нарушителя, II.3).</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Специалист по ИБ / Архитектор ИБ — утверждает Заказчик</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2</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Договор подряда / оказания услуг по ИБ</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Предмет — «Категорирование объекта, разработка модели угроз, включение в реестр ФСТЭК»; структура — как в базовом Договоре практикума (занятие 4), меняется предмет и приложения.</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Руководитель проекта — Руководитель Заказчика</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3</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Акт категорирования и включения в реестр ФСТЭК</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Специфический для типа документ (GANTT_SOFT_SPECIFIC). Утверждение документов руководством Заказчика (III.4); включение объекта в реестр значимых объектов — Постановление Правительства РФ №127, Приказ ФСТЭК №235 (III.5).</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Инженер ИБ / Специалист по ИБ — утверждает Руководитель проекта</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4</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Документ обучения для этого типа в Гантте не предусмотрен</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Обучение по данному типу проекта закрывается универсальным Актом передачи документации и ключей доступа (V.3, apply=true для всех 14 типов) — отдельного протокола в Гантте нет (IV.5/IV.6 apply=false для этого типа).</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5</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Итоговый отчёт / акт аудита</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Итоговый отчёт / акт аудита (V.2) — ГОСТ Р ИСО/МЭК 27001-2021, подписывает Аудитор / руководитель проекта (акт ввода V.1 для этого типа apply=false — категорирование КИИ завершается не техническим вводом, а признанием статуса значимого объекта).</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Комиссия / Аудитор / Руководитель проекта (см. основание)</w:t>
            </w:r>
          </w:p>
        </w:tc>
      </w:tr>
    </w:tbl>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содержит пять документов делового цикла проекта данного типа: техническое задание, договор с адаптированным предметом, специфический документ этапа приёмки (тот, что реально фигурирует в коде практикума для этого типа), документ обучения (где предусмотрен Гантт-строками IV.5/IV.6) и закрывающий документ (акт ввода, итоговый отчёт/акт аудита либо, где ни один из двух не предусмотрен, — универсальный акт передачи документации).</w:t>
      </w:r>
    </w:p>
    <w:p>
      <w:pPr>
        <w:spacing w:after="120" w:before="240" w:line="360" w:lineRule="auto"/>
      </w:pPr>
      <w:r>
        <w:rPr>
          <w:rFonts w:ascii="Times New Roman" w:cs="Times New Roman" w:eastAsia="Times New Roman" w:hAnsi="Times New Roman"/>
          <w:b/>
          <w:bCs/>
          <w:color w:val="000000"/>
          <w:sz w:val="32"/>
          <w:szCs w:val="32"/>
        </w:rPr>
        <w:t xml:space="preserve">ПДн — обработка персональных данных</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Специфическая задача этапа приёмки данного типа (доп. 3 в таблице ниже): «Классификация ИСПДн, разработка модели угроз, уведомление в Роскомнадзор».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900"/>
        <w:gridCol w:w="2000"/>
      </w:tblGrid>
      <w:tr>
        <w:trPr>
          <w:tblHeader/>
        </w:trPr>
        <w:tc>
          <w:tcPr>
            <w:tcW w:type="dxa" w:w="500"/>
            <w:shd w:fill="D9D9D9" w:val="clear"/>
          </w:tcPr>
          <w:p>
            <w:pPr>
              <w:spacing w:after="0" w:before="0" w:line="276" w:lineRule="auto"/>
              <w:jc w:val="center"/>
            </w:pPr>
            <w:r>
              <w:rPr>
                <w:rFonts w:ascii="Times New Roman" w:cs="Times New Roman" w:eastAsia="Times New Roman" w:hAnsi="Times New Roman"/>
                <w:b/>
                <w:bCs/>
                <w:sz w:val="22"/>
                <w:szCs w:val="22"/>
              </w:rPr>
              <w:t xml:space="preserve">№</w:t>
            </w:r>
          </w:p>
        </w:tc>
        <w:tc>
          <w:tcPr>
            <w:tcW w:type="dxa" w:w="2600"/>
            <w:shd w:fill="D9D9D9" w:val="clear"/>
          </w:tcPr>
          <w:p>
            <w:pPr>
              <w:spacing w:after="0" w:before="0" w:line="276" w:lineRule="auto"/>
              <w:jc w:val="left"/>
            </w:pPr>
            <w:r>
              <w:rPr>
                <w:rFonts w:ascii="Times New Roman" w:cs="Times New Roman" w:eastAsia="Times New Roman" w:hAnsi="Times New Roman"/>
                <w:b/>
                <w:bCs/>
                <w:sz w:val="22"/>
                <w:szCs w:val="22"/>
              </w:rPr>
              <w:t xml:space="preserve">Документ</w:t>
            </w:r>
          </w:p>
        </w:tc>
        <w:tc>
          <w:tcPr>
            <w:tcW w:type="dxa" w:w="3900"/>
            <w:shd w:fill="D9D9D9" w:val="clear"/>
          </w:tcPr>
          <w:p>
            <w:pPr>
              <w:spacing w:after="0" w:before="0" w:line="276" w:lineRule="auto"/>
              <w:jc w:val="left"/>
            </w:pPr>
            <w:r>
              <w:rPr>
                <w:rFonts w:ascii="Times New Roman" w:cs="Times New Roman" w:eastAsia="Times New Roman" w:hAnsi="Times New Roman"/>
                <w:b/>
                <w:bCs/>
                <w:sz w:val="22"/>
                <w:szCs w:val="22"/>
              </w:rPr>
              <w:t xml:space="preserve">Назначение / основание</w:t>
            </w:r>
          </w:p>
        </w:tc>
        <w:tc>
          <w:tcPr>
            <w:tcW w:type="dxa" w:w="2000"/>
            <w:shd w:fill="D9D9D9" w:val="clear"/>
          </w:tcPr>
          <w:p>
            <w:pPr>
              <w:spacing w:after="0" w:before="0" w:line="276" w:lineRule="auto"/>
              <w:jc w:val="left"/>
            </w:pPr>
            <w:r>
              <w:rPr>
                <w:rFonts w:ascii="Times New Roman" w:cs="Times New Roman" w:eastAsia="Times New Roman" w:hAnsi="Times New Roman"/>
                <w:b/>
                <w:bCs/>
                <w:sz w:val="22"/>
                <w:szCs w:val="22"/>
              </w:rPr>
              <w:t xml:space="preserve">Кто подписывает</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1</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Техническое задание (ТЗ)</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Категории и объём обрабатываемых персональных данных, уровень защищённости ИСПДн, перечень субъектов. Основание: Приказ ФСТЭК №21/№117/№239, состав мер (комплект ОРД, II.2); Методика ФСТЭК России от 05.02.2021 (модель угроз и модель нарушителя, II.3).</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Специалист по ИБ / Архитектор ИБ — утверждает Заказчик</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2</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Договор подряда / оказания услуг по ИБ</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Предмет — «Классификация ИСПДн, разработка модели угроз, уведомление в Роскомнадзор»; структура — как в базовом Договоре практикума (занятие 4), меняется предмет и приложения.</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Руководитель проекта — Руководитель Заказчика</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3</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Модель угроз ПДн и уведомление в Роскомнадзор</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Специфический для типа документ (GANTT_SOFT_SPECIFIC). Утверждение документов руководством Заказчика (III.4); уведомление Роскомнадзора — Федеральный закон №152-ФЗ, ст.22 (III.6).</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Инженер ИБ / Специалист по ИБ — утверждает Руководитель проекта</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4</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Протокол обучения и результатов фишинг-симуляции (IV.5) + Лист ознакомления с политиками под подпись (IV.6)</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ГОСТ Р ИСО/МЭК 27002-2021, п.6.3 (обучение); Приказ ФСТЭК №21, мера ИАФ (лист ознакомления, IV.6).</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Специалист по обучению / Специалист по ИБ</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5</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Итоговый отчёт / акт аудита</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Итоговый отчёт / акт аудита (V.2) — ГОСТ Р ИСО/МЭК 27001-2021, подписывает Аудитор / руководитель проекта (акт ввода V.1 для этого типа apply=false).</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Комиссия / Аудитор / Руководитель проекта (см. основание)</w:t>
            </w:r>
          </w:p>
        </w:tc>
      </w:tr>
    </w:tbl>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содержит пять документов делового цикла проекта данного типа: техническое задание, договор с адаптированным предметом, специфический документ этапа приёмки (тот, что реально фигурирует в коде практикума для этого типа), документ обучения (где предусмотрен Гантт-строками IV.5/IV.6) и закрывающий документ (акт ввода, итоговый отчёт/акт аудита либо, где ни один из двух не предусмотрен, — универсальный акт передачи документации).</w:t>
      </w:r>
    </w:p>
    <w:p>
      <w:pPr>
        <w:spacing w:after="120" w:before="240" w:line="360" w:lineRule="auto"/>
      </w:pPr>
      <w:r>
        <w:rPr>
          <w:rFonts w:ascii="Times New Roman" w:cs="Times New Roman" w:eastAsia="Times New Roman" w:hAnsi="Times New Roman"/>
          <w:b/>
          <w:bCs/>
          <w:color w:val="000000"/>
          <w:sz w:val="32"/>
          <w:szCs w:val="32"/>
        </w:rPr>
        <w:t xml:space="preserve">Паспорт безопасности / антитеррористический паспорт объекта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Специфическая задача этапа приёмки данного типа (доп. 3 в таблице ниже): «Разработка паспорта безопасности / антитеррористического паспорта, согласование с органами».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900"/>
        <w:gridCol w:w="2000"/>
      </w:tblGrid>
      <w:tr>
        <w:trPr>
          <w:tblHeader/>
        </w:trPr>
        <w:tc>
          <w:tcPr>
            <w:tcW w:type="dxa" w:w="500"/>
            <w:shd w:fill="D9D9D9" w:val="clear"/>
          </w:tcPr>
          <w:p>
            <w:pPr>
              <w:spacing w:after="0" w:before="0" w:line="276" w:lineRule="auto"/>
              <w:jc w:val="center"/>
            </w:pPr>
            <w:r>
              <w:rPr>
                <w:rFonts w:ascii="Times New Roman" w:cs="Times New Roman" w:eastAsia="Times New Roman" w:hAnsi="Times New Roman"/>
                <w:b/>
                <w:bCs/>
                <w:sz w:val="22"/>
                <w:szCs w:val="22"/>
              </w:rPr>
              <w:t xml:space="preserve">№</w:t>
            </w:r>
          </w:p>
        </w:tc>
        <w:tc>
          <w:tcPr>
            <w:tcW w:type="dxa" w:w="2600"/>
            <w:shd w:fill="D9D9D9" w:val="clear"/>
          </w:tcPr>
          <w:p>
            <w:pPr>
              <w:spacing w:after="0" w:before="0" w:line="276" w:lineRule="auto"/>
              <w:jc w:val="left"/>
            </w:pPr>
            <w:r>
              <w:rPr>
                <w:rFonts w:ascii="Times New Roman" w:cs="Times New Roman" w:eastAsia="Times New Roman" w:hAnsi="Times New Roman"/>
                <w:b/>
                <w:bCs/>
                <w:sz w:val="22"/>
                <w:szCs w:val="22"/>
              </w:rPr>
              <w:t xml:space="preserve">Документ</w:t>
            </w:r>
          </w:p>
        </w:tc>
        <w:tc>
          <w:tcPr>
            <w:tcW w:type="dxa" w:w="3900"/>
            <w:shd w:fill="D9D9D9" w:val="clear"/>
          </w:tcPr>
          <w:p>
            <w:pPr>
              <w:spacing w:after="0" w:before="0" w:line="276" w:lineRule="auto"/>
              <w:jc w:val="left"/>
            </w:pPr>
            <w:r>
              <w:rPr>
                <w:rFonts w:ascii="Times New Roman" w:cs="Times New Roman" w:eastAsia="Times New Roman" w:hAnsi="Times New Roman"/>
                <w:b/>
                <w:bCs/>
                <w:sz w:val="22"/>
                <w:szCs w:val="22"/>
              </w:rPr>
              <w:t xml:space="preserve">Назначение / основание</w:t>
            </w:r>
          </w:p>
        </w:tc>
        <w:tc>
          <w:tcPr>
            <w:tcW w:type="dxa" w:w="2000"/>
            <w:shd w:fill="D9D9D9" w:val="clear"/>
          </w:tcPr>
          <w:p>
            <w:pPr>
              <w:spacing w:after="0" w:before="0" w:line="276" w:lineRule="auto"/>
              <w:jc w:val="left"/>
            </w:pPr>
            <w:r>
              <w:rPr>
                <w:rFonts w:ascii="Times New Roman" w:cs="Times New Roman" w:eastAsia="Times New Roman" w:hAnsi="Times New Roman"/>
                <w:b/>
                <w:bCs/>
                <w:sz w:val="22"/>
                <w:szCs w:val="22"/>
              </w:rPr>
              <w:t xml:space="preserve">Кто подписывает</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1</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Техническое задание (ТЗ)</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Категория объекта по степени потенциальной опасности, перечень угроз террористического характера, состав инженерно-технических средств охраны. Основание: Постановление Правительства РФ №1006 от 02.08.2019; Постановление Правительства РФ №1421 от 07.11.2019; Федеральный закон №35-ФЗ «О противодействии терроризму» (проект паспорта безопасности объекта, II.4) — единственный тип портфеля II без модели угроз по методике ФСТЭК (II.3 apply=false) и без этапа III вовсе.</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Специалист по ИБ / Архитектор ИБ — утверждает Заказчик</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2</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Договор подряда / оказания услуг по ИБ</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Предмет — «Разработка паспорта безопасности / антитеррористического паспорта, согласование с органами»; структура — как в базовом Договоре практикума (занятие 4), меняется предмет и приложения.</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Руководитель проекта — Руководитель Заказчика</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3</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Согласованный паспорт безопасности объекта</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Специфический для типа документ (GANTT_SOFT_SPECIFIC). Разработка ведётся Комиссией Заказчика напрямую (роль строки II.4), без отдельного этапа монтажа/интеграции — все строки этапа III для этого типа apply=false.</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Инженер ИБ / Специалист по ИБ — утверждает Руководитель проекта</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4</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Документ обучения для этого типа в Гантте не предусмотрен</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Обучение по данному типу проекта закрывается универсальным Актом передачи документации и ключей доступа (V.3, apply=true для всех 14 типов) — отдельного протокола в Гантте нет (IV.5/IV.6 apply=false для этого типа).</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5</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Итоговый отчёт / акт аудита</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Итоговый отчёт / акт аудита (V.2) — ГОСТ Р ИСО/МЭК 27001-2021 — для паспорта безопасности этот документ по сути есть заключение о согласовании паспорта с органами (акт ввода V.1 для этого типа apply=false, техническое средство не монтируется).</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Комиссия / Аудитор / Руководитель проекта (см. основание)</w:t>
            </w:r>
          </w:p>
        </w:tc>
      </w:tr>
    </w:tbl>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содержит пять документов делового цикла проекта данного типа: техническое задание, договор с адаптированным предметом, специфический документ этапа приёмки (тот, что реально фигурирует в коде практикума для этого типа), документ обучения (где предусмотрен Гантт-строками IV.5/IV.6) и закрывающий документ (акт ввода, итоговый отчёт/акт аудита либо, где ни один из двух не предусмотрен, — универсальный акт передачи документации).</w:t>
      </w:r>
    </w:p>
    <w:p>
      <w:pPr>
        <w:spacing w:after="120" w:before="240" w:line="360" w:lineRule="auto"/>
      </w:pPr>
      <w:r>
        <w:rPr>
          <w:rFonts w:ascii="Times New Roman" w:cs="Times New Roman" w:eastAsia="Times New Roman" w:hAnsi="Times New Roman"/>
          <w:b/>
          <w:bCs/>
          <w:color w:val="000000"/>
          <w:sz w:val="32"/>
          <w:szCs w:val="32"/>
        </w:rPr>
        <w:t xml:space="preserve">Аудит ИБ / gap-анализ соответствия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Специфическая задача этапа приёмки данного типа (доп. 3 в таблице ниже): «Проведение внутреннего аудита, gap-анализ по ГОСТ Р ИСО/МЭК 27001, отчёт с рекомендациями».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900"/>
        <w:gridCol w:w="2000"/>
      </w:tblGrid>
      <w:tr>
        <w:trPr>
          <w:tblHeader/>
        </w:trPr>
        <w:tc>
          <w:tcPr>
            <w:tcW w:type="dxa" w:w="500"/>
            <w:shd w:fill="D9D9D9" w:val="clear"/>
          </w:tcPr>
          <w:p>
            <w:pPr>
              <w:spacing w:after="0" w:before="0" w:line="276" w:lineRule="auto"/>
              <w:jc w:val="center"/>
            </w:pPr>
            <w:r>
              <w:rPr>
                <w:rFonts w:ascii="Times New Roman" w:cs="Times New Roman" w:eastAsia="Times New Roman" w:hAnsi="Times New Roman"/>
                <w:b/>
                <w:bCs/>
                <w:sz w:val="22"/>
                <w:szCs w:val="22"/>
              </w:rPr>
              <w:t xml:space="preserve">№</w:t>
            </w:r>
          </w:p>
        </w:tc>
        <w:tc>
          <w:tcPr>
            <w:tcW w:type="dxa" w:w="2600"/>
            <w:shd w:fill="D9D9D9" w:val="clear"/>
          </w:tcPr>
          <w:p>
            <w:pPr>
              <w:spacing w:after="0" w:before="0" w:line="276" w:lineRule="auto"/>
              <w:jc w:val="left"/>
            </w:pPr>
            <w:r>
              <w:rPr>
                <w:rFonts w:ascii="Times New Roman" w:cs="Times New Roman" w:eastAsia="Times New Roman" w:hAnsi="Times New Roman"/>
                <w:b/>
                <w:bCs/>
                <w:sz w:val="22"/>
                <w:szCs w:val="22"/>
              </w:rPr>
              <w:t xml:space="preserve">Документ</w:t>
            </w:r>
          </w:p>
        </w:tc>
        <w:tc>
          <w:tcPr>
            <w:tcW w:type="dxa" w:w="3900"/>
            <w:shd w:fill="D9D9D9" w:val="clear"/>
          </w:tcPr>
          <w:p>
            <w:pPr>
              <w:spacing w:after="0" w:before="0" w:line="276" w:lineRule="auto"/>
              <w:jc w:val="left"/>
            </w:pPr>
            <w:r>
              <w:rPr>
                <w:rFonts w:ascii="Times New Roman" w:cs="Times New Roman" w:eastAsia="Times New Roman" w:hAnsi="Times New Roman"/>
                <w:b/>
                <w:bCs/>
                <w:sz w:val="22"/>
                <w:szCs w:val="22"/>
              </w:rPr>
              <w:t xml:space="preserve">Назначение / основание</w:t>
            </w:r>
          </w:p>
        </w:tc>
        <w:tc>
          <w:tcPr>
            <w:tcW w:type="dxa" w:w="2000"/>
            <w:shd w:fill="D9D9D9" w:val="clear"/>
          </w:tcPr>
          <w:p>
            <w:pPr>
              <w:spacing w:after="0" w:before="0" w:line="276" w:lineRule="auto"/>
              <w:jc w:val="left"/>
            </w:pPr>
            <w:r>
              <w:rPr>
                <w:rFonts w:ascii="Times New Roman" w:cs="Times New Roman" w:eastAsia="Times New Roman" w:hAnsi="Times New Roman"/>
                <w:b/>
                <w:bCs/>
                <w:sz w:val="22"/>
                <w:szCs w:val="22"/>
              </w:rPr>
              <w:t xml:space="preserve">Кто подписывает</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1</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Техническое задание (ТЗ)</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Область аудита, применимые требования (ГОСТ Р ИСО/МЭК 27001-2021), критерии оценки соответствия. Основание: Приказ ФСТЭК №21/№117/№239, состав мер (комплект ОРД, II.2); Методика ФСТЭК России от 05.02.2021 (модель угроз и модель нарушителя, II.3).</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Специалист по ИБ / Архитектор ИБ — утверждает Заказчик</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2</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Договор подряда / оказания услуг по ИБ</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Предмет — «Проведение внутреннего аудита, gap-анализ по ГОСТ Р ИСО/МЭК 27001, отчёт с рекомендациями»; структура — как в базовом Договоре практикума (занятие 4), меняется предмет и приложения.</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Руководитель проекта — Руководитель Заказчика</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3</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Отчёт по итогам аудита с рекомендациями</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Специфический для типа документ (GANTT_SOFT_SPECIFIC). Утверждение документов руководством Заказчика (III.4); проведение gap-анализа — ГОСТ Р ИСО/МЭК 27001-2021 (IV.4).</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Инженер ИБ / Специалист по ИБ — утверждает Руководитель проекта</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4</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Документ обучения для этого типа в Гантте не предусмотрен</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Обучение по данному типу проекта закрывается универсальным Актом передачи документации и ключей доступа (V.3, apply=true для всех 14 типов) — отдельного протокола в Гантте нет (IV.5/IV.6 apply=false для этого типа).</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5</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Итоговый отчёт / акт аудита</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Итоговый отчёт / акт аудита (V.2) — ГОСТ Р ИСО/МЭК 27001-2021, подписывает Аудитор / руководитель проекта (акт ввода V.1 для этого типа apply=false — аудит не завершается вводом в эксплуатацию).</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Комиссия / Аудитор / Руководитель проекта (см. основание)</w:t>
            </w:r>
          </w:p>
        </w:tc>
      </w:tr>
    </w:tbl>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содержит пять документов делового цикла проекта данного типа: техническое задание, договор с адаптированным предметом, специфический документ этапа приёмки (тот, что реально фигурирует в коде практикума для этого типа), документ обучения (где предусмотрен Гантт-строками IV.5/IV.6) и закрывающий документ (акт ввода, итоговый отчёт/акт аудита либо, где ни один из двух не предусмотрен, — универсальный акт передачи документации).</w:t>
      </w:r>
    </w:p>
    <w:p>
      <w:pPr>
        <w:spacing w:after="120" w:before="240" w:line="360" w:lineRule="auto"/>
      </w:pPr>
      <w:r>
        <w:rPr>
          <w:rFonts w:ascii="Times New Roman" w:cs="Times New Roman" w:eastAsia="Times New Roman" w:hAnsi="Times New Roman"/>
          <w:b/>
          <w:bCs/>
          <w:color w:val="000000"/>
          <w:sz w:val="32"/>
          <w:szCs w:val="32"/>
        </w:rPr>
        <w:t xml:space="preserve">Обучение и повышение осведомлённости персонала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Специфическая задача этапа приёмки данного типа (доп. 3 в таблице ниже): «Разработка программы обучения, проведение тренинга и фишинг-симуляции, оценка результатов».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900"/>
        <w:gridCol w:w="2000"/>
      </w:tblGrid>
      <w:tr>
        <w:trPr>
          <w:tblHeader/>
        </w:trPr>
        <w:tc>
          <w:tcPr>
            <w:tcW w:type="dxa" w:w="500"/>
            <w:shd w:fill="D9D9D9" w:val="clear"/>
          </w:tcPr>
          <w:p>
            <w:pPr>
              <w:spacing w:after="0" w:before="0" w:line="276" w:lineRule="auto"/>
              <w:jc w:val="center"/>
            </w:pPr>
            <w:r>
              <w:rPr>
                <w:rFonts w:ascii="Times New Roman" w:cs="Times New Roman" w:eastAsia="Times New Roman" w:hAnsi="Times New Roman"/>
                <w:b/>
                <w:bCs/>
                <w:sz w:val="22"/>
                <w:szCs w:val="22"/>
              </w:rPr>
              <w:t xml:space="preserve">№</w:t>
            </w:r>
          </w:p>
        </w:tc>
        <w:tc>
          <w:tcPr>
            <w:tcW w:type="dxa" w:w="2600"/>
            <w:shd w:fill="D9D9D9" w:val="clear"/>
          </w:tcPr>
          <w:p>
            <w:pPr>
              <w:spacing w:after="0" w:before="0" w:line="276" w:lineRule="auto"/>
              <w:jc w:val="left"/>
            </w:pPr>
            <w:r>
              <w:rPr>
                <w:rFonts w:ascii="Times New Roman" w:cs="Times New Roman" w:eastAsia="Times New Roman" w:hAnsi="Times New Roman"/>
                <w:b/>
                <w:bCs/>
                <w:sz w:val="22"/>
                <w:szCs w:val="22"/>
              </w:rPr>
              <w:t xml:space="preserve">Документ</w:t>
            </w:r>
          </w:p>
        </w:tc>
        <w:tc>
          <w:tcPr>
            <w:tcW w:type="dxa" w:w="3900"/>
            <w:shd w:fill="D9D9D9" w:val="clear"/>
          </w:tcPr>
          <w:p>
            <w:pPr>
              <w:spacing w:after="0" w:before="0" w:line="276" w:lineRule="auto"/>
              <w:jc w:val="left"/>
            </w:pPr>
            <w:r>
              <w:rPr>
                <w:rFonts w:ascii="Times New Roman" w:cs="Times New Roman" w:eastAsia="Times New Roman" w:hAnsi="Times New Roman"/>
                <w:b/>
                <w:bCs/>
                <w:sz w:val="22"/>
                <w:szCs w:val="22"/>
              </w:rPr>
              <w:t xml:space="preserve">Назначение / основание</w:t>
            </w:r>
          </w:p>
        </w:tc>
        <w:tc>
          <w:tcPr>
            <w:tcW w:type="dxa" w:w="2000"/>
            <w:shd w:fill="D9D9D9" w:val="clear"/>
          </w:tcPr>
          <w:p>
            <w:pPr>
              <w:spacing w:after="0" w:before="0" w:line="276" w:lineRule="auto"/>
              <w:jc w:val="left"/>
            </w:pPr>
            <w:r>
              <w:rPr>
                <w:rFonts w:ascii="Times New Roman" w:cs="Times New Roman" w:eastAsia="Times New Roman" w:hAnsi="Times New Roman"/>
                <w:b/>
                <w:bCs/>
                <w:sz w:val="22"/>
                <w:szCs w:val="22"/>
              </w:rPr>
              <w:t xml:space="preserve">Кто подписывает</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1</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Техническое задание (ТЗ)</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Целевая аудитория, программа обучения, критерии оценки усвоения материала. Основание: Приказ ФСТЭК №21/№117/№239, состав мер (комплект ОРД, II.2) — модель угроз для этого типа не разрабатывается (II.3 apply=false), этапы II.1/III монтажа/интеграции отсутствуют вовсе.</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Специалист по ИБ / Архитектор ИБ — утверждает Заказчик</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2</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Договор подряда / оказания услуг по ИБ</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Предмет — «Разработка программы обучения, проведение тренинга и фишинг-симуляции, оценка результатов»; структура — как в базовом Договоре практикума (занятие 4), меняется предмет и приложения.</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Руководитель проекта — Руководитель Заказчика</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3</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Протокол обучения и оценки результатов</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Специфический для типа документ (GANTT_SOFT_SPECIFIC). Утверждение программы обучения руководством Заказчика — внутренний регламент документооборота (III.4).</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Инженер ИБ / Специалист по ИБ — утверждает Руководитель проекта</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4</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Протокол обучения и результатов фишинг-симуляции (IV.5) + Лист ознакомления с политиками под подпись (IV.6)</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ГОСТ Р ИСО/МЭК 27002-2021, п.6.3; Приказ ФСТЭК №21, мера ИАФ — единственный тип портфеля II, где специфический документ (доп. 3) и документ обучения (доп. 4) содержательно пересекаются: «Протокол обучения и оценки результатов» (сам тренинг) и «Протокол... фишинг-симуляции» (проверка усвоения) — это два разных, не дублирующих друг друга протокола одного и того же занятия, а не редакционное повторение.</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Специалист по обучению / Специалист по ИБ</w:t>
            </w:r>
          </w:p>
        </w:tc>
      </w:tr>
      <w:tr>
        <w:tc>
          <w:tcPr>
            <w:tcW w:type="dxa" w:w="500"/>
          </w:tcPr>
          <w:p>
            <w:pPr>
              <w:spacing w:after="0" w:before="0" w:line="276" w:lineRule="auto"/>
              <w:jc w:val="center"/>
            </w:pPr>
            <w:r>
              <w:rPr>
                <w:rFonts w:ascii="Times New Roman" w:cs="Times New Roman" w:eastAsia="Times New Roman" w:hAnsi="Times New Roman"/>
                <w:b w:val="false"/>
                <w:bCs w:val="false"/>
                <w:sz w:val="22"/>
                <w:szCs w:val="22"/>
              </w:rPr>
              <w:t xml:space="preserve">5</w:t>
            </w:r>
          </w:p>
        </w:tc>
        <w:tc>
          <w:tcPr>
            <w:tcW w:type="dxa" w:w="2600"/>
          </w:tcPr>
          <w:p>
            <w:pPr>
              <w:spacing w:after="0" w:before="0" w:line="276" w:lineRule="auto"/>
              <w:jc w:val="left"/>
            </w:pPr>
            <w:r>
              <w:rPr>
                <w:rFonts w:ascii="Times New Roman" w:cs="Times New Roman" w:eastAsia="Times New Roman" w:hAnsi="Times New Roman"/>
                <w:b w:val="false"/>
                <w:bCs w:val="false"/>
                <w:sz w:val="22"/>
                <w:szCs w:val="22"/>
              </w:rPr>
              <w:t xml:space="preserve">Акт передачи документации и ключей доступа</w:t>
            </w:r>
          </w:p>
        </w:tc>
        <w:tc>
          <w:tcPr>
            <w:tcW w:type="dxa" w:w="3900"/>
          </w:tcPr>
          <w:p>
            <w:pPr>
              <w:spacing w:after="0" w:before="0" w:line="276" w:lineRule="auto"/>
              <w:jc w:val="left"/>
            </w:pPr>
            <w:r>
              <w:rPr>
                <w:rFonts w:ascii="Times New Roman" w:cs="Times New Roman" w:eastAsia="Times New Roman" w:hAnsi="Times New Roman"/>
                <w:b w:val="false"/>
                <w:bCs w:val="false"/>
                <w:sz w:val="22"/>
                <w:szCs w:val="22"/>
              </w:rPr>
              <w:t xml:space="preserve">Акт передачи документации и ключей доступа (V.3) — единственный закрывающий документ для этого типа (V.1 и V.2 apply=false).</w:t>
            </w:r>
          </w:p>
        </w:tc>
        <w:tc>
          <w:tcPr>
            <w:tcW w:type="dxa" w:w="2000"/>
          </w:tcPr>
          <w:p>
            <w:pPr>
              <w:spacing w:after="0" w:before="0" w:line="276" w:lineRule="auto"/>
              <w:jc w:val="left"/>
            </w:pPr>
            <w:r>
              <w:rPr>
                <w:rFonts w:ascii="Times New Roman" w:cs="Times New Roman" w:eastAsia="Times New Roman" w:hAnsi="Times New Roman"/>
                <w:b w:val="false"/>
                <w:bCs w:val="false"/>
                <w:sz w:val="22"/>
                <w:szCs w:val="22"/>
              </w:rPr>
              <w:t xml:space="preserve">Комиссия / Аудитор / Руководитель проекта (см. основание)</w:t>
            </w:r>
          </w:p>
        </w:tc>
      </w:tr>
    </w:tbl>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содержит пять документов делового цикла проекта данного типа: техническое задание, договор с адаптированным предметом, специфический документ этапа приёмки (тот, что реально фигурирует в коде практикума для этого типа), документ обучения (где предусмотрен Гантт-строками IV.5/IV.6) и закрывающий документ (акт ввода, итоговый отчёт/акт аудита либо, где ни один из двух не предусмотрен, — универсальный акт передачи документации).</w:t>
      </w:r>
    </w:p>
    <w:p>
      <w:r>
        <w:br w:type="page"/>
      </w:r>
    </w:p>
    <w:p>
      <w:pPr>
        <w:spacing w:after="100" w:before="200" w:line="360" w:lineRule="auto"/>
      </w:pPr>
      <w:r>
        <w:rPr>
          <w:rFonts w:ascii="Times New Roman" w:cs="Times New Roman" w:eastAsia="Times New Roman" w:hAnsi="Times New Roman"/>
          <w:b/>
          <w:bCs/>
          <w:color w:val="000000"/>
          <w:sz w:val="30"/>
          <w:szCs w:val="30"/>
        </w:rPr>
        <w:t xml:space="preserve">Как читать таблицы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Столбец «Основание» всюду, где это возможно, цитирует нормативный документ буквально из поля norm соответствующей строки GANTT_SOFT_COMMON, а не общее описание темы — например, для СКЗИ это Приказ ФАПСИ №152 от 13.06.2001, а не общая ссылка на «законодательство о криптографии». Прочерк «apply=false» рядом с формулировкой означает: в реальных данных практикума для этого типа проекта данный этап Гантта не включён вовсе, то есть отсутствие документа — не редакционный пропуск, а точное отражение состава задач конкретного типа.</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2026-08-06T20:51:53.802Z</dcterms:created>
  <dcterms:modified xsi:type="dcterms:W3CDTF">2026-08-06T20:51:53.802Z</dcterms:modified>
</cp:coreProperties>
</file>

<file path=docProps/custom.xml><?xml version="1.0" encoding="utf-8"?>
<Properties xmlns="http://schemas.openxmlformats.org/officeDocument/2006/custom-properties" xmlns:vt="http://schemas.openxmlformats.org/officeDocument/2006/docPropsVTypes"/>
</file>