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3. Занятие 2: Вид работ по проекту и комплектующие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Как и предыдущие части, этот раздел не содержит теории, вывода формул и вопросов теста — они изложены в основном тексте части 2 (глава 2, посвящённая Занятию 2). Здесь описано только то, что реально видит студент на странице 8/15 «Занятие 2: Вид работ по проекту и комплектующие» и что нужно нажать и заполнить, чтобы дойти до перехода к Занятию 3. Скриншоты сняты с боевого адреса https://goxaman2-dot.github.io/upzi-praktikum/ для случайного результата рулетки — портфель ИТСО, тип проекта «Охранная сигнализация», объект заказчика «Оператор связи «ЮгТелеком» (узел + офис)», г. Ставрополь, ул. Октябрьская, 168. У другого студента тип проекта и объект будут своими, но структура страницы и порядок действий — те же.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Переход с Занятия 1 и шапка Занятия 2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«Перейти к следующему этапу практикума →» в конце Занятия 1 (см. часть 2, шаг 6) открывает не сразу страницу Занятия 2, а сначала повторно показывает методический блок текущего пройденного занятия в виде модального окна «📌 Прежде чем перейти дальше…» — тот же гейт-механизм, что описан в приложении для преподавателя (часть 2): окно закрывается вторым кликом по самой карточке, после чего один раз за сеанс предлагается выбрать направление подготовки (10.03.01 / 10.04.01 / 10.05.01, выбор запоминается на весь практикум) и пройти тест на усвоенные компетенции по материалу только что пройденного занятия. После сдачи теста (или принудительного зачёта по преподавательскому шорткату) страница переключается на 8/15 «Занятие 2: Вид работ по проекту и комплектующие».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П.10 – Шапка Занятия 2: вкладки этапов, кнопки «Личный кабинет» и «Итоговый отчёт (DOCX)», блок цели и задач занятия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шапке страницы — та же панель, что и на Занятии 1: название фирмы-исполнителя и объекта заказчика, кнопка «← Вернуться к данным заказчика», кнопка «📁 Личный кабинет» и кнопка «📊 Итоговый отчёт (DOCX)». Строка вкладок показывает, что активна вкладка «2. Вид работ по проекту и комплектующие», а вкладки 3–9 остаются бледными до тех пор, пока до них не дойдёт очередь. Панель «Проект» справа (частично видна на скриншоте) показывает текущий бюджет фирмы — CAPEX и OPEX/мес, зафиксированные на Занятии 1, и штат фирмы численностью 14 человек.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Цель занятия, источники и загрузка перечня задач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Методический блок Занятия 2 устроен так же, как на предыдущих этапах: «ЦЕЛЬ ЗАНЯТИЯ», «ЗАДАЧИ», «ТЕОРИЯ», «ВОПРОСЫ ДЛЯ САМОКОНТРОЛЯ» и «ИСТОЧНИКИ» — в списке источников этого занятия, в частности, ФЗ №125-ФЗ «Об обязательном социальном страховании от несчастных случаев на производстве», ГОСТ Р ИСО 21500-2014 «Руководство по проектному менеджменту» и СП 76.13330.2016 «Электротехнические устройства» (испытания, пусконаладочные работы). Ниже блока — короткая формулировка цели раздела и предупреждение о ловушках: часть задач и часть методов технического контроля в таблице ниже — заведомо неверные варианты, подставленные среди корректных.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П.11 – Источники Занятия 2, пояснение к столбцам «Примечание» и «Вид проверочных работ», кнопка загрузки полного перечня задач и первая строка таблицы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нажать кнопку «📁 Загрузить полный перечень задач этапов монтажа/внедрения-наладки-испытаний-приёмки» — она подставляет в таблицу ниже полный список задач проекта, специфичный для выпавшего типа проекта (для охранной сигнализации — от «Выезда и обследования объекта» до «Ввода в эксплуатацию»), вместо одной демонстрационной строки, показанной по умолчанию. Кнопка «+ Добавить задачу вручную» рядом с ней нужна не на этом занятии, а как резерв для нетиповых случаев, и обычно не используется.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Таблица задач: примечание, вид проверочных работ, счётчики ловушек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задач состоит из столбцов «#», «Задача», «Этап» (римская цифра I–V), «Длительность», «Исполнитель (ФИО, квалификация)» — заполнен автоматически по данным Занятия 1 и недоступен для правки, «Стоимость (ФОТ)» — считается автоматически по формуле (2.1) для назначенного исполнителя, «Примечание» — выпадающий список с вопросом «что появляется на выходе?» и «Вид проверочных работ» — выпадающий список метода технического контроля, заполненный не у всех задач (только там, где применим). Оба выпадающих списка — стандартные элементы браузера: открытое меню рисуется поверх страницы и не входит в область снимка экрана, поэтому на рисунках ниже видно состояние до выбора, со значением-подсказкой «— что появляется на выходе? —».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Ловушки в столбце «Примечание» — реальные выходные документы ДРУГИХ задач того же проекта, подставленные как варианты для текущей строки (например, акт о выполнении монтажных работ вместо протокола настройки оборудования). Ловушки в столбце «Вид проверочных работ» — методы контроля, похожие по смыслу, но относящиеся к другой операции (например, «сопротивление изоляции» вместо «сопротивление контура заземления», «прозвонка кабеля» вместо «проверка обжима разъёма»). Порог допустимой ошибочности по обоим столбцам — 40% (выше, чем 25% для ресурсов и персонала, поскольку сопоставление ответа с задачей — более неоднозначная операция), и счётчики по каждому столбцу работают независимо друг от друга.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П.12 – Панель «Счётчик ловушек квалификации» по завершении этапа I, разделительная полоса «ВОДОРАЗДЕЛ» и первые задачи этапа II с предупреждающими значками у исполнителя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 последней задачей каждого из пяти этапов проекта (I — подготовительный, II — монтаж, III — наладка, IV — испытания, V — приёмка) расположена голубая строка «🎯 Счётчик ловушек квалификации» с кнопкой «Проверить»: она сравнивает уже выставленные значения «Примечание» и «Вид проверочных работ» с эталоном и показывает результат вида «верно 9 из 11, ошибок 2 (18%)». Полоса «⚡ ВОДОРАЗДЕЛ» между этапами отмечает содержательную границу — переход от подготовительного этапа (аванс получен, проект инициализирован) к этапам самого монтажа и внедрения. Предупреждающий значок ⚠️ рядом с исполнителем на задачах этапа II появляется по той же логике, что и на Занятии 1: фактическая квалификация назначенного сотрудника не полностью соответствует требованиям конкретной монтажной операции.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для каждой задачи выбрать в столбце «Примечание» документ, который реально появляется на её выходе, и там, где столбец «Вид проверочных работ» присутствует, — метод контроля, применимый именно к этой операции. После заполнения каждого этапа нажимать кнопку «Проверить» в соответствующей голубой строке, чтобы увидеть текущий процент ошибочности и, при необходимости, вернуться к таблице и поправить отдельные строки.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4. Комплектующие проекта по трём уровням цены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Ниже таблицы задач и итоговой строки «ИТОГО по проекту» (длительность в днях/часах и суммарная стоимость труда) расположены две панели «СЧЁТЧИК-ТОЧНОСТЬ» — по одной на каждый из столбцов «Примечание» и «Вид проверочных работ», с кнопками «🔍 Проверить точность выбора», подводящими общий итог по всей таблице сразу, а не по отдельному этапу. Далее — раздел «Комплектующие проекта (по рулетке — [тип проекта])»: готовый перечень оборудования, подлежащего установке по выпавшему типу проекта (датчики, контроллеры, замки и тому подобное), с тремя ценами по вендорам 2026 года — «Бюджетная», «Middle», «VIP» — и переключателем «Уровень цены» над таблицей. В отличие от таблиц задач и ресурсов, в этом перечне нет ловушек и нет отметок «верно/ошибка»: набор позиций и цены — не предмет выбора, а рыночный факт для выпавшего типа проекта.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2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Комплектующие проекта «Охранная сигнализация» при уровне цены «Middle» (фрагмент)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2891"/>
        <w:gridCol w:w="1265"/>
        <w:gridCol w:w="1265"/>
        <w:gridCol w:w="1265"/>
        <w:gridCol w:w="2217"/>
      </w:tblGrid>
      <w:tr>
        <w:trPr>
          <w:cantSplit/>
          <w:tblHeader/>
        </w:trPr>
        <w:tc>
          <w:tcPr>
            <w:tcW w:type="dxa" w:w="45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9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126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Бюджетная</w:t>
            </w:r>
          </w:p>
        </w:tc>
        <w:tc>
          <w:tcPr>
            <w:tcW w:type="dxa" w:w="126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Middle</w:t>
            </w:r>
          </w:p>
        </w:tc>
        <w:tc>
          <w:tcPr>
            <w:tcW w:type="dxa" w:w="126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VIP</w:t>
            </w:r>
          </w:p>
        </w:tc>
        <w:tc>
          <w:tcPr>
            <w:tcW w:type="dxa" w:w="221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Вендор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ИК-извещатель (точечный)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3 875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12 000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45 000 ₽</w:t>
            </w:r>
          </w:p>
        </w:tc>
        <w:tc>
          <w:tcPr>
            <w:tcW w:type="dxa" w:w="2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Bolid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ИК-извещатель (объёмный)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415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1 153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3 500 ₽</w:t>
            </w:r>
          </w:p>
        </w:tc>
        <w:tc>
          <w:tcPr>
            <w:tcW w:type="dxa" w:w="2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Риэлта (Фотон-9) / Bolid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Магнитоконтакт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150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1 200 ₽</w:t>
            </w:r>
          </w:p>
        </w:tc>
        <w:tc>
          <w:tcPr>
            <w:tcW w:type="dxa" w:w="2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Bolid / Астра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Комплект радиоканальный начального уровня (Астра-Р)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3 450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Teko (Астра-Р)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 по уровню «Middle»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13 553 ₽</w:t>
            </w:r>
          </w:p>
        </w:tc>
        <w:tc>
          <w:tcPr>
            <w:tcW w:type="dxa" w:w="12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Сумма по выбранному уровню цены не привязана к конкретной монтажной задаче — она добавляется одним платежом в дату задачи «Инициализация проекта» (сразу после получения аванса, когда фирма реально закупает оборудование у поставщика). Именно поэтому эта сумма входит в строку «Материалы» итоговой сметы (Занятие 4) и образует заметный скачок на графике освоенного бюджета (Занятие 3) в день инициализации проекта — переключение уровня цены здесь напрямую меняет размер этого скачка.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выбрать уровень цены («Бюджет», «Мидл» или «VIP») в зависимости от того, какая стратегия комплектации закладывается в проект — решение не проверяется на «верно/ошибка», но должно быть согласовано с дальнейшей сметой на Занятии 4. После просмотра перечня прокрутить страницу до конца.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5. Взгляд с другой стороны стола и переход к Занятию 3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Как и на предыдущих занятиях, после раздела комплектующих показан необязательный блок «👁 Взгляд с другой стороны стола» с двумя полями — о пользе выбора уровня цены для заказчика и о том, что заказчику обычно трудно проверить, за что именно он переплачивает на уровне VIP. Кнопка «Перейди к следующему этапу практикума →» становится доступной сразу после заполнения перечня задач; счётчики ловушек и точности не блокируют переход технически, но их низкий процент указывает, что часть примечаний и методов контроля выставлена наугад.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нажать «Перейди к следующему этапу практикума →». Как и при переходе с Занятия 1 на Занятие 2, повторно откроется гейт-модалка с методическим блоком Занятия 2, закрывающаяся вторым кликом по карточке, а затем — тест на усвоенные компетенции по материалу Занятия 2 (компетенции ОПК-2.1 и УК-2 направления 10.03.01 — декомпозиция проекта на задачи с привязкой к выходным документам и подбор комплектующих по уровням цены). После сдачи теста откроется страница 9/15, «Занятие 3: Календарь работ по Ганту».</w:t>
      </w:r>
    </w:p>
    <w:p>
      <w:pPr>
        <w:spacing w:before="30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Продолжение путеводителя — по Занятиям 3–9 — оформляется отдельными файлами по мере готовности соответствующих глав учебника.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fb1a090d3bfdc3927a1348483c33a27fd886ee.jpg"/><Relationship Id="rId8" Type="http://schemas.openxmlformats.org/officeDocument/2006/relationships/image" Target="media/ec22df7c5a9e717dc984ff7b8f6d7c29aa41cb9e.jpg"/><Relationship Id="rId9" Type="http://schemas.openxmlformats.org/officeDocument/2006/relationships/image" Target="media/dae289b34a66b4ed00c8d99d24c6d33db6bc15a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2026-07-30T06:46:09.800Z</dcterms:created>
  <dcterms:modified xsi:type="dcterms:W3CDTF">2026-07-30T06:46:09.802Z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