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Государственный классификатор не оставляет двусмысленности: монтаж систем контроля доступа, видеонаблюдения, охранной и пожарной сигнализации отнесён Общероссийским классификатором видов экономической деятельности (ОКВЭД 2, ОК 029-2014) к разделу F «Строительство», классу 43.2, коду 43.21 «Производство электромонтажных работ». Слово «производство» здесь не метафора и не вольность авторов — это учётная категория, по которой организация регистрируется в налоговом органе и по которой статистика считает вклад отрасли в валовой внутренний продукт. Первая часть настоящего учебника подводила студента к порогу этого производства: к моменту, когда штат подобран, ресурсы обоснованы, смета согласована и договор с заказчиком подписан. Вторая часть начинается за этим порогом — там, где планирование заканчивается и начинается исполнение, за качество и сроки которого фирма отвечает не только перед заказчиком, но и перед законом.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момента зачисления аванса на расчётный счёт подрядчика правоотношение меняет природу. Документ о намерениях сторон превращается в обязательство, обеспеченное главой 37 Гражданского кодекса Российской Федерации: за качество выполненных работ отвечают статьи 721 и 723, за нарушение согласованных сроков — статья 708, вплоть до неустойки и права заказчика отказаться от договора. План можно переписать без последствий в любой момент до подписания сметы; исполнение переписать нельзя — можно только скорректировать, и эта корректировка стоит денег, времени или того и другого одновременно. Вторая часть учебника посвящена именно управлению такой корректировкой: тому, что происходит с проектом информационной безопасности, когда стройная схема, начерченная в кабинете, встречается с конкретным объектом, конкретным сотрудником и конкретным сроком.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Учебное пособие адресовано студентам трёх направлений подготовки, для которых в первой части были сформулированы цели дисциплины «Управление проектами по защите информации и экономика защиты информации»: 10.03.01 «Информационная безопасность» (уровень бакалавриата, компетенция ОПК-12 — способность готовить исходные данные для проектирования подсистем защиты информации и технико-экономического обоснования проектных решений, согласно приказу Минобрнауки России от 17.11.2020 № 1427); 10.04.01 «Информационная безопасность телекоммуникационных систем» (уровень магистратуры, компетенции УК-2 — способность управлять проектом на всех этапах жизненного цикла, и УК-3 — способность организовывать и руководить работой команды, согласно приказу от 26.11.2020 № 1455); 10.05.01 «Компьютерная безопасность» (уровень специалитета, компетенции УК-2 и УК-9 — способность принимать обоснованные экономические решения, согласно приказу от 26.11.2020 № 1459). Внутри второй части эти компетенции раскрываются не единым блоком, а по разделам: глава 1 формирует у бакалавра индикаторы ОПК-12 и УК-9 через задачу идентификации фирмы и подбора её ресурсов, у магистра — ОПК-1 через работу с нормативным массивом трёх уровней регулирования, у специалиста — ОПК-5 через кадровые и материально-технические расчёты; последующие главы задействуют ОПК-2 в её индикаторах 2.1, 2.2 и 2.4, ОПК-3, ОПК-10, ОПК-16 и УК-1 по мере того, как проект проходит стадии монтажа, аудита и сдачи заказчику. Это распределение не случайно и не равномерно: не каждая глава активирует компетенции всех трёх направлений одновременно, и там, где формулировка цели её не упоминает, соответствующего практического блока для этого направления попросту нет — устройство дисциплины таково по замыслу, а не по недосмотру.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второй части учебника является формирование у обучающихся практических навыков управления проектом информационной безопасности в разрезе трёх групп ресурсов — кадровых, материально-технических и финансово-временных, — необходимых для монтажа, адаптации к условиям объекта и пусконаладки систем контроля доступа, видеонаблюдения, охранной и пожарной сигнализации, а также программно-аппаратных и организационно-административных проектов защиты информации, включая применение специализированного программного инструментария для планирования и учёта проектных работ.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Задачами второй части учебника являются: изучение типологии проектов информационной безопасности и нормативной базы, применимой к их исполнению в зависимости от масштаба проекта; освоение требований профессиональных стандартов 06.033 и 06.032 к составу и квалификации персонала проекта; рассмотрение особенностей монтажа, адаптации к условиям объекта и пусконаладки комплектующих изделий по видам систем безопасности; освоение методики расчёта оплаты труда исполнителей и нормирования времени на сопутствующие хозяйственные операции — согласования, закупки, приёмку работ, обучение персонала заказчика; получение практических навыков планирования и учёта проектных работ в среде «1С: ERP+PM Управление проектной организацией», дополняющей рассмотренную в первой части Microsoft Project и включённой в реестр российского программного обеспечения; формирование навыков аудита проектов ИБ по контрольным точкам и типичным упущениям, характерным для каждого вида систем безопасности.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Три группы ресурсов не разнородны — они связаны последовательностью, в которой менеджер проекта фактически принимает решения. Прежде чем считать деньги, нужно понять, кто будет исполнять проект: этому посвящена глава 1, где рассмотрены типология проектов, применимая к ним нормативная база и то, как фирма — от розыгрыша типа проекта до подбора персонала под конкретный портфель — устанавливает состав своих кадровых и материально-технических ресурсов ещё до выезда инженера на объект. Затем встаёт вопрос комплектующих изделий и особенностей их монтажа применительно к конкретному объекту — контроллеры и считыватели для систем контроля доступа, видеокамеры и регистраторы для систем видеонаблюдения, извещатели и приёмно-контрольные приборы для сигнализации, — и лишь после этого имеет смысл считать оплату труда исполнителей и время, потраченное на сопутствующие операции. Обратный порядок — сначала смета, потом состав команды — является типичной ошибкой начинающего менеджера проекта и коротким путём к перерасходу бюджета, потому что стоимость проекта в этой логике оценивается раньше, чем определено, кто и с какой квалификацией его будет исполнять.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Структурно вторая часть закрывает три последних фазы цикла Plan-Do-Check-Act, предложенного У. Шухартом и закреплённого сегодня в ГОСТ Р ИСО 9001-2015 как основа процессного подхода к управлению качеством. Первая часть учебника — это фаза Plan: пять блоков планирования, от ставок персонала до цены договора. Глава 1 настоящей части открывает фазу Do с её самого начала — с момента, когда фирма ещё не знает, какой именно проект ей достанется, и должна подтвердить, что обладает ресурсами для любого из двадцати типов проектов трёх портфелей до того, как розыгрыш определит конкретный. Последующие главы про монтаж и пусконаладку продолжают фазу Do; разрывы и дефициты, которым посвящена отдельная глава, составляют фазу Check; оптимизация ресурсов и сжатие расписания — фазу Act. Международный стандарт ISO 21500 описывает тот же контур через группы процессов управления проектом, а Свод знаний PMBOK выделяет для контрольной фазы отдельную категорию «Мониторинг и управление» — читатель встретит в этой части учебника её прямые, узнаваемые следы: реестр проблем, план-факт анализ по методу освоенного объёма, показатели CPI и SPI.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Ресурсная неопределённость, с которой глава 1 работает напрямую, задана самой архитектурой практикума: фирма формирует штат и материально-технические ресурсы, ещё не зная, какой из трёх портфелей — инженерно-технических средств охраны, программно-аппаратных проектов или организационно-административных проектов — выпадет ей на розыгрыше, и какой из принадлежащих этому портфелю типов проекта в итоге достанется. Это не искусственное усложнение задачи, а рабочая модель реального рынка подрядных услуг: коммерческая фирма редко может позволить себе штат, укомплектованный под единственный будущий заказ, — она формирует универсальный кадровый и ресурсный резерв, способный закрыть диапазон вероятных задач, и уточняет его уже после того, как заказ определён. Глава 1 учит именно этому: различать, какие позиции штатного расписания и какие статьи материально-технических ресурсов остаются нужными при любом исходе розыгрыша, а какие оказываются избыточными или, наоборот, недостающими для конкретного выпавшего типа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Разрывы между планом и фактом не являются исключением из нормального хода проекта — они его неизбежная часть, и распознавать их вовремя есть отдельный профессиональный навык, которому нельзя научиться, просто изучив регламент. Практика систем безопасности знает характерный пример: бригада монтирует резервированный блок питания и аккумуляторные батареи, но не вносит в исполнительную документацию проверку автономной работы от аккумулятора — пункт типового чек-листа приёмки, — и пробел обнаруживает не бригадир, а заказчик уже на сдаче объекта. Тот же принцип действует и раньше, на стадии Старта 0, только применительно не к смонтированному оборудованию, а к самому составу проектной команды: справочник-аудитор, материалы которого легли в основу контрольных точек этой части учебника, фиксирует, что типичное упущение при подборе персонала — не отсутствие нужной должности как таковой, а несоответствие фактической квалификации сотрудника заявленной в штатном расписании, обнаруживаемое не в момент подбора, а уже на этапе исполнения. Практикум моделирует эту ситуацию буквально: в списке кандидатов на каждую вакансию заведомо присутствуют «ловушки» — сотрудники смежного портфеля, чьи должности звучат правдоподобно, но не соответствуют профилю выпавшего проекта, и заведомо посторонний персонал вроде массажиста директора или водителя фирмы, включённый в перечень ровно для того, чтобы студент научился отличать профильного специалиста от случайной строки штатного расписания до того, как цена этой ошибки перейдёт со страницы учебника на реальный объект.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Обнаруженный разрыв не устраняется сам по себе — требуется управленческое решение, и учебник намеренно разводит два инструмента, которые студенты обычно путают. Resource leveling сдвигает задачи во времени под фактическую загрузку сотрудника, не меняя состав персонала, и может удлинить срок проекта. Crashing добавляет второго исполнителя — «дублёра», принимающего на себя часть нагрузки, — ценой дополнительных расходов на оплату труда. Первый инструмент экономит деньги за счёт времени, второй экономит время за счёт денег; выбор между ними определяется не абстрактной правильностью метода, а конкретными ограничениями конкретного проекта — сроком по договору, наличием свободных рук на рынке труда конкретного города, штрафными санкциями за просрочку. Вторая часть учебника учит именно этому выбору, а не заучиванию определений.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Экономическое ядро второй части — глава об аудите информационной безопасности заказчика до и после исполнения проекта. Здесь учебник называет вещи своими именами там, где их принято сглаживать: аудит проводит та же фирма, которая исполняла проект, и это конфликт интересов, а не досадная оговорка, — у исполнителя есть прямой стимул показать в собственном отчёте красивое снижение риска. Балльная оценка риска методом Дельфи — согласование независимых экспертных оценок вероятности и тяжести последствий — существует именно как инструмент, снижающий влияние этого стимула на итоговую цифру, а не устраняющий его полностью; полное устранение конфликта интересов потребовало бы привлечения стороннего аудитора, что для большинства проектов малого и среднего масштаба экономически не оправдано и в тексте учебника прямо признаётся ограничением метода, а не его недостатком.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Итоговая эффективность проекта считается в учебнике двумя разными способами, и расхождение между ними вынесено на поверхность текста, а не спрятано в сноску. Классическая формула ROSI (Sonnenreich, Albanese, Stout, 2006) сопоставляет ожидаемые потери до и после внедрения мер защиты за вычетом стоимости самого проекта и трактует деньги заказчика на информационную безопасность как инвестицию. Методика TDI/BRI, применяемая в основном тексте учебника, называет ту же по структуре величину коэффициентом результативности затрат — Кэз, — потому что деньги, потраченные на закупаемые, а не производимые фирмой компоненты, не создают у заказчика актива с будущим доходом и по определению Международных стандартов финансовой отчётности являются расходом, а не инвестицией. Более ранняя прикладная статья той же кафедры для малого и среднего бизнеса допускала инвестиционную трактовку под именем ROI_IB; выпускная квалификационная работа кафедры, посвящённая индексу Парето как критерию адаптивного бюджетирования информационной безопасности, прямо формулирует в заключении, что расходы на информационную безопасность носят операционный характер, что исключает применение ROSI в его исходном виде. Учебник следует этой более поздней позиции, но приводит классический ROSI не для того, чтобы его опровергнуть, а для того, чтобы читатель видел разницу собственными глазами и умел объяснить, почему один и тот же проект может получить два разных вывода об эффективности в зависимости от выбранной методики расчёта. Для сравнения в тексте приводится и американское правило 37% Гордона — Лёба: не как альтернатива расчётной методике, а как ориентир, показывающий верхнюю разумную границу бюджета защиты относительно ожидаемого ущерба.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Значимость материала этой части учебника не убывает со временем — она растёт вместе с ростом самой цифровизации. По данным Агентства Европейского союза по кибербезопасности, доля фишинговых атак с использованием генеративного искусственного интеллекта превысила 80% всех случаев социальной инженерии за период с июля 2024 по июнь 2025 года, а угрозы, направленные на промышленные системы, выросли до 18,2% от всех зафиксированных категорий инцидентов. Автоматизация полного цикла атаки — от разведки до принятия решения — без участия человека со стороны нападающего названа индустрией одним из главных вызовов текущего периода. Рост числа проектов информационной безопасности — не временный всплеск спроса, а прямое следствие того, что цифровая инфраструктура продолжает расширяться быстрее, чем успевает защищаться; двадцать типов проектов, между которыми распределяет заказы розыгрыш в главе 1, отражают именно эту растущую дифференциацию рынка, а не искусственное разнообразие учебных сценариев.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Здесь уместно сказать и о роли искусственного интеллекта в самом управлении такими проектами, раз вторая часть учебника посвящена не только монтажу, но и контролю с аудитом. Автономные системы всё увереннее берут на себя часть административных функций — планирование, отслеживание ресурсов, часть контроля рисков; профессиональное сообщество называет текущий период временем перехода к гибридной модели «человек плюс искусственный интеллект». Но ответственность по главе 37 Гражданского кодекса, лицензия ФСТЭК России, подпись на акте приёмки — категории, требующие правосубъектности, которой автоматизированная система не обладает и не может обладать по своей природе. Совесть, в том смысле, в каком это слово употребляется применительно к решению, кого и как защищать, остаётся не у машины, а у того, кто эту машину использует; для студента, который в главе 1 впервые садится за виртуальный стол директора фирмы и подбирает себе персонал, эта ответственность начинается не с монтажа оборудования, а с первой отмеченной галочки в штатном расписании.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Материал второй части выстроен так, чтобы читатель мог последовательно пройти путь от общей типологии проектов информационной безопасности и их кадрового обеспечения (глава 1) к особенностям монтажа, адаптации и пусконаладки комплектующих изделий по видам систем безопасности, а затем — к расчёту оплаты труда исполнителей, нормированию времени на хозяйственные операции по устройству проекта и, наконец, к аудиту результата. Такая последовательность отражает реальный порядок работы менеджера проекта информационной безопасности: сначала определяется, кто и по каким нормам будет исполнять проект, затем — что именно предстоит смонтировать и адаптировать под объект, далее — во сколько это обойдётся заказчику по деньгам и по времени, и только в конце — что из заложенного действительно было выполнено.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Источники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Гражданский кодекс Российской Федерации (часть вторая) от 26.01.1996 № 14-ФЗ, глава 37 «Подряд», ст. 708, 721, 723.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ГОСТ Р ИСО 9001-2015. Системы менеджмента качества. Требования. — М.: Стандартинформ, 2015.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ISO 21500:2021. Project, programme and portfolio management — Context and concepts.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Project Management Institute. A Guide to the Project Management Body of Knowledge (PMBOK Guide). — 7th ed. — Newtown Square: PMI,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Общероссийский классификатор видов экономической деятельности (ОКВЭД 2) ОК 029-2014 (КДЕС Ред. 2): раздел F «Строительство», код 43.21 «Производство электромонтажных работ».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Приказ Минтруда России от 14.09.2022 № 533н «Об утверждении профессионального стандарта 06.032 «Специалист по безопасности компьютерных систем и сетей».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Sonnenreich W., Albanese J., Stout B. Return On Security Investment (ROSI): A Practical Quantitative Model // Journal of Research and Practice in Information Technology. — 2006. — Vol. 38, № 1. — P. 45–56.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Gordon L.A., Loeb M.P. The Economics of Information Security Investment // ACM Transactions on Information and System Security. — 2002. — Vol. 5, № 4. — P. 438–457.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Индекс Парето как критерий адаптивного бюджетирования информационной безопасности // Правовая информатика. — 2026. — № 1. — С. 16–30. — DOI 10.24412/1994-1404-2026-1-00-02.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ENISA Threat Landscape 2025. — European Union Agency for Cybersecurity, 2025.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«1С: ERP+PM Управление проектной организацией»: описание решения [Электронный ресурс]. — Режим доступа: https://solutions.1c.ru/catalog/erp-pm (продукт включён в реестр российского программного обеспечения).</w:t>
      </w:r>
    </w:p>
    <w:p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1. СТАРТ 0: ИДЕНТИФИКАЦИЯ ФИРМЫ, ТИПОЛОГИЯ ПРОЕКТОВ И РЕСУРСНОЕ ОБЕСПЕЧЕНИЕ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информационной безопасности редко существует в одиночном исполнении. Заказчик выбирает не абстрактную «защиту», а конкретный набор технических и организационных решений под свой бюджет, штат и степень зрелости бизнес-процессов. Но до того, как заказчик вообще появится на горизонте фирмы-исполнителя, сама фирма должна собрать команду и материально-техническую базу, способную закрыть любой из вероятных заказов — то есть принять решение о ресурсах в условиях, когда конкретный тип будущего проекта ещё не известен. Эта глава открывает вторую часть учебного пособия и рассматривает стадию, предшествующую договору с заказчиком: студент выступает в роли директора фирмы-исполнителя, которая только что зарегистрирована, ещё не имеет портфеля выполненных заказов и должна пройти путь от первого телефонного звонка до утверждённого штатного расписания и сметы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Этот путь распадается на восемь смысловых блоков, рассматриваемых далее последовательно: механика распределения типа проекта (1.1), типология проектов по масштабу (1.2), нормативная база и её слоистая структура (1.3), кадровое обеспечение и панель подбора персонала (1.4), материально-технические ресурсы фирмы по категориям затрат (1.5), норматив допустимой ошибочности при подборе ресурсов (1.6), итоговый тест по компетенциям, которым Старт 0 формально закрывается (1.7), и, забегая вперёд по отношению к последующим главам, — контрольные точки аудита, к оценке которых фирма придёт уже после исполнения проекта (1.8).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От входящего звонка до распределения типа проекта: механика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Фирма на старте практикума не выбирает себе заказ — она получает его через случайный, но не полностью случайный механизм. Прежде чем сработает розыгрыш, офис-менеджер фирмы принимает входящий звонок от клиента и заполняет карточку CRM-анкеты: фамилию, имя и отчество обратившегося, контактный телефон, адрес объекта и дополнительные пожелания к проекту. Эти сведения важны сами по себе — без них не оформить договор, — но результата розыгрыша они не определяют.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определяет отдельный, более узкий опрос — анкета о профиле специализации самой фирмы, а не о пожеланиях клиента. Она задаётся перед каждым из трёх розыгрышей отдельно, поскольку портфели проектов открываются не одновременно, а последовательно: второй портфель становится доступен только после того, как фирма сдала отчётность по первому проекту, третий — после второго. До своего розыгрыша портфель показан студенту «в тумане»: названия типов проектов внутри него скрыты, хотя факт существования портфеля виден. Такая последовательность воспроизводит обычную практику подрядной организации: редкая фирма получает сразу три разнородных заказа параллельно, обычно заказы поступают один за другим, и опыт, приобретённый на первом, влияет на то, как фирма подходит ко второму.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1 – Последовательность шагов Старта 0 от анкеты фирмы до передачи проекта в планирование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показывает восемь шагов, отделяющих регистрацию фирмы от начала работы над сметой на Занятии 1: анкета профиля и розыгрыш определяют тип проекта, объект и код ОКВЭД ещё до первого контакта с конкретным клиентом; звонок и CRM-анкета фиксируют, кто обратился; визит инженера, уведомление главного инженера, эскиз, чертёж в AutoCAD и локальная смета переводят абстрактный тип проекта в конкретный комплект исходных данных, с которым фирма выйдет на планирование ресурсов.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портфеля инженерно-технических средств охраны вопрос анкеты звучит так: «На каких объектах ваша фирма специализируется?» — с вариантами ответа «периметр и протяжённые ограждения», «объекты с массовым пребыванием людей», «отдельно стоящие охраняемые объекты» и «универсальный профиль». Для программно-аппаратного портфеля вопрос иной: «Какая проблема информационной безопасности у клиентов вашей фирмы встречается чаще всего?» — с вариантами от защиты периметра сети до непрерывности бизнеса. Для организационно-административного портфеля вопрос обращён к типу заказчика: объекты критической информационной инфраструктуры, операторы персональных данных или объекты с требованиями антитеррористической защищённости. Ответ, отличный от универсального профиля, не назначает тип проекта напрямую — он сокращает пул вариантов, из которого затем выбирает случайность. Например, ответ «периметр и протяжённые ограждения» оставляет в пуле только периметральное ограждение и комплексный проект «под ключ», исключая из розыгрыша, скажем, пожарную сигнализацию отдельно стоящего здания. Изменить профиль задним числом, после того как розыгрыш по этому портфелю уже состоялся, нельзя — точно так же, как невозможно в реальной практике заявить рынку одну специализацию, а получив заказ, отказаться от него под предлогом смены профиля.</w:t>
      </w:r>
    </w:p>
    <w:p>
      <w:pPr>
        <w:spacing w:after="60" w:before="120"/>
        <w:jc w:val="center"/>
      </w:pPr>
      <w:r>
        <w:drawing>
          <wp:inline distT="0" distB="0" distL="0" distR="0">
            <wp:extent cx="55816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Рисунок 2 – Механика сужения пула вариантов анкетой профиля и случайным розыгрышем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подтверждает, что анкета профиля и розыгрыш выполняют разные функции: анкета сокращает ДОСТУПНЫЙ пул типов проекта, но не определяет исход, а случайность выбирает конкретный тип уже из суженного пула. Тот же принцип действует и на следующем шаге: случайность подбирает не любой объект заказчика, а только тот, чьи признаки совместимости соответствуют выпавшему типу проекта, и лишь затем автоматически присваивает код ОКВЭД, соответствующий этому типу.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Розыгрыш случайно выбирает один тип проекта из сокращённого пула — от шести вариантов при узком профиле до полного набора в шесть, восемь или шесть типов по трём портфелям при универсальном профиле (итого двадцать типов на весь практикум). Одновременно с типом проекта случайность подбирает и конкретный объект заказчика — не любой из общего перечня, а только совместимый с выпавшим типом по заранее заданным признакам. В базе данных практикума таких объектов сорок три: от торгового центра и школы до частного домовладения, гаражного бокса в кооперативе и дачного участка — три последних добавлены к исходному перечню юридических лиц, чтобы отразить и сегмент физических лиц, с которым тоже работают монтажные фирмы. Каждый объект несёт признаки совместимости — периметр, отдельно стоящее здание, массовое пребывание людей, объект критической информационной инфраструктуры, развитая ИТ-инфраструктура, — и подбор идёт только среди объектов, чьи признаки соответствуют требованиям выпавшего типа проекта: периметральному ограждению нужен объект с протяжённым периметром, категорированию объекта критической инфраструктуры — объект с соответствующим признаком, программно-аппаратным проектам — объект с развитой ИТ-инфраструктурой.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Сразу вслед за розыгрышем фирма получает не абстрактный код деятельности, а конкретный — Общероссийский классификатор видов экономической деятельности присваивается автоматически, исходя из выпавшего типа проекта, а не выбирается студентом произвольно. Работы по монтажу технических средств охраны — контроль доступа, видеонаблюдение, сигнализация, периметр, комплексные проекты — кодируются по 43.21 «Производство электромонтажных работ»; программно-аппаратные проекты — межсетевые экраны, DLP-системы, IAM, SIEM, EDR, VPN, криптографическая защита — по 62.02 «Деятельность консультативная и работы в области компьютерных технологий»; резервное копирование выделено отдельно, по 63.11 «Деятельность по обработке данных»; разработка политик, категорирование объектов критической инфраструктуры и приведение обработки персональных данных в соответствие закону — по 70.22 «Консультирование по вопросам коммерческой деятельности и управления»; паспорт безопасности — по 74.90 «Деятельность профессиональная, научная и техническая прочая»; программы обучения персонала — по 85.42 «Образование дополнительное профессиональное». Такая привязка не техническая условность интерфейса, а прямое следствие того, что разные виды деятельности регулируются разными нормами: код 43.21 подчиняет фирму требованиям к строительно-монтажным работам, код 62.02 — требованиям к консультационной деятельности в сфере компьютерных технологий, и смешивать эти режимы регулирования, как показано в разделе 1.3, — значит подкладывать под проект неподходящую нормативную базу.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Портфели и типы проектов информационной безопасности, разыгрываемых на Старте 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78"/>
        <w:gridCol w:w="4318"/>
        <w:gridCol w:w="1619"/>
      </w:tblGrid>
      <w:tr>
        <w:trPr>
          <w:cantSplit/>
          <w:tblHeader/>
        </w:trPr>
        <w:tc>
          <w:tcPr>
            <w:tcW w:type="dxa" w:w="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7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Портфель</w:t>
            </w:r>
          </w:p>
        </w:tc>
        <w:tc>
          <w:tcPr>
            <w:tcW w:type="dxa" w:w="43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Типы проектов</w:t>
            </w:r>
          </w:p>
        </w:tc>
        <w:tc>
          <w:tcPr>
            <w:tcW w:type="dxa" w:w="16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 ОКВЭД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Инженерно-технические средства охраны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видеонаблюдение, охранная сигнализация, пожарная сигнализация, периметральное ограждение, комплексный проект «под ключ»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43.21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Программно-аппаратный проект ИБ (8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NGFW, DLP, IAM/MFA/SSO, SIEM/SOC, EDR, VPN, резервное копирование, криптографическая защита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62.02 (backup — 63.11)</w:t>
            </w:r>
          </w:p>
        </w:tc>
      </w:tr>
      <w:tr>
        <w:trPr>
          <w:cantSplit/>
          <w:tblHeader w:val="false"/>
        </w:trPr>
        <w:tc>
          <w:tcPr>
            <w:tcW w:type="dxa" w:w="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87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Организационно-административный проект (6 типов)</w:t>
            </w:r>
          </w:p>
        </w:tc>
        <w:tc>
          <w:tcPr>
            <w:tcW w:type="dxa" w:w="43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 регламенты ИБ, категорирование КИИ, приведение обработки ПДн, паспорт безопасности, аудит/пентест, обучение персонала</w:t>
            </w:r>
          </w:p>
        </w:tc>
        <w:tc>
          <w:tcPr>
            <w:tcW w:type="dxa" w:w="16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70.22 / 74.90 / 85.42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1 свидетельствуют о том, что распределение двадцати типов проекта по кодам ОКВЭД неравномерно: шесть типов первого портфеля укладываются в единственный код, восемь типов второго распадаются на два кода, шесть типов третьего — на три. Разница отражает не произвол классификатора, а объективное различие в характере работ: монтаж физических средств охраны технологически однороден независимо от конкретной системы, тогда как организационно-административные проекты расходятся по существу настолько, что паспорт безопасности объекта и программа обучения персонала попадают под разные коды даже при формальном сходстве заказчика.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Типология проектов информационной безопасности по масштабу и ожидаемому эффекту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Портфельное деление, рассмотренное в разделе 1.1, устроено по содержанию контрмер — оно отвечает на вопрос, что именно защищается и каким классом средств. Существует и второе, независимое основание типологии — масштаб проекта, выраженный через трудоёмкость, стоимость и ожидаемый эффект снижения информационных рисков; оно отвечает на вопрос, сколько ресурсов потребует исполнение, а не что именно исполняется. Оба основания применимы к любому из двадцати типов, разыгранных в разделе 1.1: СКУД частного дома и СКУД аэропорта относятся к одному портфелю и одному типу проекта, но резко расходятся по масштабу.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Массив реализуемых на практике проектов информационной безопасности группируется в три категории — крупные, средние и малые; граница между ними не жёсткая и определяется совокупностью параметров, а не единственным показателем стоимости.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2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проектов информационной безопасности по масштабу и ожидаемому эффекту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7"/>
        <w:gridCol w:w="1825"/>
        <w:gridCol w:w="1825"/>
        <w:gridCol w:w="1521"/>
        <w:gridCol w:w="2967"/>
      </w:tblGrid>
      <w:tr>
        <w:trPr>
          <w:cantSplit/>
          <w:tblHeader/>
        </w:trPr>
        <w:tc>
          <w:tcPr>
            <w:tcW w:type="dxa" w:w="121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 проектов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Трудоёмкость, этапов</w:t>
            </w:r>
          </w:p>
        </w:tc>
        <w:tc>
          <w:tcPr>
            <w:tcW w:type="dxa" w:w="182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Стоимость, млн руб. (цены 2022 г.)</w:t>
            </w:r>
          </w:p>
        </w:tc>
        <w:tc>
          <w:tcPr>
            <w:tcW w:type="dxa" w:w="152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Снижение рисков, %</w:t>
            </w:r>
          </w:p>
        </w:tc>
        <w:tc>
          <w:tcPr>
            <w:tcW w:type="dxa" w:w="296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Характерные примеры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70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0,6 до 8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СКУД, ОПС, видеонаблюдение, телекоммуникационные системы взаимодействия органов власти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25 до 35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0,15 до 1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30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Криптографическая защита и ЭП, защита КИИ (187-ФЗ), DLP, АСУ ТП</w:t>
            </w:r>
          </w:p>
        </w:tc>
      </w:tr>
      <w:tr>
        <w:trPr>
          <w:cantSplit/>
          <w:tblHeader w:val="false"/>
        </w:trPr>
        <w:tc>
          <w:tcPr>
            <w:tcW w:type="dxa" w:w="121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Малые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10 до 30</w:t>
            </w:r>
          </w:p>
        </w:tc>
        <w:tc>
          <w:tcPr>
            <w:tcW w:type="dxa" w:w="182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0,05 до 0,35</w:t>
            </w:r>
          </w:p>
        </w:tc>
        <w:tc>
          <w:tcPr>
            <w:tcW w:type="dxa" w:w="152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 20 до 90</w:t>
            </w:r>
          </w:p>
        </w:tc>
        <w:tc>
          <w:tcPr>
            <w:tcW w:type="dxa" w:w="296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Антивирусная защита, межсетевое экранирование, эшелонированная защита, защита ПДн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показывает, что деление на крупные, средние и малые проекты не совпадает с делением по ожидаемому эффекту: даже малые по трудоёмкости проекты — например, антивирусная защита или межсетевое экранирование — способны снижать риски на 80–90%, поскольку закрывают массовые и типовые угрозы. Стоимость и трудоёмкость проекта отражают ресурсную нагрузку на исполнителя, а процент снижения риска — ценность проекта для заказчика; эти два параметра стоит анализировать по отдельности, не подменяя один другим при выборе темы курсовой или выпускной квалификационной работы, равно как и при оценке того, какой из выпавших на Старте 0 объектов — гаражный кооператив или аэропорт — потребует от фирмы кратно большего ресурсного резерва.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Нормативные документы: слоистая структура и её отражение в присвоении кода деятельности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Нормативная база проекта информационной безопасности имеет слоистую структуру: то, что обязательно для проекта защиты критической информационной инфраструктуры, может быть избыточным для проекта видеонаблюдения в малом офисе. Ошибка начинающего разработчика технического задания — попытка учесть все существующие документы сразу, без привязки к типу и масштабу проекта. Правильный порядок обратный: сначала определяется тип проекта, как показано в разделах 1.1–1.2, затем для него отбирается применимое подмножество норм — и уже на этом отборе завязана автоматическая привязка кода ОКВЭД, разобранная в разделе 1.1: код 43.21 подтягивает за собой требования к строительно-монтажным работам, код 62.02 — требования к деятельности в сфере компьютерных технологий, и эти требования не тождественны.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Верхний, первый слой образуют федеральные законы — они действуют для любого проекта независимо от масштаба и задают общие понятия информации, персональных данных, коммерческой тайны и критической инфраструктуры. Второй слой — подзаконные и ведомственные документы ФСТЭК России и ФСБ России: методики оценки угроз, приказы о классах защищённости, регламенты аттестации. Третий слой — национальные стандарты серии ГОСТ Р, включая адаптированные международные стандарты ИСО/МЭК 27000. Нижний, четвёртый слой — локальные документы самой организации: политики информационной безопасности, регламенты доступа, инструкции персоналу, обязательные только внутри конкретного предприятия.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3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нормативных правовых актов по уровням регулирования проектов информационной безопасности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877"/>
        <w:gridCol w:w="3287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Уровень регулирования</w:t>
            </w:r>
          </w:p>
        </w:tc>
        <w:tc>
          <w:tcPr>
            <w:tcW w:type="dxa" w:w="387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Документы</w:t>
            </w:r>
          </w:p>
        </w:tc>
        <w:tc>
          <w:tcPr>
            <w:tcW w:type="dxa" w:w="328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Применимость по масштабу проекта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Законодательный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149-ФЗ, 152-ФЗ, 98-ФЗ, 187-ФЗ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Ведомственный (ФСТЭК, ФСБ)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(2021), приказы о требованиях к СЗИ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и средние — обязательны; малые — выборочно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Национальные стандарты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50922-2006, ГОСТ Р ИСО/МЭК 27001-2021, 27002-2021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 — обязательны; средние и малые — рекомендательно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Локальный (корпоративный)</w:t>
            </w:r>
          </w:p>
        </w:tc>
        <w:tc>
          <w:tcPr>
            <w:tcW w:type="dxa" w:w="387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Политика ИБ, регламенты доступа, должностные инструкции</w:t>
            </w:r>
          </w:p>
        </w:tc>
        <w:tc>
          <w:tcPr>
            <w:tcW w:type="dxa" w:w="328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Крупные, средние, малые — обязательны для всех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 видно, что обязательными для проекта любого масштаба остаются только федеральные законы и локальные документы самой организации; ведомственные методики и национальные стандарты образуют переменную часть нормативной базы, которая расширяется по мере роста проекта. Отсюда практический вывод: техническое задание на малый проект — скажем, СКУД частного дома, выпавший фирме на Старте 0 при узком профиле, — перегружать ссылками на полный корпус ГОСТ Р ИСО/МЭК 27000 не следует: это удорожает документацию, не повышая защищённость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4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методических документов ФСТЭК России и национальных стандартов по этапам жизненного цикла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3540"/>
        <w:gridCol w:w="3624"/>
      </w:tblGrid>
      <w:tr>
        <w:trPr>
          <w:cantSplit/>
          <w:tblHeader/>
        </w:trPr>
        <w:tc>
          <w:tcPr>
            <w:tcW w:type="dxa" w:w="219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проекта</w:t>
            </w:r>
          </w:p>
        </w:tc>
        <w:tc>
          <w:tcPr>
            <w:tcW w:type="dxa" w:w="354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Профильный документ</w:t>
            </w:r>
          </w:p>
        </w:tc>
        <w:tc>
          <w:tcPr>
            <w:tcW w:type="dxa" w:w="3624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 на данном этапе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Предпроектное обследование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Методика оценки угроз безопасности информации (2021)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Идентификация и классификация угроз объекта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Проектирование мер защиты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27002-2021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Выбор и обоснование мер обеспечения ИБ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Внедрение и монтаж СЗИ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Приказы ФСТЭК России о требованиях к классам защищённости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Установление требований к сертифицированным средствам защиты</w:t>
            </w:r>
          </w:p>
        </w:tc>
      </w:tr>
      <w:tr>
        <w:trPr>
          <w:cantSplit/>
          <w:tblHeader w:val="false"/>
        </w:trPr>
        <w:tc>
          <w:tcPr>
            <w:tcW w:type="dxa" w:w="219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Эксплуатация и аудит</w:t>
            </w:r>
          </w:p>
        </w:tc>
        <w:tc>
          <w:tcPr>
            <w:tcW w:type="dxa" w:w="35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ИСО/МЭК 27001-2021</w:t>
            </w:r>
          </w:p>
        </w:tc>
        <w:tc>
          <w:tcPr>
            <w:tcW w:type="dxa" w:w="3624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результативности системы менеджмента ИБ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демонстрирует, что у каждого этапа проекта есть собственный профильный документ, а не единый «универсальный» стандарт: попытка применять ГОСТ Р ИСО/МЭК 27001 на этапе предпроектного обследования, минуя методику оценки угроз, обычно приводит к формальному, оторванному от объекта перечню мер защиты — и это тот же принцип, что и в разделе 1.1: нормативная база подбирается под уже определённый тип и стадию проекта, а не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Кадровое обеспечение проекта: от профессиональных стандартов к панели подбора персонала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Кадровый ресурс проекта информационной безопасности регулируется не менее детально, чем нормативная база, и именно с него, а не со сметы, начинается практическая работа фирмы на Старте 0. Дисциплина «Управление проектами по защите информации» преподаётся по трём направлениям подготовки: 10.03.01 «Информационная безопасность» (уровень бакалавриата, компетенция ОПК-12), 10.04.01 «Информационная безопасность телекоммуникационных систем» (уровень магистратуры, компетенции УК-2, УК-3), 10.05.01 «Компьютерная безопасность» (уровень специалитета, компетенции УК-2, УК-9); применительно именно к Старту 0 методический блок дисциплины дополнительно задействует ОПК-12 и УК-9 для бакалавриата, ОПК-5 для специалитета и ОПК-1 для магистратуры — индикаторы, отвечающие не за проектирование системы защиты как таковой, а за подготовку исходных кадровых данных, без которых проектирование не начнётся.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1 марта 2023 года действуют обновлённые профессиональные стандарты 06.033 «Специалист по защите информации в автоматизированных системах» и 06.032 «Специалист по безопасности компьютерных систем и сетей», которые задают квалификационные уровни, перечень трудовых функций и требования к опыту работы для должностей, задействованных в проектах информационной безопасности; отдельно для инженерно-технических средств охраны применим профессиональный стандарт 06.034 «Специалист по технической защите информации» (приказ Минтруда России № 474н), устанавливающий квалификационные уровни 6–8. Постановление Правительства РФ от 03.02.2012 № 79 о лицензировании деятельности по технической защите конфиденциальной информации задаёт для лицензиата минимальную численность инженерно-технического персонала — от пяти до пятнадцати и более специалистов в зависимости от заявленного направления работ, — и именно это требование, а не произвольное усмотрение методиста, определяет минимальный размер штата, который фирма обязана подтвердить ещё до розыгрыша конкретного проекта.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Состав команды заметно различается по группам, установленным в разделе 1.2. Крупные проекты, сопоставимые по бюджету с созданием центра мониторинга информационной безопасности, требуют полного цикла ролей — от архитектора системы защиты до дежурного администратора; крупные организации выделяют на подобные структуры от 10 до 15% ИТ-бюджета. Малые и средние предприятия чаще привлекают внешнего исполнителя или переносят часть функций на аутсорсинг — услуги managed security service provider, — сохраняя в штате одного-двух специалистов, отвечающих за приёмку работ и последующую эксплуатацию.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5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Группировка кадровых ролей проекта информационной безопасности по профессиональным стандартам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2211"/>
        <w:gridCol w:w="1531"/>
        <w:gridCol w:w="3147"/>
      </w:tblGrid>
      <w:tr>
        <w:trPr>
          <w:cantSplit/>
          <w:tblHeader/>
        </w:trPr>
        <w:tc>
          <w:tcPr>
            <w:tcW w:type="dxa" w:w="246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 в проекте</w:t>
            </w:r>
          </w:p>
        </w:tc>
        <w:tc>
          <w:tcPr>
            <w:tcW w:type="dxa" w:w="221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Профессиональный стандарт</w:t>
            </w:r>
          </w:p>
        </w:tc>
        <w:tc>
          <w:tcPr>
            <w:tcW w:type="dxa" w:w="1531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Квалификационный уровень</w:t>
            </w:r>
          </w:p>
        </w:tc>
        <w:tc>
          <w:tcPr>
            <w:tcW w:type="dxa" w:w="3147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Ключевая трудовая функция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проекта ИБ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ФГОС 10.05.01, УК-2, УК-3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7–8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Планирование, контроль этапов, отчётность перед заказчиком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Архитектор / проектировщик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6–7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Разработка проектных решений и требований к СЗИ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СЗИ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Обслуживание и администрирование средств защиты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Аудитор / эксперт по защищённости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06.033, ОПК-6.2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Оценка соответствия объекта требованиям нормативных документов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Специалист по технической защите информации</w:t>
            </w:r>
          </w:p>
        </w:tc>
        <w:tc>
          <w:tcPr>
            <w:tcW w:type="dxa" w:w="221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06.034</w:t>
            </w:r>
          </w:p>
        </w:tc>
        <w:tc>
          <w:tcPr>
            <w:tcW w:type="dxa" w:w="1531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5–6</w:t>
            </w:r>
          </w:p>
        </w:tc>
        <w:tc>
          <w:tcPr>
            <w:tcW w:type="dxa" w:w="3147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Реализация мер защиты по техническим каналам утечки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5 показывают, что одна и та же роль в проекте может опираться сразу на два источника требований — профессиональный стандарт для практической деятельности и образовательный стандарт для подготовки кадров; расхождений между ними, как правило, не возникает, поскольку индикаторы достижения компетенций разрабатывались с прямой опорой на действующие трудовые функции.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Именно эта укомплектованность и проверяется на Старте 0 отдельной панелью подбора персонала — не абстрактным списком должностей, а таблицей конкретных сотрудников с полями «подходит», должность, требуемая квалификация, часовая ставка, коэффициент загрузки от 0 до 1 и итоговый месячный оклад, рассчитываемый по формуле (1.1):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r>
          <m:t>ФОТ = </m:t>
        </m:r>
        <m:sSub>
          <m:sSubPr/>
          <m:e>
            <m:r>
              <m:t>C</m:t>
            </m:r>
          </m:e>
          <m:sub>
            <m:r>
              <m:t>ч</m:t>
            </m:r>
          </m:sub>
        </m:sSub>
        <m:r>
          <m:t> × 160 × k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ФОТ — месячный фонд оплаты труда сотрудника, руб.; Сч — часовая тарифная ставка сотрудника, руб./ч; 160 — учебная норма рабочих часов в месяце при полной занятости, ч; k — коэффициент загрузки сотрудника на проекте, безразмерная величина в диапазоне от 0 до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кандидатов на подбор содержит не только соответствующих профилю выпавшего портфеля специалистов, но и намеренно подмешанные «ловушки» двух родов: реальные должности из других портфелей, правдоподобные по названию, но не подходящие выпавшему типу проекта, и заведомо посторонний персонал — психолог фирмы, массажист директора, водитель, охранник, — включённый в перечень не по ошибке составителя, а как инструмент проверки внимательности студента. Отдельная, более тонкая ловушка — «самозванец на правильной должности»: в перечне может встретиться кандидат, формально называющийся менеджером проекта, но с описанием опыта, не соответствующим требуемому уровню компетенций, и распознать такую подмену сложнее, чем отсеять водителя, потому что название должности само по себе не выдаёт ошибки.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Материально-технические ресурсы фирмы: категории капитальных и операционных затрат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Параллельно со штатом фирма на Старте 0 формирует материально-технический резерв, размеченный по тем же принципам, что и кадровый: часть позиций заведомо профильна, часть — избыточна для любого проекта. Резерв делится на два вида затрат, различие между которыми имеет не только бухгалтерское, но и управленческое значение. Капитальные затраты (CAPEX) — это единовременные вложения в активы длительного пользования: оборудование, технику, инструмент, — которые ставятся на баланс фирмы, амортизируются и окупаются в течение нескольких лет серией проектов, а не одним заказом; учебная норма полезного использования для таких активов принята в 36 месяцев. Операционные затраты (OPEX) — это текущие, регулярно повторяющиеся расходы на аренду офиса, его содержание, хостинг и связь, привлечение временного персонала по договорам гражданско-правового характера, разовые грузоперевозки и командировочные расходы.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Категории ресурсов фирмы по видам затрат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576"/>
        <w:gridCol w:w="5219"/>
      </w:tblGrid>
      <w:tr>
        <w:trPr>
          <w:cantSplit/>
          <w:tblHeader/>
        </w:trPr>
        <w:tc>
          <w:tcPr>
            <w:tcW w:type="dxa" w:w="2560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576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Вид затрат</w:t>
            </w:r>
          </w:p>
        </w:tc>
        <w:tc>
          <w:tcPr>
            <w:tcW w:type="dxa" w:w="5219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Примеры позиций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Основные средства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Ноутбук инженера, МФУ, тестовый стенд, грузовой автомобиль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Аренда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Помещение, руб./м² в месяц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Содержание офиса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Уборка, коммунальные платежи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Хостинг и связь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Интернет, IP-телефония, хостинг CRM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Трудовые ресурсы (ГПХ)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Договоры подряда с временными исполнителями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Грузоперевозки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Разовые рейсы под конкретную задачу</w:t>
            </w:r>
          </w:p>
        </w:tc>
      </w:tr>
      <w:tr>
        <w:trPr>
          <w:cantSplit/>
          <w:tblHeader w:val="false"/>
        </w:trPr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Командировочные расходы</w:t>
            </w:r>
          </w:p>
        </w:tc>
        <w:tc>
          <w:tcPr>
            <w:tcW w:type="dxa" w:w="157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OPEX</w:t>
            </w:r>
          </w:p>
        </w:tc>
        <w:tc>
          <w:tcPr>
            <w:tcW w:type="dxa" w:w="521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Суточные при выезде на объект, ст. 168 ТК РФ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6 указывает на то, что деление CAPEX/OPEX не совпадает с делением на «нужное» и «лишнее»: обе категории содержат как профильные, так и избыточные для конкретного проекта позиции. Строка фонда оплаты труда постоянного штата рассчитывается автоматически на основании данных вкладки кадрового обеспечения и не участвует в проверке ошибочности выбора — она не предмет решения студента, а производная от уже принятого кадрового решения. Избыточные позиции материально-технического резерва подобраны так же прицельно, как кадровые ловушки: автомобиль директора представительского класса, кофемашина, массажный стол, кулер — предметы, встречающиеся в реальных сметах небольших фирм под видом «представительских расходов», но не имеющие отношения к монтажу, адаптации и пусконаладке систем безопасности.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Норматив допустимой ошибочности подбора персонала и ресурсов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Подбор и штата, и материально-технического резерва подлежит проверке по единому нормативу: доля ошибочно отмеченных позиций не должна превышать 25% от общего числа позиций в перечне. Ошибочность вычисляется по формуле (1.2):</w:t>
      </w:r>
    </w:p>
    <w:p>
      <w:pPr>
        <w:tabs>
          <w:tab w:val="right" w:pos="9026"/>
        </w:tabs>
        <w:spacing w:after="60" w:before="120" w:line="360" w:lineRule="auto"/>
        <w:jc w:val="left"/>
      </w:pPr>
      <m:oMath>
        <m:sSub>
          <m:sSubPr/>
          <m:e>
            <m:r>
              <m:t>E</m:t>
            </m:r>
          </m:e>
          <m:sub>
            <m:r>
              <m:t>перс</m:t>
            </m:r>
          </m:sub>
        </m:sSub>
        <m:r>
          <m:t> = 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ош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общ</m:t>
                </m:r>
              </m:sub>
            </m:sSub>
          </m:den>
        </m:f>
        <m:r>
          <m:t> × 100%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(1.2)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Eперс — процент ошибочности подбора персонала или ресурсов; Nош — число позиций, отмеченных студентом неверно (профильный сотрудник или ресурс не отмечен либо непрофильный отмечен ошибочно); Nобщ — общее число позиций в проверяемом перечне.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Если значение Eперс превышает 25%, автоматическая фиксация состава не происходит: студенту предлагается пересмотреть перечень, снять лишние отметки и добавить недостающие. Если значение не превышает 25%, состав фиксируется автоматически, а формулировка вида «при подборе персонала фирмы допущено N ошибочных штатных единиц из M (X,X%)» включается в итоговый отчёт по проекту. Норматив в 25% — не техническое ограничение интерфейса, а методическое решение: он достаточно строг, чтобы отсечь случайное, невнимательное заполнение перечня, и достаточно мягок, чтобы не требовать от студента, впервые видящего незнакомую номенклатуру должностей и позиций снабжения, стопроцентной точности с первой попытки.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Норматив 25% не следует путать с двумя другими пороговыми значениями, действующими в иных разделах практикума: тесты на усвоение компетенций по итогам каждого занятия засчитываются при результате не ниже 75% правильных ответов, а аудит информационной безопасности заказчика, рассматриваемый в отдельной главе этой части учебника, требует не менее 80% правильных ответов по контрольным точкам конкретного вида систем. Совпадение порядка величины — четверть ошибок в одном случае, три четверти и четыре пятых правильных ответов в других — не случайно: все три норматива устанавливают приемлемую, но не нулевую погрешность, признавая, что и в реальной практике управления проектом информационной безопасности стопроцентная точность на каждом шаге недостижима, а профессионализм измеряется способностью удерживать ошибку в разумных пределах, а не полным её отсутствием.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Итоговый тест по компетенциям Старта 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Фиксацией штата и ресурсов Старт 0 не заканчивается: этап закрывается отдельной проверкой знаний — тестом на усвоение компетенций, заявленных в цели этапа. Вопросы не выбираются произвольно, а формируются строго по компетенциям, перечисленным для каждого из трёх направлений подготовки в этой цели: для бакалавриата 10.03.01 это ОПК-12 и УК-9, для специалитета 10.05.01 — ОПК-5, для магистратуры 10.04.01 — ОПК-1. На каждую компетенцию банк вопросов содержит четыре формулировки с выбором варианта ответа, и поэтому тест Старта 0 у трёх направлений не совпадает ни по составу, ни по объёму: бакалавр отвечает на восемь вопросов, поскольку у него на этом этапе заявлены две компетенции, специалист и магистр — на четыре вопроса каждый, поскольку у них заявлено по одной. Студент разных направлений в одной учебной группе проходит формально один и тот же этап Старта 0, но содержательно разные тесты — и это не небрежность составителя, а прямое следствие того, что три образовательных стандарта требуют от выпускника разного объёма знаний уже на входе в дисциплину.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Порог зачёта — не ниже 75% правильных ответов, о чём уже шла речь в разделе 1.6 при сравнении с нормативом ошибочности подбора ресурсов. Результат ниже порога не блокирует продолжение работы безвозвратно: студенту предлагается пройти тест заново, и повторная попытка доступна без ограничения по числу заходов. Отдельно от штатной сдачи предусмотрен инструмент принудительного зачёта, которым может воспользоваться преподаватель — например, при демонстрационном прохождении этапа перед аудиторией, когда многократное ожидание корректного ответа от каждого студента группы нецелесообразно; такой зачёт помечается в итоговом отчёте отдельной пометкой и не смешивается с результатом, полученным самостоятельным прохождением теста, — различие остаётся видимым и после того, как практикум сдан.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 теста, независимо от того, получен он самостоятельно или через принудительный зачёт, попадает в итоговый печатный отчёт по проекту вместе с результатами всех последующих этапов — это тот же отчётный механизм, который фиксирует ошибочность подбора персонала и ресурсов, разобранную в разделе 1.6. Совмещение двух форм проверки в одном отчёте — количественной (25% допустимой ошибочности при подборе) и содержательной (75% для зачёта теста) — даёт преподавателю более полную картину готовности студента к следующему занятию, чем любая из этих двух проверок по отдельности: можно правильно собрать штат, но не объяснить, почему выбор именно такой, и наоборот.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1.8. Особенности аудита проектов информационной безопасности по видам систем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Типология, нормативная база и кадровое обеспечение, рассмотренные в разделах 1.1–1.4, определяют, что должно быть заложено в проект ещё на стадии подбора ресурсов. Отдельный вопрос — забегая вперёд, к главам об исполнении и сдаче проекта, — что из заложенного реально проверяется при сдаче объекта и какие пункты систематически выпадают из поля зрения менеджера проекта или администрации заказчика уже после ввода системы в эксплуатацию. Ответ на этот вопрос даёт справочник-аудитор систем безопасности, составленный по материалам курсовых проектов и типовых смет на монтаж СКУД, видеонаблюдения, пожарной и охранной сигнализации. Ниже приведены пять чек-листов — по числу основных видов систем безопасности, входящих в состав проектов, разыгрываемых на Старте 0, — с указанием контрольных точек аудита и типичных упущений, которые справочник фиксирует по каждому виду систем отдельно; студент, только формирующий штат и ресурсы фирмы в разделах 1.4–1.6, увидит здесь, к каким именно ошибкам на объекте приведёт нехватка соответствующего специалиста или инструмента уже на стадии исполнения.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контроля и управления доступом (СКУД):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Блоки питания и резервирование (АКБ) контроллеров и замков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закладывается не для всего оборудования, а выборочно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Заземление контроллеров и металлических корпусов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формально, без замера сопротивления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и запас кабеля на вводе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Кабель маркируют на одном конце линии, запас на вводе — менее 5 м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учёта регистрации карт доступа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записей не сверяется с фактическим списком сотрудников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Исполнительная документация по факту монтажа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Схемы соответствуют проекту, но не соответствуют фактическому монтажу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7 следует, что для СКУД большинство упущений сосредоточено не на этапе монтажа основного оборудования, а на этапе документального и энергетического резервирования — том самом, который сложнее всего проверить визуально при приёмке объекта.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8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системы видеонаблюдения: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питание тракта «камера — регистратор»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ИБП закладывается для регистратора, но не для камер уличного контура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удалённого доступа (IP, порты, DDNS)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на этапе сдачи, но не проверяется при смене провайдера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программное обеспечение видеоаналитики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Лицензия закупается, но не активируется на рабочем сервере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Синхронизация времени (NTP) между камерами и регистратором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Часовой пояс не выставляется, архив «плывёт» по времени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Резервное копирование архива записей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Настраивается локально, без выноса копии на внешний носитель или в облако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8 фиксирует упущения, которые не влияют на работу системы в момент приёмки, но проявляются спустя недели или месяцы эксплуатации — при первом же расследовании инцидента, когда выясняется, что нужный фрагмент архива не сохранился или время на записи не соответствует действительности.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9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пожарной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чувствительности извещателей в реальных условиях объекта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Ограничиваются заводским паспортом прибора, без замера на месте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Автономность системы от аккумуляторов (не менее 24 часов)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Проверяется факт наличия АКБ, но не время реальной автономной работы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пожарной охраны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принимается «по бумагам», без контрольного вызова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Приоритет пожарной тревоги над охранной в общем приборе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Настройка приоритета не проверяется при вводе в эксплуатацию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проекта с требованиями МЧС (НПБ 104-03, СП 3.13130)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Согласование откладывается «на потом» и выпадает из графика проекта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9 показывает специфику именно противопожарных систем: здесь цена упущения выше, чем для СКУД или видеонаблюдения, поскольку речь идёт не о защите информации в узком смысле, а о жизни и здоровье людей.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10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проекта охранной сигнализации: контрольные точки и типичные упущения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Маркировка шлейфов сигнализации на обоих концах линии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Маркируется только на приборе, без метки на извещателе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Журнал событий (запись всех тревог с датой и временем)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Полнота записи не проверяется, сверяется только факт наличия журнала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Автономная работа при отключении сети 220 В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на АКБ проверяется, но не контролируется глубина разряда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Передача сигнала на пульт централизованного наблюдения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Канал связи проверяется однократно при сдаче, без периодического теста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Права постановки/снятия с охраны (коды, карты, ключи)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актуальных пользователей не сверяется с кадровыми изменениями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10 демонстрирует, что для охранной сигнализации типичные упущения смещены в сторону эксплуатационной дисциплины: сами технические средства чаще всего исправны, но права доступа и журналы событий не актуализируются вслед за кадровыми изменениями у заказчика.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11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Аудит гибридных проектов информационной безопасности: типичные ошибки интеграции подсистем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"/>
        <w:gridCol w:w="4628"/>
        <w:gridCol w:w="4235"/>
      </w:tblGrid>
      <w:tr>
        <w:trPr>
          <w:cantSplit/>
          <w:tblHeader/>
        </w:trPr>
        <w:tc>
          <w:tcPr>
            <w:tcW w:type="dxa" w:w="49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462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Контрольная точка аудита</w:t>
            </w:r>
          </w:p>
        </w:tc>
        <w:tc>
          <w:tcPr>
            <w:tcW w:type="dxa" w:w="423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Типичное упущение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Резервирование питания для всех подсистем комплекса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Резервируется питание головной станции, но не всех периферийных узлов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протоколов оборудования разных производителей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Совместимость не проверяется заранее, выявляется на этапе интеграции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Пропускная способность сети Ethernet для IP-систем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Сеть проектируется без запаса, коммутаторы перегружаются при пиковой нагрузке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Лицензии на модули интеграции между подсистемами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Базовое ПО лицензируется, доплата за интеграционные модули не закладывается в бюджет</w:t>
            </w:r>
          </w:p>
        </w:tc>
      </w:tr>
      <w:tr>
        <w:trPr>
          <w:cantSplit/>
          <w:tblHeader w:val="false"/>
        </w:trPr>
        <w:tc>
          <w:tcPr>
            <w:tcW w:type="dxa" w:w="49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2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персонала заказчика работе с единой платформой</w:t>
            </w:r>
          </w:p>
        </w:tc>
        <w:tc>
          <w:tcPr>
            <w:tcW w:type="dxa" w:w="423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Обучение проводится формально, без отработки сценариев на реальном объекте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11 обобщает раздел «Распространённые ошибки» справочника-аудитора и показывает, что для гибридных проектов дефицит ресурса проявляется не в отдельных подсистемах, а на стыке между ними: каждая подсистема в отдельности может быть принята без замечаний, а совокупный комплекс — не соответствовать техническому заданию именно из-за нескоординированного резервирования, лицензирования и обучения персонала.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Контрольные вопросы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Чем анкета о профиле специализации фирмы на Старте 0 отличается от карточки CRM с данными обратившегося клиента и почему их нельзя заполнять одной формой?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Как ответ на анкету о профиле фирмы влияет на результат розыгрыша типа проекта — определяет его напрямую или сокращает пул возможных вариантов?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Почему три портфеля проектов на Старте 0 открываются последовательно, а не одновременно?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По какому принципу каждому из двадцати типов проекта присваивается код ОКВЭД и почему коду 43.21 соответствуют сразу шесть разных типов проекта?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По каким двум основаниям различаются проекты информационной безопасности?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Чем отличаются друг от друга крупные, средние и малые проекты ИБ по параметрам стоимости и трудоёмкости?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Почему процент снижения риска не всегда коррелирует с масштабом проекта по стоимости?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Перечислите четыре уровня нормативного регулирования проекта ИБ и укажите, какие из них обязательны для проекта любого масштаба.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Какую минимальную численность инженерно-технического персонала устанавливает Постановление Правительства РФ № 79 для лицензиата деятельности по технической защите информации?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По какой формуле рассчитывается месячный фонд оплаты труда сотрудника на панели подбора персонала и что означает в этой формуле коэффициент загрузки?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Какие два рода «ловушек» встречаются в перечне кандидатов на подбор персонала и чем ловушка «самозванец на правильной должности» опаснее очевидно постороннего кандидата?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Чем капитальные затраты (CAPEX) отличаются от операционных (OPEX) применительно к ресурсам фирмы на Старте 0 и какова учебная норма амортизации основных средств?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По какой формуле рассчитывается процент ошибочности подбора персонала или ресурсов и какой порог считается допустимым на Старте 0?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Чем норматив допустимой ошибочности подбора персонала (25%) отличается от порога зачёта теста на компетенции (75%) и порога зачёта аудита ИБ заказчика (80%)?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Почему тест на компетенции Старта 0 состоит из разного числа вопросов у бакалавра, специалиста и магистра и какие компетенции проверяет каждое из трёх направлений?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Чем принудительный зачёт теста, доступный преподавателю, отличается от самостоятельной сдачи и почему в итоговом отчёте эти два случая помечаются раздельно?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Какие пункты чаще всего упускаются при аудите проекта СКУД и почему они трудно выявляются визуально?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В чём заключается специфика типичных ошибок гибридных проектов ИБ по сравнению с ошибками отдельной подсистемы?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 к главе 1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Федеральный закон от 27.07.2006 № 149-ФЗ «Об информации, информационных технологиях и о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Федеральный закон от 27.07.2006 № 152-ФЗ «О персональных данных».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Федеральный закон от 29.07.2004 № 98-ФЗ «О коммерческой тайне».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Федеральный закон от 26.07.2017 № 187-ФЗ «О безопасности критической информационной инфраструктуры Российской Федерации».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ГОСТ Р 50922-2006. Защита информации. Основные термины и определения. — М.: Стандартинформ, 2008.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ГОСТ Р ИСО/МЭК 27001-2021. Информационная технология. Методы и средства обеспечения безопасности. Системы менеджмента информационной безопасности. Требования.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ГОСТ Р ИСО/МЭК 27002-2021. Информационные технологии. Методы и средства обеспечения безопасности. Свод норм и правил применения мер обеспечения информационной безопасности. — М.: Стандартинформ, 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Методика оценки угроз безопасности информации: утв. ФСТЭК России 05.02.2021.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Постановление Правительства РФ от 03.02.2012 № 79 «О лицензировании деятельности по технической защите конфиденциальной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Приказ Минтруда России от 14.09.2022 № 525н «Об утверждении профессионального стандарта 06.033 «Специалист по защите информации в автоматизированных системах»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Приказ Минтруда России от 14.09.2022 № 533н «Об утверждении профессионального стандарта 06.032 «Специалист по безопасности компьютерных систем и сетей» (действует с 01.03.2023).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Приказ Минтруда России № 474н «Об утверждении профессионального стандарта 06.034 «Специалист по технической защите информации».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Общероссийский классификатор видов экономической деятельности (ОКВЭД 2) ОК 029-2014 (КДЕС Ред. 2): раздел F, код 43.21; раздел J, код 62.02; код 63.11; раздел M, коды 70.22, 74.90; раздел P, код 85.42.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14. Приказ Минобрнауки России от 17.11.2020 № 1427 «Об утверждении ФГОС ВО по направлению подготовки 10.03.01 Информационная безопасность (уровень бакалавриата)».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15. Приказ Минобрнауки России от 26.11.2020 № 1455 «Об утверждении ФГОС ВО по направлению подготовки 10.04.01 Информационная безопасность телекоммуникационных систем (уровень магистратуры)».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16. Приказ Минобрнауки России от 26.11.2020 № 1459 «Об утверждении ФГОС ВО по специальности 10.05.01 Компьютерная безопасность (уровень специалитета)».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17. Трудовой кодекс Российской Федерации, ст. 168 «Возмещение расходов, связанных со служебной командировкой».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18. Налоговый кодекс Российской Федерации, ст. 425 «Тарифы страховых взносов».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19. Мандрица И.В., Петренко В.И., Мандрица О.В. Управление проектами по защите информации и экономика защиты информации: учебное пособие. — Ставрополь: Изд-во СКФУ, 2022.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20. Галатенко В.А. Стандарты информационной безопасности: курс лекций. — М.: ИНТУИТ, 2019. — 264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21. Щеглов А.Ю. Защита компьютерной информации от несанкционированного доступа. — СПб.: Наука и Техника, 2017. — 384 с.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Справочник аудитора систем безопасности: чек-лист полноты состава работ (СКУД, видеонаблюдение, пожарная и охранная сигнализация, гибридные системы). — 2025. — Версия 1.0.</w:t>
      </w:r>
    </w:p>
    <w:p>
      <w:p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23. Тесты на усвоение компетенций практикума по десяти этапам (Старт 0, Занятия 1–9): банк вопросов по направлениям 10.03.01, 10.04.01, 10.05.01, по 4 вопроса на компетенцию. — 2026.</w:t>
      </w:r>
    </w:p>
    <w:p>
      <w:r>
        <w:br w:type="page"/>
      </w:r>
    </w:p>
    <w:p>
      <w:pPr>
        <w:spacing w:after="24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ГЛАВА 2. ЗАНЯТИЕ 1: ФОРМИРОВАНИЕ РЕСУРСНОЙ БАЗЫ ПРОЕКТА ИНФОРМАЦИОННОЙ БЕЗОПАСНОСТИ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Старте 0 фирма прошла путь от розыгрыша типа проекта до утверждённого штатного расписания: персонал отобран, ошибочность подбора не превышает установленного норматива в 25%, состав зафиксирован и заново на последующих занятиях не пересматривается. Занятие 1 продолжает этот путь, но смещает фокус с вопроса «кто будет работать над проектом» на вопрос «чем фирма будет для этого располагать и с чего начнётся работа над уже определившимся составом задач». Отсюда два предмета занятия, формально независимых, но фактически связанных общим ресурсным основанием: разграничение материально-технического резерва фирмы на капитальные и операционные затраты и распределение уже отобранного персонала по первым задачам подготовительного этапа проекта.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Цель и задачи занятия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Компетентностная рамка Занятия 1 частично повторяет рамку Старта 0 и частично её расширяет. Общими остаются ОПК-12 и УК-9 направления 10.03.01 — компетенции подготовки исходных данных и принятия обоснованных экономических решений, задействованные ещё при отборе персонала. Новым элементом становится УК-2 специальности 10.05.01 — «способен управлять проектом на всех этапах его жизненного цикла»: занятие впервые в практикуме явно ставит студента перед первым из этих этапов, поскольку разделение ресурсов на CAPEX и OPEX и запуск подготовительных задач — типично начальная, а не завершающая процедура проектного цикла. Направление 10.04.01 на этом занятии собственной компетенции не задействует — не по недосмотру составителя, а по той же логике избирательности, что уже отмечалась применительно к тестам Старта 0: не каждый этап практикума формирует компетенции всех трёх направлений одновременно, и там, где магистратура не упомянута в формулировке цели, для неё на этом занятии нет и отдельного контроля.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Прикладных задач у занятия четыре, и их порядок неслучаен: сначала фирма должна развести все статьи расхода на капитальные и операционные, обосновав выбор для каждой конкретной позиции; затем — отделить позиции, реально нужные выпавшему типу проекта, от избыточных или относящихся к другим портфелям; далее — назначить уже отобранных на Старте 0 сотрудников на задачи первого, подготовительного этапа проекта и рассчитать стоимость труда по каждой задаче; и только в конце — определить предшествующие связи между задачами, без которых календарный план на Занятии 3 не выстроится корректно. Показательно, что первые две задачи оперируют деньгами, а третья и четвёртая — временем и людьми: занятие соединяет два разных, но одинаково необходимых взгляда на один и тот же набор ресурсов.</w:t>
      </w:r>
    </w:p>
    <w:p>
      <w:pPr>
        <w:spacing w:after="60" w:before="18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Нормативно-правовые основания формирования и учёта ресурсов фирмы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Разделение ресурсов на CAPEX и OPEX выглядит на экране практикума простым выпадающим списком из двух значений, но за этим списком стоит не методическая условность, а действующая система бухгалтерского и налогового учёта, к которой фирма обязана обращаться независимо от того, участвует она в учебном практикуме или ведёт реальную деятельность.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отнесения актива к основным средствам — то есть к CAPEX в терминологии практикума — задан Федеральным стандартом бухгалтерского учёта ФСБУ 6/2020 «Основные средства», утверждённым приказом Минфина России от 17.09.2020 № 204н и обязательным к применению с отчётности за 2022 год: объект признаётся основным средством, если используется в деятельности организации дольше двенадцати месяцев и способен приносить экономические выгоды в будущем, а не потому, что стоит дороже определённой суммы. Параллельно с бухгалтерским критерием действует налоговый — статьи 256–257 главы 25 Налогового кодекса РФ относят имущество к амортизируемому при том же сроке полезного использования свыше двенадцати месяцев, но добавляют стоимостной порог: первоначальная стоимость объекта должна превышать 100 000 рублей. Расхождение между двумя критериями — не редакционная небрежность законодателя, а следствие того, что бухгалтерский и налоговый учёт решают разные задачи: первый формирует достоверную картину активов для инвестора и собственника, второй — базу для расчёта налога на прибыль. Ноутбук инженера стоимостью 65 000 рублей, отмеченный в таблице ресурсов Занятия 1 как CAPEX, останется основным средством по ФСБУ 6/2020, но не попадёт в состав амортизируемого имущества по Налоговому кодексу — различие, которое студент, готовящий реальное технико-экономическое обоснование за пределами учебной аудитории, обязан учитывать отдельно от упрощённого деления практикума.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Операционные затраты нормативно менее централизованы, поскольку объединяют разнородные статьи расхода, каждая со своим основанием. Строка фонда оплаты труда постоянного штата, автоматически подтягиваемая в таблицу ресурсов из данных Старта 0, отражает не только оклад сотрудника, но и обязательные страховые взносы работодателя: 30% на обязательное пенсионное и медицинское страхование и страхование на случай временной нетрудоспособности по статье 425 главы 34 Налогового кодекса РФ, плюс взнос на травматизм по Федеральному закону от 24.07.1998 № 125-ФЗ, минимальный размер которого — 0,2% для первого класса профессионального риска, к которому относится большинство офисных и монтажных работ. Строка командировочных расходов — суточные при выезде инженера на объект — опирается на статью 168 Трудового кодекса РФ, обязывающую работодателя возмещать работнику расходы, связанные со служебной командировкой, независимо от того, оформлена ли поездка отдельным приказом или входит в обычные должностные обязанности выездного специалиста.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Сам факт, что ресурсы проекта формируются как отдельная, документируемая процедура, а не складываются стихийно из того, что уже есть у фирмы, закреплён и на уровне национальных стандартов проектного менеджмента. ГОСТ Р 54869-2011 «Проектный менеджмент. Требования к управлению проектом» относит планирование ресурсов проекта к числу обязательных процессов стадии инициации и планирования, наравне с планированием содержания и сроков. ГОСТ Р ИСО 21500-2014 «Руководство по проектному менеджменту» — национальная адаптация международного стандарта ISO 21500:2012 — детализирует это требование через отдельную группу процессов управления ресурсами, включающую как определение состава ресурсов, так и назначение исполнителей на задачи проекта: это ровно те две задачи занятия, которые выше были обозначены как третья и четвёртая.</w:t>
      </w:r>
    </w:p>
    <w:p>
      <w:pPr>
        <w:spacing w:after="0" w:before="0" w:line="36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Таблица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Нормативно-правовая база формирования и учёта ресурсов фирмы на Занятии 1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3605"/>
        <w:gridCol w:w="2832"/>
      </w:tblGrid>
      <w:tr>
        <w:trPr>
          <w:cantSplit/>
          <w:tblHeader/>
        </w:trPr>
        <w:tc>
          <w:tcPr>
            <w:tcW w:type="dxa" w:w="2918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Документ</w:t>
            </w:r>
          </w:p>
        </w:tc>
        <w:tc>
          <w:tcPr>
            <w:tcW w:type="dxa" w:w="3605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устанавливает</w:t>
            </w:r>
          </w:p>
        </w:tc>
        <w:tc>
          <w:tcPr>
            <w:tcW w:type="dxa" w:w="2832"/>
            <w:shd w:fill="D9E4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Применение на занятии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ФСБУ 6/2020 «Основные средства» (приказ Минфина России от 17.09.2020 № 204н)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признания актива основным средством — использование свыше 12 месяцев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Отнесение позиции резерва к CAPEX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25, ст. 256–257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Критерий амортизируемого имущества — срок свыше 12 месяцев и стоимость свыше 100 000 руб.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Налоговая граница CAPEX, не совпадающая с бухгалтерской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НК РФ, гл. 34, ст. 425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Тарифы страховых взносов на выплаты персоналу — 30%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полной стоимости ФОТ в составе OPEX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ФЗ от 24.07.1998 № 125-ФЗ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Взносы на травматизм — от 0,2% по классу риска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Дополнение к ФОТ по классу профессионального риска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ТК РФ, ст. 168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Возмещение расходов на служебную командировку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Обоснование строки «Командировочные расходы»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54869-2011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 обязательных процессов управления проектом, включая планирование ресурсов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Методическое основание самой процедуры занятия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 Р ИСО 21500-2014</w:t>
            </w:r>
          </w:p>
        </w:tc>
        <w:tc>
          <w:tcPr>
            <w:tcW w:type="dxa" w:w="3605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Группа процессов управления ресурсами проекта: состав ресурсов и назначение исполнителей</w:t>
            </w:r>
          </w:p>
        </w:tc>
        <w:tc>
          <w:tcPr>
            <w:tcW w:type="dxa" w:w="2832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Основание для задач 3–4 занятия — назначение персонала на задачи</w:t>
            </w:r>
          </w:p>
        </w:tc>
      </w:tr>
    </w:tbl>
    <w:p>
      <w:pPr>
        <w:spacing w:after="0" w:before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7 свидетельствуют о том, что ни один из семи документов не адресован проектам информационной безопасности напрямую: все они регулируют учёт и управление проектом вообще, безотносительно к отрасли, тогда как отраслевая специфика ИБ — лицензионные требования, профессиональные стандарты, серия ГОСТ Р ИСО/МЭК 27000 — была рассмотрена применительно к кадровому и содержательному наполнению проекта в предыдущей главе. Ресурсное занятие в этом смысле — редкий для практикума эпизод, где нормативная опора носит не отраслевой, а сквозной, общеэкономический характер: та же логика разграничения CAPEX и OPEX применима к фирме любого профиля, не только к подрядчику по защите информации, и ошибку в этом разграничении не спишешь на незнание отраслевой специфики.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32043dfff5951398332e08dd9c24b1c5f5e4a9.svg"/><Relationship Id="rId8" Type="http://schemas.openxmlformats.org/officeDocument/2006/relationships/image" Target="media/c0e3ebae66e5d18ea723b3dce7775c54e6f57fd5.png"/><Relationship Id="rId9" Type="http://schemas.openxmlformats.org/officeDocument/2006/relationships/image" Target="media/922c1241969098272bdb073cb9a46ef854aab6e5.svg"/><Relationship Id="rId10" Type="http://schemas.openxmlformats.org/officeDocument/2006/relationships/image" Target="media/dbd82f16c16f1df028c4941301f55665c3e2c74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2026-07-29T21:07:13.089Z</dcterms:created>
  <dcterms:modified xsi:type="dcterms:W3CDTF">2026-07-29T21:07:13.096Z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