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2. ЗАНЯТИЕ 1: ФОРМИРОВАНИЕ РЕСУРСНОЙ БАЗЫ ПРОЕКТА ИНФОРМАЦИОННОЙ БЕЗОПАСНОСТИ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Старте 0 фирма прошла путь от розыгрыша типа проекта до утверждённого штатного расписания: персонал отобран, ошибочность подбора не превышает установленного норматива в 25%, состав зафиксирован и заново на последующих занятиях не пересматривается. Занятие 1 продолжает этот путь, но смещает фокус с вопроса «кто будет работать над проектом» на вопрос «чем фирма будет для этого располагать и с чего начнётся работа над уже определившимся составом задач». Отсюда два предмета занятия, формально независимых, но фактически связанных общим ресурсным основанием: разграничение материально-технического резерва фирмы на капитальные и операционные затраты и распределение уже отобранного персонала по первым задачам подготовительного этапа проекта.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Цель и задачи занятия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Компетентностная рамка Занятия 1 частично повторяет рамку Старта 0 и частично её расширяет. Общими остаются ОПК-12 и УК-9 направления 10.03.01 — компетенции подготовки исходных данных и принятия обоснованных экономических решений, задействованные ещё при отборе персонала. Новым элементом становится УК-2 специальности 10.05.01 — «способен управлять проектом на всех этапах его жизненного цикла»: занятие впервые в практикуме явно ставит студента перед первым из этих этапов, поскольку разделение ресурсов на CAPEX и OPEX и запуск подготовительных задач — типично начальная, а не завершающая процедура проектного цикла. Направление 10.04.01 на этом занятии собственной компетенции не задействует — не по недосмотру составителя, а по той же логике избирательности, что уже отмечалась применительно к тестам Старта 0: не каждый этап практикума формирует компетенции всех трёх направлений одновременно, и там, где магистратура не упомянута в формулировке цели, для неё на этом занятии нет и отдельного контроля.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Прикладных задач у занятия четыре, и их порядок неслучаен: сначала фирма должна развести все статьи расхода на капитальные и операционные, обосновав выбор для каждой конкретной позиции; затем — отделить позиции, реально нужные выпавшему типу проекта, от избыточных или относящихся к другим портфелям; далее — назначить уже отобранных на Старте 0 сотрудников на задачи первого, подготовительного этапа проекта и рассчитать стоимость труда по каждой задаче; и только в конце — определить предшествующие связи между задачами, без которых календарный план на Занятии 3 не выстроится корректно. Показательно, что первые две задачи оперируют деньгами, а третья и четвёртая — временем и людьми: занятие соединяет два разных, но одинаково необходимых взгляда на один и тот же набор ресурсов.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Нормативно-правовые основания формирования и учёта ресурсов фирмы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Разделение ресурсов на CAPEX и OPEX выглядит на экране практикума простым выпадающим списком из двух значений, но за этим списком стоит не методическая условность, а действующая система бухгалтерского и налогового учёта, к которой фирма обязана обращаться независимо от того, участвует она в учебном практикуме или ведёт реальную деятельность.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Критерий отнесения актива к основным средствам — то есть к CAPEX в терминологии практикума — задан Федеральным стандартом бухгалтерского учёта ФСБУ 6/2020 «Основные средства», утверждённым приказом Минфина России от 17.09.2020 № 204н и обязательным к применению с отчётности за 2022 год: объект признаётся основным средством, если используется в деятельности организации дольше двенадцати месяцев и способен приносить экономические выгоды в будущем, а не потому, что стоит дороже определённой суммы. Параллельно с бухгалтерским критерием действует налоговый — статьи 256–257 главы 25 Налогового кодекса РФ относят имущество к амортизируемому при том же сроке полезного использования свыше двенадцати месяцев, но добавляют стоимостной порог: первоначальная стоимость объекта должна превышать 100 000 рублей. Расхождение между двумя критериями — не редакционная небрежность законодателя, а следствие того, что бухгалтерский и налоговый учёт решают разные задачи: первый формирует достоверную картину активов для инвестора и собственника, второй — базу для расчёта налога на прибыль. Ноутбук инженера стоимостью 65 000 рублей, отмеченный в таблице ресурсов Занятия 1 как CAPEX, останется основным средством по ФСБУ 6/2020, но не попадёт в состав амортизируемого имущества по Налоговому кодексу — различие, которое студент, готовящий реальное технико-экономическое обоснование за пределами учебной аудитории, обязан учитывать отдельно от упрощённого деления практикума.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Операционные затраты нормативно менее централизованы, поскольку объединяют разнородные статьи расхода, каждая со своим основанием. Строка фонда оплаты труда постоянного штата, автоматически подтягиваемая в таблицу ресурсов из данных Старта 0, отражает не только оклад сотрудника, но и обязательные страховые взносы работодателя: 30% на обязательное пенсионное и медицинское страхование и страхование на случай временной нетрудоспособности по статье 425 главы 34 Налогового кодекса РФ, плюс взнос на травматизм по Федеральному закону от 24.07.1998 № 125-ФЗ, минимальный размер которого — 0,2% для первого класса профессионального риска, к которому относится большинство офисных и монтажных работ. Строка командировочных расходов — суточные при выезде инженера на объект — опирается на статью 168 Трудового кодекса РФ, обязывающую работодателя возмещать работнику расходы, связанные со служебной командировкой, независимо от того, оформлена ли поездка отдельным приказом или входит в обычные должностные обязанности выездного специалиста.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Сам факт, что ресурсы проекта формируются как отдельная, документируемая процедура, а не складываются стихийно из того, что уже есть у фирмы, закреплён и на уровне национальных стандартов проектного менеджмента. ГОСТ Р 54869-2011 «Проектный менеджмент. Требования к управлению проектом» относит планирование ресурсов проекта к числу обязательных процессов стадии инициации и планирования, наравне с планированием содержания и сроков. ГОСТ Р ИСО 21500-2014 «Руководство по проектному менеджменту» — национальная адаптация международного стандарта ISO 21500:2012 — детализирует это требование через отдельную группу процессов управления ресурсами, включающую как определение состава ресурсов, так и назначение исполнителей на задачи проекта: это ровно те две задачи занятия, которые выше были обозначены как третья и четвёртая.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12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Нормативно-правовая база формирования и учёта ресурсов фирмы на Занятии 1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8"/>
        <w:gridCol w:w="3605"/>
        <w:gridCol w:w="2832"/>
      </w:tblGrid>
      <w:tr>
        <w:trPr>
          <w:cantSplit/>
          <w:tblHeader/>
        </w:trPr>
        <w:tc>
          <w:tcPr>
            <w:tcW w:type="dxa" w:w="2918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Документ</w:t>
            </w:r>
          </w:p>
        </w:tc>
        <w:tc>
          <w:tcPr>
            <w:tcW w:type="dxa" w:w="360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устанавливает</w:t>
            </w:r>
          </w:p>
        </w:tc>
        <w:tc>
          <w:tcPr>
            <w:tcW w:type="dxa" w:w="283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Применение на занятии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ФСБУ 6/2020 «Основные средства» (приказ Минфина России от 17.09.2020 № 204н)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Критерий признания актива основным средством — использование свыше 12 месяцев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Отнесение позиции резерва к CAPEX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НК РФ, гл. 25, ст. 256–257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Критерий амортизируемого имущества — срок свыше 12 месяцев и стоимость свыше 100 000 руб.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Налоговая граница CAPEX, не совпадающая с бухгалтерской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НК РФ, гл. 34, ст. 425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Тарифы страховых взносов на выплаты персоналу — 30%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 полной стоимости ФОТ в составе OPEX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ФЗ от 24.07.1998 № 125-ФЗ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на травматизм — от 0,2% по классу риска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Дополнение к ФОТ по классу профессионального риска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ТК РФ, ст. 168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Возмещение расходов на служебную командировку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Обоснование строки «Командировочные расходы»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54869-2011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Состав обязательных процессов управления проектом, включая планирование ресурсов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Методическое основание самой процедуры занятия</w:t>
            </w:r>
          </w:p>
        </w:tc>
      </w:tr>
      <w:tr>
        <w:trPr>
          <w:cantSplit/>
          <w:tblHeader w:val="false"/>
        </w:trPr>
        <w:tc>
          <w:tcPr>
            <w:tcW w:type="dxa" w:w="2918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ИСО 21500-2014</w:t>
            </w:r>
          </w:p>
        </w:tc>
        <w:tc>
          <w:tcPr>
            <w:tcW w:type="dxa" w:w="360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Группа процессов управления ресурсами проекта: состав ресурсов и назначение исполнителей</w:t>
            </w:r>
          </w:p>
        </w:tc>
        <w:tc>
          <w:tcPr>
            <w:tcW w:type="dxa" w:w="283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Основание для задач 3–4 занятия — назначение персонала на задачи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Данные таблицы 12 свидетельствуют о том, что ни один из семи документов не адресован проектам информационной безопасности напрямую: все они регулируют учёт и управление проектом вообще, безотносительно к отрасли, тогда как отраслевая специфика ИБ — лицензионные требования, профессиональные стандарты, серия ГОСТ Р ИСО/МЭК 27000 — была рассмотрена применительно к кадровому и содержательному наполнению проекта в предыдущей главе. Ресурсное занятие в этом смысле — редкий для практикума эпизод, где нормативная опора носит не отраслевой, а сквозной, общеэкономический характер: та же логика разграничения CAPEX и OPEX применима к фирме любого профиля, не только к подрядчику по защите информации, и ошибку в этом разграничении не спишешь на незнание отраслевой специфики.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Категории ресурсов фирмы: CAPEX и OPEX на практике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Панель Занятия 1 размечает материально-технический резерв фирмы по семи категориям — часть из них капитальные вложения, часть операционные, и принадлежность категории к CAPEX или OPEX не произвольна, а прямо следует из критерия ФСБУ 6/2020, разобранного в разделе 2.2: основные средства служат фирме дольше одного проекта и потому капитализируются, тогда как аренда, связь и разовые услуги потребляются в рамках текущего периода и списываются на себестоимость сразу.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13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Категории ресурсов фирмы по видам затрат на Занятии 1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576"/>
        <w:gridCol w:w="5219"/>
      </w:tblGrid>
      <w:tr>
        <w:trPr>
          <w:cantSplit/>
          <w:tblHeader/>
        </w:trPr>
        <w:tc>
          <w:tcPr>
            <w:tcW w:type="dxa" w:w="2560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Категория</w:t>
            </w:r>
          </w:p>
        </w:tc>
        <w:tc>
          <w:tcPr>
            <w:tcW w:type="dxa" w:w="1576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затрат</w:t>
            </w:r>
          </w:p>
        </w:tc>
        <w:tc>
          <w:tcPr>
            <w:tcW w:type="dxa" w:w="5219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Примеры позиций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Основные средства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Ноутбук инженера, МФУ, тестовый стенд, грузовой автомобиль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Аренда офиса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Помещение, руб./м² в месяц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Содержание офиса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Уборка, коммунальные платежи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 и связь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Интернет, IP-телефония, хостинг CRM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Трудовые ресурсы (ГПХ)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Договоры подряда с временными исполнителями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Командировочные расходы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Суточные при выезде на объект, ст. 168 ТК РФ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Грузоперевозки</w:t>
            </w:r>
          </w:p>
        </w:tc>
        <w:tc>
          <w:tcPr>
            <w:tcW w:type="dxa" w:w="157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OPEX</w:t>
            </w:r>
          </w:p>
        </w:tc>
        <w:tc>
          <w:tcPr>
            <w:tcW w:type="dxa" w:w="5219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Разовые рейсы под конкретную задачу</w:t>
            </w:r>
          </w:p>
        </w:tc>
      </w:tr>
    </w:tbl>
    <w:p>
      <w:pPr>
        <w:spacing w:after="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13 указывает на то, что деление CAPEX/OPEX не совпадает с делением на «нужное» и «лишнее»: обе категории содержат как профильные, так и избыточные для конкретного проекта позиции. Строка фонда оплаты труда постоянного штата рассчитывается автоматически на основании данных, зафиксированных на Старте 0, и не участвует в проверке ошибочности — она не предмет решения студента, а производная от уже принятого кадрового решения. Избыточные позиции материально-технического резерва подобраны так же прицельно, как кадровые ловушки раздела 1.4: автомобиль директора представительского класса, кофемашина, массажный стол, кулер — предметы, встречающиеся в реальных сметах небольших фирм под видом «представительских расходов», но не имеющие отношения к монтажу, адаптации и пусконаладке систем безопасности.</w:t>
      </w:r>
    </w:p>
    <w:p>
      <w:pPr>
        <w:spacing w:after="60" w:before="120"/>
        <w:jc w:val="center"/>
      </w:pPr>
      <w:r>
        <w:drawing>
          <wp:inline distT="0" distB="0" distL="0" distR="0">
            <wp:extent cx="55816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Рисунок 3 – Два параллельных ресурсных потока Занятия 1 — кадровый (к задачам подготовительного этапа) и материально-технический (к смете и бюджету Занятий 4–5)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3 подтверждает, что кадровый и материально-технический ресурс, разведённые методологически ещё в разделе 1.5, расходятся и по своему дальнейшему применению внутри практикума: зафиксированный на Старте 0 штат используется здесь же, на Занятии 1, для назначения исполнителей на задачи подготовительного этапа, тогда как CAPEX и OPEX, сформированные на этом занятии, своего практического применения дождутся только на Занятиях 4–5, при расчёте сметы и бюджета проекта. Оба потока сходятся в одной точке — переходе к Занятию 2, — но приходят к ней разными путями.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Норматив ошибочности подбора ресурсов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Подбор материально-технического резерва проверяется тем же способом, что и подбор персонала на Старте 0, — сравнением отмеченных студентом позиций с эталоном для выпавшего типа проекта и вычислением доли ошибок по формуле (1.2), уже приведённой в разделе 1.6. Порог остаётся прежним — 25%: если доля ошибочно отмеченных позиций резерва не выше него, состав фиксируется кнопкой «Завершить (зафиксировать) ресурсы фирмы», таблица блокируется от дальнейшего редактирования, а в итоговый отчёт добавляется запись вида «при подборе ресурсов фирмы допущено N ошибочных позиций из M (X,X%)» — по формату идентичная записи о персонале, но со своим набором цифр.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Совпадение норматива и формулы для двух разных перечней — не техническая экономия составителя практикума, а содержательное утверждение: ошибка внимания при чтении номенклатуры кадров и ошибка внимания при чтении номенклатуры снабжения — явления одной природы, и требовать от студента разной строгости в этих двух случаях не было бы методически оправданно.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2.5. Назначение исполнителей на задачи подготовительного этапа и стоимость труда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Зафиксированный на Старте 0 штат Занятие 1 не пересматривает, но использует — уже как готовый ресурс для назначения на первые задачи проекта, объединённые в подготовительный этап (этап I из пяти, на которые разбит полный жизненный цикл проекта в практикуме). Каждой задаче подготовительного этапа назначается один или несколько исполнителей из уже зафиксированного перечня; стоимость труда по задаче считается не по формуле (1.1), а по отдельной формуле (2.1), учитывающей продолжительность именно этой задачи в днях, а не полную месячную занятость сотрудника:</w:t>
      </w:r>
    </w:p>
    <w:p>
      <w:pPr>
        <w:tabs>
          <w:tab w:val="right" w:pos="9026"/>
        </w:tabs>
        <w:spacing w:after="60" w:before="120" w:line="360" w:lineRule="auto"/>
        <w:jc w:val="left"/>
      </w:pPr>
      <m:oMath>
        <m:r>
          <m:t>З = </m:t>
        </m:r>
        <m:d>
          <m:dPr/>
          <m:e>
            <m:nary>
              <m:naryPr>
                <m:chr m:val="∑"/>
                <m:limLoc m:val="undOvr"/>
              </m:naryPr>
              <m:sub>
                <m:r>
                  <m:t>i=1</m:t>
                </m:r>
              </m:sub>
              <m:sup>
                <m:r>
                  <m:t>N</m:t>
                </m:r>
              </m:sup>
              <m:e>
                <m:r>
                  <m:t>Т × 8 × </m:t>
                </m:r>
                <m:sSub>
                  <m:sSubPr/>
                  <m:e>
                    <m:r>
                      <m:t>С</m:t>
                    </m:r>
                  </m:e>
                  <m:sub>
                    <m:r>
                      <m:t>ч,i</m:t>
                    </m:r>
                  </m:sub>
                </m:sSub>
              </m:e>
            </m:nary>
          </m:e>
        </m:d>
        <m:r>
          <m:t> × </m:t>
        </m:r>
        <m:d>
          <m:dPr/>
          <m:e>
            <m:r>
              <m:t>1 + </m:t>
            </m:r>
            <m:sSub>
              <m:sSubPr/>
              <m:e>
                <m:r>
                  <m:t>В</m:t>
                </m:r>
              </m:e>
              <m:sub>
                <m:r>
                  <m:t>стр</m:t>
                </m:r>
              </m:sub>
            </m:sSub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З — стоимость труда по задаче, руб.; Т — длительность задачи, дн.; 8 — учебная норма рабочих часов в дне; Сч,i — часовая ставка i-го исполнителя, руб./ч; N — число исполнителей, назначенных на задачу (обычно один, но кнопка «+ доп. исполнитель» допускает нескольких); Встр — тариф страховых взносов работодателя, 0,302 (см. раздел 2.2). Наличие множителя (1 + Встр) — не дублирование формулы (1.1), а её содержательное уточнение: оклад, по которому фирма отбирала сотрудников на Старте 0, отражает то, что человек получает «на руки», тогда как реальная стоимость его часа для фирмы на 30,2% выше за счёт обязательных отчислений, и формула (2.1) считает именно вторую, полную величину.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 каждая задача подготовительного этапа предъявляет к исполнителю формальное требование по должности — часть задач (согласование, ожидание ответа заказчика) может быть закрыта любым сотрудником с административными функциями. Там же, где требование есть, система сверяет не только название должности назначенного сотрудника, но и его подлинность: должность может совпадать по названию с требуемой, но принадлежать «самозванцу» — тому же роду ловушки, что уже встречался в перечне кандидатов на подбор персонала в разделе 1.4, где кандидат, формально называющийся менеджером проекта, не соответствовал этому званию по описанию опыта. Несоответствие любого из двух родов — по названию должности или по подлинности — отмечается предупреждающим значком рядом с выбранным исполнителем и попадает в столбец «Верно/Ошибка» итогового отчёта по перечню задач, разобранному наравне с перечнем ресурсов в разделе 2.4.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Отдельная от стоимости и квалификации характеристика задачи — её предшественники: список задач, которые должны завершиться раньше, чем начнётся текущая. На Занятии 1 эта связь только фиксируется, а её практическое следствие — сроки начала и окончания каждой задачи на календарном графике — рассматривается уже на Занятии 3; здесь важно лишь то, что порядок предшествования расставляется сейчас, пока задачи ещё немногочисленны и их взаимная логика очевидна, а не откладывается до момента, когда общий перечень задач вырастет до полного состава всех пяти этапов проекта.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2.6. Итоговый тест по компетенциям Занятия 1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Занятие 1 закрывается тестом на усвоение компетенций, заявленных в цели занятия (раздел 2.1), — тем же по конструкции механизмом, что и на Старте 0: банк вопросов содержит четыре формулировки на каждую заявленную компетенцию, порог зачёта — не ниже 75% правильных ответов, повторная попытка доступна без ограничения по числу заходов. Состав теста у трёх направлений подготовки на этом занятии различается сильнее, чем на Старте 0: бакалавриат 10.03.01 отвечает на восемь вопросов по двум компетенциям (ОПК-12, УК-9), специалитет 10.05.01 — на четыре вопроса по одной компетенции (УК-2), а магистратура 10.04.01 теста на этом занятии не проходит вовсе, поскольку в цели занятия для неё не заявлено ни одной компетенции.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Отсутствие теста для одного из трёх направлений — не пробел практикума, который предстоит когда-нибудь закрыть, а прямое следствие принципа, уже сформулированного применительно к тестам Старта 0: банк вопросов строится строго по компетенциям, перечисленным в цели конкретного занятия, и там, где направление в этой цели не упомянуто, для него на данном занятии не формируется и отдельная проверка. Магистратура 10.04.01 не пропускает содержание занятия — цель, задачи и теория раздела 2.1–2.2 общие для всех трёх направлений, — она лишь не тестируется по нему отдельно, поскольку соответствующая компетенция ФГОС для неё привязана к другому занятию практикума.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Контрольные вопросы к главе 2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Какую компетенцию Занятие 1 задействует дополнительно к тем, что уже были заявлены на Старте 0, и почему именно она связана с разделением ресурсов на CAPEX и OPEX?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Почему направление 10.04.01 не проходит тест по итогам Занятия 1 и означает ли это, что материал занятия для него не обязателен?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В чём заключаются четыре прикладные задачи Занятия 1 и почему их порядок именно такой — сначала деньги, затем время и люди?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Чем критерий признания основного средства по ФСБУ 6/2020 отличается от критерия амортизируемого имущества по Налоговому кодексу РФ?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Приведите пример позиции, которая останется основным средством по бухгалтерскому критерию, но не попадёт в состав амортизируемого имущества по налоговому.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Из каких элементов складывается полная стоимость сотрудника для фирмы сверх его оклада и какими нормативными актами это установлено?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Какие два национальных стандарта проектного менеджмента упомянуты в главе и за какие процессы каждый из них отвечает применительно к ресурсам проекта?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Перечислите семь категорий материально-технического резерва фирмы и укажите, какие из них относятся к CAPEX, а какие — к OPEX.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Почему строка фонда оплаты труда постоянного штата в таблице ресурсов не участвует в проверке ошибочности подбора?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По какому нормативу проверяется подбор ресурсов и совпадает ли он с нормативом подбора персонала на Старте 0?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По какой формуле рассчитывается стоимость труда по отдельной задаче и чем эта формула отличается от формулы месячного ФОТ сотрудника?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Что означает множитель (1 + Встр) в формуле стоимости задачи и почему он не дублирует формулу (1.1)?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Какие два рода несоответствия исполнителя задачи проверяет система и чем ловушка «самозванец на правильной должности» опаснее очевидного несоответствия по названию должности?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Что такое предшественники задачи и почему их расстановка происходит уже на Занятии 1, а не на Занятии 3, где строится календарный график?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 к главе 2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Приказ Минфина России от 17.09.2020 № 204н «Об утверждении Федерального стандарта бухгалтерского учёта ФСБУ 6/2020 «Основные средства».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Налоговый кодекс Российской Федерации, часть вторая, глава 25, ст. 256–257 «Амортизируемое имущество».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Налоговый кодекс Российской Федерации, часть вторая, глава 34, ст. 425 «Тарифы страховых взносов».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Федеральный закон от 24.07.1998 № 125-ФЗ «Об обязательном социальном страховании от несчастных случаев на производстве и профессиональных заболеваний».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Федеральный закон от 06.12.2011 № 402-ФЗ «О бухгалтерском учёте».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Трудовой кодекс Российской Федерации, ст. 168 «Возмещение расходов, связанных со служебной командировкой».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54869-2011. Проектный менеджмент. Требования к управлению проектом. — М.: Стандартинформ, 2012.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21500-2014. Руководство по проектному менеджменту. — М.: Стандартинформ, 2015.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Приказ Минобрнауки России от 17.11.2020 № 1427 «Об утверждении ФГОС ВО по направлению подготовки 10.03.01 Информационная безопасность (уровень бакалавриата)».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Приказ Минобрнауки России от 26.11.2020 № 1455 «Об утверждении ФГОС ВО по направлению подготовки 10.04.01 Информационная безопасность телекоммуникационных систем (уровень магистратуры)».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Приказ Минобрнауки России от 26.11.2020 № 1459 «Об утверждении ФГОС ВО по специальности 10.05.01 Компьютерная безопасность (уровень специалитета)».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Мандрица И.В., Петренко В.И., Мандрица О.В. Управление проектами по защите информации и экономика защиты информации: учебное пособие. — Ставрополь: Изд-во СКФУ, 2022.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Тесты на усвоение компетенций практикума по десяти этапам (Старт 0, Занятия 1–9): банк вопросов по направлениям 10.03.01, 10.04.01, 10.05.01, по 4 вопроса на компетенцию. — 2026.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02aabea7f343387bf2c243e50e4420357f8553.svg"/><Relationship Id="rId8" Type="http://schemas.openxmlformats.org/officeDocument/2006/relationships/image" Target="media/cc4c539973a5f22c1a8cc4a549febb9e239e397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2026-07-30T14:51:38.858Z</dcterms:created>
  <dcterms:modified xsi:type="dcterms:W3CDTF">2026-07-30T14:51:38.865Z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