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Глава 10. Занятие 9: Эффективность проекта ИБ — для заказчика и для фирмы-исполнителя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10.1. Две независимые оси эффективности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Занятие 9 завершает практикум вопросом, который выходит за пределы технической реализации проекта: окупились ли вложенные ресурсы. Компетенция УК-9 направления 10.03.01 требует способности принимать обоснованные экономические решения, а ОПК-16 направления 10.05.01 — умения анализировать эффективность средств защиты информации; обе формулировки указывают на один и тот же предмет занятия, но с разных сторон. Ошибка, которую практикум намеренно делает видимой, а не прячет, — смешение двух принципиально разных вопросов под одним словом «эффективность»: окупился ли проект для фирмы, которая его исполнила, и окупились ли вложения для заказчика, который за него заплатил. Это не один и тот же вопрос, заданный дважды, а два разных вопроса с разными знаменателями в формуле — и, как показано ниже на реальных числах, ответ на них может иметь разный знак по одному и тому же проекту одновременно.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Источник различия — не методологическая небрежность, а разная природа денег на двух сторонах сделки. Для фирмы цена Договора, полученная от заказчика, покрывает себестоимость и формирует прибыль — стандартная коммерческая рентабельность. Для заказчика та же самая сумма — расход, единственная экономическая отдача которого заключается в снижении риска нежелательного события. Международный стандарт финансовой отчётности IAS 38 «Нематериальные активы» проводит эту границу явно: инвестицией признаётся актив, создающий вероятный будущий приток экономических выгод, тогда как закупка и монтаж средств защиты — операционный расход, аналогичный покупке тормозных колодок автомобиля: колодки не увеличивают мощность двигателя, а лишь снижают вероятность аварии, и инвестицией их не считает никто.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10.2. Эффективность для фирмы-исполнителя: маржа и рентабельность CAPEX/OPEX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Маржа проекта — разница между ценой Договора и плановой себестоимостью, рассчитанной ещё на занятии 5.</w:t>
      </w:r>
    </w:p>
    <w:p>
      <w:pPr>
        <w:tabs>
          <w:tab w:val="right" w:pos="9026"/>
        </w:tabs>
        <w:spacing w:after="160" w:before="160"/>
      </w:pPr>
      <m:oMathPara xmlns:m="http://schemas.openxmlformats.org/officeDocument/2006/math">
        <m:oMath>
          <m:r>
            <m:rPr>
              <m:sty m:val="i"/>
            </m:rPr>
            <m:t xml:space="preserve">M</m:t>
          </m:r>
          <m:r>
            <m:t xml:space="preserve"> = </m:t>
          </m:r>
          <m:r>
            <m:rPr>
              <m:sty m:val="i"/>
            </m:rPr>
            <m:t xml:space="preserve">B</m:t>
          </m:r>
          <m:r>
            <m:t xml:space="preserve"> − </m:t>
          </m:r>
          <m:r>
            <m:rPr>
              <m:sty m:val="i"/>
            </m:rPr>
            <m:t xml:space="preserve">C</m:t>
          </m:r>
        </m:oMath>
      </m:oMathPara>
      <w:r>
        <w:rPr>
          <w:rFonts w:ascii="Times New Roman" w:cs="Times New Roman" w:eastAsia="Times New Roman" w:hAnsi="Times New Roman"/>
          <w:sz w:val="28"/>
          <w:szCs w:val="28"/>
        </w:rPr>
        <w:t xml:space="preserve">	(10.1)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M — маржа проекта, ₽; B — цена Договора с заказчиком, включая НДС; C — плановая себестоимость проекта (бюджет фирмы). Рентабельность вложенных в проект основных и оборотных средств считается не от всей себестоимости, а только от той её доли, что действительно является вложением фирмы, — CAPEX и OPEX, начисленные пропорционально сроку проекта (комплектующие, закупаемые под конкретный Договор, вложением фирмы не являются: их стоимость заказчик компенсирует напрямую).</w:t>
      </w:r>
    </w:p>
    <w:p>
      <w:pPr>
        <w:tabs>
          <w:tab w:val="right" w:pos="9026"/>
        </w:tabs>
        <w:spacing w:after="160" w:before="160"/>
      </w:pPr>
      <m:oMathPara xmlns:m="http://schemas.openxmlformats.org/officeDocument/2006/math">
        <m:oMath>
          <m:sSub>
            <m:e>
              <m:r>
                <m:rPr>
                  <m:sty m:val="i"/>
                </m:rPr>
                <m:t xml:space="preserve">ROI</m:t>
              </m:r>
            </m:e>
            <m:sub>
              <m:r>
                <m:rPr>
                  <m:sty m:val="i"/>
                </m:rPr>
                <m:t xml:space="preserve">ф</m:t>
              </m:r>
            </m:sub>
          </m:sSub>
          <m:r>
            <m:t xml:space="preserve"> = </m:t>
          </m:r>
          <m:f>
            <m:fPr/>
            <m:num>
              <m:r>
                <m:rPr>
                  <m:sty m:val="i"/>
                </m:rPr>
                <m:t xml:space="preserve">M</m:t>
              </m:r>
            </m:num>
            <m:den>
              <m:r>
                <m:rPr>
                  <m:sty m:val="i"/>
                </m:rPr>
                <m:t xml:space="preserve">S CAPEX/OPEX</m:t>
              </m:r>
            </m:den>
          </m:f>
          <m:r>
            <m:t xml:space="preserve"> × 100%</m:t>
          </m:r>
        </m:oMath>
      </m:oMathPara>
      <w:r>
        <w:rPr>
          <w:rFonts w:ascii="Times New Roman" w:cs="Times New Roman" w:eastAsia="Times New Roman" w:hAnsi="Times New Roman"/>
          <w:sz w:val="28"/>
          <w:szCs w:val="28"/>
        </w:rPr>
        <w:t xml:space="preserve">	(10.2)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ROIф — рентабельность фирмы по вложенным в проект CAPEX/OPEX, %; S CAPEX/OPEX — прогнозная доля CAPEX и OPEX, фактически потраченная на проект. Это простая, интуитивно понятная финансовая метрика: она отвечает только на вопрос «заработала ли фирма деньги», не касаясь вопроса, на что именно фирма их заработала и насколько эффективно эти деньги снизили риск заказчика — эта вторая сторона раскрывается отдельной методикой в §10.3.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10.3. Эффективность для заказчика: методика TDI/BRI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Российская методика, применяемая на кафедре ОТЗИ СКФУ (в отличие от американского ROSI, разбираемого ниже как объект критического сравнения), в полном виде раскладывает токсичность угрозы по пяти компонентам — конфиденциальности, целостности, доступности, уязвимости и стоимости актива под угрозой. Учебная версия практикума не воспроизводит эту пятифакторную декомпозицию, а использует уже согласованную на занятии 8 методом Дельфи пару оценок (P, I) по каждой угрозе — вероятность и тяжесть последствий, — что упрощённо, но мультипликативно (как и в полной формуле) отражает токсичность угрозы.</w:t>
      </w:r>
    </w:p>
    <w:p>
      <w:pPr>
        <w:tabs>
          <w:tab w:val="right" w:pos="9026"/>
        </w:tabs>
        <w:spacing w:after="160" w:before="160"/>
      </w:pPr>
      <m:oMathPara xmlns:m="http://schemas.openxmlformats.org/officeDocument/2006/math">
        <m:oMath>
          <m:r>
            <m:t xml:space="preserve">TDI</m:t>
          </m:r>
          <m:r>
            <m:rPr>
              <m:sty m:val="i"/>
            </m:rPr>
            <m:t xml:space="preserve">норм</m:t>
          </m:r>
          <m:r>
            <m:t xml:space="preserve"> = </m:t>
          </m:r>
          <m:f>
            <m:fPr/>
            <m:num>
              <m:r>
                <m:rPr>
                  <m:sty m:val="i"/>
                </m:rPr>
                <m:t xml:space="preserve">100 × P × I</m:t>
              </m:r>
            </m:num>
            <m:den>
              <m:r>
                <m:rPr>
                  <m:sty m:val="i"/>
                </m:rPr>
                <m:t xml:space="preserve">25</m:t>
              </m:r>
            </m:den>
          </m:f>
        </m:oMath>
      </m:oMathPara>
      <w:r>
        <w:rPr>
          <w:rFonts w:ascii="Times New Roman" w:cs="Times New Roman" w:eastAsia="Times New Roman" w:hAnsi="Times New Roman"/>
          <w:sz w:val="28"/>
          <w:szCs w:val="28"/>
        </w:rPr>
        <w:t xml:space="preserve">	(10.3)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TDIнорм — нормализованный балл токсичности угрозы по шкале 0–100; P и I — согласованные экспертами индексы вероятности и тяжести последствий (шкала 1–5 каждый), Балл риска P×I — уже знакомая величина из формулы (9.1) Главы 9. Классификация угроз по TDIнорм различает два класса: Opportunist (массовая угроза, TDIнорм от 20 до 70 включительно) и Apex Predator (катастрофический класс, TDIнорм свыше 70), для которого, как показано ниже в §10.4, обычные правила экономической оптимальности инвестиций перестают действовать буквально.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Балл риска по шкале 1–25 сам по себе не сопоставим по порядку величины с денежными суммами Договора, поэтому методика монетизирует его — переводит долю суммарного балла риска от максимально возможного в денежную оценку ожидаемого ущерба, приравнивая полную денежную величину объекта под риском к цене Договора как масштабной величине.</w:t>
      </w:r>
    </w:p>
    <w:p>
      <w:pPr>
        <w:tabs>
          <w:tab w:val="right" w:pos="9026"/>
        </w:tabs>
        <w:spacing w:after="160" w:before="160"/>
      </w:pPr>
      <m:oMathPara xmlns:m="http://schemas.openxmlformats.org/officeDocument/2006/math">
        <m:oMath>
          <m:r>
            <m:t xml:space="preserve">EAL</m:t>
          </m:r>
          <m:r>
            <m:t xml:space="preserve"> = </m:t>
          </m:r>
          <m:f>
            <m:fPr/>
            <m:num>
              <m:r>
                <m:t xml:space="preserve">R</m:t>
              </m:r>
            </m:num>
            <m:den>
              <m:sSub>
                <m:e>
                  <m:r>
                    <m:rPr>
                      <m:sty m:val="i"/>
                    </m:rPr>
                    <m:t xml:space="preserve">R</m:t>
                  </m:r>
                </m:e>
                <m:sub>
                  <m:r>
                    <m:rPr>
                      <m:sty m:val="i"/>
                    </m:rPr>
                    <m:t xml:space="preserve">макс</m:t>
                  </m:r>
                </m:sub>
              </m:sSub>
            </m:den>
          </m:f>
          <m:r>
            <m:t xml:space="preserve"> × </m:t>
          </m:r>
          <m:r>
            <m:rPr>
              <m:sty m:val="i"/>
            </m:rPr>
            <m:t xml:space="preserve">B</m:t>
          </m:r>
        </m:oMath>
      </m:oMathPara>
      <w:r>
        <w:rPr>
          <w:rFonts w:ascii="Times New Roman" w:cs="Times New Roman" w:eastAsia="Times New Roman" w:hAnsi="Times New Roman"/>
          <w:sz w:val="28"/>
          <w:szCs w:val="28"/>
        </w:rPr>
        <w:t xml:space="preserve">	(10.4)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EAL (Expected Annual Loss) — монетизированный ожидаемый ущерб, ₽; R — суммарный балл риска по всем угрозам, отмеченным актуальными в аудите (отдельно ДО и ПОСЛЕ проекта, занятие 8); Rмакс — максимально возможный балл риска (число угроз, умноженное на 25); B — цена Договора. Разница EAL₀ − EALБ (обозначаемая ΔEAL) — монетизированное снижение ожидаемого ущерба, ставшее возможным благодаря проекту; она и составляет числитель показателя результативности затрат заказчика.</w:t>
      </w:r>
    </w:p>
    <w:p>
      <w:pPr>
        <w:tabs>
          <w:tab w:val="right" w:pos="9026"/>
        </w:tabs>
        <w:spacing w:after="160" w:before="160"/>
      </w:pPr>
      <m:oMathPara xmlns:m="http://schemas.openxmlformats.org/officeDocument/2006/math">
        <m:oMath>
          <m:r>
            <m:t xml:space="preserve">К</m:t>
          </m:r>
          <m:r>
            <m:rPr>
              <m:sty m:val="i"/>
            </m:rPr>
            <m:t xml:space="preserve">эз</m:t>
          </m:r>
          <m:r>
            <m:t xml:space="preserve"> = </m:t>
          </m:r>
          <m:f>
            <m:fPr/>
            <m:num>
              <m:r>
                <m:rPr>
                  <m:sty m:val="i"/>
                </m:rPr>
                <m:t xml:space="preserve">ΔEAL</m:t>
              </m:r>
              <m:r>
                <m:t xml:space="preserve"> − </m:t>
              </m:r>
              <m:r>
                <m:rPr>
                  <m:sty m:val="i"/>
                </m:rPr>
                <m:t xml:space="preserve">B</m:t>
              </m:r>
            </m:num>
            <m:den>
              <m:r>
                <m:rPr>
                  <m:sty m:val="i"/>
                </m:rPr>
                <m:t xml:space="preserve">B</m:t>
              </m:r>
            </m:den>
          </m:f>
          <m:r>
            <m:t xml:space="preserve"> × 100%</m:t>
          </m:r>
        </m:oMath>
      </m:oMathPara>
      <w:r>
        <w:rPr>
          <w:rFonts w:ascii="Times New Roman" w:cs="Times New Roman" w:eastAsia="Times New Roman" w:hAnsi="Times New Roman"/>
          <w:sz w:val="28"/>
          <w:szCs w:val="28"/>
        </w:rPr>
        <w:t xml:space="preserve">	(10.5)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Кэз — коэффициент результативности затрат заказчика на ИБ, %. Название сознательно не содержит слова «ROI»: показатель по структуре формулы идентичен возврату на инвестиции, но деньги заказчика на закупаемые (не производимые) фирмой комплектующие не создают актива с future economic benefit по смыслу IAS 38, поэтому корректное название — коэффициент результативности расхода, а не инвестиции. Эта терминологическая позиция кафедры не статична: более ранняя прикладная статья для сегмента МСП называла ту же по структуре величину «ROI_ИБ» и трактовала как инвестиционный показатель, тогда как более поздняя, полностью защищённая работа той же кафедры прямо формулирует в заключении: «расходы на ИБ носят операционный характер, что исключает применение ROSI» (Мандрица И.В., Антонов В.В., Мандрица О.В., Бугаева А.В., 2026 [5]). Практикум и данная глава следуют именно этой, итоговой формулировке, а не более ранней.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10.4. Критическое сравнение: классический ROSI и правило Гордона–Лёба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Формула (9.1) Главы 9 — не единственная, где встречается сокращение «риск»: помимо балльной оценки, в занятии 9 разбирается денежный показатель ROSI (Return on Security Investment), предложенный американскими исследователями Соннрайхом, Альбанезе и Стаутом в 2006 году [2] как альтернатива обычному ROI, сопоставляющая не прибыль, а предотвращённый ущерб с затратами на защитные меры.</w:t>
      </w:r>
    </w:p>
    <w:p>
      <w:pPr>
        <w:tabs>
          <w:tab w:val="right" w:pos="9026"/>
        </w:tabs>
        <w:spacing w:after="160" w:before="160"/>
      </w:pPr>
      <m:oMathPara xmlns:m="http://schemas.openxmlformats.org/officeDocument/2006/math">
        <m:oMath>
          <m:r>
            <m:t xml:space="preserve">ROSI</m:t>
          </m:r>
          <m:r>
            <m:t xml:space="preserve"> = </m:t>
          </m:r>
          <m:f>
            <m:fPr/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R</m:t>
                  </m:r>
                </m:e>
                <m:sub>
                  <m:r>
                    <m:rPr>
                      <m:sty m:val="i"/>
                    </m:rPr>
                    <m:t xml:space="preserve">до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R</m:t>
                  </m:r>
                </m:e>
                <m:sub>
                  <m:r>
                    <m:rPr>
                      <m:sty m:val="i"/>
                    </m:rPr>
                    <m:t xml:space="preserve">после</m:t>
                  </m:r>
                </m:sub>
              </m:sSub>
              <m:r>
                <m:t xml:space="preserve">) − </m:t>
              </m:r>
              <m:r>
                <m:rPr>
                  <m:sty m:val="i"/>
                </m:rPr>
                <m:t xml:space="preserve">C</m:t>
              </m:r>
            </m:num>
            <m:den>
              <m:r>
                <m:rPr>
                  <m:sty m:val="i"/>
                </m:rPr>
                <m:t xml:space="preserve">C</m:t>
              </m:r>
            </m:den>
          </m:f>
          <m:r>
            <m:t xml:space="preserve"> × 100%</m:t>
          </m:r>
        </m:oMath>
      </m:oMathPara>
      <w:r>
        <w:rPr>
          <w:rFonts w:ascii="Times New Roman" w:cs="Times New Roman" w:eastAsia="Times New Roman" w:hAnsi="Times New Roman"/>
          <w:sz w:val="28"/>
          <w:szCs w:val="28"/>
        </w:rPr>
        <w:t xml:space="preserve">	(10.6)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Rдо и Rпосле — денежная оценка риска до и после реализации проекта (в практикуме — те же EAL₀ и EALБ, полученные монетизацией балльной оценки риска занятия 8); C — плановая себестоимость проекта (та же величина, что в формуле 10.1). Положительное значение означает, что снижение риска, пересчитанное в сопоставимую величину, превышает затраты на его достижение; отрицательное — что проект обошёлся дороже, чем стоило предотвращённое снижение риска, и состав мер защиты формально требует пересмотра. Показательно, что формула (10.6) отличается от формулы (10.5) не только терминологией, но и знаменателем: ROSI делит на себестоимость фирмы C, тогда как Кэз — на полную цену Договора B, которая, помимо себестоимости, включает ещё и маржу фирмы; поэтому даже при одинаковом числителе ΔEAL два показателя закономерно расходятся по абсолютной величине, а иногда — и по знаку.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Классическое условие оптимальности инвестиций в защиту информации, предложенное Гордоном и Лёбом в 2002 году [3], ограничивает вложения сверху долей от произведения вероятности угрозы на величину потерь.</w:t>
      </w:r>
    </w:p>
    <w:p>
      <w:pPr>
        <w:tabs>
          <w:tab w:val="right" w:pos="9026"/>
        </w:tabs>
        <w:spacing w:after="160" w:before="160"/>
      </w:pPr>
      <m:oMathPara xmlns:m="http://schemas.openxmlformats.org/officeDocument/2006/math">
        <m:oMath>
          <m:r>
            <m:rPr>
              <m:sty m:val="i"/>
            </m:rPr>
            <m:t xml:space="preserve">x</m:t>
          </m:r>
          <m:r>
            <m:t xml:space="preserve">* ≤ 0,368 × </m:t>
          </m:r>
          <m:r>
            <m:rPr>
              <m:sty m:val="i"/>
            </m:rPr>
            <m:t xml:space="preserve">v</m:t>
          </m:r>
          <m:r>
            <m:t xml:space="preserve"> × </m:t>
          </m:r>
          <m:r>
            <m:rPr>
              <m:sty m:val="i"/>
            </m:rPr>
            <m:t xml:space="preserve">L</m:t>
          </m:r>
        </m:oMath>
      </m:oMathPara>
      <w:r>
        <w:rPr>
          <w:rFonts w:ascii="Times New Roman" w:cs="Times New Roman" w:eastAsia="Times New Roman" w:hAnsi="Times New Roman"/>
          <w:sz w:val="28"/>
          <w:szCs w:val="28"/>
        </w:rPr>
        <w:t xml:space="preserve">	(10.7)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x* — верхняя граница экономически оправданных вложений, ₽; v — вероятность реализации угрозы (доля от 1, в практикуме — усреднённая согласованная оценка P, делённая на 5); L — величина потерь при реализации угрозы (в практикуме — EAL₀). Авторы доказали, что оптимальный объём инвестиций не должен превышать 36,8% от ожидаемых потерь — вложение сверх этой границы, по классической модели, экономически неоправданно ни при какой уязвимости защищаемого актива. Российская методика TDI/BRI не опровергает эту границу, а прямо оговаривает случай, в котором она перестаёт быть ориентиром: угрозы класса Apex Predator (TDIнорм свыше 70, см. §10.3) несут катастрофический хвостовой риск, для которого превышение границы Гордона–Лёба может быть оправданным управленческим решением, а не ошибкой расчёта.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10.5. Пример расчёта на демонстрационном проекте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Ниже — расчёт по обеим методикам на данных проекта «видеонаблюдение», уже разобранного в Главе 9 (угрозы У-ФИЗ-04 и У-АСУ-03, суммарный балл риска 28,7 → 10,2 после проекта). Цена Договора и себестоимость проекта для этого расчёта заданы иллюстративно (980 000 ₽ и 650 000 ₽ соответственно) — в этой сессии не было возможности снять их с живого прогона практикума через браузер, поэтому используются правдоподобные для проекта такого масштаба значения; сама подстановка в формулы (10.1)–(10.7) при этом полностью точна и воспроизводима на любых других реальных числах занятий 4–5.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Максимально возможный балл риска для двух угроз — 50 (формула 10.4 при R = 50). Монетизация даёт EAL₀ = 562 520 ₽ и EALБ = 199 920 ₽, ΔEAL = 362 600 ₽. Со стороны фирмы маржа проекта составляет 330 000 ₽ при себестоимости 650 000 ₽, а рентабельность по CAPEX/OPEX (формула 10.2, при потраченных на проект 180 000 ₽ основных и оборотных средств) достигает 183,3% — фирма исполнила проект с явной прибылью. Со стороны заказчика оба риск-ориентированных показателя, напротив, отрицательны: Кэз = −63,0% (формула 10.5) и классический ROSI = −44,2% (формула 10.6) — денежная оценка снижения риска (362 600 ₽) не покрывает ни полную цену Договора (980 000 ₽), ни даже одну только себестоимость (650 000 ₽). Ни один из двух результатов не является ошибкой вычисления: оба следуют напрямую из формул при одних и тех же исходных данных, и именно это и есть демонстрация тезиса §10.1 — прибыльность для фирмы и результативность затрат для заказчика являются независимыми осями, а не двумя записями одного и того же вывода.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по правилу Гордона–Лёба (формула 10.7) при усреднённой согласованной вероятности v = 0,73 и L = EAL₀ = 562 520 ₽ даёт верхнюю границу x* = 151 115 ₽ — фактическая цена Договора (980 000 ₽) превышает её более чем в шесть раз. Это расхождение — не признак того, что проект был экономически необоснованным, а прямое следствие оговорки §10.4: обе угрозы примера относятся к классу Opportunist (TDIнорм 52,8 и 62,0 соответственно, ни одна не достигла порога Apex Predator в 70), однако сама цена Договора в этом иллюстративном примере рассчитана не только на снижение риска этих двух угроз, но и на полный комплекс монтажных работ — то есть правило Гордона–Лёба в чистом виде применимо только к той части вложений, которая обоснована именно снижением риска, а не к стоимости проекта целиком.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Ниже сведены все показатели примера в одну таблицу (таблица 25) и представлены на диаграмме, сопоставляющей знак и величину показателей фирмы и заказчика (рисунок 10).</w:t>
      </w:r>
    </w:p>
    <w:p>
      <w:pPr>
        <w:spacing w:after="0" w:before="20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25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Сводные показатели эффективности бюджета фирмы и проекта ИБ (демонстрационный расчёт)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400"/>
      </w:tblGrid>
      <w:tr>
        <w:trPr>
          <w:tblHeader/>
        </w:trPr>
        <w:tc>
          <w:tcPr>
            <w:tcW w:type="dxa" w:w="5200"/>
            <w:shd w:fill="D9D9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3400"/>
            <w:shd w:fill="D9D9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Бюджет фирмы на проект (C)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650 000 ₽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Цена Договора с заказчиком (B)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980 000 ₽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Маржа проекта (B − C)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330 000 ₽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ROI фирмы по CAPEX/OPEX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183,3%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Проектов до окупаемости CAPEX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2,7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EAL₀ (ожид. ущерб ДО)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562 520 ₽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EAL_Б (ожид. ущерб ПОСЛЕ)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199 920 ₽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ΔEAL = EAL₀ − EAL_Б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362 600 ₽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Кэз, % (методика TDI/BRI)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−63,0%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ROSI, % (формула классическая)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−44,2%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x* max по правилу Гордона–Лёба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151 115 ₽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Фактически вложено (цена Договора)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980 000 ₽ (превышает x* в 6,5 раза)</w:t>
            </w:r>
          </w:p>
        </w:tc>
      </w:tr>
    </w:tbl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25 показывает, что расхождение знаков не ограничивается только Кэз и ROSI: оно системно проявляется во всех парах «показатель фирмы — показатель заказчика», начиная с самой структуры знаменателя каждой формулы.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10 сопоставляет все четыре процентных показателя примера на одной числовой шкале, наглядно показывая, что положительные и отрицательные значения группируются не случайно, а строго по стороне сделки, к которой относится знаменатель формулы.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10 – показатели эффективности проекта ИБ: фирма-исполнитель и заказчик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10 подтверждает главный вывод главы: оценка эффективности одного и того же проекта ИБ не сводится к единственному числу — верный ответ на вопрос «эффективен ли проект» зависит от того, чьей эффективности он касается, и печатный отчёт заказчику обязан различать эти два вопроса явно, а не смешивать их в одном показателе.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Источники</w:t>
      </w:r>
    </w:p>
    <w:p>
      <w:pPr>
        <w:spacing w:after="6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ГОСТ Р ИСО/МЭК 27004-2021 «Информационные технологии. Методы и средства обеспечения безопасности. Менеджмент информационной безопасности. Мониторинг, оценка защищённости, анализ и оценивание».</w:t>
      </w:r>
    </w:p>
    <w:p>
      <w:pPr>
        <w:spacing w:after="6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Sonnenreich W., Albanese J., Stout B. Return On Security Investment (ROSI): A Practical Quantitative Model // Journal of Research and Practice in Information Technology. — 2006. — Vol. 38, No. 1. — P. 45–56.</w:t>
      </w:r>
    </w:p>
    <w:p>
      <w:pPr>
        <w:spacing w:after="6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Gordon L.A., Loeb M.P. The Economics of Information Security Investment // ACM Transactions on Information and System Security. — 2002. — Vol. 5. — P. 438–457.</w:t>
      </w:r>
    </w:p>
    <w:p>
      <w:pPr>
        <w:spacing w:after="6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International Accounting Standards Board. IAS 38 «Intangible Assets».</w:t>
      </w:r>
    </w:p>
    <w:p>
      <w:pPr>
        <w:spacing w:after="6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Мандрица И.В., Антонов В.В., Мандрица О.В., Бугаева А.В. Индекс Парето как критерий адаптивного бюджетирования информационной безопасности // Правовая информатика. — 2026. — №1. — С. 16–30. DOI 10.24412/1994-1404-2026-1-00-02.</w:t>
      </w:r>
    </w:p>
    <w:p>
      <w:pPr>
        <w:spacing w:after="6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КиберЛенинка — «Оценка эффективности оптимального инвестирования в СМИБ организации» [Электронный ресурс]. URL: https://cyberleninka.ru/article/n/otsenka-effektivnosti-optimalnogo-investirovaniya-v-sistemu-menedzhmenta-informatsionnoy-bezopasnosti-organizatsii</w:t>
      </w:r>
    </w:p>
    <w:p>
      <w:pPr>
        <w:spacing w:after="6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КиберЛенинка — «К вопросу об оценке эффективности затрат на информационную безопасность» [Электронный ресурс]. URL: https://cyberleninka.ru/article/n/k-voprosu-ob-otsenke-effektivnosti-zatrat-na-informatsionnuyu-bezopasnost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86e2d0ed04c0250f6bdc1a724b5ab019de1b7e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2026-08-01T12:34:12.493Z</dcterms:created>
  <dcterms:modified xsi:type="dcterms:W3CDTF">2026-08-01T12:34:12.494Z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