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51C5" w14:textId="77777777" w:rsidR="005168CC" w:rsidRDefault="00000000">
      <w:pPr>
        <w:spacing w:before="240" w:after="240" w:line="360" w:lineRule="auto"/>
        <w:jc w:val="center"/>
      </w:pPr>
      <w:r>
        <w:rPr>
          <w:b/>
          <w:bCs/>
          <w:sz w:val="32"/>
          <w:szCs w:val="32"/>
        </w:rPr>
        <w:t>Часть 5. Занятие 4: Смета и Договор на проект</w:t>
      </w:r>
    </w:p>
    <w:p w14:paraId="50B0A5C9" w14:textId="77777777" w:rsidR="00D44F91" w:rsidRPr="00D44F91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и предыдущие части, этот раздел не содержит теории, вывода формул и вопросов теста — они изложены в основном тексте части 2 (глава 5, посвящённая Занятию 4). </w:t>
      </w:r>
    </w:p>
    <w:p w14:paraId="3B755F13" w14:textId="77777777" w:rsidR="00D44F91" w:rsidRDefault="00000000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Здесь описано только то, что реально видит студент на странице 10/15 «Занятие 4: Смета и Договор на проект» и что нужно нажать и заполнить, чтобы дойти до перехода к Занятию 5. </w:t>
      </w:r>
    </w:p>
    <w:p w14:paraId="7C23453A" w14:textId="77777777" w:rsidR="00D44F91" w:rsidRDefault="00000000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Скриншоты сняты с боевого адреса https://goxaman2-dot.github.io/upzi-praktikum/ для демонстрационного прогона — тип проекта «Видеонаблюдение», уровень цены комплектующих «MIDDLE», объект заказчика «Морской порт (грузовой терминал)», г. Новороссийск. </w:t>
      </w:r>
    </w:p>
    <w:p w14:paraId="2E36D2D0" w14:textId="20CD397D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другого студента тип проекта, уровень цены и объект будут своими, но структура страницы и порядок действий — те же.</w:t>
      </w:r>
    </w:p>
    <w:p w14:paraId="08424870" w14:textId="77777777" w:rsidR="005168CC" w:rsidRDefault="00000000">
      <w:pPr>
        <w:spacing w:line="360" w:lineRule="auto"/>
        <w:ind w:firstLine="709"/>
        <w:jc w:val="both"/>
      </w:pPr>
      <w:r>
        <w:rPr>
          <w:i/>
          <w:iCs/>
          <w:sz w:val="28"/>
          <w:szCs w:val="28"/>
        </w:rPr>
        <w:t xml:space="preserve">Отдельное техническое замечание для преподавателя: до 30.07.2026 расчёт сметы на этой странице использовал устаревшую ставку НДС 20%, хотя методический блок этого же занятия и тест на компетенции уже верно требовали 22% (ставка действует с 1 января 2026 года, Федеральный закон №425-ФЗ от 28.11.2025). Расхождение исправлено в коде практикума (index.html, строка расчёта </w:t>
      </w:r>
      <w:proofErr w:type="spellStart"/>
      <w:r>
        <w:rPr>
          <w:i/>
          <w:iCs/>
          <w:sz w:val="28"/>
          <w:szCs w:val="28"/>
        </w:rPr>
        <w:t>vatRate</w:t>
      </w:r>
      <w:proofErr w:type="spellEnd"/>
      <w:r>
        <w:rPr>
          <w:i/>
          <w:iCs/>
          <w:sz w:val="28"/>
          <w:szCs w:val="28"/>
        </w:rPr>
        <w:t xml:space="preserve"> в блоке сметы); скриншоты этого раздела сделаны уже на исправленной версии — на рисунке П.17 видно строку «В том числе НДС (22%, гл. 21 НК РФ)».</w:t>
      </w:r>
    </w:p>
    <w:p w14:paraId="71E1A01D" w14:textId="77777777" w:rsidR="005168CC" w:rsidRDefault="00000000">
      <w:pPr>
        <w:spacing w:before="200" w:after="80" w:line="360" w:lineRule="auto"/>
      </w:pPr>
      <w:r>
        <w:rPr>
          <w:b/>
          <w:bCs/>
          <w:sz w:val="28"/>
          <w:szCs w:val="28"/>
        </w:rPr>
        <w:t>Шаг 1. Переход с Занятия 3 и методический блок Занятия 4</w:t>
      </w:r>
    </w:p>
    <w:p w14:paraId="24AD6287" w14:textId="77777777" w:rsidR="00D44F91" w:rsidRDefault="00000000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>
        <w:rPr>
          <w:sz w:val="28"/>
          <w:szCs w:val="28"/>
        </w:rPr>
        <w:t>Кнопка «Перейди к следующему этапу практикума →» в конце Занятия 3 открывает гейт-</w:t>
      </w:r>
      <w:proofErr w:type="spellStart"/>
      <w:r>
        <w:rPr>
          <w:sz w:val="28"/>
          <w:szCs w:val="28"/>
        </w:rPr>
        <w:t>модалку</w:t>
      </w:r>
      <w:proofErr w:type="spellEnd"/>
      <w:r>
        <w:rPr>
          <w:sz w:val="28"/>
          <w:szCs w:val="28"/>
        </w:rPr>
        <w:t xml:space="preserve"> «📌 Прежде чем перейти дальше…» с методическим блоком только что пройденного занятия, затем (если для выбранного направления подготовки на этом этапе предусмотрен тест) — тест на усвоенные компетенции по материалу Занятия 3. </w:t>
      </w:r>
    </w:p>
    <w:p w14:paraId="77C877E9" w14:textId="7023B396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После этого открывается страница 10/15, «Занятие 4: Смета и Договор на проект», с методическим блоком: «ЦЕЛЬ ЗАНЯТИЯ» (здесь впервые в практикуме на первый план выходит компетенция ОПК-3 — разработка организационно-распорядительных документов), «ЗАДАЧИ» и «ТЕОРИЯ» с формулой (4) — цена Договора через себестоимость, прибыль и НДС.</w:t>
      </w:r>
    </w:p>
    <w:p w14:paraId="60AD1DC1" w14:textId="77777777" w:rsidR="005168C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492AD7E" wp14:editId="1A16900B">
            <wp:extent cx="5581650" cy="3152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558B" w14:textId="77777777" w:rsidR="005168CC" w:rsidRDefault="00000000">
      <w:pPr>
        <w:spacing w:after="160" w:line="360" w:lineRule="auto"/>
        <w:jc w:val="center"/>
      </w:pPr>
      <w:r>
        <w:rPr>
          <w:sz w:val="26"/>
          <w:szCs w:val="26"/>
        </w:rPr>
        <w:t>Рисунок П.16 – Методический блок Занятия 4: цель занятия с указанием компетенций ОПК-3 и ОПК-12, список задач и панель «Проект» с обновлённым бюджетом фирмы (CAPEX, OPEX)</w:t>
      </w:r>
    </w:p>
    <w:p w14:paraId="06EDACF0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Панель «Проект» справа к этому занятию содержит уже полный набор сводных показателей фирмы (CAPEX активов, ежемесячный OPEX, штат) и проекта (тип системы, число задач и длительность критического пути, труд по задачам, материалы) — все они накоплены на предыдущих занятиях и здесь только используются для расчёта сметы, без пересчёта заново.</w:t>
      </w:r>
    </w:p>
    <w:p w14:paraId="671014FA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Действие: прочитать методический блок и прокрутить страницу вниз, к визуальной сборке цены и смете.</w:t>
      </w:r>
    </w:p>
    <w:p w14:paraId="6F01B7F3" w14:textId="77777777" w:rsidR="005168CC" w:rsidRDefault="00000000">
      <w:pPr>
        <w:spacing w:before="200" w:after="80" w:line="360" w:lineRule="auto"/>
      </w:pPr>
      <w:r>
        <w:rPr>
          <w:b/>
          <w:bCs/>
          <w:sz w:val="28"/>
          <w:szCs w:val="28"/>
        </w:rPr>
        <w:t>Шаг 2. Локальная смета: от прямых затрат до цены с НДС</w:t>
      </w:r>
    </w:p>
    <w:p w14:paraId="2FFACC28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Ниже методического блока — сначала визуальные карточки, показывающие сборку цены «снизу вверх» (труд и материалы складываются в прямые затраты; прямые затраты и накладные расходы офиса складываются в </w:t>
      </w:r>
      <w:r>
        <w:rPr>
          <w:sz w:val="28"/>
          <w:szCs w:val="28"/>
        </w:rPr>
        <w:lastRenderedPageBreak/>
        <w:t>базу для прибыли и НДС), а затем таблица «Локальная смета» с постатейной разбивкой: пять содержательных строк (оплата труда, материалы, накладные расходы, плановая прибыль, НДС) и промежуточные итоги между ними. Строка накладных расходов подписана количеством дней проекта, за которые они начислены, — то же число, что и длительность критического пути с Занятия 3.</w:t>
      </w:r>
    </w:p>
    <w:p w14:paraId="4376DD25" w14:textId="77777777" w:rsidR="005168C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EA0C498" wp14:editId="28A2E9D1">
            <wp:extent cx="5581650" cy="3152775"/>
            <wp:effectExtent l="0" t="0" r="0" b="0"/>
            <wp:docPr id="131172096" name="Рисунок 131172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A46" w14:textId="77777777" w:rsidR="005168CC" w:rsidRDefault="00000000">
      <w:pPr>
        <w:spacing w:after="160" w:line="360" w:lineRule="auto"/>
        <w:jc w:val="center"/>
      </w:pPr>
      <w:r>
        <w:rPr>
          <w:sz w:val="26"/>
          <w:szCs w:val="26"/>
        </w:rPr>
        <w:t>Рисунок П.17 – Локальная смета проекта: пять статей затрат, промежуточные итоги и НДС по действующей ставке 22%</w:t>
      </w:r>
    </w:p>
    <w:p w14:paraId="4541545C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Действие: свериться с предупреждением под таблицей карточек (если оно есть) — оно появляется, когда доля накладных расходов заметно отклоняется от рыночного ориентира для выбранного уровня цены комплектующих (25/35/60%), и подсказывает вернуться в раздел «Ресурсы фирмы» Старта 0. Если предупреждения нет — доля накладных близка к ориентиру, можно двигаться дальше, к оформлению Договора.</w:t>
      </w:r>
    </w:p>
    <w:p w14:paraId="764E1A98" w14:textId="77777777" w:rsidR="005168CC" w:rsidRDefault="00000000">
      <w:pPr>
        <w:spacing w:before="200" w:after="80" w:line="360" w:lineRule="auto"/>
      </w:pPr>
      <w:r>
        <w:rPr>
          <w:b/>
          <w:bCs/>
          <w:sz w:val="28"/>
          <w:szCs w:val="28"/>
        </w:rPr>
        <w:t>Шаг 3. Реквизиты сторон и текст Договора подряда</w:t>
      </w:r>
    </w:p>
    <w:p w14:paraId="2D5F3CDF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Ниже сметы — два блока с полями ввода: реквизиты Исполнителя (ИНН, ОГРН, юридический адрес, банковские реквизиты, телефон — своей фирмы) и реквизиты Заказчика (ИНН или паспортные данные, схема оплаты — 70/30, 80/20 или 100% предоплата, гарантийный срок в месяцах). Оба блока нужно </w:t>
      </w:r>
      <w:r>
        <w:rPr>
          <w:sz w:val="28"/>
          <w:szCs w:val="28"/>
        </w:rPr>
        <w:lastRenderedPageBreak/>
        <w:t>заполнить до конца — незаполненные поля дают жёлтое предупреждение под текстом Договора внизу страницы. Сразу под ними — сам текст Договора подряда, автоматически собранный из уже введённых данных: номер, дата, стороны, предмет Договора, цена (переносится из итоговой строки сметы) и условия оплаты.</w:t>
      </w:r>
    </w:p>
    <w:p w14:paraId="39AEF008" w14:textId="77777777" w:rsidR="005168C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F0AE4D" wp14:editId="085B7C5E">
            <wp:extent cx="5581650" cy="3152775"/>
            <wp:effectExtent l="0" t="0" r="0" b="0"/>
            <wp:docPr id="678801952" name="Рисунок 67880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584" w14:textId="77777777" w:rsidR="005168CC" w:rsidRDefault="00000000">
      <w:pPr>
        <w:spacing w:after="160" w:line="360" w:lineRule="auto"/>
        <w:jc w:val="center"/>
      </w:pPr>
      <w:r>
        <w:rPr>
          <w:sz w:val="26"/>
          <w:szCs w:val="26"/>
        </w:rPr>
        <w:t>Рисунок П.18 – Поля реквизитов Исполнителя и Заказчика и начало текста Договора подряда — номер, дата, стороны, предмет Договора</w:t>
      </w:r>
    </w:p>
    <w:p w14:paraId="07E68DEE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Действие: заполнить оба блока реквизитов (для учебных целей можно использовать условные, но формально корректные по формату значения — ИНН из 10 или 12 цифр, ОГРН из 13 цифр), выбрать схему оплаты и указать гарантийный срок.</w:t>
      </w:r>
    </w:p>
    <w:p w14:paraId="32DFA70C" w14:textId="77777777" w:rsidR="005168CC" w:rsidRDefault="00000000">
      <w:pPr>
        <w:spacing w:before="200" w:after="80" w:line="360" w:lineRule="auto"/>
      </w:pPr>
      <w:r>
        <w:rPr>
          <w:b/>
          <w:bCs/>
          <w:sz w:val="28"/>
          <w:szCs w:val="28"/>
        </w:rPr>
        <w:t>Шаг 4. Разделы ответственности, риски и переход к Занятию 5</w:t>
      </w:r>
    </w:p>
    <w:p w14:paraId="49184B0E" w14:textId="77777777" w:rsidR="005168CC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Дальше по тексту Договора идут разделы 3–13: сроки, качество и технические допуски, порядок сдачи-приёмки, гарантия и абонентское обслуживание, ответственность сторон (симметричная пеня 0,1% в сутки за просрочку — раздел 7), риски, за которые Исполнитель не отвечает, включая явно прописанный риск выбранного уровня цены комплектующих (раздел 8), форс-мажор (раздел 9), конфиденциальность и обработка персональных </w:t>
      </w:r>
      <w:r>
        <w:rPr>
          <w:sz w:val="28"/>
          <w:szCs w:val="28"/>
        </w:rPr>
        <w:lastRenderedPageBreak/>
        <w:t>данных (раздел 10), срок действия Договора, порядок разрешения споров и перечень приложений.</w:t>
      </w:r>
    </w:p>
    <w:p w14:paraId="44042DCE" w14:textId="77777777" w:rsidR="005168CC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BEE50F" wp14:editId="0E665229">
            <wp:extent cx="5581650" cy="3152775"/>
            <wp:effectExtent l="0" t="0" r="0" b="0"/>
            <wp:docPr id="1348072132" name="Рисунок 134807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09E1" w14:textId="77777777" w:rsidR="005168CC" w:rsidRDefault="00000000">
      <w:pPr>
        <w:spacing w:after="160" w:line="360" w:lineRule="auto"/>
        <w:jc w:val="center"/>
      </w:pPr>
      <w:r>
        <w:rPr>
          <w:sz w:val="26"/>
          <w:szCs w:val="26"/>
        </w:rPr>
        <w:t>Рисунок П.19 – Разделы 7–10 Договора: пеня за просрочку сторон, риски вне ответственности Исполнителя (включая риск уровня цены комплектующих), форс-мажор и конфиденциальность</w:t>
      </w:r>
    </w:p>
    <w:p w14:paraId="463498FD" w14:textId="77777777" w:rsidR="00D44F91" w:rsidRDefault="00000000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>
        <w:rPr>
          <w:sz w:val="28"/>
          <w:szCs w:val="28"/>
        </w:rPr>
        <w:t xml:space="preserve">Действие: прочитать разделы 7–10 и убедиться, что понятно, какая сторона несёт риск в каждом случае (это пригодится для контрольных вопросов главы 5). </w:t>
      </w:r>
    </w:p>
    <w:p w14:paraId="05ADF8F9" w14:textId="2AA99136" w:rsidR="005168CC" w:rsidRDefault="00000000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Долистать</w:t>
      </w:r>
      <w:proofErr w:type="spellEnd"/>
      <w:r>
        <w:rPr>
          <w:sz w:val="28"/>
          <w:szCs w:val="28"/>
        </w:rPr>
        <w:t xml:space="preserve"> текст Договора до полей подписи сторон и жёлтой памятки «Проверьте: заполнены ли ВСЕ реквизиты сторон». Затем нажать «Перейди к следующему этапу практикума →» — откроется гейт-</w:t>
      </w:r>
      <w:proofErr w:type="spellStart"/>
      <w:r>
        <w:rPr>
          <w:sz w:val="28"/>
          <w:szCs w:val="28"/>
        </w:rPr>
        <w:t>модалка</w:t>
      </w:r>
      <w:proofErr w:type="spellEnd"/>
      <w:r>
        <w:rPr>
          <w:sz w:val="28"/>
          <w:szCs w:val="28"/>
        </w:rPr>
        <w:t xml:space="preserve"> с методическим блоком Занятия 4, затем (если для направления подготовки предусмотрен тест на этом этапе) тест на усвоенные компетенции, и после него — страница 11/15, «Занятие 5: Бюджет проекта для фирмы».</w:t>
      </w:r>
    </w:p>
    <w:p w14:paraId="7E352239" w14:textId="77777777" w:rsidR="005168CC" w:rsidRDefault="005168CC">
      <w:pPr>
        <w:spacing w:before="300"/>
      </w:pPr>
    </w:p>
    <w:p w14:paraId="576EE6A2" w14:textId="77777777" w:rsidR="005168CC" w:rsidRDefault="00000000">
      <w:pPr>
        <w:spacing w:line="360" w:lineRule="auto"/>
        <w:ind w:firstLine="709"/>
        <w:jc w:val="both"/>
      </w:pPr>
      <w:r>
        <w:rPr>
          <w:i/>
          <w:iCs/>
          <w:sz w:val="28"/>
          <w:szCs w:val="28"/>
        </w:rPr>
        <w:t>Продолжение путеводителя — по Занятиям 5–9 — оформляется отдельными файлами по мере готовности соответствующих глав учебника.</w:t>
      </w:r>
    </w:p>
    <w:sectPr w:rsidR="005168C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56A8"/>
    <w:multiLevelType w:val="hybridMultilevel"/>
    <w:tmpl w:val="76FC4714"/>
    <w:lvl w:ilvl="0" w:tplc="2C447FE2">
      <w:start w:val="1"/>
      <w:numFmt w:val="bullet"/>
      <w:lvlText w:val="●"/>
      <w:lvlJc w:val="left"/>
      <w:pPr>
        <w:ind w:left="720" w:hanging="360"/>
      </w:pPr>
    </w:lvl>
    <w:lvl w:ilvl="1" w:tplc="9E12C32E">
      <w:start w:val="1"/>
      <w:numFmt w:val="bullet"/>
      <w:lvlText w:val="○"/>
      <w:lvlJc w:val="left"/>
      <w:pPr>
        <w:ind w:left="1440" w:hanging="360"/>
      </w:pPr>
    </w:lvl>
    <w:lvl w:ilvl="2" w:tplc="5660149E">
      <w:start w:val="1"/>
      <w:numFmt w:val="bullet"/>
      <w:lvlText w:val="■"/>
      <w:lvlJc w:val="left"/>
      <w:pPr>
        <w:ind w:left="2160" w:hanging="360"/>
      </w:pPr>
    </w:lvl>
    <w:lvl w:ilvl="3" w:tplc="4B22BA30">
      <w:start w:val="1"/>
      <w:numFmt w:val="bullet"/>
      <w:lvlText w:val="●"/>
      <w:lvlJc w:val="left"/>
      <w:pPr>
        <w:ind w:left="2880" w:hanging="360"/>
      </w:pPr>
    </w:lvl>
    <w:lvl w:ilvl="4" w:tplc="607AA164">
      <w:start w:val="1"/>
      <w:numFmt w:val="bullet"/>
      <w:lvlText w:val="○"/>
      <w:lvlJc w:val="left"/>
      <w:pPr>
        <w:ind w:left="3600" w:hanging="360"/>
      </w:pPr>
    </w:lvl>
    <w:lvl w:ilvl="5" w:tplc="070A7CF6">
      <w:start w:val="1"/>
      <w:numFmt w:val="bullet"/>
      <w:lvlText w:val="■"/>
      <w:lvlJc w:val="left"/>
      <w:pPr>
        <w:ind w:left="4320" w:hanging="360"/>
      </w:pPr>
    </w:lvl>
    <w:lvl w:ilvl="6" w:tplc="8E6EBE7E">
      <w:start w:val="1"/>
      <w:numFmt w:val="bullet"/>
      <w:lvlText w:val="●"/>
      <w:lvlJc w:val="left"/>
      <w:pPr>
        <w:ind w:left="5040" w:hanging="360"/>
      </w:pPr>
    </w:lvl>
    <w:lvl w:ilvl="7" w:tplc="61F097D6">
      <w:start w:val="1"/>
      <w:numFmt w:val="bullet"/>
      <w:lvlText w:val="●"/>
      <w:lvlJc w:val="left"/>
      <w:pPr>
        <w:ind w:left="5760" w:hanging="360"/>
      </w:pPr>
    </w:lvl>
    <w:lvl w:ilvl="8" w:tplc="59DA58A4">
      <w:start w:val="1"/>
      <w:numFmt w:val="bullet"/>
      <w:lvlText w:val="●"/>
      <w:lvlJc w:val="left"/>
      <w:pPr>
        <w:ind w:left="6480" w:hanging="360"/>
      </w:pPr>
    </w:lvl>
  </w:abstractNum>
  <w:num w:numId="1" w16cid:durableId="1909072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CC"/>
    <w:rsid w:val="005168CC"/>
    <w:rsid w:val="00D44F91"/>
    <w:rsid w:val="00EB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10DC"/>
  <w15:docId w15:val="{317D2964-E3F1-4AAD-9599-64FD2593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Мандрица Игорь Владимирович</cp:lastModifiedBy>
  <cp:revision>2</cp:revision>
  <dcterms:created xsi:type="dcterms:W3CDTF">2026-07-30T19:59:00Z</dcterms:created>
  <dcterms:modified xsi:type="dcterms:W3CDTF">2026-07-30T20:02:00Z</dcterms:modified>
</cp:coreProperties>
</file>