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ГЛАВА 5. ЗАНЯТИЕ 4: СМЕТА И ДОГОВОР НА ПРОЕКТ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Диаграмма Ганта закрыла последний открытый вопрос календарного плана — сколько суток займёт проект целиком. Занятие 4 берёт этот срок как готовое число и превращает его в две вещи разной природы: денежную сумму, которую заказчик обязан заплатить, и юридический документ, которым эта обязанность закрепляется. До сих пор практикум работал преимущественно с расчётом — формулами, таблицами, диаграммами; здесь же впервые на первый план выходит компетенция ОПК-3 магистратуры по направлению 10.04.01, «способен разрабатывать проекты организационно-распорядительных документов по обеспечению информационной безопасности». Договор подряда — не приложение к расчёту, а самостоятельный предмет освоения, со своей внутренней логикой распределения рисков между сторонами.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 Цель и задачи занятия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Занятие формирует две компетенции параллельно, и обе проверяются не декларативно, а инструментально. ОПК-12 бакалавриата 10.03.01 — «способен проводить расчёт основных технико-экономических показателей проекта» — отвечает за арифметику сметы: студент обязан свести уже накопленные за три предыдущих занятия числа (труд, материалы, срок) в единую цену. ОПК-3 10.04.01 отвечает за форму: та же цена должна быть облечена в документ, где у каждой стороны есть обязанности, сроки их исполнения и последствия нарушения. Направление 10.05.01 отдельной компетенции на этом занятии не формирует — специалитет проверяет организационно-распорядительную работу с документами в других точках практикума.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Рассчитать плановую себестоимость проекта как сумму прямых затрат (труд и материалы, унаследованные из занятия 2) и реальных накладных расходов офиса, пропорционированных сроку проекта.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Определить цену Договора с учётом плановой прибыли фирмы и налога на добавленную стоимость.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Установить условия оплаты — размер аванса, порядок окончательного расчёта и долю плановых накоплений фирмы от прибыли.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Оформить Договор подряда, распределяющий между Исполнителем и Заказчиком ответственность за просрочку, скрытые дефекты объекта и последствия выбранного уровня цены комплектующих.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5.2. Себестоимость проекта: от прямых затрат к реальным накладным расходам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Прямые затраты сметы — не новое вычисление, а перенос уже известной суммы: строка «Оплата труда исполнителей» обязана совпасть с итогом занятия 2 (стоимость труда по всем задачам пяти этапов, начисленная с учётом страховых взносов работодателя 30,2%), а строка «Материалы и комплектующие» — с суммой комплектующих по выбранному студентом уровню цены. Совпадение здесь не случайность и не совпадение по построению — это единственная сумма total, которая читается практикумом из одного и того же места состояния проекта на разных занятиях, поэтому расхождение между сметой и занятием 2 технически невозможно, если студент не редактировал данные вручную задним числом.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 накладными расходами так просто не вышло. Ранняя версия практикума считала их условной плоской ставкой — 10% от прямых затрат, — и это число нигде не было привязано к реальным расходам офиса: аренде, связи, транспорту, содержанию основных средств, которые студент сам отмечал как нужные фирме ещё на Старте 0. При проверке всплыло расхождение: одна и та же величина накладных расходов должна была фигурировать и в смете, и в п.2.6 Договора, и в плановом бюджете занятия 5, а из-за плоской ставки эти три места показывали разные суммы на одной и той же странице. Решение — считать накладные единожды, реальной суммой ovhTotal, и переиспользовать её во всех трёх местах.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Вторая правка оказалась серьёзнее первой. Основные средства фирмы — грузовой автомобиль монтажников за 2 000 000 ₽, автомобиль директора за 3 500 000 ₽ и подобные позиции — изначально добавлялись в накладные расходы полной стоимостью покупки на один проект, из-за чего накладные достигали 305% от прямых затрат: абсурдная величина, которую не спишешь на округление. Причина в том, что автомобиль или компьютер служит фирме несколько лет и приносит пользу не одному проекту, а десяткам, поэтому в себестоимость конкретного заказа обязана попадать не вся стоимость покупки, а доля износа за срок именно этого проекта. Принята единая учебная норма — 36 месяцев полезного использования, и от неё считается суточная ставка амортизации.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Формула (5.1) сводит обе поправки в одно выражение.</w:t>
      </w:r>
    </w:p>
    <w:p>
      <w:pPr>
        <w:tabs>
          <w:tab w:val="right" w:pos="9026"/>
        </w:tabs>
        <w:spacing w:after="60" w:before="120" w:line="360" w:lineRule="auto"/>
        <w:jc w:val="left"/>
      </w:pPr>
      <m:oMath>
        <m:sSub>
          <m:sSubPr/>
          <m:e>
            <m:r>
              <m:t>Н</m:t>
            </m:r>
          </m:e>
          <m:sub>
            <m:r>
              <m:t>р</m:t>
            </m:r>
          </m:sub>
        </m:sSub>
        <m:r>
          <m:t> = </m:t>
        </m:r>
        <m:d>
          <m:dPr/>
          <m:e>
            <m:f>
              <m:num>
                <m:sSub>
                  <m:sSubPr/>
                  <m:e>
                    <m:r>
                      <m:t>О</m:t>
                    </m:r>
                  </m:e>
                  <m:sub>
                    <m:r>
                      <m:t>пекс</m:t>
                    </m:r>
                  </m:sub>
                </m:sSub>
              </m:num>
              <m:den>
                <m:r>
                  <m:t>30</m:t>
                </m:r>
              </m:den>
            </m:f>
            <m:r>
              <m:t> + </m:t>
            </m:r>
            <m:f>
              <m:num>
                <m:sSub>
                  <m:sSubPr/>
                  <m:e>
                    <m:r>
                      <m:t>К</m:t>
                    </m:r>
                  </m:e>
                  <m:sub>
                    <m:r>
                      <m:t>апекс</m:t>
                    </m:r>
                  </m:sub>
                </m:sSub>
              </m:num>
              <m:den>
                <m:r>
                  <m:t>36 × 30</m:t>
                </m:r>
              </m:den>
            </m:f>
          </m:e>
        </m:d>
        <m:r>
          <m:t> × </m:t>
        </m:r>
        <m:sSub>
          <m:sSubPr/>
          <m:e>
            <m:r>
              <m:t>Т</m:t>
            </m:r>
          </m:e>
          <m:sub>
            <m:r>
              <m:t>пр</m:t>
            </m:r>
          </m:sub>
        </m:sSub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(5.1)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Нр — накладные расходы, пропорционированные сроку проекта, ₽; Опекс — сумма ежемесячных операционных статей фирмы (аренда, связь, хостинг, транспорт), отмеченных как нужные на Старте 0; Капекс — полная стоимость основных средств фирмы (компьютеры, транспорт и подобное имущество); 36 — норма амортизации в месяцах; Тпр — срок проекта в календарных сутках по критическому пути (тот же Tкп, что и в формуле 4.1 предыдущей главы). Дробь Опекс/30 переводит месячную ставку в суточную, а дробь Капекс/(36×30) — переводит в суточную ставку полную стоимость основных средств; обе дроби складываются и умножаются на фактический срок проекта, а не на условный месяц.</w:t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Таблица 16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Локальная смета проекта: постатейная разбивка цены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9"/>
        <w:gridCol w:w="3685"/>
        <w:gridCol w:w="2835"/>
        <w:gridCol w:w="2126"/>
      </w:tblGrid>
      <w:tr>
        <w:trPr>
          <w:cantSplit/>
          <w:tblHeader/>
        </w:trPr>
        <w:tc>
          <w:tcPr>
            <w:tcW w:type="dxa" w:w="709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3685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Статья затрат</w:t>
            </w:r>
          </w:p>
        </w:tc>
        <w:tc>
          <w:tcPr>
            <w:tcW w:type="dxa" w:w="2835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Формула / источник</w:t>
            </w:r>
          </w:p>
        </w:tc>
        <w:tc>
          <w:tcPr>
            <w:tcW w:type="dxa" w:w="2126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Доля в цене</w:t>
            </w:r>
          </w:p>
        </w:tc>
      </w:tr>
      <w:tr>
        <w:trPr>
          <w:cantSplit/>
          <w:tblHeader w:val="false"/>
        </w:trPr>
        <w:tc>
          <w:tcPr>
            <w:tcW w:type="dxa" w:w="70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368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Оплата труда исполнителей (с начислениями 30,2%)</w:t>
            </w:r>
          </w:p>
        </w:tc>
        <w:tc>
          <w:tcPr>
            <w:tcW w:type="dxa" w:w="28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итог занятия 2</w:t>
            </w:r>
          </w:p>
        </w:tc>
        <w:tc>
          <w:tcPr>
            <w:tcW w:type="dxa" w:w="2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варьируется по проекту</w:t>
            </w:r>
          </w:p>
        </w:tc>
      </w:tr>
      <w:tr>
        <w:trPr>
          <w:cantSplit/>
          <w:tblHeader w:val="false"/>
        </w:trPr>
        <w:tc>
          <w:tcPr>
            <w:tcW w:type="dxa" w:w="70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368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Материалы и комплектующие</w:t>
            </w:r>
          </w:p>
        </w:tc>
        <w:tc>
          <w:tcPr>
            <w:tcW w:type="dxa" w:w="28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сумма по уровню цены, занятие 2</w:t>
            </w:r>
          </w:p>
        </w:tc>
        <w:tc>
          <w:tcPr>
            <w:tcW w:type="dxa" w:w="2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варьируется по проекту</w:t>
            </w:r>
          </w:p>
        </w:tc>
      </w:tr>
      <w:tr>
        <w:trPr>
          <w:cantSplit/>
          <w:tblHeader w:val="false"/>
        </w:trPr>
        <w:tc>
          <w:tcPr>
            <w:tcW w:type="dxa" w:w="70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368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Итого прямые затраты</w:t>
            </w:r>
          </w:p>
        </w:tc>
        <w:tc>
          <w:tcPr>
            <w:tcW w:type="dxa" w:w="28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стр. 1 + стр. 2</w:t>
            </w:r>
          </w:p>
        </w:tc>
        <w:tc>
          <w:tcPr>
            <w:tcW w:type="dxa" w:w="2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100% базы накладных</w:t>
            </w:r>
          </w:p>
        </w:tc>
      </w:tr>
      <w:tr>
        <w:trPr>
          <w:cantSplit/>
          <w:tblHeader w:val="false"/>
        </w:trPr>
        <w:tc>
          <w:tcPr>
            <w:tcW w:type="dxa" w:w="70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368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Накладные расходы офиса</w:t>
            </w:r>
          </w:p>
        </w:tc>
        <w:tc>
          <w:tcPr>
            <w:tcW w:type="dxa" w:w="28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формула (5.1)</w:t>
            </w:r>
          </w:p>
        </w:tc>
        <w:tc>
          <w:tcPr>
            <w:tcW w:type="dxa" w:w="2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25 / 35 / 60% — ориентир по уровню цены</w:t>
            </w:r>
          </w:p>
        </w:tc>
      </w:tr>
      <w:tr>
        <w:trPr>
          <w:cantSplit/>
          <w:tblHeader w:val="false"/>
        </w:trPr>
        <w:tc>
          <w:tcPr>
            <w:tcW w:type="dxa" w:w="70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368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Плановая прибыль исполнителя</w:t>
            </w:r>
          </w:p>
        </w:tc>
        <w:tc>
          <w:tcPr>
            <w:tcW w:type="dxa" w:w="28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 = Ссеб × 15%</w:t>
            </w:r>
          </w:p>
        </w:tc>
        <w:tc>
          <w:tcPr>
            <w:tcW w:type="dxa" w:w="2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15% от себестоимости</w:t>
            </w:r>
          </w:p>
        </w:tc>
      </w:tr>
      <w:tr>
        <w:trPr>
          <w:cantSplit/>
          <w:tblHeader w:val="false"/>
        </w:trPr>
        <w:tc>
          <w:tcPr>
            <w:tcW w:type="dxa" w:w="70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368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Итого цена без НДС</w:t>
            </w:r>
          </w:p>
        </w:tc>
        <w:tc>
          <w:tcPr>
            <w:tcW w:type="dxa" w:w="28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Ссеб + M</w:t>
            </w:r>
          </w:p>
        </w:tc>
        <w:tc>
          <w:tcPr>
            <w:tcW w:type="dxa" w:w="2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70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368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 том числе НДС</w:t>
            </w:r>
          </w:p>
        </w:tc>
        <w:tc>
          <w:tcPr>
            <w:tcW w:type="dxa" w:w="28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22% (гл. 21 НК РФ)</w:t>
            </w:r>
          </w:p>
        </w:tc>
        <w:tc>
          <w:tcPr>
            <w:tcW w:type="dxa" w:w="2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22% от цены без НДС</w:t>
            </w:r>
          </w:p>
        </w:tc>
      </w:tr>
    </w:tbl>
    <w:p>
      <w:pPr>
        <w:spacing w:after="0" w:before="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показывает восемь строк, но содержательных статей затрат в ней пять — остальные три являются промежуточными итогами, вынесенными отдельно, чтобы прибыль и НДС считались от однозначно понятной базы, а не от накопленной суммы вперемешку с промежуточными надбавками. Доля накладных расходов не фиксирована — практикум сверяет её с рыночным ориентиром (25% для бюджетного уровня цены комплектующих, 35% для среднего, 60% для дорогого) и предупреждает студента, если реальный процент заметно отклоняется: отклонение вверх обычно означает, что на Старте 0 отмечены лишние или сильно изношенные основные средства, отклонение вниз — что ресурсов офиса отмечено меньше, чем реально нужно проекту такого масштаба.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5.3. Цена Договора: плановая прибыль и налог на добавленную стоимость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 себестоимости к итоговой цене смета идёт в два умножения, а не в два сложения — это принципиально, потому что и прибыль, и налог начисляются на уже накопленную базу, а не складываются с ней как независимые слагаемые. Плановая прибыль фирмы зафиксирована практикумом на уровне 15% от себестоимости и студентом не выбирается — это осознанное методическое ограничение: если бы норму прибыли можно было подгонять произвольно, любое расхождение сметы с ожидаемым результатом можно было бы списать на «просто взяли другой процент», и проверка расчёта потеряла бы смысл. Фиксированная ставка делает результат проверяемым: при одинаковых исходных данных смета обязана выдавать одно и то же число.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Ставка налога на добавленную стоимость, напротив, не константа практикума, а внешний факт, который меняется независимо от учебной программы. С 1 января 2026 года действует ставка 22% — повышение с прежних 20% установлено Федеральным законом от 28.11.2025 №425-ФЗ. Дата важна: занятие спроектировано так, что студент проверяет актуальность ставки самостоятельно (первый вопрос теста компетенций прямо спрашивает, какая ставка действует «с 1 января 2026 года»), а не принимает число из учебника на веру. К моменту подготовки настоящей главы в самом коде расчёта сметы значение ставки было исправлено, чтобы совпадать с тем, что уже год как верно объясняет теоретическая панель занятия, — прежде код и текст занятия расходились между собой.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Итоговая формула цены Договора собирает себестоимость, прибыль и налог в одно выражение.</w:t>
      </w:r>
    </w:p>
    <w:p>
      <w:pPr>
        <w:tabs>
          <w:tab w:val="right" w:pos="9026"/>
        </w:tabs>
        <w:spacing w:after="60" w:before="120" w:line="360" w:lineRule="auto"/>
        <w:jc w:val="left"/>
      </w:pPr>
      <m:oMath>
        <m:r>
          <m:t>Ц = </m:t>
        </m:r>
        <m:d>
          <m:dPr/>
          <m:e>
            <m:sSub>
              <m:sSubPr/>
              <m:e>
                <m:r>
                  <m:t>С</m:t>
                </m:r>
              </m:e>
              <m:sub>
                <m:r>
                  <m:t>себ</m:t>
                </m:r>
              </m:sub>
            </m:sSub>
            <m:r>
              <m:t> + M</m:t>
            </m:r>
          </m:e>
        </m:d>
        <m:r>
          <m:t> × </m:t>
        </m:r>
        <m:d>
          <m:dPr/>
          <m:e>
            <m:r>
              <m:t>1 + </m:t>
            </m:r>
            <m:sSub>
              <m:sSubPr/>
              <m:e>
                <m:r>
                  <m:t>С</m:t>
                </m:r>
              </m:e>
              <m:sub>
                <m:r>
                  <m:t>ндс</m:t>
                </m:r>
              </m:sub>
            </m:sSub>
          </m:e>
        </m:d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(5.2)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Ц — цена Договора с заказчиком, ₽; Ссеб — плановая себестоимость проекта, равная сумме прямых затрат и накладных расходов по формуле (5.1); M — плановая прибыль фирмы, ₽ (пятнадцать процентов от Ссеб); Сндс — ставка налога на добавленную стоимость, применяемая к цене без налога (Ссеб + M) целиком, а не отдельно к каждой статье затрат. Форма записи Ц = (Ссеб + M) × (1 + Сндс) намеренно совпадает с формулой, которую студент видит на теоретической панели самого занятия под собственным номером «(4)» практикума — учебник использует ту же символику, чтобы не создавать впечатления, будто источники по-разному считают одну и ту же величину.</w:t>
      </w:r>
    </w:p>
    <w:p>
      <w:pPr>
        <w:spacing w:after="60" w:before="120"/>
        <w:jc w:val="center"/>
      </w:pPr>
      <w:r>
        <w:drawing>
          <wp:inline distT="0" distB="0" distL="0" distR="0">
            <wp:extent cx="558165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Рисунок 6 – Каскад формирования цены Договора «снизу вверх»: от прямых затрат через накладные расходы (формула 5.1) и прибыль к цене с НДС (формула 5.2), с отдельной ветвью накоплений фирмы (формула 5.3)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разворачивает ту же последовательность умножений и сложений, что и в самом интерфейсе практикума, который прямо называет это «визуальной сборкой цены снизу вверх». Каждая стрелка каскада соответствует ровно одной операции над предыдущим блоком и одной строке таблицы 16; отдельная ветвь внизу показывает, что доля накоплений фирмы отсчитывается не от итоговой цены Ц, а от промежуточной величины прибыли M, — это связано с разделом 5.4 и намеренно вынесено на рисунок отдельно, чтобы не путать студента, откуда физически берутся накопления.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5.4. Условия оплаты и накопления фирмы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Договор предлагает студенту на выбор три схемы платежа: 70% аванса и 30% по завершении работ, 80/20 или полную стопроцентную предоплату. Выбор не формальность — при полной предоплате пункт Договора об окончательном расчёте вообще исчезает из текста (второго платежа не существует), а при частичной предоплате остаток становится обязательством заказчика, обеспеченным пенёй за просрочку (раздел 5.5). Смена схемы оплаты влияет на текст Договора мгновенно и без ручного редактирования формулировок — это тот случай, когда шаблонизация документа не косметическая, а содержательная: неверно выбранная схема меняет юридический смысл раздела 2 Договора, а не только цифры в нём.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Плановые накопления фирмы — резерв на развитие, обучение персонала и подушку на непредвиденные расходы — прежде считались в практикуме от полной цены Договора Ц. При ставке накоплений 60% (ориентир для дорогого уровня цены комплектующих) это давало абсурдный результат: накопления могли численно превысить саму прибыль M, как будто фирма откладывает в резерв деньги, ещё не покрывшие прямые затраты и налоги. Исправление простое по формулировке и принципиальное по смыслу — откладывать в резерв можно только то, что уже заработано, то есть долю от прибыли, а не от выручки.</w:t>
      </w:r>
    </w:p>
    <w:p>
      <w:pPr>
        <w:tabs>
          <w:tab w:val="right" w:pos="9026"/>
        </w:tabs>
        <w:spacing w:after="60" w:before="120" w:line="360" w:lineRule="auto"/>
        <w:jc w:val="left"/>
      </w:pPr>
      <m:oMath>
        <m:sSub>
          <m:sSubPr/>
          <m:e>
            <m:r>
              <m:t>Н</m:t>
            </m:r>
          </m:e>
          <m:sub>
            <m:r>
              <m:t>ак</m:t>
            </m:r>
          </m:sub>
        </m:sSub>
        <m:r>
          <m:t> = M × </m:t>
        </m:r>
        <m:sSub>
          <m:sSubPr/>
          <m:e>
            <m:r>
              <m:t>k</m:t>
            </m:r>
          </m:e>
          <m:sub>
            <m:r>
              <m:t>нак</m:t>
            </m:r>
          </m:sub>
        </m:sSub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(5.3)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Нак — плановая сумма накоплений фирмы по данному Договору, ₽; M — плановая прибыль (формула 5.2); kнак — доля прибыли, направляемая в резерв, выбирается студентом из трёх значений: 25% для бюджетного уровня цены комплектующих, 35% для среднего, 60% для дорогого — тот же ориентир, что и для соотношения накладных расходов в таблице 16 (более платёжеспособный заказчик подразумевает более оснащённый и, следовательно, более затратный офис, а значит и больший запас прочности на накопления). Величина Нак не входит в сумму, причитающуюся к оплате заказчиком, — это исключительно внутренний плановый показатель фирмы, переиспользуемый в блоке 8 занятия 5 «Плановый бюджет фирмы».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5.5. Договор подряда: распределение рисков между сторонами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Готовый текст Договора подряда объединяет тринадцать разделов, и с точки зрения формируемой компетенции ОПК-3 интереснее не разделы с цифрами (они автоматически подставляются из уже посчитанной сметы и календарного графика), а разделы, распределяющие ответственность за события, которые ещё не произошли. Раздел 7 «Ответственность сторон» устроен симметрично: за просрочку сроков работ Исполнитель платит заказчику пеню 0,1% от цены Договора за каждый день просрочки, но не более 10% от цены Договора; за просрочку оплаты ту же пеню 0,1% в день платит заказчик — без верхнего предела, поскольку неоплаченная сумма и так со временем не растёт быстрее пени. Симметрия здесь не эстетический выбор, а юридическая необходимость: односторонняя ответственность в подрядном договоре — типичное основание для последующего оспаривания условий как явно обременительных для одной из сторон.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Раздел 8 «Риски и обстоятельства, за которые Исполнитель не отвечает» — единственный пункт Договора, прямо ссылающийся на решение, принятое студентом двумя занятиями раньше. Заказчик информируется и соглашается с тем, что выбранный на занятии 2 ценовой уровень комплектующих («бюджетный», «средний» или «VIP») объективно связан с более высокой вероятностью ложных срабатываний и более ранним износом отдельных компонентов на бюджетном уровне по сравнению со старшими уровнями цены, и этот риск не считается недостатком работы Исполнителя при условии соблюдения гарантийных обязательств. Формулировка не снимает с Исполнителя ответственность произвольно — она заранее фиксирует границу между риском выбора уровня цены (на который заказчик пошёл осознанно) и риском некачественного монтажа (за который Исполнитель отвечает при любом уровне цены).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Раздел 9 «Форс-мажорные обстоятельства» освобождает стороны от ответственности при стихийных бедствиях, пожаре, военных действиях, актах органов власти и эпидемиях, но обязывает уведомить другую сторону о наступлении и предполагаемом сроке действия таких обстоятельств в течение трёх рабочих дней — без уведомления форс-мажор существует только по факту, но не как основание для продления сроков по Договору. Раздел 10 «Конфиденциальность» дополнительно закрепляет согласие заказчика на обработку персональных данных исполнителем в соответствии с Федеральным законом №152-ФЗ «О персональных данных» — обязательный пункт для любого подрядного договора с физическим лицом, а не специфика именно систем безопасности.</w:t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Таблица 17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Распределение ответственности по ключевым разделам Договора подряда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2"/>
        <w:gridCol w:w="2605"/>
        <w:gridCol w:w="3079"/>
        <w:gridCol w:w="3079"/>
      </w:tblGrid>
      <w:tr>
        <w:trPr>
          <w:cantSplit/>
          <w:tblHeader/>
        </w:trPr>
        <w:tc>
          <w:tcPr>
            <w:tcW w:type="dxa" w:w="592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605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Раздел Договора</w:t>
            </w:r>
          </w:p>
        </w:tc>
        <w:tc>
          <w:tcPr>
            <w:tcW w:type="dxa" w:w="3079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Кто несёт риск / ответственность</w:t>
            </w:r>
          </w:p>
        </w:tc>
        <w:tc>
          <w:tcPr>
            <w:tcW w:type="dxa" w:w="3079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Условие срабатывания</w:t>
            </w:r>
          </w:p>
        </w:tc>
      </w:tr>
      <w:tr>
        <w:trPr>
          <w:cantSplit/>
          <w:tblHeader w:val="false"/>
        </w:trPr>
        <w:tc>
          <w:tcPr>
            <w:tcW w:type="dxa" w:w="5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60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Сроки выполнения работ</w:t>
            </w:r>
          </w:p>
        </w:tc>
        <w:tc>
          <w:tcPr>
            <w:tcW w:type="dxa" w:w="30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Исполнитель</w:t>
            </w:r>
          </w:p>
        </w:tc>
        <w:tc>
          <w:tcPr>
            <w:tcW w:type="dxa" w:w="30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превышение срока по критическому пути (Приложение №2)</w:t>
            </w:r>
          </w:p>
        </w:tc>
      </w:tr>
      <w:tr>
        <w:trPr>
          <w:cantSplit/>
          <w:tblHeader w:val="false"/>
        </w:trPr>
        <w:tc>
          <w:tcPr>
            <w:tcW w:type="dxa" w:w="5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60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Порядок оплаты</w:t>
            </w:r>
          </w:p>
        </w:tc>
        <w:tc>
          <w:tcPr>
            <w:tcW w:type="dxa" w:w="30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Заказчик</w:t>
            </w:r>
          </w:p>
        </w:tc>
        <w:tc>
          <w:tcPr>
            <w:tcW w:type="dxa" w:w="30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просрочка аванса или окончательного платежа</w:t>
            </w:r>
          </w:p>
        </w:tc>
      </w:tr>
      <w:tr>
        <w:trPr>
          <w:cantSplit/>
          <w:tblHeader w:val="false"/>
        </w:trPr>
        <w:tc>
          <w:tcPr>
            <w:tcW w:type="dxa" w:w="5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7.1</w:t>
            </w:r>
          </w:p>
        </w:tc>
        <w:tc>
          <w:tcPr>
            <w:tcW w:type="dxa" w:w="260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Пеня за просрочку работ</w:t>
            </w:r>
          </w:p>
        </w:tc>
        <w:tc>
          <w:tcPr>
            <w:tcW w:type="dxa" w:w="30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Исполнитель</w:t>
            </w:r>
          </w:p>
        </w:tc>
        <w:tc>
          <w:tcPr>
            <w:tcW w:type="dxa" w:w="30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0,1% от цены Договора в сутки, не более 10%</w:t>
            </w:r>
          </w:p>
        </w:tc>
      </w:tr>
      <w:tr>
        <w:trPr>
          <w:cantSplit/>
          <w:tblHeader w:val="false"/>
        </w:trPr>
        <w:tc>
          <w:tcPr>
            <w:tcW w:type="dxa" w:w="5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7.2</w:t>
            </w:r>
          </w:p>
        </w:tc>
        <w:tc>
          <w:tcPr>
            <w:tcW w:type="dxa" w:w="260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Пеня за просрочку оплаты</w:t>
            </w:r>
          </w:p>
        </w:tc>
        <w:tc>
          <w:tcPr>
            <w:tcW w:type="dxa" w:w="30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Заказчик</w:t>
            </w:r>
          </w:p>
        </w:tc>
        <w:tc>
          <w:tcPr>
            <w:tcW w:type="dxa" w:w="30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0,1% от неоплаченной суммы в сутки, без предела</w:t>
            </w:r>
          </w:p>
        </w:tc>
      </w:tr>
      <w:tr>
        <w:trPr>
          <w:cantSplit/>
          <w:tblHeader w:val="false"/>
        </w:trPr>
        <w:tc>
          <w:tcPr>
            <w:tcW w:type="dxa" w:w="5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8.1</w:t>
            </w:r>
          </w:p>
        </w:tc>
        <w:tc>
          <w:tcPr>
            <w:tcW w:type="dxa" w:w="260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Скрытые дефекты объекта</w:t>
            </w:r>
          </w:p>
        </w:tc>
        <w:tc>
          <w:tcPr>
            <w:tcW w:type="dxa" w:w="30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Заказчик (риск снят с Исполнителя)</w:t>
            </w:r>
          </w:p>
        </w:tc>
        <w:tc>
          <w:tcPr>
            <w:tcW w:type="dxa" w:w="30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дефект не выявлен при первичном обследовании</w:t>
            </w:r>
          </w:p>
        </w:tc>
      </w:tr>
      <w:tr>
        <w:trPr>
          <w:cantSplit/>
          <w:tblHeader w:val="false"/>
        </w:trPr>
        <w:tc>
          <w:tcPr>
            <w:tcW w:type="dxa" w:w="5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8.2</w:t>
            </w:r>
          </w:p>
        </w:tc>
        <w:tc>
          <w:tcPr>
            <w:tcW w:type="dxa" w:w="260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Уровень цены комплектующих</w:t>
            </w:r>
          </w:p>
        </w:tc>
        <w:tc>
          <w:tcPr>
            <w:tcW w:type="dxa" w:w="30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Заказчик (риск снят с Исполнителя)</w:t>
            </w:r>
          </w:p>
        </w:tc>
        <w:tc>
          <w:tcPr>
            <w:tcW w:type="dxa" w:w="30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осознанный выбор уровня на занятии 2</w:t>
            </w:r>
          </w:p>
        </w:tc>
      </w:tr>
      <w:tr>
        <w:trPr>
          <w:cantSplit/>
          <w:tblHeader w:val="false"/>
        </w:trPr>
        <w:tc>
          <w:tcPr>
            <w:tcW w:type="dxa" w:w="5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260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Форс-мажор</w:t>
            </w:r>
          </w:p>
        </w:tc>
        <w:tc>
          <w:tcPr>
            <w:tcW w:type="dxa" w:w="30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ни одна из сторон</w:t>
            </w:r>
          </w:p>
        </w:tc>
        <w:tc>
          <w:tcPr>
            <w:tcW w:type="dxa" w:w="30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стихийное бедствие, ЧС, акт органа власти</w:t>
            </w:r>
          </w:p>
        </w:tc>
      </w:tr>
    </w:tbl>
    <w:p>
      <w:pPr>
        <w:spacing w:after="0" w:before="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Матрица собирает то, что в тексте Договора рассредоточено по отдельным пунктам, в единую логику: часть рисков закреплена за Исполнителем как оператором процесса (сроки, качество монтажа), часть — за Заказчиком как стороной, принимающей решения о цене и объекте (просрочка оплаты, скрытые дефекты его собственности, выбор бюджетного уровня комплектующих), и один пункт выведен за пределы ответственности обеих сторон вовсе. Такое распределение — не произвольный набор формулировок, а прямое следствие того, кто фактически контролирует соответствующий фактор риска; именно эту логику и должен уметь воспроизводить студент, а не запомнить готовый текст тринадцати разделов дословно.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5.6. Итоговый тест по компетенциям Занятия 4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Тест на усвоенные компетенции формируется для двух направлений из трёх. Для 10.03.01 (бакалавриат) — четыре вопроса на компетенцию ОПК-12: действующая ставка НДС с 1 января 2026 года, требование к накладным расходам как к реальной сумме, а не условной ставке, способ включения основных средств в себестоимость долей амортизации, и база для расчёта плановых накоплений. Для 10.04.01 (магистратура) — четыре вопроса на компетенцию ОПК-3: правовая основа Договора подряда (глава 37 ГК РФ), обязательное совпадение строки оплаты труда в смете с итогом занятия 2, состав условий оплаты по Договору и содержательное определение организационно-распорядительного документа через фиксацию прав, обязанностей и порядка расчётов сторон.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направления 10.05.01 отдельный тест на этом занятии не формируется — цель занятия (раздел 5.1) не называет для специалитета отдельной компетенции, привязанной именно к смете и Договору, и это не пропуск в структуре теста, а следствие того, что практикум распределяет организационно-распорядительную работу специалитета по другим занятиям. Диаграмма Ганта, смета и Договор при этом остаются обязательными для прохождения всеми тремя направлениями практически: без оформленного Договора занятие 5 не может опереться на его цену и сроки, вне зависимости от того, формируется ли по нему формальный тест для конкретного направления подготовки.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Контрольные вопросы к главе 5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Почему строка «Оплата труда исполнителей» в смете обязана буквально совпадать с итогом занятия 2, а не быть пересчитана заново?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В чём заключались две последовательные методические правки расчёта накладных расходов, и к какому искажению приводила каждая из них до исправления?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Почему основные средства фирмы входят в себестоимость проекта долей амортизации за 36 месяцев, а не полной стоимостью покупки?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Почему прибыль в смете зафиксирована на уровне 15% и не выбирается студентом, в отличие от доли накладных расходов и доли накоплений?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Как формула (5.2) связана с формулой, которую студент видит на теоретической панели самого занятия под номером «(4)», и почему совпадение символов принципиально?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Почему ставка НДС в смете — не константа практикума, а величина, которую нужно проверять по действующему законодательству, и как устроена такая проверка в тесте компетенций?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От какой величины считаются плановые накопления фирмы — от цены Договора или от прибыли — и к какому абсурдному результату приводил прежний расчёт при ставке накоплений 60%?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Почему ответственность за просрочку сроков и за просрочку оплаты в разделе 7 Договора симметрична по формулировке (0,1% в сутки для обеих сторон), но асимметрична по верхнему пределу?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Как раздел 8 Договора связывает выбор ценового уровня комплектующих на занятии 2 с распределением ответственности за возможный ранний износ оборудования?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Чем отличаются друг от друга скрытый дефект объекта (раздел 8.1) и форс-мажор (раздел 9) с точки зрения того, кто несёт связанный с ними риск?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11. Почему условие полной стопроцентной предоплаты меняет не только цифры, но и содержательный состав раздела 2 Договора?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12. Почему тест на усвоенные компетенции занятия 4 не формируется для направления 10.05.01, хотя оформление Договора остаётся обязательным этапом практикума для всех трёх направлений?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источников к главе 5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Гражданский кодекс Российской Федерации (часть вторая) от 26.01.1996 №14-ФЗ, глава 37 «Подряд», ст. 702 и далее. URL: https://www.consultant.ru/document/cons_doc_LAW_9027/760de322fa0e694a3018c59709b5f484a85e4a24/ (дата обращения: 30.07.2026).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Налоговый кодекс Российской Федерации (часть вторая) от 05.08.2000 №117-ФЗ, ст. 164 «Налоговые ставки». URL: https://www.consultant.ru/document/cons_doc_LAW_28165/35cc6698564adc4507baa31c9cfdbb4f2516d068/ (дата обращения: 30.07.2026).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Федеральный закон от 28.11.2025 №425-ФЗ «О внесении изменений в части первую и вторую Налогового кодекса Российской Федерации, отдельные законодательные акты Российской Федерации…» (повышение ставки НДС с 20% до 22% с 1 января 2026 года). URL: http://publication.pravo.gov.ru/document/0001202511280017 (дата обращения: 30.07.2026).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Федеральный закон от 27.07.2006 №152-ФЗ «О персональных данных». URL: https://www.consultant.ru/document/cons_doc_LAW_61801/ (дата обращения: 30.07.2026).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МДС 81-35.2004. Методика определения стоимости строительной продукции на территории Российской Федерации. URL: http://docs.cntd.ru/document/1200035529 (дата обращения: 30.07.2026).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ФСБУ 6/2020 «Основные средства» (порядок амортизации в себестоимости проекта). URL: https://www.consultant.ru/document/cons_doc_LAW_365338/76123180f1200d66eb1102dd61173d0f8d64d569/ (дата обращения: 30.07.2026).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ГОСТ Р 54869-2011. Проектный менеджмент. Требования к управлению проектом. — М.: Стандартинформ, 2012.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Договор подряда // Википедия. Свободная энциклопедия. URL: https://ru.wikipedia.org/wiki/Договор_подряда (дата обращения: 30.07.2026).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0b437a3000c96547d24c5d241053698b2a39a91.svg"/><Relationship Id="rId8" Type="http://schemas.openxmlformats.org/officeDocument/2006/relationships/image" Target="media/8a4ce757270aac31f029b5e2cbd378ae9a26193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2026-07-30T19:39:20.338Z</dcterms:created>
  <dcterms:modified xsi:type="dcterms:W3CDTF">2026-07-30T19:39:20.352Z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