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B365D"/>
          <w:sz w:val="40"/>
        </w:rPr>
        <w:t>ENTERPRISE NETWORK REQUIREMENTS SPECIFICATION</w:t>
      </w:r>
    </w:p>
    <w:p>
      <w:pPr>
        <w:spacing w:after="320"/>
        <w:jc w:val="center"/>
      </w:pPr>
      <w:r>
        <w:rPr>
          <w:rFonts w:ascii="Calibri" w:hAnsi="Calibri"/>
          <w:i/>
          <w:color w:val="64748B"/>
          <w:sz w:val="22"/>
        </w:rPr>
        <w:t>Project: NexaTech Solutions Corporate Infrastructure | Phase 1 Group Baseline</w:t>
        <w:br/>
        <w:t>Author: Member 1 (Network Design Engineer) | Contributing: Members 1, 2 &amp; 3</w:t>
      </w:r>
    </w:p>
    <w:p>
      <w:pPr>
        <w:spacing w:before="240" w:after="80"/>
      </w:pPr>
      <w:r>
        <w:rPr>
          <w:rFonts w:ascii="Calibri" w:hAnsi="Calibri"/>
          <w:b/>
          <w:color w:val="1B365D"/>
          <w:sz w:val="28"/>
        </w:rPr>
        <w:t>1. Company Scenario &amp; Business Context</w:t>
      </w:r>
    </w:p>
    <w:p>
      <w:pPr>
        <w:spacing w:line="276" w:lineRule="auto" w:after="120"/>
      </w:pPr>
      <w:r>
        <w:t>NexaTech Solutions Pvt. Ltd. is an emerging medium-sized information technology and software development company experiencing rapid corporate growth. The organization has recently acquired and occupied a modern three-story commercial office building to house its primary engineering, customer delivery, commercial, and executive leadership teams. The organization currently employs 140 professionals and regularly accommodates external clients, vendor partners, and remote technical staff. To support mission-critical day-to-day operations, NexaTech requires an enterprise-class, resilient, scalable, and highly secure local area network (LAN) infrastructure.</w:t>
      </w:r>
    </w:p>
    <w:p>
      <w:pPr>
        <w:spacing w:before="240" w:after="80"/>
      </w:pPr>
      <w:r>
        <w:rPr>
          <w:rFonts w:ascii="Calibri" w:hAnsi="Calibri"/>
          <w:b/>
          <w:color w:val="1B365D"/>
          <w:sz w:val="28"/>
        </w:rPr>
        <w:t>2. Departmental Structure &amp; User Population</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016"/>
            <w:shd w:fill="1B365D"/>
            <w:tcMar>
              <w:top w:w="120" w:type="dxa"/>
              <w:bottom w:w="120" w:type="dxa"/>
              <w:left w:w="150" w:type="dxa"/>
              <w:right w:w="150" w:type="dxa"/>
            </w:tcMar>
          </w:tcPr>
          <w:p>
            <w:pPr>
              <w:jc w:val="left"/>
            </w:pPr>
            <w:r>
              <w:rPr>
                <w:rFonts w:ascii="Calibri" w:hAnsi="Calibri"/>
                <w:b/>
                <w:color w:val="FFFFFF"/>
                <w:sz w:val="20"/>
              </w:rPr>
              <w:t>Department Name</w:t>
            </w:r>
          </w:p>
        </w:tc>
        <w:tc>
          <w:tcPr>
            <w:tcW w:type="dxa" w:w="1296"/>
            <w:shd w:fill="1B365D"/>
            <w:tcMar>
              <w:top w:w="120" w:type="dxa"/>
              <w:bottom w:w="120" w:type="dxa"/>
              <w:left w:w="150" w:type="dxa"/>
              <w:right w:w="150" w:type="dxa"/>
            </w:tcMar>
          </w:tcPr>
          <w:p>
            <w:pPr>
              <w:jc w:val="left"/>
            </w:pPr>
            <w:r>
              <w:rPr>
                <w:rFonts w:ascii="Calibri" w:hAnsi="Calibri"/>
                <w:b/>
                <w:color w:val="FFFFFF"/>
                <w:sz w:val="20"/>
              </w:rPr>
              <w:t>Target VLAN</w:t>
            </w:r>
          </w:p>
        </w:tc>
        <w:tc>
          <w:tcPr>
            <w:tcW w:type="dxa" w:w="1152"/>
            <w:shd w:fill="1B365D"/>
            <w:tcMar>
              <w:top w:w="120" w:type="dxa"/>
              <w:bottom w:w="120" w:type="dxa"/>
              <w:left w:w="150" w:type="dxa"/>
              <w:right w:w="150" w:type="dxa"/>
            </w:tcMar>
          </w:tcPr>
          <w:p>
            <w:pPr>
              <w:jc w:val="left"/>
            </w:pPr>
            <w:r>
              <w:rPr>
                <w:rFonts w:ascii="Calibri" w:hAnsi="Calibri"/>
                <w:b/>
                <w:color w:val="FFFFFF"/>
                <w:sz w:val="20"/>
              </w:rPr>
              <w:t>Staff Count</w:t>
            </w:r>
          </w:p>
        </w:tc>
        <w:tc>
          <w:tcPr>
            <w:tcW w:type="dxa" w:w="2016"/>
            <w:shd w:fill="1B365D"/>
            <w:tcMar>
              <w:top w:w="120" w:type="dxa"/>
              <w:bottom w:w="120" w:type="dxa"/>
              <w:left w:w="150" w:type="dxa"/>
              <w:right w:w="150" w:type="dxa"/>
            </w:tcMar>
          </w:tcPr>
          <w:p>
            <w:pPr>
              <w:jc w:val="left"/>
            </w:pPr>
            <w:r>
              <w:rPr>
                <w:rFonts w:ascii="Calibri" w:hAnsi="Calibri"/>
                <w:b/>
                <w:color w:val="FFFFFF"/>
                <w:sz w:val="20"/>
              </w:rPr>
              <w:t>Floor Location</w:t>
            </w:r>
          </w:p>
        </w:tc>
        <w:tc>
          <w:tcPr>
            <w:tcW w:type="dxa" w:w="2016"/>
            <w:shd w:fill="1B365D"/>
            <w:tcMar>
              <w:top w:w="120" w:type="dxa"/>
              <w:bottom w:w="120" w:type="dxa"/>
              <w:left w:w="150" w:type="dxa"/>
              <w:right w:w="150" w:type="dxa"/>
            </w:tcMar>
          </w:tcPr>
          <w:p>
            <w:pPr>
              <w:jc w:val="left"/>
            </w:pPr>
            <w:r>
              <w:rPr>
                <w:rFonts w:ascii="Calibri" w:hAnsi="Calibri"/>
                <w:b/>
                <w:color w:val="FFFFFF"/>
                <w:sz w:val="20"/>
              </w:rPr>
              <w:t>Access Switch Association</w:t>
            </w:r>
          </w:p>
        </w:tc>
        <w:tc>
          <w:tcPr>
            <w:tcW w:type="dxa" w:w="3024"/>
            <w:shd w:fill="1B365D"/>
            <w:tcMar>
              <w:top w:w="120" w:type="dxa"/>
              <w:bottom w:w="120" w:type="dxa"/>
              <w:left w:w="150" w:type="dxa"/>
              <w:right w:w="150" w:type="dxa"/>
            </w:tcMar>
          </w:tcPr>
          <w:p>
            <w:pPr>
              <w:jc w:val="left"/>
            </w:pPr>
            <w:r>
              <w:rPr>
                <w:rFonts w:ascii="Calibri" w:hAnsi="Calibri"/>
                <w:b/>
                <w:color w:val="FFFFFF"/>
                <w:sz w:val="20"/>
              </w:rPr>
              <w:t>Operational Function</w:t>
            </w:r>
          </w:p>
        </w:tc>
      </w:tr>
      <w:tr>
        <w:tc>
          <w:tcPr>
            <w:tcW w:type="dxa" w:w="2016"/>
            <w:shd w:fill="F8FAFC"/>
            <w:tcMar>
              <w:top w:w="80" w:type="dxa"/>
              <w:bottom w:w="80" w:type="dxa"/>
              <w:left w:w="120" w:type="dxa"/>
              <w:right w:w="120" w:type="dxa"/>
            </w:tcMar>
          </w:tcPr>
          <w:p>
            <w:r>
              <w:rPr>
                <w:rFonts w:ascii="Calibri" w:hAnsi="Calibri"/>
                <w:color w:val="1E293B"/>
                <w:sz w:val="19"/>
              </w:rPr>
              <w:t>Human Resources (HR)</w:t>
            </w:r>
          </w:p>
        </w:tc>
        <w:tc>
          <w:tcPr>
            <w:tcW w:type="dxa" w:w="1296"/>
            <w:shd w:fill="F8FAFC"/>
            <w:tcMar>
              <w:top w:w="80" w:type="dxa"/>
              <w:bottom w:w="80" w:type="dxa"/>
              <w:left w:w="120" w:type="dxa"/>
              <w:right w:w="120" w:type="dxa"/>
            </w:tcMar>
          </w:tcPr>
          <w:p>
            <w:r>
              <w:rPr>
                <w:rFonts w:ascii="Calibri" w:hAnsi="Calibri"/>
                <w:color w:val="1E293B"/>
                <w:sz w:val="19"/>
              </w:rPr>
              <w:t>VLAN 10</w:t>
            </w:r>
          </w:p>
        </w:tc>
        <w:tc>
          <w:tcPr>
            <w:tcW w:type="dxa" w:w="1152"/>
            <w:shd w:fill="F8FAFC"/>
            <w:tcMar>
              <w:top w:w="80" w:type="dxa"/>
              <w:bottom w:w="80" w:type="dxa"/>
              <w:left w:w="120" w:type="dxa"/>
              <w:right w:w="120" w:type="dxa"/>
            </w:tcMar>
          </w:tcPr>
          <w:p>
            <w:r>
              <w:rPr>
                <w:rFonts w:ascii="Calibri" w:hAnsi="Calibri"/>
                <w:color w:val="1E293B"/>
                <w:sz w:val="19"/>
              </w:rPr>
              <w:t>15</w:t>
            </w:r>
          </w:p>
        </w:tc>
        <w:tc>
          <w:tcPr>
            <w:tcW w:type="dxa" w:w="2016"/>
            <w:shd w:fill="F8FAFC"/>
            <w:tcMar>
              <w:top w:w="80" w:type="dxa"/>
              <w:bottom w:w="80" w:type="dxa"/>
              <w:left w:w="120" w:type="dxa"/>
              <w:right w:w="120" w:type="dxa"/>
            </w:tcMar>
          </w:tcPr>
          <w:p>
            <w:r>
              <w:rPr>
                <w:rFonts w:ascii="Calibri" w:hAnsi="Calibri"/>
                <w:color w:val="1E293B"/>
                <w:sz w:val="19"/>
              </w:rPr>
              <w:t>1st Floor (West Wing)</w:t>
            </w:r>
          </w:p>
        </w:tc>
        <w:tc>
          <w:tcPr>
            <w:tcW w:type="dxa" w:w="2016"/>
            <w:shd w:fill="F8FAFC"/>
            <w:tcMar>
              <w:top w:w="80" w:type="dxa"/>
              <w:bottom w:w="80" w:type="dxa"/>
              <w:left w:w="120" w:type="dxa"/>
              <w:right w:w="120" w:type="dxa"/>
            </w:tcMar>
          </w:tcPr>
          <w:p>
            <w:r>
              <w:rPr>
                <w:rFonts w:ascii="Calibri" w:hAnsi="Calibri"/>
                <w:color w:val="1E293B"/>
                <w:sz w:val="19"/>
              </w:rPr>
              <w:t>SW-ASW1-Floor1</w:t>
            </w:r>
          </w:p>
        </w:tc>
        <w:tc>
          <w:tcPr>
            <w:tcW w:type="dxa" w:w="3024"/>
            <w:shd w:fill="F8FAFC"/>
            <w:tcMar>
              <w:top w:w="80" w:type="dxa"/>
              <w:bottom w:w="80" w:type="dxa"/>
              <w:left w:w="120" w:type="dxa"/>
              <w:right w:w="120" w:type="dxa"/>
            </w:tcMar>
          </w:tcPr>
          <w:p>
            <w:r>
              <w:rPr>
                <w:rFonts w:ascii="Calibri" w:hAnsi="Calibri"/>
                <w:color w:val="1E293B"/>
                <w:sz w:val="19"/>
              </w:rPr>
              <w:t>Personnel management, recruitment, private employee records</w:t>
            </w:r>
          </w:p>
        </w:tc>
      </w:tr>
      <w:tr>
        <w:tc>
          <w:tcPr>
            <w:tcW w:type="dxa" w:w="2016"/>
            <w:shd w:fill="FFFFFF"/>
            <w:tcMar>
              <w:top w:w="80" w:type="dxa"/>
              <w:bottom w:w="80" w:type="dxa"/>
              <w:left w:w="120" w:type="dxa"/>
              <w:right w:w="120" w:type="dxa"/>
            </w:tcMar>
          </w:tcPr>
          <w:p>
            <w:r>
              <w:rPr>
                <w:rFonts w:ascii="Calibri" w:hAnsi="Calibri"/>
                <w:color w:val="1E293B"/>
                <w:sz w:val="19"/>
              </w:rPr>
              <w:t>Finance &amp; Accounting</w:t>
            </w:r>
          </w:p>
        </w:tc>
        <w:tc>
          <w:tcPr>
            <w:tcW w:type="dxa" w:w="1296"/>
            <w:shd w:fill="FFFFFF"/>
            <w:tcMar>
              <w:top w:w="80" w:type="dxa"/>
              <w:bottom w:w="80" w:type="dxa"/>
              <w:left w:w="120" w:type="dxa"/>
              <w:right w:w="120" w:type="dxa"/>
            </w:tcMar>
          </w:tcPr>
          <w:p>
            <w:r>
              <w:rPr>
                <w:rFonts w:ascii="Calibri" w:hAnsi="Calibri"/>
                <w:color w:val="1E293B"/>
                <w:sz w:val="19"/>
              </w:rPr>
              <w:t>VLAN 20</w:t>
            </w:r>
          </w:p>
        </w:tc>
        <w:tc>
          <w:tcPr>
            <w:tcW w:type="dxa" w:w="1152"/>
            <w:shd w:fill="FFFFFF"/>
            <w:tcMar>
              <w:top w:w="80" w:type="dxa"/>
              <w:bottom w:w="80" w:type="dxa"/>
              <w:left w:w="120" w:type="dxa"/>
              <w:right w:w="120" w:type="dxa"/>
            </w:tcMar>
          </w:tcPr>
          <w:p>
            <w:r>
              <w:rPr>
                <w:rFonts w:ascii="Calibri" w:hAnsi="Calibri"/>
                <w:color w:val="1E293B"/>
                <w:sz w:val="19"/>
              </w:rPr>
              <w:t>20</w:t>
            </w:r>
          </w:p>
        </w:tc>
        <w:tc>
          <w:tcPr>
            <w:tcW w:type="dxa" w:w="2016"/>
            <w:shd w:fill="FFFFFF"/>
            <w:tcMar>
              <w:top w:w="80" w:type="dxa"/>
              <w:bottom w:w="80" w:type="dxa"/>
              <w:left w:w="120" w:type="dxa"/>
              <w:right w:w="120" w:type="dxa"/>
            </w:tcMar>
          </w:tcPr>
          <w:p>
            <w:r>
              <w:rPr>
                <w:rFonts w:ascii="Calibri" w:hAnsi="Calibri"/>
                <w:color w:val="1E293B"/>
                <w:sz w:val="19"/>
              </w:rPr>
              <w:t>1st Floor (East Wing)</w:t>
            </w:r>
          </w:p>
        </w:tc>
        <w:tc>
          <w:tcPr>
            <w:tcW w:type="dxa" w:w="2016"/>
            <w:shd w:fill="FFFFFF"/>
            <w:tcMar>
              <w:top w:w="80" w:type="dxa"/>
              <w:bottom w:w="80" w:type="dxa"/>
              <w:left w:w="120" w:type="dxa"/>
              <w:right w:w="120" w:type="dxa"/>
            </w:tcMar>
          </w:tcPr>
          <w:p>
            <w:r>
              <w:rPr>
                <w:rFonts w:ascii="Calibri" w:hAnsi="Calibri"/>
                <w:color w:val="1E293B"/>
                <w:sz w:val="19"/>
              </w:rPr>
              <w:t>SW-ASW1-Floor1</w:t>
            </w:r>
          </w:p>
        </w:tc>
        <w:tc>
          <w:tcPr>
            <w:tcW w:type="dxa" w:w="3024"/>
            <w:shd w:fill="FFFFFF"/>
            <w:tcMar>
              <w:top w:w="80" w:type="dxa"/>
              <w:bottom w:w="80" w:type="dxa"/>
              <w:left w:w="120" w:type="dxa"/>
              <w:right w:w="120" w:type="dxa"/>
            </w:tcMar>
          </w:tcPr>
          <w:p>
            <w:r>
              <w:rPr>
                <w:rFonts w:ascii="Calibri" w:hAnsi="Calibri"/>
                <w:color w:val="1E293B"/>
                <w:sz w:val="19"/>
              </w:rPr>
              <w:t>ERP access, corporate payroll, audit compliance, financial reporting</w:t>
            </w:r>
          </w:p>
        </w:tc>
      </w:tr>
      <w:tr>
        <w:tc>
          <w:tcPr>
            <w:tcW w:type="dxa" w:w="2016"/>
            <w:shd w:fill="F8FAFC"/>
            <w:tcMar>
              <w:top w:w="80" w:type="dxa"/>
              <w:bottom w:w="80" w:type="dxa"/>
              <w:left w:w="120" w:type="dxa"/>
              <w:right w:w="120" w:type="dxa"/>
            </w:tcMar>
          </w:tcPr>
          <w:p>
            <w:r>
              <w:rPr>
                <w:rFonts w:ascii="Calibri" w:hAnsi="Calibri"/>
                <w:color w:val="1E293B"/>
                <w:sz w:val="19"/>
              </w:rPr>
              <w:t>Information Technology (IT)</w:t>
            </w:r>
          </w:p>
        </w:tc>
        <w:tc>
          <w:tcPr>
            <w:tcW w:type="dxa" w:w="1296"/>
            <w:shd w:fill="F8FAFC"/>
            <w:tcMar>
              <w:top w:w="80" w:type="dxa"/>
              <w:bottom w:w="80" w:type="dxa"/>
              <w:left w:w="120" w:type="dxa"/>
              <w:right w:w="120" w:type="dxa"/>
            </w:tcMar>
          </w:tcPr>
          <w:p>
            <w:r>
              <w:rPr>
                <w:rFonts w:ascii="Calibri" w:hAnsi="Calibri"/>
                <w:color w:val="1E293B"/>
                <w:sz w:val="19"/>
              </w:rPr>
              <w:t>VLAN 30</w:t>
            </w:r>
          </w:p>
        </w:tc>
        <w:tc>
          <w:tcPr>
            <w:tcW w:type="dxa" w:w="1152"/>
            <w:shd w:fill="F8FAFC"/>
            <w:tcMar>
              <w:top w:w="80" w:type="dxa"/>
              <w:bottom w:w="80" w:type="dxa"/>
              <w:left w:w="120" w:type="dxa"/>
              <w:right w:w="120" w:type="dxa"/>
            </w:tcMar>
          </w:tcPr>
          <w:p>
            <w:r>
              <w:rPr>
                <w:rFonts w:ascii="Calibri" w:hAnsi="Calibri"/>
                <w:color w:val="1E293B"/>
                <w:sz w:val="19"/>
              </w:rPr>
              <w:t>25</w:t>
            </w:r>
          </w:p>
        </w:tc>
        <w:tc>
          <w:tcPr>
            <w:tcW w:type="dxa" w:w="2016"/>
            <w:shd w:fill="F8FAFC"/>
            <w:tcMar>
              <w:top w:w="80" w:type="dxa"/>
              <w:bottom w:w="80" w:type="dxa"/>
              <w:left w:w="120" w:type="dxa"/>
              <w:right w:w="120" w:type="dxa"/>
            </w:tcMar>
          </w:tcPr>
          <w:p>
            <w:r>
              <w:rPr>
                <w:rFonts w:ascii="Calibri" w:hAnsi="Calibri"/>
                <w:color w:val="1E293B"/>
                <w:sz w:val="19"/>
              </w:rPr>
              <w:t>2nd Floor (South Wing)</w:t>
            </w:r>
          </w:p>
        </w:tc>
        <w:tc>
          <w:tcPr>
            <w:tcW w:type="dxa" w:w="2016"/>
            <w:shd w:fill="F8FAFC"/>
            <w:tcMar>
              <w:top w:w="80" w:type="dxa"/>
              <w:bottom w:w="80" w:type="dxa"/>
              <w:left w:w="120" w:type="dxa"/>
              <w:right w:w="120" w:type="dxa"/>
            </w:tcMar>
          </w:tcPr>
          <w:p>
            <w:r>
              <w:rPr>
                <w:rFonts w:ascii="Calibri" w:hAnsi="Calibri"/>
                <w:color w:val="1E293B"/>
                <w:sz w:val="19"/>
              </w:rPr>
              <w:t>SW-ASW3-Floor2</w:t>
            </w:r>
          </w:p>
        </w:tc>
        <w:tc>
          <w:tcPr>
            <w:tcW w:type="dxa" w:w="3024"/>
            <w:shd w:fill="F8FAFC"/>
            <w:tcMar>
              <w:top w:w="80" w:type="dxa"/>
              <w:bottom w:w="80" w:type="dxa"/>
              <w:left w:w="120" w:type="dxa"/>
              <w:right w:w="120" w:type="dxa"/>
            </w:tcMar>
          </w:tcPr>
          <w:p>
            <w:r>
              <w:rPr>
                <w:rFonts w:ascii="Calibri" w:hAnsi="Calibri"/>
                <w:color w:val="1E293B"/>
                <w:sz w:val="19"/>
              </w:rPr>
              <w:t>Network engineering, cloud DevOps, systems administration, helpdesk</w:t>
            </w:r>
          </w:p>
        </w:tc>
      </w:tr>
      <w:tr>
        <w:tc>
          <w:tcPr>
            <w:tcW w:type="dxa" w:w="2016"/>
            <w:shd w:fill="FFFFFF"/>
            <w:tcMar>
              <w:top w:w="80" w:type="dxa"/>
              <w:bottom w:w="80" w:type="dxa"/>
              <w:left w:w="120" w:type="dxa"/>
              <w:right w:w="120" w:type="dxa"/>
            </w:tcMar>
          </w:tcPr>
          <w:p>
            <w:r>
              <w:rPr>
                <w:rFonts w:ascii="Calibri" w:hAnsi="Calibri"/>
                <w:color w:val="1E293B"/>
                <w:sz w:val="19"/>
              </w:rPr>
              <w:t>Sales &amp; Marketing</w:t>
            </w:r>
          </w:p>
        </w:tc>
        <w:tc>
          <w:tcPr>
            <w:tcW w:type="dxa" w:w="1296"/>
            <w:shd w:fill="FFFFFF"/>
            <w:tcMar>
              <w:top w:w="80" w:type="dxa"/>
              <w:bottom w:w="80" w:type="dxa"/>
              <w:left w:w="120" w:type="dxa"/>
              <w:right w:w="120" w:type="dxa"/>
            </w:tcMar>
          </w:tcPr>
          <w:p>
            <w:r>
              <w:rPr>
                <w:rFonts w:ascii="Calibri" w:hAnsi="Calibri"/>
                <w:color w:val="1E293B"/>
                <w:sz w:val="19"/>
              </w:rPr>
              <w:t>VLAN 40</w:t>
            </w:r>
          </w:p>
        </w:tc>
        <w:tc>
          <w:tcPr>
            <w:tcW w:type="dxa" w:w="1152"/>
            <w:shd w:fill="FFFFFF"/>
            <w:tcMar>
              <w:top w:w="80" w:type="dxa"/>
              <w:bottom w:w="80" w:type="dxa"/>
              <w:left w:w="120" w:type="dxa"/>
              <w:right w:w="120" w:type="dxa"/>
            </w:tcMar>
          </w:tcPr>
          <w:p>
            <w:r>
              <w:rPr>
                <w:rFonts w:ascii="Calibri" w:hAnsi="Calibri"/>
                <w:color w:val="1E293B"/>
                <w:sz w:val="19"/>
              </w:rPr>
              <w:t>30</w:t>
            </w:r>
          </w:p>
        </w:tc>
        <w:tc>
          <w:tcPr>
            <w:tcW w:type="dxa" w:w="2016"/>
            <w:shd w:fill="FFFFFF"/>
            <w:tcMar>
              <w:top w:w="80" w:type="dxa"/>
              <w:bottom w:w="80" w:type="dxa"/>
              <w:left w:w="120" w:type="dxa"/>
              <w:right w:w="120" w:type="dxa"/>
            </w:tcMar>
          </w:tcPr>
          <w:p>
            <w:r>
              <w:rPr>
                <w:rFonts w:ascii="Calibri" w:hAnsi="Calibri"/>
                <w:color w:val="1E293B"/>
                <w:sz w:val="19"/>
              </w:rPr>
              <w:t>Ground / 1st Floor</w:t>
            </w:r>
          </w:p>
        </w:tc>
        <w:tc>
          <w:tcPr>
            <w:tcW w:type="dxa" w:w="2016"/>
            <w:shd w:fill="FFFFFF"/>
            <w:tcMar>
              <w:top w:w="80" w:type="dxa"/>
              <w:bottom w:w="80" w:type="dxa"/>
              <w:left w:w="120" w:type="dxa"/>
              <w:right w:w="120" w:type="dxa"/>
            </w:tcMar>
          </w:tcPr>
          <w:p>
            <w:r>
              <w:rPr>
                <w:rFonts w:ascii="Calibri" w:hAnsi="Calibri"/>
                <w:color w:val="1E293B"/>
                <w:sz w:val="19"/>
              </w:rPr>
              <w:t>SW-ASW2-Ground</w:t>
            </w:r>
          </w:p>
        </w:tc>
        <w:tc>
          <w:tcPr>
            <w:tcW w:type="dxa" w:w="3024"/>
            <w:shd w:fill="FFFFFF"/>
            <w:tcMar>
              <w:top w:w="80" w:type="dxa"/>
              <w:bottom w:w="80" w:type="dxa"/>
              <w:left w:w="120" w:type="dxa"/>
              <w:right w:w="120" w:type="dxa"/>
            </w:tcMar>
          </w:tcPr>
          <w:p>
            <w:r>
              <w:rPr>
                <w:rFonts w:ascii="Calibri" w:hAnsi="Calibri"/>
                <w:color w:val="1E293B"/>
                <w:sz w:val="19"/>
              </w:rPr>
              <w:t>Client engagement, CRM database access, marketing media streaming</w:t>
            </w:r>
          </w:p>
        </w:tc>
      </w:tr>
      <w:tr>
        <w:tc>
          <w:tcPr>
            <w:tcW w:type="dxa" w:w="2016"/>
            <w:shd w:fill="F8FAFC"/>
            <w:tcMar>
              <w:top w:w="80" w:type="dxa"/>
              <w:bottom w:w="80" w:type="dxa"/>
              <w:left w:w="120" w:type="dxa"/>
              <w:right w:w="120" w:type="dxa"/>
            </w:tcMar>
          </w:tcPr>
          <w:p>
            <w:r>
              <w:rPr>
                <w:rFonts w:ascii="Calibri" w:hAnsi="Calibri"/>
                <w:color w:val="1E293B"/>
                <w:sz w:val="19"/>
              </w:rPr>
              <w:t>Customer Support Center</w:t>
            </w:r>
          </w:p>
        </w:tc>
        <w:tc>
          <w:tcPr>
            <w:tcW w:type="dxa" w:w="1296"/>
            <w:shd w:fill="F8FAFC"/>
            <w:tcMar>
              <w:top w:w="80" w:type="dxa"/>
              <w:bottom w:w="80" w:type="dxa"/>
              <w:left w:w="120" w:type="dxa"/>
              <w:right w:w="120" w:type="dxa"/>
            </w:tcMar>
          </w:tcPr>
          <w:p>
            <w:r>
              <w:rPr>
                <w:rFonts w:ascii="Calibri" w:hAnsi="Calibri"/>
                <w:color w:val="1E293B"/>
                <w:sz w:val="19"/>
              </w:rPr>
              <w:t>VLAN 50</w:t>
            </w:r>
          </w:p>
        </w:tc>
        <w:tc>
          <w:tcPr>
            <w:tcW w:type="dxa" w:w="1152"/>
            <w:shd w:fill="F8FAFC"/>
            <w:tcMar>
              <w:top w:w="80" w:type="dxa"/>
              <w:bottom w:w="80" w:type="dxa"/>
              <w:left w:w="120" w:type="dxa"/>
              <w:right w:w="120" w:type="dxa"/>
            </w:tcMar>
          </w:tcPr>
          <w:p>
            <w:r>
              <w:rPr>
                <w:rFonts w:ascii="Calibri" w:hAnsi="Calibri"/>
                <w:color w:val="1E293B"/>
                <w:sz w:val="19"/>
              </w:rPr>
              <w:t>40</w:t>
            </w:r>
          </w:p>
        </w:tc>
        <w:tc>
          <w:tcPr>
            <w:tcW w:type="dxa" w:w="2016"/>
            <w:shd w:fill="F8FAFC"/>
            <w:tcMar>
              <w:top w:w="80" w:type="dxa"/>
              <w:bottom w:w="80" w:type="dxa"/>
              <w:left w:w="120" w:type="dxa"/>
              <w:right w:w="120" w:type="dxa"/>
            </w:tcMar>
          </w:tcPr>
          <w:p>
            <w:r>
              <w:rPr>
                <w:rFonts w:ascii="Calibri" w:hAnsi="Calibri"/>
                <w:color w:val="1E293B"/>
                <w:sz w:val="19"/>
              </w:rPr>
              <w:t>Ground Floor (Main Hall)</w:t>
            </w:r>
          </w:p>
        </w:tc>
        <w:tc>
          <w:tcPr>
            <w:tcW w:type="dxa" w:w="2016"/>
            <w:shd w:fill="F8FAFC"/>
            <w:tcMar>
              <w:top w:w="80" w:type="dxa"/>
              <w:bottom w:w="80" w:type="dxa"/>
              <w:left w:w="120" w:type="dxa"/>
              <w:right w:w="120" w:type="dxa"/>
            </w:tcMar>
          </w:tcPr>
          <w:p>
            <w:r>
              <w:rPr>
                <w:rFonts w:ascii="Calibri" w:hAnsi="Calibri"/>
                <w:color w:val="1E293B"/>
                <w:sz w:val="19"/>
              </w:rPr>
              <w:t>SW-ASW2-Ground</w:t>
            </w:r>
          </w:p>
        </w:tc>
        <w:tc>
          <w:tcPr>
            <w:tcW w:type="dxa" w:w="3024"/>
            <w:shd w:fill="F8FAFC"/>
            <w:tcMar>
              <w:top w:w="80" w:type="dxa"/>
              <w:bottom w:w="80" w:type="dxa"/>
              <w:left w:w="120" w:type="dxa"/>
              <w:right w:w="120" w:type="dxa"/>
            </w:tcMar>
          </w:tcPr>
          <w:p>
            <w:r>
              <w:rPr>
                <w:rFonts w:ascii="Calibri" w:hAnsi="Calibri"/>
                <w:color w:val="1E293B"/>
                <w:sz w:val="19"/>
              </w:rPr>
              <w:t>24/7 client ticketing, high-volume VoIP calling, CRM queries</w:t>
            </w:r>
          </w:p>
        </w:tc>
      </w:tr>
      <w:tr>
        <w:tc>
          <w:tcPr>
            <w:tcW w:type="dxa" w:w="2016"/>
            <w:shd w:fill="FFFFFF"/>
            <w:tcMar>
              <w:top w:w="80" w:type="dxa"/>
              <w:bottom w:w="80" w:type="dxa"/>
              <w:left w:w="120" w:type="dxa"/>
              <w:right w:w="120" w:type="dxa"/>
            </w:tcMar>
          </w:tcPr>
          <w:p>
            <w:r>
              <w:rPr>
                <w:rFonts w:ascii="Calibri" w:hAnsi="Calibri"/>
                <w:color w:val="1E293B"/>
                <w:sz w:val="19"/>
              </w:rPr>
              <w:t>Executive Management</w:t>
            </w:r>
          </w:p>
        </w:tc>
        <w:tc>
          <w:tcPr>
            <w:tcW w:type="dxa" w:w="1296"/>
            <w:shd w:fill="FFFFFF"/>
            <w:tcMar>
              <w:top w:w="80" w:type="dxa"/>
              <w:bottom w:w="80" w:type="dxa"/>
              <w:left w:w="120" w:type="dxa"/>
              <w:right w:w="120" w:type="dxa"/>
            </w:tcMar>
          </w:tcPr>
          <w:p>
            <w:r>
              <w:rPr>
                <w:rFonts w:ascii="Calibri" w:hAnsi="Calibri"/>
                <w:color w:val="1E293B"/>
                <w:sz w:val="19"/>
              </w:rPr>
              <w:t>VLAN 60</w:t>
            </w:r>
          </w:p>
        </w:tc>
        <w:tc>
          <w:tcPr>
            <w:tcW w:type="dxa" w:w="1152"/>
            <w:shd w:fill="FFFFFF"/>
            <w:tcMar>
              <w:top w:w="80" w:type="dxa"/>
              <w:bottom w:w="80" w:type="dxa"/>
              <w:left w:w="120" w:type="dxa"/>
              <w:right w:w="120" w:type="dxa"/>
            </w:tcMar>
          </w:tcPr>
          <w:p>
            <w:r>
              <w:rPr>
                <w:rFonts w:ascii="Calibri" w:hAnsi="Calibri"/>
                <w:color w:val="1E293B"/>
                <w:sz w:val="19"/>
              </w:rPr>
              <w:t>10</w:t>
            </w:r>
          </w:p>
        </w:tc>
        <w:tc>
          <w:tcPr>
            <w:tcW w:type="dxa" w:w="2016"/>
            <w:shd w:fill="FFFFFF"/>
            <w:tcMar>
              <w:top w:w="80" w:type="dxa"/>
              <w:bottom w:w="80" w:type="dxa"/>
              <w:left w:w="120" w:type="dxa"/>
              <w:right w:w="120" w:type="dxa"/>
            </w:tcMar>
          </w:tcPr>
          <w:p>
            <w:r>
              <w:rPr>
                <w:rFonts w:ascii="Calibri" w:hAnsi="Calibri"/>
                <w:color w:val="1E293B"/>
                <w:sz w:val="19"/>
              </w:rPr>
              <w:t>2nd Floor (Executive Suite)</w:t>
            </w:r>
          </w:p>
        </w:tc>
        <w:tc>
          <w:tcPr>
            <w:tcW w:type="dxa" w:w="2016"/>
            <w:shd w:fill="FFFFFF"/>
            <w:tcMar>
              <w:top w:w="80" w:type="dxa"/>
              <w:bottom w:w="80" w:type="dxa"/>
              <w:left w:w="120" w:type="dxa"/>
              <w:right w:w="120" w:type="dxa"/>
            </w:tcMar>
          </w:tcPr>
          <w:p>
            <w:r>
              <w:rPr>
                <w:rFonts w:ascii="Calibri" w:hAnsi="Calibri"/>
                <w:color w:val="1E293B"/>
                <w:sz w:val="19"/>
              </w:rPr>
              <w:t>SW-ASW3-Floor2</w:t>
            </w:r>
          </w:p>
        </w:tc>
        <w:tc>
          <w:tcPr>
            <w:tcW w:type="dxa" w:w="3024"/>
            <w:shd w:fill="FFFFFF"/>
            <w:tcMar>
              <w:top w:w="80" w:type="dxa"/>
              <w:bottom w:w="80" w:type="dxa"/>
              <w:left w:w="120" w:type="dxa"/>
              <w:right w:w="120" w:type="dxa"/>
            </w:tcMar>
          </w:tcPr>
          <w:p>
            <w:r>
              <w:rPr>
                <w:rFonts w:ascii="Calibri" w:hAnsi="Calibri"/>
                <w:color w:val="1E293B"/>
                <w:sz w:val="19"/>
              </w:rPr>
              <w:t>C-suite strategic leadership, board conferences, confidential docs</w:t>
            </w:r>
          </w:p>
        </w:tc>
      </w:tr>
      <w:tr>
        <w:tc>
          <w:tcPr>
            <w:tcW w:type="dxa" w:w="2016"/>
            <w:shd w:fill="F8FAFC"/>
            <w:tcMar>
              <w:top w:w="80" w:type="dxa"/>
              <w:bottom w:w="80" w:type="dxa"/>
              <w:left w:w="120" w:type="dxa"/>
              <w:right w:w="120" w:type="dxa"/>
            </w:tcMar>
          </w:tcPr>
          <w:p>
            <w:r>
              <w:rPr>
                <w:rFonts w:ascii="Calibri" w:hAnsi="Calibri"/>
                <w:color w:val="1E293B"/>
                <w:sz w:val="19"/>
              </w:rPr>
              <w:t>Guest / Visitor Network</w:t>
            </w:r>
          </w:p>
        </w:tc>
        <w:tc>
          <w:tcPr>
            <w:tcW w:type="dxa" w:w="1296"/>
            <w:shd w:fill="F8FAFC"/>
            <w:tcMar>
              <w:top w:w="80" w:type="dxa"/>
              <w:bottom w:w="80" w:type="dxa"/>
              <w:left w:w="120" w:type="dxa"/>
              <w:right w:w="120" w:type="dxa"/>
            </w:tcMar>
          </w:tcPr>
          <w:p>
            <w:r>
              <w:rPr>
                <w:rFonts w:ascii="Calibri" w:hAnsi="Calibri"/>
                <w:color w:val="1E293B"/>
                <w:sz w:val="19"/>
              </w:rPr>
              <w:t>VLAN 70</w:t>
            </w:r>
          </w:p>
        </w:tc>
        <w:tc>
          <w:tcPr>
            <w:tcW w:type="dxa" w:w="1152"/>
            <w:shd w:fill="F8FAFC"/>
            <w:tcMar>
              <w:top w:w="80" w:type="dxa"/>
              <w:bottom w:w="80" w:type="dxa"/>
              <w:left w:w="120" w:type="dxa"/>
              <w:right w:w="120" w:type="dxa"/>
            </w:tcMar>
          </w:tcPr>
          <w:p>
            <w:r>
              <w:rPr>
                <w:rFonts w:ascii="Calibri" w:hAnsi="Calibri"/>
                <w:color w:val="1E293B"/>
                <w:sz w:val="19"/>
              </w:rPr>
              <w:t>Dynamic (30+)</w:t>
            </w:r>
          </w:p>
        </w:tc>
        <w:tc>
          <w:tcPr>
            <w:tcW w:type="dxa" w:w="2016"/>
            <w:shd w:fill="F8FAFC"/>
            <w:tcMar>
              <w:top w:w="80" w:type="dxa"/>
              <w:bottom w:w="80" w:type="dxa"/>
              <w:left w:w="120" w:type="dxa"/>
              <w:right w:w="120" w:type="dxa"/>
            </w:tcMar>
          </w:tcPr>
          <w:p>
            <w:r>
              <w:rPr>
                <w:rFonts w:ascii="Calibri" w:hAnsi="Calibri"/>
                <w:color w:val="1E293B"/>
                <w:sz w:val="19"/>
              </w:rPr>
              <w:t>Ground Floor Lobby &amp; Lounges</w:t>
            </w:r>
          </w:p>
        </w:tc>
        <w:tc>
          <w:tcPr>
            <w:tcW w:type="dxa" w:w="2016"/>
            <w:shd w:fill="F8FAFC"/>
            <w:tcMar>
              <w:top w:w="80" w:type="dxa"/>
              <w:bottom w:w="80" w:type="dxa"/>
              <w:left w:w="120" w:type="dxa"/>
              <w:right w:w="120" w:type="dxa"/>
            </w:tcMar>
          </w:tcPr>
          <w:p>
            <w:r>
              <w:rPr>
                <w:rFonts w:ascii="Calibri" w:hAnsi="Calibri"/>
                <w:color w:val="1E293B"/>
                <w:sz w:val="19"/>
              </w:rPr>
              <w:t>SW-ASW2-Ground (via WAP)</w:t>
            </w:r>
          </w:p>
        </w:tc>
        <w:tc>
          <w:tcPr>
            <w:tcW w:type="dxa" w:w="3024"/>
            <w:shd w:fill="F8FAFC"/>
            <w:tcMar>
              <w:top w:w="80" w:type="dxa"/>
              <w:bottom w:w="80" w:type="dxa"/>
              <w:left w:w="120" w:type="dxa"/>
              <w:right w:w="120" w:type="dxa"/>
            </w:tcMar>
          </w:tcPr>
          <w:p>
            <w:r>
              <w:rPr>
                <w:rFonts w:ascii="Calibri" w:hAnsi="Calibri"/>
                <w:color w:val="1E293B"/>
                <w:sz w:val="19"/>
              </w:rPr>
              <w:t>Public Wi-Fi access for visitors, strictly isolated from LAN</w:t>
            </w:r>
          </w:p>
        </w:tc>
      </w:tr>
      <w:tr>
        <w:tc>
          <w:tcPr>
            <w:tcW w:type="dxa" w:w="2016"/>
            <w:shd w:fill="FFFFFF"/>
            <w:tcMar>
              <w:top w:w="80" w:type="dxa"/>
              <w:bottom w:w="80" w:type="dxa"/>
              <w:left w:w="120" w:type="dxa"/>
              <w:right w:w="120" w:type="dxa"/>
            </w:tcMar>
          </w:tcPr>
          <w:p>
            <w:r>
              <w:rPr>
                <w:rFonts w:ascii="Calibri" w:hAnsi="Calibri"/>
                <w:color w:val="1E293B"/>
                <w:sz w:val="19"/>
              </w:rPr>
              <w:t>Enterprise Server Farm</w:t>
            </w:r>
          </w:p>
        </w:tc>
        <w:tc>
          <w:tcPr>
            <w:tcW w:type="dxa" w:w="1296"/>
            <w:shd w:fill="FFFFFF"/>
            <w:tcMar>
              <w:top w:w="80" w:type="dxa"/>
              <w:bottom w:w="80" w:type="dxa"/>
              <w:left w:w="120" w:type="dxa"/>
              <w:right w:w="120" w:type="dxa"/>
            </w:tcMar>
          </w:tcPr>
          <w:p>
            <w:r>
              <w:rPr>
                <w:rFonts w:ascii="Calibri" w:hAnsi="Calibri"/>
                <w:color w:val="1E293B"/>
                <w:sz w:val="19"/>
              </w:rPr>
              <w:t>VLAN 100</w:t>
            </w:r>
          </w:p>
        </w:tc>
        <w:tc>
          <w:tcPr>
            <w:tcW w:type="dxa" w:w="1152"/>
            <w:shd w:fill="FFFFFF"/>
            <w:tcMar>
              <w:top w:w="80" w:type="dxa"/>
              <w:bottom w:w="80" w:type="dxa"/>
              <w:left w:w="120" w:type="dxa"/>
              <w:right w:w="120" w:type="dxa"/>
            </w:tcMar>
          </w:tcPr>
          <w:p>
            <w:r>
              <w:rPr>
                <w:rFonts w:ascii="Calibri" w:hAnsi="Calibri"/>
                <w:color w:val="1E293B"/>
                <w:sz w:val="19"/>
              </w:rPr>
              <w:t>Dedicated Servers</w:t>
            </w:r>
          </w:p>
        </w:tc>
        <w:tc>
          <w:tcPr>
            <w:tcW w:type="dxa" w:w="2016"/>
            <w:shd w:fill="FFFFFF"/>
            <w:tcMar>
              <w:top w:w="80" w:type="dxa"/>
              <w:bottom w:w="80" w:type="dxa"/>
              <w:left w:w="120" w:type="dxa"/>
              <w:right w:w="120" w:type="dxa"/>
            </w:tcMar>
          </w:tcPr>
          <w:p>
            <w:r>
              <w:rPr>
                <w:rFonts w:ascii="Calibri" w:hAnsi="Calibri"/>
                <w:color w:val="1E293B"/>
                <w:sz w:val="19"/>
              </w:rPr>
              <w:t>2nd Floor MDF Server Room</w:t>
            </w:r>
          </w:p>
        </w:tc>
        <w:tc>
          <w:tcPr>
            <w:tcW w:type="dxa" w:w="2016"/>
            <w:shd w:fill="FFFFFF"/>
            <w:tcMar>
              <w:top w:w="80" w:type="dxa"/>
              <w:bottom w:w="80" w:type="dxa"/>
              <w:left w:w="120" w:type="dxa"/>
              <w:right w:w="120" w:type="dxa"/>
            </w:tcMar>
          </w:tcPr>
          <w:p>
            <w:r>
              <w:rPr>
                <w:rFonts w:ascii="Calibri" w:hAnsi="Calibri"/>
                <w:color w:val="1E293B"/>
                <w:sz w:val="19"/>
              </w:rPr>
              <w:t>SW-Core-3560 (Direct GE)</w:t>
            </w:r>
          </w:p>
        </w:tc>
        <w:tc>
          <w:tcPr>
            <w:tcW w:type="dxa" w:w="3024"/>
            <w:shd w:fill="FFFFFF"/>
            <w:tcMar>
              <w:top w:w="80" w:type="dxa"/>
              <w:bottom w:w="80" w:type="dxa"/>
              <w:left w:w="120" w:type="dxa"/>
              <w:right w:w="120" w:type="dxa"/>
            </w:tcMar>
          </w:tcPr>
          <w:p>
            <w:r>
              <w:rPr>
                <w:rFonts w:ascii="Calibri" w:hAnsi="Calibri"/>
                <w:color w:val="1E293B"/>
                <w:sz w:val="19"/>
              </w:rPr>
              <w:t>Centralized corporate DHCP, DNS, Intranet Web &amp; File sharing</w:t>
            </w:r>
          </w:p>
        </w:tc>
      </w:tr>
    </w:tbl>
    <w:p>
      <w:pPr>
        <w:spacing w:after="120"/>
      </w:pPr>
    </w:p>
    <w:p>
      <w:pPr>
        <w:spacing w:before="240" w:after="80"/>
      </w:pPr>
      <w:r>
        <w:rPr>
          <w:rFonts w:ascii="Calibri" w:hAnsi="Calibri"/>
          <w:b/>
          <w:color w:val="1B365D"/>
          <w:sz w:val="28"/>
        </w:rPr>
        <w:t>3. Functional Network Requirements</w:t>
      </w:r>
    </w:p>
    <w:p>
      <w:pPr>
        <w:spacing w:line="276" w:lineRule="auto" w:after="60"/>
      </w:pPr>
      <w:r>
        <w:rPr>
          <w:b/>
          <w:color w:val="1B365D"/>
        </w:rPr>
        <w:t xml:space="preserve">• FR-01: Logical Departmental Segmentation: </w:t>
      </w:r>
      <w:r>
        <w:t>Each department must reside within its own dedicated Virtual Local Area Network (VLAN) to contain broadcast traffic, enforce security boundaries, and provide organized address management.</w:t>
      </w:r>
    </w:p>
    <w:p>
      <w:pPr>
        <w:spacing w:line="276" w:lineRule="auto" w:after="60"/>
      </w:pPr>
      <w:r>
        <w:rPr>
          <w:b/>
          <w:color w:val="1B365D"/>
        </w:rPr>
        <w:t xml:space="preserve">• FR-02: High-Performance Inter-VLAN Routing: </w:t>
      </w:r>
      <w:r>
        <w:t>Authorized inter-departmental communication and traffic destined for corporate servers must be routed at wire-speed using Switch Virtual Interfaces (SVIs) on the Layer 3 Core Switch without relying on slow external router hops.</w:t>
      </w:r>
    </w:p>
    <w:p>
      <w:pPr>
        <w:spacing w:line="276" w:lineRule="auto" w:after="60"/>
      </w:pPr>
      <w:r>
        <w:rPr>
          <w:b/>
          <w:color w:val="1B365D"/>
        </w:rPr>
        <w:t xml:space="preserve">• FR-03: Centralized Network Services Integration: </w:t>
      </w:r>
      <w:r>
        <w:t>All internal endpoints must automatically obtain dynamic IP configurations (IP address, subnet mask, default gateway, DNS server) via a dedicated enterprise DHCP server. Domain name resolution for intranet resources must be resolved through a private DNS server (e.g., intranet.nexatech.com).</w:t>
      </w:r>
    </w:p>
    <w:p>
      <w:pPr>
        <w:spacing w:line="276" w:lineRule="auto" w:after="60"/>
      </w:pPr>
      <w:r>
        <w:rPr>
          <w:b/>
          <w:color w:val="1B365D"/>
        </w:rPr>
        <w:t xml:space="preserve">• FR-04: Secure Guest Wireless Isolation: </w:t>
      </w:r>
      <w:r>
        <w:t>Visitors in the reception area must be granted Internet connectivity through dedicated Wi-Fi access points. Guest traffic must be strictly quarantined from accessing internal department VLANs, management consoles, or corporate file servers.</w:t>
      </w:r>
    </w:p>
    <w:p>
      <w:pPr>
        <w:spacing w:line="276" w:lineRule="auto" w:after="60"/>
      </w:pPr>
      <w:r>
        <w:rPr>
          <w:b/>
          <w:color w:val="1B365D"/>
        </w:rPr>
        <w:t xml:space="preserve">• FR-05: Perimeter Defense &amp; Controlled WAN Access: </w:t>
      </w:r>
      <w:r>
        <w:t>The corporate network boundary must be protected by an enterprise firewall (Cisco ASA 5506-X) performing stateful packet filtering and Access Control Lists (ACLs) to block unauthorized inbound connections while enabling secure PAT/NAT for outbound Internet browsing.</w:t>
      </w:r>
    </w:p>
    <w:p>
      <w:pPr>
        <w:spacing w:line="276" w:lineRule="auto" w:after="60"/>
      </w:pPr>
      <w:r>
        <w:rPr>
          <w:b/>
          <w:color w:val="1B365D"/>
        </w:rPr>
        <w:t xml:space="preserve">• FR-06: Shared Intranet &amp; File Collaboration: </w:t>
      </w:r>
      <w:r>
        <w:t>A dedicated server within VLAN 100 must host the internal HTTP company intranet portal and an FTP service for departmental file transfers, accessible only by authenticated staff.</w:t>
      </w:r>
    </w:p>
    <w:p>
      <w:pPr>
        <w:spacing w:before="240" w:after="80"/>
      </w:pPr>
      <w:r>
        <w:rPr>
          <w:rFonts w:ascii="Calibri" w:hAnsi="Calibri"/>
          <w:b/>
          <w:color w:val="1B365D"/>
          <w:sz w:val="28"/>
        </w:rPr>
        <w:t>4. Non-Functional Engineering Requirements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728"/>
            <w:shd w:fill="1B365D"/>
            <w:tcMar>
              <w:top w:w="120" w:type="dxa"/>
              <w:bottom w:w="120" w:type="dxa"/>
              <w:left w:w="150" w:type="dxa"/>
              <w:right w:w="150" w:type="dxa"/>
            </w:tcMar>
          </w:tcPr>
          <w:p>
            <w:pPr>
              <w:jc w:val="left"/>
            </w:pPr>
            <w:r>
              <w:rPr>
                <w:rFonts w:ascii="Calibri" w:hAnsi="Calibri"/>
                <w:b/>
                <w:color w:val="FFFFFF"/>
                <w:sz w:val="20"/>
              </w:rPr>
              <w:t>Category</w:t>
            </w:r>
          </w:p>
        </w:tc>
        <w:tc>
          <w:tcPr>
            <w:tcW w:type="dxa" w:w="1584"/>
            <w:shd w:fill="1B365D"/>
            <w:tcMar>
              <w:top w:w="120" w:type="dxa"/>
              <w:bottom w:w="120" w:type="dxa"/>
              <w:left w:w="150" w:type="dxa"/>
              <w:right w:w="150" w:type="dxa"/>
            </w:tcMar>
          </w:tcPr>
          <w:p>
            <w:pPr>
              <w:jc w:val="left"/>
            </w:pPr>
            <w:r>
              <w:rPr>
                <w:rFonts w:ascii="Calibri" w:hAnsi="Calibri"/>
                <w:b/>
                <w:color w:val="FFFFFF"/>
                <w:sz w:val="20"/>
              </w:rPr>
              <w:t>Requirement ID</w:t>
            </w:r>
          </w:p>
        </w:tc>
        <w:tc>
          <w:tcPr>
            <w:tcW w:type="dxa" w:w="2592"/>
            <w:shd w:fill="1B365D"/>
            <w:tcMar>
              <w:top w:w="120" w:type="dxa"/>
              <w:bottom w:w="120" w:type="dxa"/>
              <w:left w:w="150" w:type="dxa"/>
              <w:right w:w="150" w:type="dxa"/>
            </w:tcMar>
          </w:tcPr>
          <w:p>
            <w:pPr>
              <w:jc w:val="left"/>
            </w:pPr>
            <w:r>
              <w:rPr>
                <w:rFonts w:ascii="Calibri" w:hAnsi="Calibri"/>
                <w:b/>
                <w:color w:val="FFFFFF"/>
                <w:sz w:val="20"/>
              </w:rPr>
              <w:t>Metric / Specification</w:t>
            </w:r>
          </w:p>
        </w:tc>
        <w:tc>
          <w:tcPr>
            <w:tcW w:type="dxa" w:w="4896"/>
            <w:shd w:fill="1B365D"/>
            <w:tcMar>
              <w:top w:w="120" w:type="dxa"/>
              <w:bottom w:w="120" w:type="dxa"/>
              <w:left w:w="150" w:type="dxa"/>
              <w:right w:w="150" w:type="dxa"/>
            </w:tcMar>
          </w:tcPr>
          <w:p>
            <w:pPr>
              <w:jc w:val="left"/>
            </w:pPr>
            <w:r>
              <w:rPr>
                <w:rFonts w:ascii="Calibri" w:hAnsi="Calibri"/>
                <w:b/>
                <w:color w:val="FFFFFF"/>
                <w:sz w:val="20"/>
              </w:rPr>
              <w:t>Engineering Implementation Strategy</w:t>
            </w:r>
          </w:p>
        </w:tc>
      </w:tr>
      <w:tr>
        <w:tc>
          <w:tcPr>
            <w:tcW w:type="dxa" w:w="1728"/>
            <w:shd w:fill="F8FAFC"/>
            <w:tcMar>
              <w:top w:w="80" w:type="dxa"/>
              <w:bottom w:w="80" w:type="dxa"/>
              <w:left w:w="120" w:type="dxa"/>
              <w:right w:w="120" w:type="dxa"/>
            </w:tcMar>
          </w:tcPr>
          <w:p>
            <w:r>
              <w:rPr>
                <w:rFonts w:ascii="Calibri" w:hAnsi="Calibri"/>
                <w:color w:val="1E293B"/>
                <w:sz w:val="19"/>
              </w:rPr>
              <w:t>Scalability</w:t>
            </w:r>
          </w:p>
        </w:tc>
        <w:tc>
          <w:tcPr>
            <w:tcW w:type="dxa" w:w="1584"/>
            <w:shd w:fill="F8FAFC"/>
            <w:tcMar>
              <w:top w:w="80" w:type="dxa"/>
              <w:bottom w:w="80" w:type="dxa"/>
              <w:left w:w="120" w:type="dxa"/>
              <w:right w:w="120" w:type="dxa"/>
            </w:tcMar>
          </w:tcPr>
          <w:p>
            <w:r>
              <w:rPr>
                <w:rFonts w:ascii="Calibri" w:hAnsi="Calibri"/>
                <w:color w:val="1E293B"/>
                <w:sz w:val="19"/>
              </w:rPr>
              <w:t>NFR-01</w:t>
            </w:r>
          </w:p>
        </w:tc>
        <w:tc>
          <w:tcPr>
            <w:tcW w:type="dxa" w:w="2592"/>
            <w:shd w:fill="F8FAFC"/>
            <w:tcMar>
              <w:top w:w="80" w:type="dxa"/>
              <w:bottom w:w="80" w:type="dxa"/>
              <w:left w:w="120" w:type="dxa"/>
              <w:right w:w="120" w:type="dxa"/>
            </w:tcMar>
          </w:tcPr>
          <w:p>
            <w:r>
              <w:rPr>
                <w:rFonts w:ascii="Calibri" w:hAnsi="Calibri"/>
                <w:color w:val="1E293B"/>
                <w:sz w:val="19"/>
              </w:rPr>
              <w:t>200% Growth Capacity</w:t>
            </w:r>
          </w:p>
        </w:tc>
        <w:tc>
          <w:tcPr>
            <w:tcW w:type="dxa" w:w="4896"/>
            <w:shd w:fill="F8FAFC"/>
            <w:tcMar>
              <w:top w:w="80" w:type="dxa"/>
              <w:bottom w:w="80" w:type="dxa"/>
              <w:left w:w="120" w:type="dxa"/>
              <w:right w:w="120" w:type="dxa"/>
            </w:tcMar>
          </w:tcPr>
          <w:p>
            <w:r>
              <w:rPr>
                <w:rFonts w:ascii="Calibri" w:hAnsi="Calibri"/>
                <w:color w:val="1E293B"/>
                <w:sz w:val="19"/>
              </w:rPr>
              <w:t>Subnet masks engineered with Class C (/24) boundaries allowing expansion up to 254 hosts per department.</w:t>
            </w:r>
          </w:p>
        </w:tc>
      </w:tr>
      <w:tr>
        <w:tc>
          <w:tcPr>
            <w:tcW w:type="dxa" w:w="1728"/>
            <w:shd w:fill="FFFFFF"/>
            <w:tcMar>
              <w:top w:w="80" w:type="dxa"/>
              <w:bottom w:w="80" w:type="dxa"/>
              <w:left w:w="120" w:type="dxa"/>
              <w:right w:w="120" w:type="dxa"/>
            </w:tcMar>
          </w:tcPr>
          <w:p>
            <w:r>
              <w:rPr>
                <w:rFonts w:ascii="Calibri" w:hAnsi="Calibri"/>
                <w:color w:val="1E293B"/>
                <w:sz w:val="19"/>
              </w:rPr>
              <w:t>Performance</w:t>
            </w:r>
          </w:p>
        </w:tc>
        <w:tc>
          <w:tcPr>
            <w:tcW w:type="dxa" w:w="1584"/>
            <w:shd w:fill="FFFFFF"/>
            <w:tcMar>
              <w:top w:w="80" w:type="dxa"/>
              <w:bottom w:w="80" w:type="dxa"/>
              <w:left w:w="120" w:type="dxa"/>
              <w:right w:w="120" w:type="dxa"/>
            </w:tcMar>
          </w:tcPr>
          <w:p>
            <w:r>
              <w:rPr>
                <w:rFonts w:ascii="Calibri" w:hAnsi="Calibri"/>
                <w:color w:val="1E293B"/>
                <w:sz w:val="19"/>
              </w:rPr>
              <w:t>NFR-02</w:t>
            </w:r>
          </w:p>
        </w:tc>
        <w:tc>
          <w:tcPr>
            <w:tcW w:type="dxa" w:w="2592"/>
            <w:shd w:fill="FFFFFF"/>
            <w:tcMar>
              <w:top w:w="80" w:type="dxa"/>
              <w:bottom w:w="80" w:type="dxa"/>
              <w:left w:w="120" w:type="dxa"/>
              <w:right w:w="120" w:type="dxa"/>
            </w:tcMar>
          </w:tcPr>
          <w:p>
            <w:r>
              <w:rPr>
                <w:rFonts w:ascii="Calibri" w:hAnsi="Calibri"/>
                <w:color w:val="1E293B"/>
                <w:sz w:val="19"/>
              </w:rPr>
              <w:t>Gigabit Backbone / 100M Access</w:t>
            </w:r>
          </w:p>
        </w:tc>
        <w:tc>
          <w:tcPr>
            <w:tcW w:type="dxa" w:w="4896"/>
            <w:shd w:fill="FFFFFF"/>
            <w:tcMar>
              <w:top w:w="80" w:type="dxa"/>
              <w:bottom w:w="80" w:type="dxa"/>
              <w:left w:w="120" w:type="dxa"/>
              <w:right w:w="120" w:type="dxa"/>
            </w:tcMar>
          </w:tcPr>
          <w:p>
            <w:r>
              <w:rPr>
                <w:rFonts w:ascii="Calibri" w:hAnsi="Calibri"/>
                <w:color w:val="1E293B"/>
                <w:sz w:val="19"/>
              </w:rPr>
              <w:t>Gigabit 802.1Q uplinks between Access switches and Core switch; 100 Mbps dedicated full-duplex to workstations.</w:t>
            </w:r>
          </w:p>
        </w:tc>
      </w:tr>
      <w:tr>
        <w:tc>
          <w:tcPr>
            <w:tcW w:type="dxa" w:w="1728"/>
            <w:shd w:fill="F8FAFC"/>
            <w:tcMar>
              <w:top w:w="80" w:type="dxa"/>
              <w:bottom w:w="80" w:type="dxa"/>
              <w:left w:w="120" w:type="dxa"/>
              <w:right w:w="120" w:type="dxa"/>
            </w:tcMar>
          </w:tcPr>
          <w:p>
            <w:r>
              <w:rPr>
                <w:rFonts w:ascii="Calibri" w:hAnsi="Calibri"/>
                <w:color w:val="1E293B"/>
                <w:sz w:val="19"/>
              </w:rPr>
              <w:t>Availability</w:t>
            </w:r>
          </w:p>
        </w:tc>
        <w:tc>
          <w:tcPr>
            <w:tcW w:type="dxa" w:w="1584"/>
            <w:shd w:fill="F8FAFC"/>
            <w:tcMar>
              <w:top w:w="80" w:type="dxa"/>
              <w:bottom w:w="80" w:type="dxa"/>
              <w:left w:w="120" w:type="dxa"/>
              <w:right w:w="120" w:type="dxa"/>
            </w:tcMar>
          </w:tcPr>
          <w:p>
            <w:r>
              <w:rPr>
                <w:rFonts w:ascii="Calibri" w:hAnsi="Calibri"/>
                <w:color w:val="1E293B"/>
                <w:sz w:val="19"/>
              </w:rPr>
              <w:t>NFR-03</w:t>
            </w:r>
          </w:p>
        </w:tc>
        <w:tc>
          <w:tcPr>
            <w:tcW w:type="dxa" w:w="2592"/>
            <w:shd w:fill="F8FAFC"/>
            <w:tcMar>
              <w:top w:w="80" w:type="dxa"/>
              <w:bottom w:w="80" w:type="dxa"/>
              <w:left w:w="120" w:type="dxa"/>
              <w:right w:w="120" w:type="dxa"/>
            </w:tcMar>
          </w:tcPr>
          <w:p>
            <w:r>
              <w:rPr>
                <w:rFonts w:ascii="Calibri" w:hAnsi="Calibri"/>
                <w:color w:val="1E293B"/>
                <w:sz w:val="19"/>
              </w:rPr>
              <w:t>99.9% Uptime for Core</w:t>
            </w:r>
          </w:p>
        </w:tc>
        <w:tc>
          <w:tcPr>
            <w:tcW w:type="dxa" w:w="4896"/>
            <w:shd w:fill="F8FAFC"/>
            <w:tcMar>
              <w:top w:w="80" w:type="dxa"/>
              <w:bottom w:w="80" w:type="dxa"/>
              <w:left w:w="120" w:type="dxa"/>
              <w:right w:w="120" w:type="dxa"/>
            </w:tcMar>
          </w:tcPr>
          <w:p>
            <w:r>
              <w:rPr>
                <w:rFonts w:ascii="Calibri" w:hAnsi="Calibri"/>
                <w:color w:val="1E293B"/>
                <w:sz w:val="19"/>
              </w:rPr>
              <w:t>MDF Server Room equipped with dual online UPS units, redundant trunk paths, and Rapid Spanning Tree Protocol (RSTP).</w:t>
            </w:r>
          </w:p>
        </w:tc>
      </w:tr>
      <w:tr>
        <w:tc>
          <w:tcPr>
            <w:tcW w:type="dxa" w:w="1728"/>
            <w:shd w:fill="FFFFFF"/>
            <w:tcMar>
              <w:top w:w="80" w:type="dxa"/>
              <w:bottom w:w="80" w:type="dxa"/>
              <w:left w:w="120" w:type="dxa"/>
              <w:right w:w="120" w:type="dxa"/>
            </w:tcMar>
          </w:tcPr>
          <w:p>
            <w:r>
              <w:rPr>
                <w:rFonts w:ascii="Calibri" w:hAnsi="Calibri"/>
                <w:color w:val="1E293B"/>
                <w:sz w:val="19"/>
              </w:rPr>
              <w:t>Security</w:t>
            </w:r>
          </w:p>
        </w:tc>
        <w:tc>
          <w:tcPr>
            <w:tcW w:type="dxa" w:w="1584"/>
            <w:shd w:fill="FFFFFF"/>
            <w:tcMar>
              <w:top w:w="80" w:type="dxa"/>
              <w:bottom w:w="80" w:type="dxa"/>
              <w:left w:w="120" w:type="dxa"/>
              <w:right w:w="120" w:type="dxa"/>
            </w:tcMar>
          </w:tcPr>
          <w:p>
            <w:r>
              <w:rPr>
                <w:rFonts w:ascii="Calibri" w:hAnsi="Calibri"/>
                <w:color w:val="1E293B"/>
                <w:sz w:val="19"/>
              </w:rPr>
              <w:t>NFR-04</w:t>
            </w:r>
          </w:p>
        </w:tc>
        <w:tc>
          <w:tcPr>
            <w:tcW w:type="dxa" w:w="2592"/>
            <w:shd w:fill="FFFFFF"/>
            <w:tcMar>
              <w:top w:w="80" w:type="dxa"/>
              <w:bottom w:w="80" w:type="dxa"/>
              <w:left w:w="120" w:type="dxa"/>
              <w:right w:w="120" w:type="dxa"/>
            </w:tcMar>
          </w:tcPr>
          <w:p>
            <w:r>
              <w:rPr>
                <w:rFonts w:ascii="Calibri" w:hAnsi="Calibri"/>
                <w:color w:val="1E293B"/>
                <w:sz w:val="19"/>
              </w:rPr>
              <w:t>Zero Trust Perimeter &amp; Layer 3 ACLs</w:t>
            </w:r>
          </w:p>
        </w:tc>
        <w:tc>
          <w:tcPr>
            <w:tcW w:type="dxa" w:w="4896"/>
            <w:shd w:fill="FFFFFF"/>
            <w:tcMar>
              <w:top w:w="80" w:type="dxa"/>
              <w:bottom w:w="80" w:type="dxa"/>
              <w:left w:w="120" w:type="dxa"/>
              <w:right w:w="120" w:type="dxa"/>
            </w:tcMar>
          </w:tcPr>
          <w:p>
            <w:r>
              <w:rPr>
                <w:rFonts w:ascii="Calibri" w:hAnsi="Calibri"/>
                <w:color w:val="1E293B"/>
                <w:sz w:val="19"/>
              </w:rPr>
              <w:t>Strict ingress/egress ACLs filtering inter-VLAN flows, disabling unused switch ports, and isolated guest network.</w:t>
            </w:r>
          </w:p>
        </w:tc>
      </w:tr>
      <w:tr>
        <w:tc>
          <w:tcPr>
            <w:tcW w:type="dxa" w:w="1728"/>
            <w:shd w:fill="F8FAFC"/>
            <w:tcMar>
              <w:top w:w="80" w:type="dxa"/>
              <w:bottom w:w="80" w:type="dxa"/>
              <w:left w:w="120" w:type="dxa"/>
              <w:right w:w="120" w:type="dxa"/>
            </w:tcMar>
          </w:tcPr>
          <w:p>
            <w:r>
              <w:rPr>
                <w:rFonts w:ascii="Calibri" w:hAnsi="Calibri"/>
                <w:color w:val="1E293B"/>
                <w:sz w:val="19"/>
              </w:rPr>
              <w:t>Manageability</w:t>
            </w:r>
          </w:p>
        </w:tc>
        <w:tc>
          <w:tcPr>
            <w:tcW w:type="dxa" w:w="1584"/>
            <w:shd w:fill="F8FAFC"/>
            <w:tcMar>
              <w:top w:w="80" w:type="dxa"/>
              <w:bottom w:w="80" w:type="dxa"/>
              <w:left w:w="120" w:type="dxa"/>
              <w:right w:w="120" w:type="dxa"/>
            </w:tcMar>
          </w:tcPr>
          <w:p>
            <w:r>
              <w:rPr>
                <w:rFonts w:ascii="Calibri" w:hAnsi="Calibri"/>
                <w:color w:val="1E293B"/>
                <w:sz w:val="19"/>
              </w:rPr>
              <w:t>NFR-05</w:t>
            </w:r>
          </w:p>
        </w:tc>
        <w:tc>
          <w:tcPr>
            <w:tcW w:type="dxa" w:w="2592"/>
            <w:shd w:fill="F8FAFC"/>
            <w:tcMar>
              <w:top w:w="80" w:type="dxa"/>
              <w:bottom w:w="80" w:type="dxa"/>
              <w:left w:w="120" w:type="dxa"/>
              <w:right w:w="120" w:type="dxa"/>
            </w:tcMar>
          </w:tcPr>
          <w:p>
            <w:r>
              <w:rPr>
                <w:rFonts w:ascii="Calibri" w:hAnsi="Calibri"/>
                <w:color w:val="1E293B"/>
                <w:sz w:val="19"/>
              </w:rPr>
              <w:t>Standardized Hostnames &amp; Syslog</w:t>
            </w:r>
          </w:p>
        </w:tc>
        <w:tc>
          <w:tcPr>
            <w:tcW w:type="dxa" w:w="4896"/>
            <w:shd w:fill="F8FAFC"/>
            <w:tcMar>
              <w:top w:w="80" w:type="dxa"/>
              <w:bottom w:w="80" w:type="dxa"/>
              <w:left w:w="120" w:type="dxa"/>
              <w:right w:w="120" w:type="dxa"/>
            </w:tcMar>
          </w:tcPr>
          <w:p>
            <w:r>
              <w:rPr>
                <w:rFonts w:ascii="Calibri" w:hAnsi="Calibri"/>
                <w:color w:val="1E293B"/>
                <w:sz w:val="19"/>
              </w:rPr>
              <w:t>Standardized naming convention (e.g., SW-ASW1-Floor1), synchronized NTP, SSH v2 management access.</w:t>
            </w:r>
          </w:p>
        </w:tc>
      </w:tr>
    </w:tbl>
    <w:p>
      <w:pPr>
        <w:spacing w:after="120"/>
      </w:pPr>
    </w:p>
    <w:p>
      <w:pPr>
        <w:spacing w:before="240" w:after="80"/>
      </w:pPr>
      <w:r>
        <w:rPr>
          <w:rFonts w:ascii="Calibri" w:hAnsi="Calibri"/>
          <w:b/>
          <w:color w:val="1B365D"/>
          <w:sz w:val="28"/>
        </w:rPr>
        <w:t>5. Project Phase &amp; Responsibility Hand-off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B365D"/>
            <w:tcMar>
              <w:top w:w="120" w:type="dxa"/>
              <w:bottom w:w="120" w:type="dxa"/>
              <w:left w:w="150" w:type="dxa"/>
              <w:right w:w="150" w:type="dxa"/>
            </w:tcMar>
          </w:tcPr>
          <w:p>
            <w:pPr>
              <w:jc w:val="left"/>
            </w:pPr>
            <w:r>
              <w:rPr>
                <w:rFonts w:ascii="Calibri" w:hAnsi="Calibri"/>
                <w:b/>
                <w:color w:val="FFFFFF"/>
                <w:sz w:val="20"/>
              </w:rPr>
              <w:t>Phase &amp; Member</w:t>
            </w:r>
          </w:p>
        </w:tc>
        <w:tc>
          <w:tcPr>
            <w:tcW w:type="dxa" w:w="2304"/>
            <w:shd w:fill="1B365D"/>
            <w:tcMar>
              <w:top w:w="120" w:type="dxa"/>
              <w:bottom w:w="120" w:type="dxa"/>
              <w:left w:w="150" w:type="dxa"/>
              <w:right w:w="150" w:type="dxa"/>
            </w:tcMar>
          </w:tcPr>
          <w:p>
            <w:pPr>
              <w:jc w:val="left"/>
            </w:pPr>
            <w:r>
              <w:rPr>
                <w:rFonts w:ascii="Calibri" w:hAnsi="Calibri"/>
                <w:b/>
                <w:color w:val="FFFFFF"/>
                <w:sz w:val="20"/>
              </w:rPr>
              <w:t>Assigned Focus Area</w:t>
            </w:r>
          </w:p>
        </w:tc>
        <w:tc>
          <w:tcPr>
            <w:tcW w:type="dxa" w:w="2592"/>
            <w:shd w:fill="1B365D"/>
            <w:tcMar>
              <w:top w:w="120" w:type="dxa"/>
              <w:bottom w:w="120" w:type="dxa"/>
              <w:left w:w="150" w:type="dxa"/>
              <w:right w:w="150" w:type="dxa"/>
            </w:tcMar>
          </w:tcPr>
          <w:p>
            <w:pPr>
              <w:jc w:val="left"/>
            </w:pPr>
            <w:r>
              <w:rPr>
                <w:rFonts w:ascii="Calibri" w:hAnsi="Calibri"/>
                <w:b/>
                <w:color w:val="FFFFFF"/>
                <w:sz w:val="20"/>
              </w:rPr>
              <w:t>Key Input Required</w:t>
            </w:r>
          </w:p>
        </w:tc>
        <w:tc>
          <w:tcPr>
            <w:tcW w:type="dxa" w:w="3744"/>
            <w:shd w:fill="1B365D"/>
            <w:tcMar>
              <w:top w:w="120" w:type="dxa"/>
              <w:bottom w:w="120" w:type="dxa"/>
              <w:left w:w="150" w:type="dxa"/>
              <w:right w:w="150" w:type="dxa"/>
            </w:tcMar>
          </w:tcPr>
          <w:p>
            <w:pPr>
              <w:jc w:val="left"/>
            </w:pPr>
            <w:r>
              <w:rPr>
                <w:rFonts w:ascii="Calibri" w:hAnsi="Calibri"/>
                <w:b/>
                <w:color w:val="FFFFFF"/>
                <w:sz w:val="20"/>
              </w:rPr>
              <w:t>Final Deliverables Handed Off</w:t>
            </w:r>
          </w:p>
        </w:tc>
      </w:tr>
      <w:tr>
        <w:tc>
          <w:tcPr>
            <w:tcW w:type="dxa" w:w="2160"/>
            <w:shd w:fill="F8FAFC"/>
            <w:tcMar>
              <w:top w:w="80" w:type="dxa"/>
              <w:bottom w:w="80" w:type="dxa"/>
              <w:left w:w="120" w:type="dxa"/>
              <w:right w:w="120" w:type="dxa"/>
            </w:tcMar>
          </w:tcPr>
          <w:p>
            <w:r>
              <w:rPr>
                <w:rFonts w:ascii="Calibri" w:hAnsi="Calibri"/>
                <w:color w:val="1E293B"/>
                <w:sz w:val="19"/>
              </w:rPr>
              <w:t>Phase 1 &amp; 2: Member 1 (Lead)</w:t>
            </w:r>
          </w:p>
        </w:tc>
        <w:tc>
          <w:tcPr>
            <w:tcW w:type="dxa" w:w="2304"/>
            <w:shd w:fill="F8FAFC"/>
            <w:tcMar>
              <w:top w:w="80" w:type="dxa"/>
              <w:bottom w:w="80" w:type="dxa"/>
              <w:left w:w="120" w:type="dxa"/>
              <w:right w:w="120" w:type="dxa"/>
            </w:tcMar>
          </w:tcPr>
          <w:p>
            <w:r>
              <w:rPr>
                <w:rFonts w:ascii="Calibri" w:hAnsi="Calibri"/>
                <w:color w:val="1E293B"/>
                <w:sz w:val="19"/>
              </w:rPr>
              <w:t>Network Design &amp; Infrastructure</w:t>
            </w:r>
          </w:p>
        </w:tc>
        <w:tc>
          <w:tcPr>
            <w:tcW w:type="dxa" w:w="2592"/>
            <w:shd w:fill="F8FAFC"/>
            <w:tcMar>
              <w:top w:w="80" w:type="dxa"/>
              <w:bottom w:w="80" w:type="dxa"/>
              <w:left w:w="120" w:type="dxa"/>
              <w:right w:w="120" w:type="dxa"/>
            </w:tcMar>
          </w:tcPr>
          <w:p>
            <w:r>
              <w:rPr>
                <w:rFonts w:ascii="Calibri" w:hAnsi="Calibri"/>
                <w:color w:val="1E293B"/>
                <w:sz w:val="19"/>
              </w:rPr>
              <w:t>Company scenario, user counts, floor layout</w:t>
            </w:r>
          </w:p>
        </w:tc>
        <w:tc>
          <w:tcPr>
            <w:tcW w:type="dxa" w:w="3744"/>
            <w:shd w:fill="F8FAFC"/>
            <w:tcMar>
              <w:top w:w="80" w:type="dxa"/>
              <w:bottom w:w="80" w:type="dxa"/>
              <w:left w:w="120" w:type="dxa"/>
              <w:right w:w="120" w:type="dxa"/>
            </w:tcMar>
          </w:tcPr>
          <w:p>
            <w:r>
              <w:rPr>
                <w:rFonts w:ascii="Calibri" w:hAnsi="Calibri"/>
                <w:color w:val="1E293B"/>
                <w:sz w:val="19"/>
              </w:rPr>
              <w:t>Device inventory, physical/logical topology diagrams, Base_Topology_v1.pkt, port connection matrix</w:t>
            </w:r>
          </w:p>
        </w:tc>
      </w:tr>
      <w:tr>
        <w:tc>
          <w:tcPr>
            <w:tcW w:type="dxa" w:w="2160"/>
            <w:shd w:fill="FFFFFF"/>
            <w:tcMar>
              <w:top w:w="80" w:type="dxa"/>
              <w:bottom w:w="80" w:type="dxa"/>
              <w:left w:w="120" w:type="dxa"/>
              <w:right w:w="120" w:type="dxa"/>
            </w:tcMar>
          </w:tcPr>
          <w:p>
            <w:r>
              <w:rPr>
                <w:rFonts w:ascii="Calibri" w:hAnsi="Calibri"/>
                <w:color w:val="1E293B"/>
                <w:sz w:val="19"/>
              </w:rPr>
              <w:t>Phase 3 &amp; 4: Member 2</w:t>
            </w:r>
          </w:p>
        </w:tc>
        <w:tc>
          <w:tcPr>
            <w:tcW w:type="dxa" w:w="2304"/>
            <w:shd w:fill="FFFFFF"/>
            <w:tcMar>
              <w:top w:w="80" w:type="dxa"/>
              <w:bottom w:w="80" w:type="dxa"/>
              <w:left w:w="120" w:type="dxa"/>
              <w:right w:w="120" w:type="dxa"/>
            </w:tcMar>
          </w:tcPr>
          <w:p>
            <w:r>
              <w:rPr>
                <w:rFonts w:ascii="Calibri" w:hAnsi="Calibri"/>
                <w:color w:val="1E293B"/>
                <w:sz w:val="19"/>
              </w:rPr>
              <w:t>IP Addressing, VLANs &amp; Routing</w:t>
            </w:r>
          </w:p>
        </w:tc>
        <w:tc>
          <w:tcPr>
            <w:tcW w:type="dxa" w:w="2592"/>
            <w:shd w:fill="FFFFFF"/>
            <w:tcMar>
              <w:top w:w="80" w:type="dxa"/>
              <w:bottom w:w="80" w:type="dxa"/>
              <w:left w:w="120" w:type="dxa"/>
              <w:right w:w="120" w:type="dxa"/>
            </w:tcMar>
          </w:tcPr>
          <w:p>
            <w:r>
              <w:rPr>
                <w:rFonts w:ascii="Calibri" w:hAnsi="Calibri"/>
                <w:color w:val="1E293B"/>
                <w:sz w:val="19"/>
              </w:rPr>
              <w:t>Base_Topology_v1.pkt from Member 1</w:t>
            </w:r>
          </w:p>
        </w:tc>
        <w:tc>
          <w:tcPr>
            <w:tcW w:type="dxa" w:w="3744"/>
            <w:shd w:fill="FFFFFF"/>
            <w:tcMar>
              <w:top w:w="80" w:type="dxa"/>
              <w:bottom w:w="80" w:type="dxa"/>
              <w:left w:w="120" w:type="dxa"/>
              <w:right w:w="120" w:type="dxa"/>
            </w:tcMar>
          </w:tcPr>
          <w:p>
            <w:r>
              <w:rPr>
                <w:rFonts w:ascii="Calibri" w:hAnsi="Calibri"/>
                <w:color w:val="1E293B"/>
                <w:sz w:val="19"/>
              </w:rPr>
              <w:t>Subnet calculations (10.10.0.0/16), VLAN creation (10-100), 802.1Q trunks, Core Switch SVIs, Network_Config_v2.pkt</w:t>
            </w:r>
          </w:p>
        </w:tc>
      </w:tr>
      <w:tr>
        <w:tc>
          <w:tcPr>
            <w:tcW w:type="dxa" w:w="2160"/>
            <w:shd w:fill="F8FAFC"/>
            <w:tcMar>
              <w:top w:w="80" w:type="dxa"/>
              <w:bottom w:w="80" w:type="dxa"/>
              <w:left w:w="120" w:type="dxa"/>
              <w:right w:w="120" w:type="dxa"/>
            </w:tcMar>
          </w:tcPr>
          <w:p>
            <w:r>
              <w:rPr>
                <w:rFonts w:ascii="Calibri" w:hAnsi="Calibri"/>
                <w:color w:val="1E293B"/>
                <w:sz w:val="19"/>
              </w:rPr>
              <w:t>Phase 4 &amp; 5: Member 3</w:t>
            </w:r>
          </w:p>
        </w:tc>
        <w:tc>
          <w:tcPr>
            <w:tcW w:type="dxa" w:w="2304"/>
            <w:shd w:fill="F8FAFC"/>
            <w:tcMar>
              <w:top w:w="80" w:type="dxa"/>
              <w:bottom w:w="80" w:type="dxa"/>
              <w:left w:w="120" w:type="dxa"/>
              <w:right w:w="120" w:type="dxa"/>
            </w:tcMar>
          </w:tcPr>
          <w:p>
            <w:r>
              <w:rPr>
                <w:rFonts w:ascii="Calibri" w:hAnsi="Calibri"/>
                <w:color w:val="1E293B"/>
                <w:sz w:val="19"/>
              </w:rPr>
              <w:t>Enterprise Services, Security &amp; ACLs</w:t>
            </w:r>
          </w:p>
        </w:tc>
        <w:tc>
          <w:tcPr>
            <w:tcW w:type="dxa" w:w="2592"/>
            <w:shd w:fill="F8FAFC"/>
            <w:tcMar>
              <w:top w:w="80" w:type="dxa"/>
              <w:bottom w:w="80" w:type="dxa"/>
              <w:left w:w="120" w:type="dxa"/>
              <w:right w:w="120" w:type="dxa"/>
            </w:tcMar>
          </w:tcPr>
          <w:p>
            <w:r>
              <w:rPr>
                <w:rFonts w:ascii="Calibri" w:hAnsi="Calibri"/>
                <w:color w:val="1E293B"/>
                <w:sz w:val="19"/>
              </w:rPr>
              <w:t>Network_Config_v2.pkt from Member 2</w:t>
            </w:r>
          </w:p>
        </w:tc>
        <w:tc>
          <w:tcPr>
            <w:tcW w:type="dxa" w:w="3744"/>
            <w:shd w:fill="F8FAFC"/>
            <w:tcMar>
              <w:top w:w="80" w:type="dxa"/>
              <w:bottom w:w="80" w:type="dxa"/>
              <w:left w:w="120" w:type="dxa"/>
              <w:right w:w="120" w:type="dxa"/>
            </w:tcMar>
          </w:tcPr>
          <w:p>
            <w:r>
              <w:rPr>
                <w:rFonts w:ascii="Calibri" w:hAnsi="Calibri"/>
                <w:color w:val="1E293B"/>
                <w:sz w:val="19"/>
              </w:rPr>
              <w:t>DHCP scopes, DNS records, Web/FTP servers, Guest/Finance ACLs, end-to-end ping testing, Services_Security_v3.pkt</w:t>
            </w:r>
          </w:p>
        </w:tc>
      </w:tr>
      <w:tr>
        <w:tc>
          <w:tcPr>
            <w:tcW w:type="dxa" w:w="2160"/>
            <w:shd w:fill="FFFFFF"/>
            <w:tcMar>
              <w:top w:w="80" w:type="dxa"/>
              <w:bottom w:w="80" w:type="dxa"/>
              <w:left w:w="120" w:type="dxa"/>
              <w:right w:w="120" w:type="dxa"/>
            </w:tcMar>
          </w:tcPr>
          <w:p>
            <w:r>
              <w:rPr>
                <w:rFonts w:ascii="Calibri" w:hAnsi="Calibri"/>
                <w:color w:val="1E293B"/>
                <w:sz w:val="19"/>
              </w:rPr>
              <w:t>Phase 6 &amp; 7: All Members</w:t>
            </w:r>
          </w:p>
        </w:tc>
        <w:tc>
          <w:tcPr>
            <w:tcW w:type="dxa" w:w="2304"/>
            <w:shd w:fill="FFFFFF"/>
            <w:tcMar>
              <w:top w:w="80" w:type="dxa"/>
              <w:bottom w:w="80" w:type="dxa"/>
              <w:left w:w="120" w:type="dxa"/>
              <w:right w:w="120" w:type="dxa"/>
            </w:tcMar>
          </w:tcPr>
          <w:p>
            <w:r>
              <w:rPr>
                <w:rFonts w:ascii="Calibri" w:hAnsi="Calibri"/>
                <w:color w:val="1E293B"/>
                <w:sz w:val="19"/>
              </w:rPr>
              <w:t>Final Report Integration &amp; Viva</w:t>
            </w:r>
          </w:p>
        </w:tc>
        <w:tc>
          <w:tcPr>
            <w:tcW w:type="dxa" w:w="2592"/>
            <w:shd w:fill="FFFFFF"/>
            <w:tcMar>
              <w:top w:w="80" w:type="dxa"/>
              <w:bottom w:w="80" w:type="dxa"/>
              <w:left w:w="120" w:type="dxa"/>
              <w:right w:w="120" w:type="dxa"/>
            </w:tcMar>
          </w:tcPr>
          <w:p>
            <w:r>
              <w:rPr>
                <w:rFonts w:ascii="Calibri" w:hAnsi="Calibri"/>
                <w:color w:val="1E293B"/>
                <w:sz w:val="19"/>
              </w:rPr>
              <w:t>Individual report sections &amp; test logs</w:t>
            </w:r>
          </w:p>
        </w:tc>
        <w:tc>
          <w:tcPr>
            <w:tcW w:type="dxa" w:w="3744"/>
            <w:shd w:fill="FFFFFF"/>
            <w:tcMar>
              <w:top w:w="80" w:type="dxa"/>
              <w:bottom w:w="80" w:type="dxa"/>
              <w:left w:w="120" w:type="dxa"/>
              <w:right w:w="120" w:type="dxa"/>
            </w:tcMar>
          </w:tcPr>
          <w:p>
            <w:r>
              <w:rPr>
                <w:rFonts w:ascii="Calibri" w:hAnsi="Calibri"/>
                <w:color w:val="1E293B"/>
                <w:sz w:val="19"/>
              </w:rPr>
              <w:t>Consolidated Technical Project Report, Packet Tracer demo file, Viva presentation deck</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