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FF6B35"/>
          <w:sz w:val="88"/>
          <w:szCs w:val="88"/>
        </w:rPr>
        <w:t xml:space="preserve">go</w:t>
      </w:r>
      <w:r>
        <w:rPr>
          <w:b/>
          <w:bCs/>
          <w:color w:val="1A5C38"/>
          <w:sz w:val="88"/>
          <w:szCs w:val="88"/>
        </w:rPr>
        <w:t xml:space="preserve">Zaika</w:t>
      </w:r>
    </w:p>
    <w:p>
      <w:pPr>
        <w:spacing w:after="60"/>
        <w:jc w:val="center"/>
      </w:pPr>
      <w:r>
        <w:rPr>
          <w:i/>
          <w:iCs/>
          <w:color w:val="D4A017"/>
          <w:sz w:val="26"/>
          <w:szCs w:val="26"/>
        </w:rPr>
        <w:t xml:space="preserve">Bada Zayka Ayega Maza</w:t>
      </w:r>
    </w:p>
    <w:p>
      <w:pPr>
        <w:spacing w:after="40" w:before="240"/>
        <w:jc w:val="center"/>
      </w:pPr>
      <w:r>
        <w:rPr>
          <w:b/>
          <w:bCs/>
          <w:color w:val="2D2D2D"/>
          <w:sz w:val="40"/>
          <w:szCs w:val="40"/>
        </w:rPr>
        <w:t xml:space="preserve">Master Business &amp; Strategy Document</w:t>
      </w:r>
    </w:p>
    <w:p>
      <w:pPr>
        <w:spacing w:after="40"/>
        <w:jc w:val="center"/>
      </w:pPr>
      <w:r>
        <w:rPr>
          <w:color w:val="1A5C38"/>
          <w:sz w:val="24"/>
          <w:szCs w:val="24"/>
        </w:rPr>
        <w:t xml:space="preserve">Version 4.0   |   June 2026   |   CONFIDENTIAL</w:t>
      </w:r>
    </w:p>
    <w:p>
      <w:pPr>
        <w:spacing w:after="40" w:line="276"/>
        <w:jc w:val="center"/>
      </w:pPr>
      <w:r>
        <w:rPr>
          <w:i/>
          <w:iCs/>
          <w:color w:val="666666"/>
          <w:sz w:val="20"/>
          <w:szCs w:val="20"/>
        </w:rPr>
        <w:t xml:space="preserve">Incorporates v3.0 Strategy &amp; Architecture + Two-Sided Positioning Framework + Conversion / Attribution Layer + Refreshed Competitive Landscape</w:t>
      </w:r>
    </w:p>
    <w:p>
      <w:pPr>
        <w:spacing w:before="200"/>
        <w:jc w:val="center"/>
      </w:pPr>
      <w:r>
        <w:rPr>
          <w:color w:val="888888"/>
          <w:sz w:val="18"/>
          <w:szCs w:val="18"/>
        </w:rPr>
        <w:t xml:space="preserve">The running business bible. Supersedes v3.0 (April 2026).</w:t>
      </w:r>
    </w:p>
    <w:p>
      <w:r>
        <w:br w:type="page"/>
      </w:r>
    </w:p>
    <w:p>
      <w:pPr>
        <w:pStyle w:val="Heading1"/>
        <w:spacing w:after="160" w:before="360"/>
      </w:pPr>
      <w:r>
        <w:t xml:space="preserve">What's New in v4.0</w:t>
      </w:r>
    </w:p>
    <w:p>
      <w:pPr>
        <w:spacing w:after="120" w:before="0" w:line="276"/>
      </w:pPr>
      <w:r>
        <w:rPr>
          <w:color w:val="2D2D2D"/>
          <w:sz w:val="21"/>
          <w:szCs w:val="21"/>
        </w:rPr>
        <w:t xml:space="preserve">Version 4.0 keeps the full v3.0 strategy, financial model, legal structure, and operating discipline intact. It adds one major strategic reframe and three supporting updates that emerged from platform development and a fresh competitive review:</w:t>
      </w:r>
    </w:p>
    <w:tbl>
      <w:tblPr>
        <w:tblW w:type="dxa" w:w="9360"/>
        <w:tblBorders>
          <w:top w:val="single" w:color="D4A017" w:sz="1"/>
          <w:left w:val="single" w:color="D4A017" w:sz="18"/>
          <w:bottom w:val="single" w:color="D4A017" w:sz="1"/>
          <w:right w:val="single" w:color="D4A017" w:sz="1"/>
          <w:insideH w:val="single" w:color="auto" w:sz="4"/>
          <w:insideV w:val="single" w:color="auto" w:sz="4"/>
        </w:tblBorders>
      </w:tblPr>
      <w:tblGrid>
        <w:gridCol w:w="9360"/>
      </w:tblGrid>
      <w:tr>
        <w:tc>
          <w:tcPr>
            <w:tcW w:type="dxa" w:w="9360"/>
            <w:shd w:fill="FBF3DD" w:color="auto" w:val="clear"/>
            <w:tcMar>
              <w:top w:type="dxa" w:w="120"/>
              <w:left w:type="dxa" w:w="180"/>
              <w:bottom w:type="dxa" w:w="120"/>
              <w:right w:type="dxa" w:w="160"/>
            </w:tcMar>
          </w:tcPr>
          <w:p>
            <w:pPr>
              <w:spacing w:after="80"/>
            </w:pPr>
            <w:r>
              <w:rPr>
                <w:b/>
                <w:bCs/>
                <w:color w:val="D4A017"/>
                <w:sz w:val="21"/>
                <w:szCs w:val="21"/>
              </w:rPr>
              <w:t xml:space="preserve">The headline change: stop hunting for a single position.</w:t>
            </w:r>
          </w:p>
          <w:p>
            <w:pPr>
              <w:spacing w:after="0" w:line="264"/>
            </w:pPr>
            <w:r>
              <w:rPr>
                <w:color w:val="2D2D2D"/>
                <w:sz w:val="20"/>
                <w:szCs w:val="20"/>
              </w:rPr>
              <w:t xml:space="preserve">A two-sided marketplace does not need one value proposition — it needs two that do not leak into each other. To restaurants, goZaika is a customer-acquisition channel (“Showcase your kitchen to discerning new diners”). To consumers, it stays a discovery and adventure platform (“Discover off-menu Chef’s Selections”). The word “sample” is never used with consumers.</w:t>
            </w:r>
          </w:p>
        </w:tc>
      </w:tr>
    </w:tbl>
    <w:p>
      <w:pPr>
        <w:spacing w:after="40"/>
      </w:pPr>
      <w:r>
        <w:t xml:space="preserve"/>
      </w:r>
    </w:p>
    <w:p>
      <w:pPr>
        <w:pStyle w:val="ListParagraph"/>
        <w:numPr>
          <w:ilvl w:val="0"/>
          <w:numId w:val="2"/>
        </w:numPr>
        <w:spacing w:after="70" w:line="264"/>
      </w:pPr>
      <w:r>
        <w:rPr>
          <w:b/>
          <w:bCs/>
          <w:color w:val="2D2D2D"/>
          <w:sz w:val="21"/>
          <w:szCs w:val="21"/>
        </w:rPr>
        <w:t xml:space="preserve">Part I — Two-sided positioning + the surplus→tasting spectrum. </w:t>
      </w:r>
      <w:r>
        <w:rPr>
          <w:color w:val="2D2D2D"/>
          <w:sz w:val="21"/>
          <w:szCs w:val="21"/>
        </w:rPr>
        <w:t xml:space="preserve">The restaurant-side reframe from “commission cost” to “marketing / CAC budget line”, and a conscious decision to move rightward on the surplus→tasting spectrum (premium perception costs some free-inventory economics).</w:t>
      </w:r>
    </w:p>
    <w:p>
      <w:pPr>
        <w:pStyle w:val="ListParagraph"/>
        <w:numPr>
          <w:ilvl w:val="0"/>
          <w:numId w:val="2"/>
        </w:numPr>
        <w:spacing w:after="70" w:line="264"/>
      </w:pPr>
      <w:r>
        <w:rPr>
          <w:b/>
          <w:bCs/>
          <w:color w:val="2D2D2D"/>
          <w:sz w:val="21"/>
          <w:szCs w:val="21"/>
        </w:rPr>
        <w:t xml:space="preserve">Part II — The Conversion &amp; Attribution Layer (new). </w:t>
      </w:r>
      <w:r>
        <w:rPr>
          <w:color w:val="2D2D2D"/>
          <w:sz w:val="21"/>
          <w:szCs w:val="21"/>
        </w:rPr>
        <w:t xml:space="preserve">“Find it on the menu”: a lightweight reorder / save-to-favourite signal that gives restaurants attribution and defends the commission — without becoming a full Swiggy/Zomato-style ordering marketplace.</w:t>
      </w:r>
    </w:p>
    <w:p>
      <w:pPr>
        <w:pStyle w:val="ListParagraph"/>
        <w:numPr>
          <w:ilvl w:val="0"/>
          <w:numId w:val="2"/>
        </w:numPr>
        <w:spacing w:after="70" w:line="264"/>
      </w:pPr>
      <w:r>
        <w:rPr>
          <w:b/>
          <w:bCs/>
          <w:color w:val="2D2D2D"/>
          <w:sz w:val="21"/>
          <w:szCs w:val="21"/>
        </w:rPr>
        <w:t xml:space="preserve">Part III — Competitive landscape refreshed. </w:t>
      </w:r>
      <w:r>
        <w:rPr>
          <w:color w:val="2D2D2D"/>
          <w:sz w:val="21"/>
          <w:szCs w:val="21"/>
        </w:rPr>
        <w:t xml:space="preserve">The “no direct competitor” claim is retired. Plenti (Kerala), Surokki (Bengaluru), Zomato Food Rescue, Too Good To Go, OLIO and Karma are now mapped, with the lessons each one teaches.</w:t>
      </w:r>
    </w:p>
    <w:p>
      <w:pPr>
        <w:pStyle w:val="ListParagraph"/>
        <w:numPr>
          <w:ilvl w:val="0"/>
          <w:numId w:val="2"/>
        </w:numPr>
        <w:spacing w:after="70" w:line="264"/>
      </w:pPr>
      <w:r>
        <w:rPr>
          <w:b/>
          <w:bCs/>
          <w:color w:val="2D2D2D"/>
          <w:sz w:val="21"/>
          <w:szCs w:val="21"/>
        </w:rPr>
        <w:t xml:space="preserve">Part XI — The honest unicorn question. </w:t>
      </w:r>
      <w:r>
        <w:rPr>
          <w:color w:val="2D2D2D"/>
          <w:sz w:val="21"/>
          <w:szCs w:val="21"/>
        </w:rPr>
        <w:t xml:space="preserve">A candid view that a pure thin-margin B2C app does not reach $1B in India; the credible path is an ecosystem / data play, which reinforces Zayka Pro and ZaikaIQ.</w:t>
      </w:r>
    </w:p>
    <w:p>
      <w:r>
        <w:br w:type="page"/>
      </w:r>
    </w:p>
    <w:p>
      <w:pPr>
        <w:pStyle w:val="Heading1"/>
        <w:spacing w:after="160" w:before="360"/>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Part I — Strategic Positioning</w:t>
      </w:r>
    </w:p>
    <w:p>
      <w:pPr>
        <w:pStyle w:val="Heading2"/>
        <w:spacing w:after="120" w:before="260"/>
      </w:pPr>
      <w:r>
        <w:t xml:space="preserve">1.1 Executive Summary</w:t>
      </w:r>
    </w:p>
    <w:p>
      <w:pPr>
        <w:spacing w:after="120" w:before="0" w:line="276"/>
      </w:pPr>
      <w:r>
        <w:rPr>
          <w:color w:val="2D2D2D"/>
          <w:sz w:val="21"/>
          <w:szCs w:val="21"/>
        </w:rPr>
        <w:t xml:space="preserve">goZaika is India’s first premium-access chef’s-thali meal-drop platform — a curated marketplace connecting mid-to-high-end restaurants with aspiring, budget-conscious consumers through limited, surprise to-go BAM Bags (Bada Zayka Ayega Maza). Inspired by the Nordstrom Rack controlled-access model, goZaika is a brand-safe customer-acquisition channel for premium restaurants and a discovery-and-adventure layer for diners — with a CRM and conversion-data flywheel underneath.</w:t>
      </w:r>
    </w:p>
    <w:p>
      <w:pPr>
        <w:spacing w:after="120" w:before="0" w:line="276"/>
      </w:pPr>
      <w:r>
        <w:rPr>
          <w:color w:val="2D2D2D"/>
          <w:sz w:val="21"/>
          <w:szCs w:val="21"/>
        </w:rPr>
        <w:t xml:space="preserve">The defining idea of v4 is that these are two different promises to two different audiences, and that is a feature, not a contradiction. The restaurant buys new customers and a showcase for their kitchen. The diner buys curiosity, surprise, and access to food that usually feels out of reach. goZaika is the bridge between budget and premium — and the data infrastructure behind it.</w:t>
      </w:r>
    </w:p>
    <w:p>
      <w:pPr>
        <w:pStyle w:val="Heading2"/>
        <w:spacing w:after="120" w:before="260"/>
      </w:pPr>
      <w:r>
        <w:t xml:space="preserve">1.2 The Core Strategic Shift: Stop Looking for One Position</w:t>
      </w:r>
    </w:p>
    <w:p>
      <w:pPr>
        <w:spacing w:after="120" w:before="0" w:line="276"/>
      </w:pPr>
      <w:r>
        <w:rPr>
          <w:color w:val="2D2D2D"/>
          <w:sz w:val="21"/>
          <w:szCs w:val="21"/>
        </w:rPr>
        <w:t xml:space="preserve">The biggest friction risk is that consumers read goZaika as a surplus / leftover service no matter how we brand it. The resolution is not a cleverer single tagline. Two-sided marketplaces almost never use the same value proposition on both sides. Our surplus anxiety is really two separate problems with two separate fixes: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500"/>
        <w:gridCol w:w="3930"/>
        <w:gridCol w:w="3930"/>
      </w:tblGrid>
      <w:tr>
        <w:trPr>
          <w:tblHeader/>
        </w:trPr>
        <w:tc>
          <w:tcPr>
            <w:tcW w:type="dxa" w:w="150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Side</w:t>
            </w:r>
          </w:p>
        </w:tc>
        <w:tc>
          <w:tcPr>
            <w:tcW w:type="dxa" w:w="393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What we sell them</w:t>
            </w:r>
          </w:p>
        </w:tc>
        <w:tc>
          <w:tcPr>
            <w:tcW w:type="dxa" w:w="393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Why it works</w:t>
            </w:r>
          </w:p>
        </w:tc>
      </w:tr>
      <w:tr>
        <w:tc>
          <w:tcPr>
            <w:tcW w:type="dxa" w:w="1500"/>
            <w:shd w:fill="F5F5F5" w:color="auto" w:val="clear"/>
            <w:tcMar>
              <w:top w:type="dxa" w:w="60"/>
              <w:left w:type="dxa" w:w="110"/>
              <w:bottom w:type="dxa" w:w="60"/>
              <w:right w:type="dxa" w:w="110"/>
            </w:tcMar>
            <w:vAlign w:val="center"/>
          </w:tcPr>
          <w:p>
            <w:pPr>
              <w:spacing w:after="0" w:line="250"/>
            </w:pPr>
            <w:r>
              <w:rPr>
                <w:color w:val="2D2D2D"/>
                <w:sz w:val="19"/>
                <w:szCs w:val="19"/>
              </w:rPr>
              <w:t xml:space="preserve">To restaurants (B2B)</w:t>
            </w:r>
          </w:p>
        </w:tc>
        <w:tc>
          <w:tcPr>
            <w:tcW w:type="dxa" w:w="3930"/>
            <w:shd w:fill="F5F5F5" w:color="auto" w:val="clear"/>
            <w:tcMar>
              <w:top w:type="dxa" w:w="60"/>
              <w:left w:type="dxa" w:w="110"/>
              <w:bottom w:type="dxa" w:w="60"/>
              <w:right w:type="dxa" w:w="110"/>
            </w:tcMar>
            <w:vAlign w:val="center"/>
          </w:tcPr>
          <w:p>
            <w:pPr>
              <w:spacing w:after="0" w:line="250"/>
            </w:pPr>
            <w:r>
              <w:rPr>
                <w:color w:val="2D2D2D"/>
                <w:sz w:val="19"/>
                <w:szCs w:val="19"/>
              </w:rPr>
              <w:t xml:space="preserve">“Showcase your kitchen to discerning new customers.” A customer-acquisition channel — offensive, high-status, maps to a marketing / CAC budget line.</w:t>
            </w:r>
          </w:p>
        </w:tc>
        <w:tc>
          <w:tcPr>
            <w:tcW w:type="dxa" w:w="3930"/>
            <w:shd w:fill="F5F5F5" w:color="auto" w:val="clear"/>
            <w:tcMar>
              <w:top w:type="dxa" w:w="60"/>
              <w:left w:type="dxa" w:w="110"/>
              <w:bottom w:type="dxa" w:w="60"/>
              <w:right w:type="dxa" w:w="110"/>
            </w:tcMar>
            <w:vAlign w:val="center"/>
          </w:tcPr>
          <w:p>
            <w:pPr>
              <w:spacing w:after="0" w:line="250"/>
            </w:pPr>
            <w:r>
              <w:rPr>
                <w:color w:val="2D2D2D"/>
                <w:sz w:val="19"/>
                <w:szCs w:val="19"/>
              </w:rPr>
              <w:t xml:space="preserve">Restaurants want to spend on winning customers, not on hiding waste. A CAC fee feels normal; a 15% “revenue share” feels greedy. This reframe is free and strictly better.</w:t>
            </w:r>
          </w:p>
        </w:tc>
      </w:tr>
      <w:tr>
        <w:tc>
          <w:tcPr>
            <w:tcW w:type="dxa" w:w="1500"/>
            <w:shd w:fill="FFFFFF" w:color="auto" w:val="clear"/>
            <w:tcMar>
              <w:top w:type="dxa" w:w="60"/>
              <w:left w:type="dxa" w:w="110"/>
              <w:bottom w:type="dxa" w:w="60"/>
              <w:right w:type="dxa" w:w="110"/>
            </w:tcMar>
            <w:vAlign w:val="center"/>
          </w:tcPr>
          <w:p>
            <w:pPr>
              <w:spacing w:after="0" w:line="250"/>
            </w:pPr>
            <w:r>
              <w:rPr>
                <w:color w:val="2D2D2D"/>
                <w:sz w:val="19"/>
                <w:szCs w:val="19"/>
              </w:rPr>
              <w:t xml:space="preserve">To consumers (B2C)</w:t>
            </w:r>
          </w:p>
        </w:tc>
        <w:tc>
          <w:tcPr>
            <w:tcW w:type="dxa" w:w="3930"/>
            <w:shd w:fill="FFFFFF" w:color="auto" w:val="clear"/>
            <w:tcMar>
              <w:top w:type="dxa" w:w="60"/>
              <w:left w:type="dxa" w:w="110"/>
              <w:bottom w:type="dxa" w:w="60"/>
              <w:right w:type="dxa" w:w="110"/>
            </w:tcMar>
            <w:vAlign w:val="center"/>
          </w:tcPr>
          <w:p>
            <w:pPr>
              <w:spacing w:after="0" w:line="250"/>
            </w:pPr>
            <w:r>
              <w:rPr>
                <w:color w:val="2D2D2D"/>
                <w:sz w:val="19"/>
                <w:szCs w:val="19"/>
              </w:rPr>
              <w:t xml:space="preserve">“Discover off-menu Chef’s Selections.” A discovery / adventure experience — curiosity, surprise, access. The word “sample” is never used.</w:t>
            </w:r>
          </w:p>
        </w:tc>
        <w:tc>
          <w:tcPr>
            <w:tcW w:type="dxa" w:w="3930"/>
            <w:shd w:fill="FFFFFF" w:color="auto" w:val="clear"/>
            <w:tcMar>
              <w:top w:type="dxa" w:w="60"/>
              <w:left w:type="dxa" w:w="110"/>
              <w:bottom w:type="dxa" w:w="60"/>
              <w:right w:type="dxa" w:w="110"/>
            </w:tcMar>
            <w:vAlign w:val="center"/>
          </w:tcPr>
          <w:p>
            <w:pPr>
              <w:spacing w:after="0" w:line="250"/>
            </w:pPr>
            <w:r>
              <w:rPr>
                <w:color w:val="2D2D2D"/>
                <w:sz w:val="19"/>
                <w:szCs w:val="19"/>
              </w:rPr>
              <w:t xml:space="preserve">Nobody wants a “sample.” Sampling centres the restaurant’s funnel goal, not the diner’s desire. Discovery centres something the customer actually wants.</w:t>
            </w:r>
          </w:p>
        </w:tc>
      </w:tr>
    </w:tbl>
    <w:p>
      <w:pPr>
        <w:spacing w:after="40"/>
      </w:pPr>
      <w:r>
        <w:t xml:space="preserve"/>
      </w:r>
    </w:p>
    <w:tbl>
      <w:tblPr>
        <w:tblW w:type="dxa" w:w="9360"/>
        <w:tblBorders>
          <w:top w:val="single" w:color="1A5C38" w:sz="1"/>
          <w:left w:val="single" w:color="1A5C38" w:sz="18"/>
          <w:bottom w:val="single" w:color="1A5C38" w:sz="1"/>
          <w:right w:val="single" w:color="1A5C38" w:sz="1"/>
          <w:insideH w:val="single" w:color="auto" w:sz="4"/>
          <w:insideV w:val="single" w:color="auto" w:sz="4"/>
        </w:tblBorders>
      </w:tblPr>
      <w:tblGrid>
        <w:gridCol w:w="9360"/>
      </w:tblGrid>
      <w:tr>
        <w:tc>
          <w:tcPr>
            <w:tcW w:type="dxa" w:w="9360"/>
            <w:shd w:fill="EAF3DE" w:color="auto" w:val="clear"/>
            <w:tcMar>
              <w:top w:type="dxa" w:w="120"/>
              <w:left w:type="dxa" w:w="180"/>
              <w:bottom w:type="dxa" w:w="120"/>
              <w:right w:type="dxa" w:w="160"/>
            </w:tcMar>
          </w:tcPr>
          <w:p>
            <w:pPr>
              <w:spacing w:after="80"/>
            </w:pPr>
            <w:r>
              <w:rPr>
                <w:b/>
                <w:bCs/>
                <w:color w:val="1A5C38"/>
                <w:sz w:val="21"/>
                <w:szCs w:val="21"/>
              </w:rPr>
              <w:t xml:space="preserve">Operating rule</w:t>
            </w:r>
          </w:p>
          <w:p>
            <w:pPr>
              <w:spacing w:after="0" w:line="264"/>
            </w:pPr>
            <w:r>
              <w:rPr>
                <w:color w:val="2D2D2D"/>
                <w:sz w:val="20"/>
                <w:szCs w:val="20"/>
              </w:rPr>
              <w:t xml:space="preserve">The two pitches must not leak into each other. Restaurant-facing decks, emails and the for-restaurants page lean fully into acquisition and showcase. Consumer-facing copy stays in discovery and adventure. “Sample / sampling” is a banned word on the consumer surface (see Part VI).</w:t>
            </w:r>
          </w:p>
        </w:tc>
      </w:tr>
    </w:tbl>
    <w:p>
      <w:pPr>
        <w:pStyle w:val="Heading2"/>
        <w:spacing w:after="120" w:before="260"/>
      </w:pPr>
      <w:r>
        <w:t xml:space="preserve">1.3 The Surplus → Tasting Spectrum</w:t>
      </w:r>
    </w:p>
    <w:p>
      <w:pPr>
        <w:spacing w:after="120" w:before="0" w:line="276"/>
      </w:pPr>
      <w:r>
        <w:rPr>
          <w:color w:val="2D2D2D"/>
          <w:sz w:val="21"/>
          <w:szCs w:val="21"/>
        </w:rPr>
        <w:t xml:space="preserve">There is a spectrum from “surplus clearance” to “intentional tasting menu.” Four levers move together along it. You cannot buy premium customer-perception while keeping pure-surplus economics — pick consciously how far right to sit, and accept the trade.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900"/>
        <w:gridCol w:w="3730"/>
        <w:gridCol w:w="3730"/>
      </w:tblGrid>
      <w:tr>
        <w:trPr>
          <w:tblHeader/>
        </w:trPr>
        <w:tc>
          <w:tcPr>
            <w:tcW w:type="dxa" w:w="190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Lever</w:t>
            </w:r>
          </w:p>
        </w:tc>
        <w:tc>
          <w:tcPr>
            <w:tcW w:type="dxa" w:w="373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Pure surplus (left)</w:t>
            </w:r>
          </w:p>
        </w:tc>
        <w:tc>
          <w:tcPr>
            <w:tcW w:type="dxa" w:w="373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Intentional tasting (right)</w:t>
            </w:r>
          </w:p>
        </w:tc>
      </w:tr>
      <w:tr>
        <w:tc>
          <w:tcPr>
            <w:tcW w:type="dxa" w:w="1900"/>
            <w:shd w:fill="F5F5F5" w:color="auto" w:val="clear"/>
            <w:tcMar>
              <w:top w:type="dxa" w:w="60"/>
              <w:left w:type="dxa" w:w="110"/>
              <w:bottom w:type="dxa" w:w="60"/>
              <w:right w:type="dxa" w:w="110"/>
            </w:tcMar>
            <w:vAlign w:val="center"/>
          </w:tcPr>
          <w:p>
            <w:pPr>
              <w:spacing w:after="0" w:line="250"/>
            </w:pPr>
            <w:r>
              <w:rPr>
                <w:color w:val="2D2D2D"/>
                <w:sz w:val="19"/>
                <w:szCs w:val="19"/>
              </w:rPr>
              <w:t xml:space="preserve">Price</w:t>
            </w:r>
          </w:p>
        </w:tc>
        <w:tc>
          <w:tcPr>
            <w:tcW w:type="dxa" w:w="3730"/>
            <w:shd w:fill="F5F5F5" w:color="auto" w:val="clear"/>
            <w:tcMar>
              <w:top w:type="dxa" w:w="60"/>
              <w:left w:type="dxa" w:w="110"/>
              <w:bottom w:type="dxa" w:w="60"/>
              <w:right w:type="dxa" w:w="110"/>
            </w:tcMar>
            <w:vAlign w:val="center"/>
          </w:tcPr>
          <w:p>
            <w:pPr>
              <w:spacing w:after="0" w:line="250"/>
            </w:pPr>
            <w:r>
              <w:rPr>
                <w:color w:val="2D2D2D"/>
                <w:sz w:val="19"/>
                <w:szCs w:val="19"/>
              </w:rPr>
              <w:t xml:space="preserve">Discounted; price-led; trains “wait for cheap”</w:t>
            </w:r>
          </w:p>
        </w:tc>
        <w:tc>
          <w:tcPr>
            <w:tcW w:type="dxa" w:w="3730"/>
            <w:shd w:fill="F5F5F5" w:color="auto" w:val="clear"/>
            <w:tcMar>
              <w:top w:type="dxa" w:w="60"/>
              <w:left w:type="dxa" w:w="110"/>
              <w:bottom w:type="dxa" w:w="60"/>
              <w:right w:type="dxa" w:w="110"/>
            </w:tcMar>
            <w:vAlign w:val="center"/>
          </w:tcPr>
          <w:p>
            <w:pPr>
              <w:spacing w:after="0" w:line="250"/>
            </w:pPr>
            <w:r>
              <w:rPr>
                <w:color w:val="2D2D2D"/>
                <w:sz w:val="19"/>
                <w:szCs w:val="19"/>
              </w:rPr>
              <w:t xml:space="preserve">Priced as a quality signal; a gate for the right customer</w:t>
            </w:r>
          </w:p>
        </w:tc>
      </w:tr>
      <w:tr>
        <w:tc>
          <w:tcPr>
            <w:tcW w:type="dxa" w:w="1900"/>
            <w:shd w:fill="FFFFFF" w:color="auto" w:val="clear"/>
            <w:tcMar>
              <w:top w:type="dxa" w:w="60"/>
              <w:left w:type="dxa" w:w="110"/>
              <w:bottom w:type="dxa" w:w="60"/>
              <w:right w:type="dxa" w:w="110"/>
            </w:tcMar>
            <w:vAlign w:val="center"/>
          </w:tcPr>
          <w:p>
            <w:pPr>
              <w:spacing w:after="0" w:line="250"/>
            </w:pPr>
            <w:r>
              <w:rPr>
                <w:color w:val="2D2D2D"/>
                <w:sz w:val="19"/>
                <w:szCs w:val="19"/>
              </w:rPr>
              <w:t xml:space="preserve">Curation</w:t>
            </w:r>
          </w:p>
        </w:tc>
        <w:tc>
          <w:tcPr>
            <w:tcW w:type="dxa" w:w="3730"/>
            <w:shd w:fill="FFFFFF" w:color="auto" w:val="clear"/>
            <w:tcMar>
              <w:top w:type="dxa" w:w="60"/>
              <w:left w:type="dxa" w:w="110"/>
              <w:bottom w:type="dxa" w:w="60"/>
              <w:right w:type="dxa" w:w="110"/>
            </w:tcMar>
            <w:vAlign w:val="center"/>
          </w:tcPr>
          <w:p>
            <w:pPr>
              <w:spacing w:after="0" w:line="250"/>
            </w:pPr>
            <w:r>
              <w:rPr>
                <w:color w:val="2D2D2D"/>
                <w:sz w:val="19"/>
                <w:szCs w:val="19"/>
              </w:rPr>
              <w:t xml:space="preserve">Whatever’s left at 9pm; random</w:t>
            </w:r>
          </w:p>
        </w:tc>
        <w:tc>
          <w:tcPr>
            <w:tcW w:type="dxa" w:w="3730"/>
            <w:shd w:fill="FFFFFF" w:color="auto" w:val="clear"/>
            <w:tcMar>
              <w:top w:type="dxa" w:w="60"/>
              <w:left w:type="dxa" w:w="110"/>
              <w:bottom w:type="dxa" w:w="60"/>
              <w:right w:type="dxa" w:w="110"/>
            </w:tcMar>
            <w:vAlign w:val="center"/>
          </w:tcPr>
          <w:p>
            <w:pPr>
              <w:spacing w:after="0" w:line="250"/>
            </w:pPr>
            <w:r>
              <w:rPr>
                <w:color w:val="2D2D2D"/>
                <w:sz w:val="19"/>
                <w:szCs w:val="19"/>
              </w:rPr>
              <w:t xml:space="preserve">Deliberately assembled to represent the kitchen</w:t>
            </w:r>
          </w:p>
        </w:tc>
      </w:tr>
      <w:tr>
        <w:tc>
          <w:tcPr>
            <w:tcW w:type="dxa" w:w="1900"/>
            <w:shd w:fill="F5F5F5" w:color="auto" w:val="clear"/>
            <w:tcMar>
              <w:top w:type="dxa" w:w="60"/>
              <w:left w:type="dxa" w:w="110"/>
              <w:bottom w:type="dxa" w:w="60"/>
              <w:right w:type="dxa" w:w="110"/>
            </w:tcMar>
            <w:vAlign w:val="center"/>
          </w:tcPr>
          <w:p>
            <w:pPr>
              <w:spacing w:after="0" w:line="250"/>
            </w:pPr>
            <w:r>
              <w:rPr>
                <w:color w:val="2D2D2D"/>
                <w:sz w:val="19"/>
                <w:szCs w:val="19"/>
              </w:rPr>
              <w:t xml:space="preserve">Choice</w:t>
            </w:r>
          </w:p>
        </w:tc>
        <w:tc>
          <w:tcPr>
            <w:tcW w:type="dxa" w:w="3730"/>
            <w:shd w:fill="F5F5F5" w:color="auto" w:val="clear"/>
            <w:tcMar>
              <w:top w:type="dxa" w:w="60"/>
              <w:left w:type="dxa" w:w="110"/>
              <w:bottom w:type="dxa" w:w="60"/>
              <w:right w:type="dxa" w:w="110"/>
            </w:tcMar>
            <w:vAlign w:val="center"/>
          </w:tcPr>
          <w:p>
            <w:pPr>
              <w:spacing w:after="0" w:line="250"/>
            </w:pPr>
            <w:r>
              <w:rPr>
                <w:color w:val="2D2D2D"/>
                <w:sz w:val="19"/>
                <w:szCs w:val="19"/>
              </w:rPr>
              <w:t xml:space="preserve">No choice; grab bag</w:t>
            </w:r>
          </w:p>
        </w:tc>
        <w:tc>
          <w:tcPr>
            <w:tcW w:type="dxa" w:w="3730"/>
            <w:shd w:fill="F5F5F5" w:color="auto" w:val="clear"/>
            <w:tcMar>
              <w:top w:type="dxa" w:w="60"/>
              <w:left w:type="dxa" w:w="110"/>
              <w:bottom w:type="dxa" w:w="60"/>
              <w:right w:type="dxa" w:w="110"/>
            </w:tcMar>
            <w:vAlign w:val="center"/>
          </w:tcPr>
          <w:p>
            <w:pPr>
              <w:spacing w:after="0" w:line="250"/>
            </w:pPr>
            <w:r>
              <w:rPr>
                <w:color w:val="2D2D2D"/>
                <w:sz w:val="19"/>
                <w:szCs w:val="19"/>
              </w:rPr>
              <w:t xml:space="preserve">Some choice; dietary / cuisine / spice filters</w:t>
            </w:r>
          </w:p>
        </w:tc>
      </w:tr>
      <w:tr>
        <w:tc>
          <w:tcPr>
            <w:tcW w:type="dxa" w:w="1900"/>
            <w:shd w:fill="FFFFFF" w:color="auto" w:val="clear"/>
            <w:tcMar>
              <w:top w:type="dxa" w:w="60"/>
              <w:left w:type="dxa" w:w="110"/>
              <w:bottom w:type="dxa" w:w="60"/>
              <w:right w:type="dxa" w:w="110"/>
            </w:tcMar>
            <w:vAlign w:val="center"/>
          </w:tcPr>
          <w:p>
            <w:pPr>
              <w:spacing w:after="0" w:line="250"/>
            </w:pPr>
            <w:r>
              <w:rPr>
                <w:color w:val="2D2D2D"/>
                <w:sz w:val="19"/>
                <w:szCs w:val="19"/>
              </w:rPr>
              <w:t xml:space="preserve">Timing</w:t>
            </w:r>
          </w:p>
        </w:tc>
        <w:tc>
          <w:tcPr>
            <w:tcW w:type="dxa" w:w="3730"/>
            <w:shd w:fill="FFFFFF" w:color="auto" w:val="clear"/>
            <w:tcMar>
              <w:top w:type="dxa" w:w="60"/>
              <w:left w:type="dxa" w:w="110"/>
              <w:bottom w:type="dxa" w:w="60"/>
              <w:right w:type="dxa" w:w="110"/>
            </w:tcMar>
            <w:vAlign w:val="center"/>
          </w:tcPr>
          <w:p>
            <w:pPr>
              <w:spacing w:after="0" w:line="250"/>
            </w:pPr>
            <w:r>
              <w:rPr>
                <w:color w:val="2D2D2D"/>
                <w:sz w:val="19"/>
                <w:szCs w:val="19"/>
              </w:rPr>
              <w:t xml:space="preserve">End-of-service only</w:t>
            </w:r>
          </w:p>
        </w:tc>
        <w:tc>
          <w:tcPr>
            <w:tcW w:type="dxa" w:w="3730"/>
            <w:shd w:fill="FFFFFF" w:color="auto" w:val="clear"/>
            <w:tcMar>
              <w:top w:type="dxa" w:w="60"/>
              <w:left w:type="dxa" w:w="110"/>
              <w:bottom w:type="dxa" w:w="60"/>
              <w:right w:type="dxa" w:w="110"/>
            </w:tcMar>
            <w:vAlign w:val="center"/>
          </w:tcPr>
          <w:p>
            <w:pPr>
              <w:spacing w:after="0" w:line="250"/>
            </w:pPr>
            <w:r>
              <w:rPr>
                <w:color w:val="2D2D2D"/>
                <w:sz w:val="19"/>
                <w:szCs w:val="19"/>
              </w:rPr>
              <w:t xml:space="preserve">Decoupled from closing; planned drop windows</w:t>
            </w:r>
          </w:p>
        </w:tc>
      </w:tr>
    </w:tbl>
    <w:p>
      <w:pPr>
        <w:spacing w:after="40"/>
      </w:pPr>
      <w:r>
        <w:t xml:space="preserve"/>
      </w:r>
    </w:p>
    <w:tbl>
      <w:tblPr>
        <w:tblW w:type="dxa" w:w="9360"/>
        <w:tblBorders>
          <w:top w:val="single" w:color="D4A017" w:sz="1"/>
          <w:left w:val="single" w:color="D4A017" w:sz="18"/>
          <w:bottom w:val="single" w:color="D4A017" w:sz="1"/>
          <w:right w:val="single" w:color="D4A017" w:sz="1"/>
          <w:insideH w:val="single" w:color="auto" w:sz="4"/>
          <w:insideV w:val="single" w:color="auto" w:sz="4"/>
        </w:tblBorders>
      </w:tblPr>
      <w:tblGrid>
        <w:gridCol w:w="9360"/>
      </w:tblGrid>
      <w:tr>
        <w:tc>
          <w:tcPr>
            <w:tcW w:type="dxa" w:w="9360"/>
            <w:shd w:fill="FBF3DD" w:color="auto" w:val="clear"/>
            <w:tcMar>
              <w:top w:type="dxa" w:w="120"/>
              <w:left w:type="dxa" w:w="180"/>
              <w:bottom w:type="dxa" w:w="120"/>
              <w:right w:type="dxa" w:w="160"/>
            </w:tcMar>
          </w:tcPr>
          <w:p>
            <w:pPr>
              <w:spacing w:after="80"/>
            </w:pPr>
            <w:r>
              <w:rPr>
                <w:b/>
                <w:bCs/>
                <w:color w:val="D4A017"/>
                <w:sz w:val="21"/>
                <w:szCs w:val="21"/>
              </w:rPr>
              <w:t xml:space="preserve">v4 decision</w:t>
            </w:r>
          </w:p>
          <w:p>
            <w:pPr>
              <w:spacing w:after="0" w:line="264"/>
            </w:pPr>
            <w:r>
              <w:rPr>
                <w:color w:val="2D2D2D"/>
                <w:sz w:val="20"/>
                <w:szCs w:val="20"/>
              </w:rPr>
              <w:t xml:space="preserve">goZaika sits deliberately right-of-centre — closer to “Chef’s Selection / intentional drop” than to “clearance.” This is also the safer position in India, where “leftover / surplus” carries a heavier hygiene stigma than in Europe. We accept that this costs us some of the pure free-inventory economics; the Hybrid Supply Model (Part IX) is how we keep listing density without sliding back to the left.</w:t>
            </w:r>
          </w:p>
        </w:tc>
      </w:tr>
    </w:tbl>
    <w:p>
      <w:pPr>
        <w:pStyle w:val="Heading2"/>
        <w:spacing w:after="120" w:before="260"/>
      </w:pPr>
      <w:r>
        <w:t xml:space="preserve">1.4 What goZaika Is — and Is Not</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4680"/>
        <w:gridCol w:w="4680"/>
      </w:tblGrid>
      <w:tr>
        <w:trPr>
          <w:tblHeader/>
        </w:trPr>
        <w:tc>
          <w:tcPr>
            <w:tcW w:type="dxa" w:w="468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What goZaika IS</w:t>
            </w:r>
          </w:p>
        </w:tc>
        <w:tc>
          <w:tcPr>
            <w:tcW w:type="dxa" w:w="468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What goZaika is NOT</w:t>
            </w:r>
          </w:p>
        </w:tc>
      </w:tr>
      <w:tr>
        <w:tc>
          <w:tcPr>
            <w:tcW w:type="dxa" w:w="4680"/>
            <w:shd w:fill="F5F5F5" w:color="auto" w:val="clear"/>
            <w:tcMar>
              <w:top w:type="dxa" w:w="60"/>
              <w:left w:type="dxa" w:w="110"/>
              <w:bottom w:type="dxa" w:w="60"/>
              <w:right w:type="dxa" w:w="110"/>
            </w:tcMar>
            <w:vAlign w:val="center"/>
          </w:tcPr>
          <w:p>
            <w:pPr>
              <w:spacing w:after="0" w:line="250"/>
            </w:pPr>
            <w:r>
              <w:rPr>
                <w:color w:val="2D2D2D"/>
                <w:sz w:val="19"/>
                <w:szCs w:val="19"/>
              </w:rPr>
              <w:t xml:space="preserve">A brand-safe customer-acquisition channel for premium restaurants</w:t>
            </w:r>
          </w:p>
        </w:tc>
        <w:tc>
          <w:tcPr>
            <w:tcW w:type="dxa" w:w="4680"/>
            <w:shd w:fill="F5F5F5" w:color="auto" w:val="clear"/>
            <w:tcMar>
              <w:top w:type="dxa" w:w="60"/>
              <w:left w:type="dxa" w:w="110"/>
              <w:bottom w:type="dxa" w:w="60"/>
              <w:right w:type="dxa" w:w="110"/>
            </w:tcMar>
            <w:vAlign w:val="center"/>
          </w:tcPr>
          <w:p>
            <w:pPr>
              <w:spacing w:after="0" w:line="250"/>
            </w:pPr>
            <w:r>
              <w:rPr>
                <w:color w:val="2D2D2D"/>
                <w:sz w:val="19"/>
                <w:szCs w:val="19"/>
              </w:rPr>
              <w:t xml:space="preserve">A discount or coupon platform that trains price sensitivity</w:t>
            </w:r>
          </w:p>
        </w:tc>
      </w:tr>
      <w:tr>
        <w:tc>
          <w:tcPr>
            <w:tcW w:type="dxa" w:w="4680"/>
            <w:shd w:fill="FFFFFF" w:color="auto" w:val="clear"/>
            <w:tcMar>
              <w:top w:type="dxa" w:w="60"/>
              <w:left w:type="dxa" w:w="110"/>
              <w:bottom w:type="dxa" w:w="60"/>
              <w:right w:type="dxa" w:w="110"/>
            </w:tcMar>
            <w:vAlign w:val="center"/>
          </w:tcPr>
          <w:p>
            <w:pPr>
              <w:spacing w:after="0" w:line="250"/>
            </w:pPr>
            <w:r>
              <w:rPr>
                <w:color w:val="2D2D2D"/>
                <w:sz w:val="19"/>
                <w:szCs w:val="19"/>
              </w:rPr>
              <w:t xml:space="preserve">A limited, curated surprise drop — Chef’s Selection</w:t>
            </w:r>
          </w:p>
        </w:tc>
        <w:tc>
          <w:tcPr>
            <w:tcW w:type="dxa" w:w="4680"/>
            <w:shd w:fill="FFFFFF" w:color="auto" w:val="clear"/>
            <w:tcMar>
              <w:top w:type="dxa" w:w="60"/>
              <w:left w:type="dxa" w:w="110"/>
              <w:bottom w:type="dxa" w:w="60"/>
              <w:right w:type="dxa" w:w="110"/>
            </w:tcMar>
            <w:vAlign w:val="center"/>
          </w:tcPr>
          <w:p>
            <w:pPr>
              <w:spacing w:after="0" w:line="250"/>
            </w:pPr>
            <w:r>
              <w:rPr>
                <w:color w:val="2D2D2D"/>
                <w:sz w:val="19"/>
                <w:szCs w:val="19"/>
              </w:rPr>
              <w:t xml:space="preserve">A “leftover food” or “food rescue” marketplace</w:t>
            </w:r>
          </w:p>
        </w:tc>
      </w:tr>
      <w:tr>
        <w:tc>
          <w:tcPr>
            <w:tcW w:type="dxa" w:w="4680"/>
            <w:shd w:fill="F5F5F5" w:color="auto" w:val="clear"/>
            <w:tcMar>
              <w:top w:type="dxa" w:w="60"/>
              <w:left w:type="dxa" w:w="110"/>
              <w:bottom w:type="dxa" w:w="60"/>
              <w:right w:type="dxa" w:w="110"/>
            </w:tcMar>
            <w:vAlign w:val="center"/>
          </w:tcPr>
          <w:p>
            <w:pPr>
              <w:spacing w:after="0" w:line="250"/>
            </w:pPr>
            <w:r>
              <w:rPr>
                <w:color w:val="2D2D2D"/>
                <w:sz w:val="19"/>
                <w:szCs w:val="19"/>
              </w:rPr>
              <w:t xml:space="preserve">A premium discovery vehicle for aspiring middle-class consumers</w:t>
            </w:r>
          </w:p>
        </w:tc>
        <w:tc>
          <w:tcPr>
            <w:tcW w:type="dxa" w:w="4680"/>
            <w:shd w:fill="F5F5F5" w:color="auto" w:val="clear"/>
            <w:tcMar>
              <w:top w:type="dxa" w:w="60"/>
              <w:left w:type="dxa" w:w="110"/>
              <w:bottom w:type="dxa" w:w="60"/>
              <w:right w:type="dxa" w:w="110"/>
            </w:tcMar>
            <w:vAlign w:val="center"/>
          </w:tcPr>
          <w:p>
            <w:pPr>
              <w:spacing w:after="0" w:line="250"/>
            </w:pPr>
            <w:r>
              <w:rPr>
                <w:color w:val="2D2D2D"/>
                <w:sz w:val="19"/>
                <w:szCs w:val="19"/>
              </w:rPr>
              <w:t xml:space="preserve">A budget food app competing head-on with Swiggy or Zomato</w:t>
            </w:r>
          </w:p>
        </w:tc>
      </w:tr>
      <w:tr>
        <w:tc>
          <w:tcPr>
            <w:tcW w:type="dxa" w:w="4680"/>
            <w:shd w:fill="FFFFFF" w:color="auto" w:val="clear"/>
            <w:tcMar>
              <w:top w:type="dxa" w:w="60"/>
              <w:left w:type="dxa" w:w="110"/>
              <w:bottom w:type="dxa" w:w="60"/>
              <w:right w:type="dxa" w:w="110"/>
            </w:tcMar>
            <w:vAlign w:val="center"/>
          </w:tcPr>
          <w:p>
            <w:pPr>
              <w:spacing w:after="0" w:line="250"/>
            </w:pPr>
            <w:r>
              <w:rPr>
                <w:color w:val="2D2D2D"/>
                <w:sz w:val="19"/>
                <w:szCs w:val="19"/>
              </w:rPr>
              <w:t xml:space="preserve">A CRM and conversion-data platform for restaurant partners</w:t>
            </w:r>
          </w:p>
        </w:tc>
        <w:tc>
          <w:tcPr>
            <w:tcW w:type="dxa" w:w="4680"/>
            <w:shd w:fill="FFFFFF" w:color="auto" w:val="clear"/>
            <w:tcMar>
              <w:top w:type="dxa" w:w="60"/>
              <w:left w:type="dxa" w:w="110"/>
              <w:bottom w:type="dxa" w:w="60"/>
              <w:right w:type="dxa" w:w="110"/>
            </w:tcMar>
            <w:vAlign w:val="center"/>
          </w:tcPr>
          <w:p>
            <w:pPr>
              <w:spacing w:after="0" w:line="250"/>
            </w:pPr>
            <w:r>
              <w:rPr>
                <w:color w:val="2D2D2D"/>
                <w:sz w:val="19"/>
                <w:szCs w:val="19"/>
              </w:rPr>
              <w:t xml:space="preserve">A logistics or delivery business</w:t>
            </w:r>
          </w:p>
        </w:tc>
      </w:tr>
      <w:tr>
        <w:tc>
          <w:tcPr>
            <w:tcW w:type="dxa" w:w="4680"/>
            <w:shd w:fill="F5F5F5" w:color="auto" w:val="clear"/>
            <w:tcMar>
              <w:top w:type="dxa" w:w="60"/>
              <w:left w:type="dxa" w:w="110"/>
              <w:bottom w:type="dxa" w:w="60"/>
              <w:right w:type="dxa" w:w="110"/>
            </w:tcMar>
            <w:vAlign w:val="center"/>
          </w:tcPr>
          <w:p>
            <w:pPr>
              <w:spacing w:after="0" w:line="250"/>
            </w:pPr>
            <w:r>
              <w:rPr>
                <w:color w:val="2D2D2D"/>
                <w:sz w:val="19"/>
                <w:szCs w:val="19"/>
              </w:rPr>
              <w:t xml:space="preserve">A daily habit (“What dropped today?”)</w:t>
            </w:r>
          </w:p>
        </w:tc>
        <w:tc>
          <w:tcPr>
            <w:tcW w:type="dxa" w:w="4680"/>
            <w:shd w:fill="F5F5F5" w:color="auto" w:val="clear"/>
            <w:tcMar>
              <w:top w:type="dxa" w:w="60"/>
              <w:left w:type="dxa" w:w="110"/>
              <w:bottom w:type="dxa" w:w="60"/>
              <w:right w:type="dxa" w:w="110"/>
            </w:tcMar>
            <w:vAlign w:val="center"/>
          </w:tcPr>
          <w:p>
            <w:pPr>
              <w:spacing w:after="0" w:line="250"/>
            </w:pPr>
            <w:r>
              <w:rPr>
                <w:color w:val="2D2D2D"/>
                <w:sz w:val="19"/>
                <w:szCs w:val="19"/>
              </w:rPr>
              <w:t xml:space="preserve">A one-time transaction tool</w:t>
            </w:r>
          </w:p>
        </w:tc>
      </w:tr>
    </w:tbl>
    <w:p>
      <w:pPr>
        <w:pStyle w:val="Heading2"/>
        <w:spacing w:after="120" w:before="260"/>
      </w:pPr>
      <w:r>
        <w:t xml:space="preserve">1.5 Why Now: Market Forces in 2026</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400"/>
        <w:gridCol w:w="4360"/>
        <w:gridCol w:w="2600"/>
      </w:tblGrid>
      <w:tr>
        <w:trPr>
          <w:tblHeader/>
        </w:trPr>
        <w:tc>
          <w:tcPr>
            <w:tcW w:type="dxa" w:w="240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Signal</w:t>
            </w:r>
          </w:p>
        </w:tc>
        <w:tc>
          <w:tcPr>
            <w:tcW w:type="dxa" w:w="436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Market data</w:t>
            </w:r>
          </w:p>
        </w:tc>
        <w:tc>
          <w:tcPr>
            <w:tcW w:type="dxa" w:w="260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Implication</w:t>
            </w:r>
          </w:p>
        </w:tc>
      </w:tr>
      <w:tr>
        <w:tc>
          <w:tcPr>
            <w:tcW w:type="dxa" w:w="2400"/>
            <w:shd w:fill="F5F5F5" w:color="auto" w:val="clear"/>
            <w:tcMar>
              <w:top w:type="dxa" w:w="60"/>
              <w:left w:type="dxa" w:w="110"/>
              <w:bottom w:type="dxa" w:w="60"/>
              <w:right w:type="dxa" w:w="110"/>
            </w:tcMar>
            <w:vAlign w:val="center"/>
          </w:tcPr>
          <w:p>
            <w:pPr>
              <w:spacing w:after="0" w:line="250"/>
            </w:pPr>
            <w:r>
              <w:rPr>
                <w:color w:val="2D2D2D"/>
                <w:sz w:val="19"/>
                <w:szCs w:val="19"/>
              </w:rPr>
              <w:t xml:space="preserve">Premiumisation</w:t>
            </w:r>
          </w:p>
        </w:tc>
        <w:tc>
          <w:tcPr>
            <w:tcW w:type="dxa" w:w="4360"/>
            <w:shd w:fill="F5F5F5" w:color="auto" w:val="clear"/>
            <w:tcMar>
              <w:top w:type="dxa" w:w="60"/>
              <w:left w:type="dxa" w:w="110"/>
              <w:bottom w:type="dxa" w:w="60"/>
              <w:right w:type="dxa" w:w="110"/>
            </w:tcMar>
            <w:vAlign w:val="center"/>
          </w:tcPr>
          <w:p>
            <w:pPr>
              <w:spacing w:after="0" w:line="250"/>
            </w:pPr>
            <w:r>
              <w:rPr>
                <w:color w:val="2D2D2D"/>
                <w:sz w:val="19"/>
                <w:szCs w:val="19"/>
              </w:rPr>
              <w:t xml:space="preserve">Redseer (Oct 2025): AOV contribution to GOV growth rose from ~10% (FY23) to ~50% (FY26)</w:t>
            </w:r>
          </w:p>
        </w:tc>
        <w:tc>
          <w:tcPr>
            <w:tcW w:type="dxa" w:w="2600"/>
            <w:shd w:fill="F5F5F5" w:color="auto" w:val="clear"/>
            <w:tcMar>
              <w:top w:type="dxa" w:w="60"/>
              <w:left w:type="dxa" w:w="110"/>
              <w:bottom w:type="dxa" w:w="60"/>
              <w:right w:type="dxa" w:w="110"/>
            </w:tcMar>
            <w:vAlign w:val="center"/>
          </w:tcPr>
          <w:p>
            <w:pPr>
              <w:spacing w:after="0" w:line="250"/>
            </w:pPr>
            <w:r>
              <w:rPr>
                <w:color w:val="2D2D2D"/>
                <w:sz w:val="19"/>
                <w:szCs w:val="19"/>
              </w:rPr>
              <w:t xml:space="preserve">Premium-access positioning is on the right side of the trend</w:t>
            </w:r>
          </w:p>
        </w:tc>
      </w:tr>
      <w:tr>
        <w:tc>
          <w:tcPr>
            <w:tcW w:type="dxa" w:w="2400"/>
            <w:shd w:fill="FFFFFF" w:color="auto" w:val="clear"/>
            <w:tcMar>
              <w:top w:type="dxa" w:w="60"/>
              <w:left w:type="dxa" w:w="110"/>
              <w:bottom w:type="dxa" w:w="60"/>
              <w:right w:type="dxa" w:w="110"/>
            </w:tcMar>
            <w:vAlign w:val="center"/>
          </w:tcPr>
          <w:p>
            <w:pPr>
              <w:spacing w:after="0" w:line="250"/>
            </w:pPr>
            <w:r>
              <w:rPr>
                <w:color w:val="2D2D2D"/>
                <w:sz w:val="19"/>
                <w:szCs w:val="19"/>
              </w:rPr>
              <w:t xml:space="preserve">Commission pain</w:t>
            </w:r>
          </w:p>
        </w:tc>
        <w:tc>
          <w:tcPr>
            <w:tcW w:type="dxa" w:w="4360"/>
            <w:shd w:fill="FFFFFF" w:color="auto" w:val="clear"/>
            <w:tcMar>
              <w:top w:type="dxa" w:w="60"/>
              <w:left w:type="dxa" w:w="110"/>
              <w:bottom w:type="dxa" w:w="60"/>
              <w:right w:type="dxa" w:w="110"/>
            </w:tcMar>
            <w:vAlign w:val="center"/>
          </w:tcPr>
          <w:p>
            <w:pPr>
              <w:spacing w:after="0" w:line="250"/>
            </w:pPr>
            <w:r>
              <w:rPr>
                <w:color w:val="2D2D2D"/>
                <w:sz w:val="19"/>
                <w:szCs w:val="19"/>
              </w:rPr>
              <w:t xml:space="preserve">Reuters (Jun 2025): incumbent delivery commissions 16–30%; Rapido entering low-fixed-fee</w:t>
            </w:r>
          </w:p>
        </w:tc>
        <w:tc>
          <w:tcPr>
            <w:tcW w:type="dxa" w:w="2600"/>
            <w:shd w:fill="FFFFFF" w:color="auto" w:val="clear"/>
            <w:tcMar>
              <w:top w:type="dxa" w:w="60"/>
              <w:left w:type="dxa" w:w="110"/>
              <w:bottom w:type="dxa" w:w="60"/>
              <w:right w:type="dxa" w:w="110"/>
            </w:tcMar>
            <w:vAlign w:val="center"/>
          </w:tcPr>
          <w:p>
            <w:pPr>
              <w:spacing w:after="0" w:line="250"/>
            </w:pPr>
            <w:r>
              <w:rPr>
                <w:color w:val="2D2D2D"/>
                <w:sz w:val="19"/>
                <w:szCs w:val="19"/>
              </w:rPr>
              <w:t xml:space="preserve">15% + pickup-only is structurally better economics for restaurants</w:t>
            </w:r>
          </w:p>
        </w:tc>
      </w:tr>
      <w:tr>
        <w:tc>
          <w:tcPr>
            <w:tcW w:type="dxa" w:w="2400"/>
            <w:shd w:fill="F5F5F5" w:color="auto" w:val="clear"/>
            <w:tcMar>
              <w:top w:type="dxa" w:w="60"/>
              <w:left w:type="dxa" w:w="110"/>
              <w:bottom w:type="dxa" w:w="60"/>
              <w:right w:type="dxa" w:w="110"/>
            </w:tcMar>
            <w:vAlign w:val="center"/>
          </w:tcPr>
          <w:p>
            <w:pPr>
              <w:spacing w:after="0" w:line="250"/>
            </w:pPr>
            <w:r>
              <w:rPr>
                <w:color w:val="2D2D2D"/>
                <w:sz w:val="19"/>
                <w:szCs w:val="19"/>
              </w:rPr>
              <w:t xml:space="preserve">Dineout growth</w:t>
            </w:r>
          </w:p>
        </w:tc>
        <w:tc>
          <w:tcPr>
            <w:tcW w:type="dxa" w:w="4360"/>
            <w:shd w:fill="F5F5F5" w:color="auto" w:val="clear"/>
            <w:tcMar>
              <w:top w:type="dxa" w:w="60"/>
              <w:left w:type="dxa" w:w="110"/>
              <w:bottom w:type="dxa" w:w="60"/>
              <w:right w:type="dxa" w:w="110"/>
            </w:tcMar>
            <w:vAlign w:val="center"/>
          </w:tcPr>
          <w:p>
            <w:pPr>
              <w:spacing w:after="0" w:line="250"/>
            </w:pPr>
            <w:r>
              <w:rPr>
                <w:color w:val="2D2D2D"/>
                <w:sz w:val="19"/>
                <w:szCs w:val="19"/>
              </w:rPr>
              <w:t xml:space="preserve">Swiggy Q3 FY26: 48K+ active Dineout partners, +30% YoY, skewing premium</w:t>
            </w:r>
          </w:p>
        </w:tc>
        <w:tc>
          <w:tcPr>
            <w:tcW w:type="dxa" w:w="2600"/>
            <w:shd w:fill="F5F5F5" w:color="auto" w:val="clear"/>
            <w:tcMar>
              <w:top w:type="dxa" w:w="60"/>
              <w:left w:type="dxa" w:w="110"/>
              <w:bottom w:type="dxa" w:w="60"/>
              <w:right w:type="dxa" w:w="110"/>
            </w:tcMar>
            <w:vAlign w:val="center"/>
          </w:tcPr>
          <w:p>
            <w:pPr>
              <w:spacing w:after="0" w:line="250"/>
            </w:pPr>
            <w:r>
              <w:rPr>
                <w:color w:val="2D2D2D"/>
                <w:sz w:val="19"/>
                <w:szCs w:val="19"/>
              </w:rPr>
              <w:t xml:space="preserve">Restaurants already buy footfall — a known category, not an education sale</w:t>
            </w:r>
          </w:p>
        </w:tc>
      </w:tr>
      <w:tr>
        <w:tc>
          <w:tcPr>
            <w:tcW w:type="dxa" w:w="2400"/>
            <w:shd w:fill="FFFFFF" w:color="auto" w:val="clear"/>
            <w:tcMar>
              <w:top w:type="dxa" w:w="60"/>
              <w:left w:type="dxa" w:w="110"/>
              <w:bottom w:type="dxa" w:w="60"/>
              <w:right w:type="dxa" w:w="110"/>
            </w:tcMar>
            <w:vAlign w:val="center"/>
          </w:tcPr>
          <w:p>
            <w:pPr>
              <w:spacing w:after="0" w:line="250"/>
            </w:pPr>
            <w:r>
              <w:rPr>
                <w:color w:val="2D2D2D"/>
                <w:sz w:val="19"/>
                <w:szCs w:val="19"/>
              </w:rPr>
              <w:t xml:space="preserve">LPG cost crisis</w:t>
            </w:r>
          </w:p>
        </w:tc>
        <w:tc>
          <w:tcPr>
            <w:tcW w:type="dxa" w:w="4360"/>
            <w:shd w:fill="FFFFFF" w:color="auto" w:val="clear"/>
            <w:tcMar>
              <w:top w:type="dxa" w:w="60"/>
              <w:left w:type="dxa" w:w="110"/>
              <w:bottom w:type="dxa" w:w="60"/>
              <w:right w:type="dxa" w:w="110"/>
            </w:tcMar>
            <w:vAlign w:val="center"/>
          </w:tcPr>
          <w:p>
            <w:pPr>
              <w:spacing w:after="0" w:line="250"/>
            </w:pPr>
            <w:r>
              <w:rPr>
                <w:color w:val="2D2D2D"/>
                <w:sz w:val="19"/>
                <w:szCs w:val="19"/>
              </w:rPr>
              <w:t xml:space="preserve">Reuters (Mar–Apr 2026): commercial LPG disruption across foodservice</w:t>
            </w:r>
          </w:p>
        </w:tc>
        <w:tc>
          <w:tcPr>
            <w:tcW w:type="dxa" w:w="2600"/>
            <w:shd w:fill="FFFFFF" w:color="auto" w:val="clear"/>
            <w:tcMar>
              <w:top w:type="dxa" w:w="60"/>
              <w:left w:type="dxa" w:w="110"/>
              <w:bottom w:type="dxa" w:w="60"/>
              <w:right w:type="dxa" w:w="110"/>
            </w:tcMar>
            <w:vAlign w:val="center"/>
          </w:tcPr>
          <w:p>
            <w:pPr>
              <w:spacing w:after="0" w:line="250"/>
            </w:pPr>
            <w:r>
              <w:rPr>
                <w:color w:val="2D2D2D"/>
                <w:sz w:val="19"/>
                <w:szCs w:val="19"/>
              </w:rPr>
              <w:t xml:space="preserve">Inventory monetisation is more urgent — every dropped bag matters</w:t>
            </w:r>
          </w:p>
        </w:tc>
      </w:tr>
      <w:tr>
        <w:tc>
          <w:tcPr>
            <w:tcW w:type="dxa" w:w="2400"/>
            <w:shd w:fill="F5F5F5" w:color="auto" w:val="clear"/>
            <w:tcMar>
              <w:top w:type="dxa" w:w="60"/>
              <w:left w:type="dxa" w:w="110"/>
              <w:bottom w:type="dxa" w:w="60"/>
              <w:right w:type="dxa" w:w="110"/>
            </w:tcMar>
            <w:vAlign w:val="center"/>
          </w:tcPr>
          <w:p>
            <w:pPr>
              <w:spacing w:after="0" w:line="250"/>
            </w:pPr>
            <w:r>
              <w:rPr>
                <w:color w:val="2D2D2D"/>
                <w:sz w:val="19"/>
                <w:szCs w:val="19"/>
              </w:rPr>
              <w:t xml:space="preserve">UPI scale</w:t>
            </w:r>
          </w:p>
        </w:tc>
        <w:tc>
          <w:tcPr>
            <w:tcW w:type="dxa" w:w="4360"/>
            <w:shd w:fill="F5F5F5" w:color="auto" w:val="clear"/>
            <w:tcMar>
              <w:top w:type="dxa" w:w="60"/>
              <w:left w:type="dxa" w:w="110"/>
              <w:bottom w:type="dxa" w:w="60"/>
              <w:right w:type="dxa" w:w="110"/>
            </w:tcMar>
            <w:vAlign w:val="center"/>
          </w:tcPr>
          <w:p>
            <w:pPr>
              <w:spacing w:after="0" w:line="250"/>
            </w:pPr>
            <w:r>
              <w:rPr>
                <w:color w:val="2D2D2D"/>
                <w:sz w:val="19"/>
                <w:szCs w:val="19"/>
              </w:rPr>
              <w:t xml:space="preserve">NPCI (Feb 2026): 20.4B txns; ₹26.84L Cr monthly value</w:t>
            </w:r>
          </w:p>
        </w:tc>
        <w:tc>
          <w:tcPr>
            <w:tcW w:type="dxa" w:w="2600"/>
            <w:shd w:fill="F5F5F5" w:color="auto" w:val="clear"/>
            <w:tcMar>
              <w:top w:type="dxa" w:w="60"/>
              <w:left w:type="dxa" w:w="110"/>
              <w:bottom w:type="dxa" w:w="60"/>
              <w:right w:type="dxa" w:w="110"/>
            </w:tcMar>
            <w:vAlign w:val="center"/>
          </w:tcPr>
          <w:p>
            <w:pPr>
              <w:spacing w:after="0" w:line="250"/>
            </w:pPr>
            <w:r>
              <w:rPr>
                <w:color w:val="2D2D2D"/>
                <w:sz w:val="19"/>
                <w:szCs w:val="19"/>
              </w:rPr>
              <w:t xml:space="preserve">UPI-first prepaid pickup is native behaviour — zero payment friction</w:t>
            </w:r>
          </w:p>
        </w:tc>
      </w:tr>
      <w:tr>
        <w:tc>
          <w:tcPr>
            <w:tcW w:type="dxa" w:w="2400"/>
            <w:shd w:fill="FFFFFF" w:color="auto" w:val="clear"/>
            <w:tcMar>
              <w:top w:type="dxa" w:w="60"/>
              <w:left w:type="dxa" w:w="110"/>
              <w:bottom w:type="dxa" w:w="60"/>
              <w:right w:type="dxa" w:w="110"/>
            </w:tcMar>
            <w:vAlign w:val="center"/>
          </w:tcPr>
          <w:p>
            <w:pPr>
              <w:spacing w:after="0" w:line="250"/>
            </w:pPr>
            <w:r>
              <w:rPr>
                <w:color w:val="2D2D2D"/>
                <w:sz w:val="19"/>
                <w:szCs w:val="19"/>
              </w:rPr>
              <w:t xml:space="preserve">TGTG proof</w:t>
            </w:r>
          </w:p>
        </w:tc>
        <w:tc>
          <w:tcPr>
            <w:tcW w:type="dxa" w:w="4360"/>
            <w:shd w:fill="FFFFFF" w:color="auto" w:val="clear"/>
            <w:tcMar>
              <w:top w:type="dxa" w:w="60"/>
              <w:left w:type="dxa" w:w="110"/>
              <w:bottom w:type="dxa" w:w="60"/>
              <w:right w:type="dxa" w:w="110"/>
            </w:tcMar>
            <w:vAlign w:val="center"/>
          </w:tcPr>
          <w:p>
            <w:pPr>
              <w:spacing w:after="0" w:line="250"/>
            </w:pPr>
            <w:r>
              <w:rPr>
                <w:color w:val="2D2D2D"/>
                <w:sz w:val="19"/>
                <w:szCs w:val="19"/>
              </w:rPr>
              <w:t xml:space="preserve">Global: 41% buy add-ons at pickup; 61% visited only for the collection</w:t>
            </w:r>
          </w:p>
        </w:tc>
        <w:tc>
          <w:tcPr>
            <w:tcW w:type="dxa" w:w="2600"/>
            <w:shd w:fill="FFFFFF" w:color="auto" w:val="clear"/>
            <w:tcMar>
              <w:top w:type="dxa" w:w="60"/>
              <w:left w:type="dxa" w:w="110"/>
              <w:bottom w:type="dxa" w:w="60"/>
              <w:right w:type="dxa" w:w="110"/>
            </w:tcMar>
            <w:vAlign w:val="center"/>
          </w:tcPr>
          <w:p>
            <w:pPr>
              <w:spacing w:after="0" w:line="250"/>
            </w:pPr>
            <w:r>
              <w:rPr>
                <w:color w:val="2D2D2D"/>
                <w:sz w:val="19"/>
                <w:szCs w:val="19"/>
              </w:rPr>
              <w:t xml:space="preserve">Third-party proof of the pickup-attach and CAC model</w:t>
            </w:r>
          </w:p>
        </w:tc>
      </w:tr>
    </w:tbl>
    <w:p>
      <w:pPr>
        <w:pStyle w:val="Heading2"/>
        <w:spacing w:after="120" w:before="260"/>
      </w:pPr>
      <w:r>
        <w:t xml:space="preserve">1.6 The India Stigma Problem — and the Tasting-End Answer</w:t>
      </w:r>
    </w:p>
    <w:p>
      <w:pPr>
        <w:spacing w:after="120" w:before="0" w:line="276"/>
      </w:pPr>
      <w:r>
        <w:rPr>
          <w:color w:val="2D2D2D"/>
          <w:sz w:val="21"/>
          <w:szCs w:val="21"/>
        </w:rPr>
        <w:t xml:space="preserve">India has a deeply rooted cultural preference for freshly made food (Annam Brahmam — food is divine and must be fresh). “Leftover / surplus” therefore carries a heavier hygiene stigma here than in the European markets where this category was born. Two implications:</w:t>
      </w:r>
    </w:p>
    <w:p>
      <w:pPr>
        <w:pStyle w:val="ListParagraph"/>
        <w:numPr>
          <w:ilvl w:val="0"/>
          <w:numId w:val="2"/>
        </w:numPr>
        <w:spacing w:after="70" w:line="264"/>
      </w:pPr>
      <w:r>
        <w:rPr>
          <w:color w:val="2D2D2D"/>
          <w:sz w:val="21"/>
          <w:szCs w:val="21"/>
        </w:rPr>
        <w:t xml:space="preserve">Move toward the intentional / tasting end. It is not only more premium — it is reassuring on safety. Same-day prep, packed-time / best-before stickers (the Plenti playbook), and disclosed pickup windows do more for trust than any tagline.</w:t>
      </w:r>
    </w:p>
    <w:p>
      <w:pPr>
        <w:pStyle w:val="ListParagraph"/>
        <w:numPr>
          <w:ilvl w:val="0"/>
          <w:numId w:val="2"/>
        </w:numPr>
        <w:spacing w:after="70" w:line="264"/>
      </w:pPr>
      <w:r>
        <w:rPr>
          <w:color w:val="2D2D2D"/>
          <w:sz w:val="21"/>
          <w:szCs w:val="21"/>
        </w:rPr>
        <w:t xml:space="preserve">The baggage is lighter than it looks. Indian consumers have less category training that “app + bag + discount = leftovers” — so there is less prior to fight, but more category to build. We are educating a new behaviour, not displacing a cynical one.</w:t>
      </w:r>
    </w:p>
    <w:p>
      <w:pPr>
        <w:pStyle w:val="Heading1"/>
        <w:spacing w:after="160" w:before="360"/>
      </w:pPr>
      <w:r>
        <w:t xml:space="preserve">Part II — The Conversion &amp; Attribution Layer (New)</w:t>
      </w:r>
    </w:p>
    <w:p>
      <w:pPr>
        <w:pStyle w:val="Heading2"/>
        <w:spacing w:after="120" w:before="260"/>
      </w:pPr>
      <w:r>
        <w:t xml:space="preserve">2.1 The hidden obligation of an acquisition story</w:t>
      </w:r>
    </w:p>
    <w:p>
      <w:pPr>
        <w:spacing w:after="120" w:before="0" w:line="276"/>
      </w:pPr>
      <w:r>
        <w:rPr>
          <w:color w:val="2D2D2D"/>
          <w:sz w:val="21"/>
          <w:szCs w:val="21"/>
        </w:rPr>
        <w:t xml:space="preserve">Selling restaurants an acquisition / showcase story implicitly promises a conversion funnel: taste → order. Restaurants will then judge goZaika on whether a drop turned into business, and will demand attribution to justify a premium cut. Marketing budgets are ruthlessly ROI-measured — no conversion link means no attribution, which means no defensible premium commission, which means churn. The bigger cut and the conversion obligation are the same coin.</w:t>
      </w:r>
    </w:p>
    <w:tbl>
      <w:tblPr>
        <w:tblW w:type="dxa" w:w="9360"/>
        <w:tblBorders>
          <w:top w:val="single" w:color="1A5C38" w:sz="1"/>
          <w:left w:val="single" w:color="1A5C38" w:sz="18"/>
          <w:bottom w:val="single" w:color="1A5C38" w:sz="1"/>
          <w:right w:val="single" w:color="1A5C38" w:sz="1"/>
          <w:insideH w:val="single" w:color="auto" w:sz="4"/>
          <w:insideV w:val="single" w:color="auto" w:sz="4"/>
        </w:tblBorders>
      </w:tblPr>
      <w:tblGrid>
        <w:gridCol w:w="9360"/>
      </w:tblGrid>
      <w:tr>
        <w:tc>
          <w:tcPr>
            <w:tcW w:type="dxa" w:w="9360"/>
            <w:shd w:fill="EAF3DE" w:color="auto" w:val="clear"/>
            <w:tcMar>
              <w:top w:type="dxa" w:w="120"/>
              <w:left w:type="dxa" w:w="180"/>
              <w:bottom w:type="dxa" w:w="120"/>
              <w:right w:type="dxa" w:w="160"/>
            </w:tcMar>
          </w:tcPr>
          <w:p>
            <w:pPr>
              <w:spacing w:after="80"/>
            </w:pPr>
            <w:r>
              <w:rPr>
                <w:b/>
                <w:bCs/>
                <w:color w:val="1A5C38"/>
                <w:sz w:val="21"/>
                <w:szCs w:val="21"/>
              </w:rPr>
              <w:t xml:space="preserve">Design principle</w:t>
            </w:r>
          </w:p>
          <w:p>
            <w:pPr>
              <w:spacing w:after="0" w:line="264"/>
            </w:pPr>
            <w:r>
              <w:rPr>
                <w:color w:val="2D2D2D"/>
                <w:sz w:val="20"/>
                <w:szCs w:val="20"/>
              </w:rPr>
              <w:t xml:space="preserve">Build the lightweight conversion signal now; defer full marketplace ordering until data earns it. The discovery/adventure experience is self-justifying for the consumer — do not let the acquisition story stampede goZaika into building a cart, full menu and delivery (a different company, and a direct fight with Swiggy/Zomato).</w:t>
            </w:r>
          </w:p>
        </w:tc>
      </w:tr>
    </w:tbl>
    <w:p>
      <w:pPr>
        <w:pStyle w:val="Heading2"/>
        <w:spacing w:after="120" w:before="260"/>
      </w:pPr>
      <w:r>
        <w:t xml:space="preserve">2.2 “Find it on the Menu”</w:t>
      </w:r>
    </w:p>
    <w:p>
      <w:pPr>
        <w:spacing w:after="120" w:before="0" w:line="276"/>
      </w:pPr>
      <w:r>
        <w:rPr>
          <w:color w:val="2D2D2D"/>
          <w:sz w:val="21"/>
          <w:szCs w:val="21"/>
        </w:rPr>
        <w:t xml:space="preserve">After a BAM Bag, surface a soft conversion loop: “Loved this? Find it on the menu.” Concretely, the cheapest viable version is one or more of:</w:t>
      </w:r>
    </w:p>
    <w:p>
      <w:pPr>
        <w:pStyle w:val="ListParagraph"/>
        <w:numPr>
          <w:ilvl w:val="0"/>
          <w:numId w:val="2"/>
        </w:numPr>
        <w:spacing w:after="70" w:line="264"/>
      </w:pPr>
      <w:r>
        <w:rPr>
          <w:color w:val="2D2D2D"/>
          <w:sz w:val="21"/>
          <w:szCs w:val="21"/>
        </w:rPr>
        <w:t xml:space="preserve">A reorder / “find the full dish” link to the restaurant’s regular menu item.</w:t>
      </w:r>
    </w:p>
    <w:p>
      <w:pPr>
        <w:pStyle w:val="ListParagraph"/>
        <w:numPr>
          <w:ilvl w:val="0"/>
          <w:numId w:val="2"/>
        </w:numPr>
        <w:spacing w:after="70" w:line="264"/>
      </w:pPr>
      <w:r>
        <w:rPr>
          <w:color w:val="2D2D2D"/>
          <w:sz w:val="21"/>
          <w:szCs w:val="21"/>
        </w:rPr>
        <w:t xml:space="preserve">A “full-portion available” nudge for dishes the diner discovered in a bag.</w:t>
      </w:r>
    </w:p>
    <w:p>
      <w:pPr>
        <w:pStyle w:val="ListParagraph"/>
        <w:numPr>
          <w:ilvl w:val="0"/>
          <w:numId w:val="2"/>
        </w:numPr>
        <w:spacing w:after="70" w:line="264"/>
      </w:pPr>
      <w:r>
        <w:rPr>
          <w:color w:val="2D2D2D"/>
          <w:sz w:val="21"/>
          <w:szCs w:val="21"/>
        </w:rPr>
        <w:t xml:space="preserve">A save-to-favourite / follow-this-restaurant action that powers future drop alerts.</w:t>
      </w:r>
    </w:p>
    <w:p>
      <w:pPr>
        <w:spacing w:after="120" w:before="0" w:line="276"/>
      </w:pPr>
      <w:r>
        <w:rPr>
          <w:color w:val="2D2D2D"/>
          <w:sz w:val="21"/>
          <w:szCs w:val="21"/>
        </w:rPr>
        <w:t xml:space="preserve">This is cheap to build, and it does three jobs at once: (a) gives restaurants a visible conversion signal, (b) gives goZaika the attribution data to defend its cut and prove ROI, and (c) is the natural next loop after a bag — the moment of maximum intent.</w:t>
      </w:r>
    </w:p>
    <w:p>
      <w:pPr>
        <w:pStyle w:val="Heading2"/>
        <w:spacing w:after="120" w:before="260"/>
      </w:pPr>
      <w:r>
        <w:t xml:space="preserve">2.3 What to build now vs. defer</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120"/>
        <w:gridCol w:w="3120"/>
        <w:gridCol w:w="3120"/>
      </w:tblGrid>
      <w:tr>
        <w:trPr>
          <w:tblHeader/>
        </w:trPr>
        <w:tc>
          <w:tcPr>
            <w:tcW w:type="dxa" w:w="312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Build now (attribution)</w:t>
            </w:r>
          </w:p>
        </w:tc>
        <w:tc>
          <w:tcPr>
            <w:tcW w:type="dxa" w:w="312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Defer (until data earns it)</w:t>
            </w:r>
          </w:p>
        </w:tc>
        <w:tc>
          <w:tcPr>
            <w:tcW w:type="dxa" w:w="312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Never (wrong company)</w:t>
            </w:r>
          </w:p>
        </w:tc>
      </w:tr>
      <w:tr>
        <w:tc>
          <w:tcPr>
            <w:tcW w:type="dxa" w:w="3120"/>
            <w:shd w:fill="F5F5F5" w:color="auto" w:val="clear"/>
            <w:tcMar>
              <w:top w:type="dxa" w:w="60"/>
              <w:left w:type="dxa" w:w="110"/>
              <w:bottom w:type="dxa" w:w="60"/>
              <w:right w:type="dxa" w:w="110"/>
            </w:tcMar>
            <w:vAlign w:val="center"/>
          </w:tcPr>
          <w:p>
            <w:pPr>
              <w:spacing w:after="0" w:line="250"/>
            </w:pPr>
            <w:r>
              <w:rPr>
                <w:color w:val="2D2D2D"/>
                <w:sz w:val="19"/>
                <w:szCs w:val="19"/>
              </w:rPr>
              <w:t xml:space="preserve">“Find it on the menu” link</w:t>
            </w:r>
          </w:p>
        </w:tc>
        <w:tc>
          <w:tcPr>
            <w:tcW w:type="dxa" w:w="3120"/>
            <w:shd w:fill="F5F5F5" w:color="auto" w:val="clear"/>
            <w:tcMar>
              <w:top w:type="dxa" w:w="60"/>
              <w:left w:type="dxa" w:w="110"/>
              <w:bottom w:type="dxa" w:w="60"/>
              <w:right w:type="dxa" w:w="110"/>
            </w:tcMar>
            <w:vAlign w:val="center"/>
          </w:tcPr>
          <w:p>
            <w:pPr>
              <w:spacing w:after="0" w:line="250"/>
            </w:pPr>
            <w:r>
              <w:rPr>
                <w:color w:val="2D2D2D"/>
                <w:sz w:val="19"/>
                <w:szCs w:val="19"/>
              </w:rPr>
              <w:t xml:space="preserve">In-app full-portion reorder</w:t>
            </w:r>
          </w:p>
        </w:tc>
        <w:tc>
          <w:tcPr>
            <w:tcW w:type="dxa" w:w="3120"/>
            <w:shd w:fill="F5F5F5" w:color="auto" w:val="clear"/>
            <w:tcMar>
              <w:top w:type="dxa" w:w="60"/>
              <w:left w:type="dxa" w:w="110"/>
              <w:bottom w:type="dxa" w:w="60"/>
              <w:right w:type="dxa" w:w="110"/>
            </w:tcMar>
            <w:vAlign w:val="center"/>
          </w:tcPr>
          <w:p>
            <w:pPr>
              <w:spacing w:after="0" w:line="250"/>
            </w:pPr>
            <w:r>
              <w:rPr>
                <w:color w:val="2D2D2D"/>
                <w:sz w:val="19"/>
                <w:szCs w:val="19"/>
              </w:rPr>
              <w:t xml:space="preserve">On-demand delivery fleet</w:t>
            </w:r>
          </w:p>
        </w:tc>
      </w:tr>
      <w:tr>
        <w:tc>
          <w:tcPr>
            <w:tcW w:type="dxa" w:w="3120"/>
            <w:shd w:fill="FFFFFF" w:color="auto" w:val="clear"/>
            <w:tcMar>
              <w:top w:type="dxa" w:w="60"/>
              <w:left w:type="dxa" w:w="110"/>
              <w:bottom w:type="dxa" w:w="60"/>
              <w:right w:type="dxa" w:w="110"/>
            </w:tcMar>
            <w:vAlign w:val="center"/>
          </w:tcPr>
          <w:p>
            <w:pPr>
              <w:spacing w:after="0" w:line="250"/>
            </w:pPr>
            <w:r>
              <w:rPr>
                <w:color w:val="2D2D2D"/>
                <w:sz w:val="19"/>
                <w:szCs w:val="19"/>
              </w:rPr>
              <w:t xml:space="preserve">Save / follow restaurant</w:t>
            </w:r>
          </w:p>
        </w:tc>
        <w:tc>
          <w:tcPr>
            <w:tcW w:type="dxa" w:w="3120"/>
            <w:shd w:fill="FFFFFF" w:color="auto" w:val="clear"/>
            <w:tcMar>
              <w:top w:type="dxa" w:w="60"/>
              <w:left w:type="dxa" w:w="110"/>
              <w:bottom w:type="dxa" w:w="60"/>
              <w:right w:type="dxa" w:w="110"/>
            </w:tcMar>
            <w:vAlign w:val="center"/>
          </w:tcPr>
          <w:p>
            <w:pPr>
              <w:spacing w:after="0" w:line="250"/>
            </w:pPr>
            <w:r>
              <w:rPr>
                <w:color w:val="2D2D2D"/>
                <w:sz w:val="19"/>
                <w:szCs w:val="19"/>
              </w:rPr>
              <w:t xml:space="preserve">Light cart for add-ons at pickup</w:t>
            </w:r>
          </w:p>
        </w:tc>
        <w:tc>
          <w:tcPr>
            <w:tcW w:type="dxa" w:w="3120"/>
            <w:shd w:fill="FFFFFF" w:color="auto" w:val="clear"/>
            <w:tcMar>
              <w:top w:type="dxa" w:w="60"/>
              <w:left w:type="dxa" w:w="110"/>
              <w:bottom w:type="dxa" w:w="60"/>
              <w:right w:type="dxa" w:w="110"/>
            </w:tcMar>
            <w:vAlign w:val="center"/>
          </w:tcPr>
          <w:p>
            <w:pPr>
              <w:spacing w:after="0" w:line="250"/>
            </w:pPr>
            <w:r>
              <w:rPr>
                <w:color w:val="2D2D2D"/>
                <w:sz w:val="19"/>
                <w:szCs w:val="19"/>
              </w:rPr>
              <w:t xml:space="preserve">Full public menu marketplace</w:t>
            </w:r>
          </w:p>
        </w:tc>
      </w:tr>
      <w:tr>
        <w:tc>
          <w:tcPr>
            <w:tcW w:type="dxa" w:w="3120"/>
            <w:shd w:fill="F5F5F5" w:color="auto" w:val="clear"/>
            <w:tcMar>
              <w:top w:type="dxa" w:w="60"/>
              <w:left w:type="dxa" w:w="110"/>
              <w:bottom w:type="dxa" w:w="60"/>
              <w:right w:type="dxa" w:w="110"/>
            </w:tcMar>
            <w:vAlign w:val="center"/>
          </w:tcPr>
          <w:p>
            <w:pPr>
              <w:spacing w:after="0" w:line="250"/>
            </w:pPr>
            <w:r>
              <w:rPr>
                <w:color w:val="2D2D2D"/>
                <w:sz w:val="19"/>
                <w:szCs w:val="19"/>
              </w:rPr>
              <w:t xml:space="preserve">First-time-diner flag + 60-day conversion cohort</w:t>
            </w:r>
          </w:p>
        </w:tc>
        <w:tc>
          <w:tcPr>
            <w:tcW w:type="dxa" w:w="3120"/>
            <w:shd w:fill="F5F5F5" w:color="auto" w:val="clear"/>
            <w:tcMar>
              <w:top w:type="dxa" w:w="60"/>
              <w:left w:type="dxa" w:w="110"/>
              <w:bottom w:type="dxa" w:w="60"/>
              <w:right w:type="dxa" w:w="110"/>
            </w:tcMar>
            <w:vAlign w:val="center"/>
          </w:tcPr>
          <w:p>
            <w:pPr>
              <w:spacing w:after="0" w:line="250"/>
            </w:pPr>
            <w:r>
              <w:rPr>
                <w:color w:val="2D2D2D"/>
                <w:sz w:val="19"/>
                <w:szCs w:val="19"/>
              </w:rPr>
              <w:t xml:space="preserve">Loyalty / Swaad Club tie-in to conversions</w:t>
            </w:r>
          </w:p>
        </w:tc>
        <w:tc>
          <w:tcPr>
            <w:tcW w:type="dxa" w:w="3120"/>
            <w:shd w:fill="F5F5F5" w:color="auto" w:val="clear"/>
            <w:tcMar>
              <w:top w:type="dxa" w:w="60"/>
              <w:left w:type="dxa" w:w="110"/>
              <w:bottom w:type="dxa" w:w="60"/>
              <w:right w:type="dxa" w:w="110"/>
            </w:tcMar>
            <w:vAlign w:val="center"/>
          </w:tcPr>
          <w:p>
            <w:pPr>
              <w:spacing w:after="0" w:line="250"/>
            </w:pPr>
            <w:r>
              <w:rPr>
                <w:color w:val="2D2D2D"/>
                <w:sz w:val="19"/>
                <w:szCs w:val="19"/>
              </w:rPr>
              <w:t xml:space="preserve">Price-led discount listings</w:t>
            </w:r>
          </w:p>
        </w:tc>
      </w:tr>
      <w:tr>
        <w:tc>
          <w:tcPr>
            <w:tcW w:type="dxa" w:w="3120"/>
            <w:shd w:fill="FFFFFF" w:color="auto" w:val="clear"/>
            <w:tcMar>
              <w:top w:type="dxa" w:w="60"/>
              <w:left w:type="dxa" w:w="110"/>
              <w:bottom w:type="dxa" w:w="60"/>
              <w:right w:type="dxa" w:w="110"/>
            </w:tcMar>
            <w:vAlign w:val="center"/>
          </w:tcPr>
          <w:p>
            <w:pPr>
              <w:spacing w:after="0" w:line="250"/>
            </w:pPr>
            <w:r>
              <w:rPr>
                <w:color w:val="2D2D2D"/>
                <w:sz w:val="19"/>
                <w:szCs w:val="19"/>
              </w:rPr>
              <w:t xml:space="preserve">Post-pickup rating + “would reorder” signal</w:t>
            </w:r>
          </w:p>
        </w:tc>
        <w:tc>
          <w:tcPr>
            <w:tcW w:type="dxa" w:w="3120"/>
            <w:shd w:fill="FFFFFF" w:color="auto" w:val="clear"/>
            <w:tcMar>
              <w:top w:type="dxa" w:w="60"/>
              <w:left w:type="dxa" w:w="110"/>
              <w:bottom w:type="dxa" w:w="60"/>
              <w:right w:type="dxa" w:w="110"/>
            </w:tcMar>
            <w:vAlign w:val="center"/>
          </w:tcPr>
          <w:p>
            <w:pPr>
              <w:spacing w:after="0" w:line="250"/>
            </w:pPr>
            <w:r>
              <w:rPr>
                <w:color w:val="2D2D2D"/>
                <w:sz w:val="19"/>
                <w:szCs w:val="19"/>
              </w:rPr>
              <w:t xml:space="preserve">Sponsored “try the full menu” placements</w:t>
            </w:r>
          </w:p>
        </w:tc>
        <w:tc>
          <w:tcPr>
            <w:tcW w:type="dxa" w:w="3120"/>
            <w:shd w:fill="FFFFFF" w:color="auto" w:val="clear"/>
            <w:tcMar>
              <w:top w:type="dxa" w:w="60"/>
              <w:left w:type="dxa" w:w="110"/>
              <w:bottom w:type="dxa" w:w="60"/>
              <w:right w:type="dxa" w:w="110"/>
            </w:tcMar>
            <w:vAlign w:val="center"/>
          </w:tcPr>
          <w:p>
            <w:pPr>
              <w:spacing w:after="0" w:line="250"/>
            </w:pPr>
            <w:r>
              <w:rPr>
                <w:color w:val="2D2D2D"/>
                <w:sz w:val="19"/>
                <w:szCs w:val="19"/>
              </w:rPr>
              <w:t xml:space="preserve">Anything that displaces dine-in covers</w:t>
            </w:r>
          </w:p>
        </w:tc>
      </w:tr>
    </w:tbl>
    <w:p>
      <w:pPr>
        <w:pStyle w:val="Heading2"/>
        <w:spacing w:after="120" w:before="260"/>
      </w:pPr>
      <w:r>
        <w:t xml:space="preserve">2.4 How attribution defends the commission</w:t>
      </w:r>
    </w:p>
    <w:p>
      <w:pPr>
        <w:spacing w:after="120" w:before="0" w:line="276"/>
      </w:pPr>
      <w:r>
        <w:rPr>
          <w:color w:val="2D2D2D"/>
          <w:sz w:val="21"/>
          <w:szCs w:val="21"/>
        </w:rPr>
        <w:t xml:space="preserve">Once goZaika can show a restaurant: “This month your drops introduced 84 first-time diners; 19 of them clicked through to your menu and 7 placed a full-price order within 60 days,” the conversation changes from “your commission is high” to “what did this channel return on spend?” That is the entire game for a premium take-rate — and it is the data no aggregator hands back. It also feeds directly into Zayka Pro (restaurant SaaS) and ZaikaIQ (analytics), turning attribution into a recurring-revenue product, not just a sales argument.</w:t>
      </w:r>
    </w:p>
    <w:p>
      <w:pPr>
        <w:pStyle w:val="Heading1"/>
        <w:spacing w:after="160" w:before="360"/>
      </w:pPr>
      <w:r>
        <w:t xml:space="preserve">Part III — Market &amp; Competitive Landscape</w:t>
      </w:r>
    </w:p>
    <w:p>
      <w:pPr>
        <w:pStyle w:val="Heading2"/>
        <w:spacing w:after="120" w:before="260"/>
      </w:pPr>
      <w:r>
        <w:t xml:space="preserve">3.1 “No direct competitor” is retired</w:t>
      </w:r>
    </w:p>
    <w:p>
      <w:pPr>
        <w:spacing w:after="120" w:before="0" w:line="276"/>
      </w:pPr>
      <w:r>
        <w:rPr>
          <w:color w:val="2D2D2D"/>
          <w:sz w:val="21"/>
          <w:szCs w:val="21"/>
        </w:rPr>
        <w:t xml:space="preserve">v3 claimed no direct competitor. That is no longer accurate or safe to put in front of a sharp investor. The surplus / surprise-bag model is proven globally and is now being attempted in India — including one early breakout (Plenti) and one cautionary failure (Surokki). The honest framing: the model is validated; goZaika’s edge is positioning (premium-access, not clearance), the two-sided pitch, and the conversion-data layer — not novelty.</w:t>
      </w:r>
    </w:p>
    <w:p>
      <w:pPr>
        <w:pStyle w:val="Heading2"/>
        <w:spacing w:after="120" w:before="260"/>
      </w:pPr>
      <w:r>
        <w:t xml:space="preserve">3.2 The landscape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500"/>
        <w:gridCol w:w="1500"/>
        <w:gridCol w:w="3360"/>
        <w:gridCol w:w="3000"/>
      </w:tblGrid>
      <w:tr>
        <w:trPr>
          <w:tblHeader/>
        </w:trPr>
        <w:tc>
          <w:tcPr>
            <w:tcW w:type="dxa" w:w="150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Player</w:t>
            </w:r>
          </w:p>
        </w:tc>
        <w:tc>
          <w:tcPr>
            <w:tcW w:type="dxa" w:w="150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Geography</w:t>
            </w:r>
          </w:p>
        </w:tc>
        <w:tc>
          <w:tcPr>
            <w:tcW w:type="dxa" w:w="336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Status / traction</w:t>
            </w:r>
          </w:p>
        </w:tc>
        <w:tc>
          <w:tcPr>
            <w:tcW w:type="dxa" w:w="300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Lesson for goZaika</w:t>
            </w:r>
          </w:p>
        </w:tc>
      </w:tr>
      <w:tr>
        <w:tc>
          <w:tcPr>
            <w:tcW w:type="dxa" w:w="1500"/>
            <w:shd w:fill="F5F5F5" w:color="auto" w:val="clear"/>
            <w:tcMar>
              <w:top w:type="dxa" w:w="60"/>
              <w:left w:type="dxa" w:w="110"/>
              <w:bottom w:type="dxa" w:w="60"/>
              <w:right w:type="dxa" w:w="110"/>
            </w:tcMar>
            <w:vAlign w:val="center"/>
          </w:tcPr>
          <w:p>
            <w:pPr>
              <w:spacing w:after="0" w:line="250"/>
            </w:pPr>
            <w:r>
              <w:rPr>
                <w:color w:val="2D2D2D"/>
                <w:sz w:val="19"/>
                <w:szCs w:val="19"/>
              </w:rPr>
              <w:t xml:space="preserve">Too Good To Go</w:t>
            </w:r>
          </w:p>
        </w:tc>
        <w:tc>
          <w:tcPr>
            <w:tcW w:type="dxa" w:w="1500"/>
            <w:shd w:fill="F5F5F5" w:color="auto" w:val="clear"/>
            <w:tcMar>
              <w:top w:type="dxa" w:w="60"/>
              <w:left w:type="dxa" w:w="110"/>
              <w:bottom w:type="dxa" w:w="60"/>
              <w:right w:type="dxa" w:w="110"/>
            </w:tcMar>
            <w:vAlign w:val="center"/>
          </w:tcPr>
          <w:p>
            <w:pPr>
              <w:spacing w:after="0" w:line="250"/>
            </w:pPr>
            <w:r>
              <w:rPr>
                <w:color w:val="2D2D2D"/>
                <w:sz w:val="19"/>
                <w:szCs w:val="19"/>
              </w:rPr>
              <w:t xml:space="preserve">Global (DK)</w:t>
            </w:r>
          </w:p>
        </w:tc>
        <w:tc>
          <w:tcPr>
            <w:tcW w:type="dxa" w:w="3360"/>
            <w:shd w:fill="F5F5F5" w:color="auto" w:val="clear"/>
            <w:tcMar>
              <w:top w:type="dxa" w:w="60"/>
              <w:left w:type="dxa" w:w="110"/>
              <w:bottom w:type="dxa" w:w="60"/>
              <w:right w:type="dxa" w:w="110"/>
            </w:tcMar>
            <w:vAlign w:val="center"/>
          </w:tcPr>
          <w:p>
            <w:pPr>
              <w:spacing w:after="0" w:line="250"/>
            </w:pPr>
            <w:r>
              <w:rPr>
                <w:color w:val="2D2D2D"/>
                <w:sz w:val="19"/>
                <w:szCs w:val="19"/>
              </w:rPr>
              <w:t xml:space="preserve">50M+ downloads; 135M+ meals saved; Danish core profitable 2023–24; acquiring AI forecasting</w:t>
            </w:r>
          </w:p>
        </w:tc>
        <w:tc>
          <w:tcPr>
            <w:tcW w:type="dxa" w:w="3000"/>
            <w:shd w:fill="F5F5F5" w:color="auto" w:val="clear"/>
            <w:tcMar>
              <w:top w:type="dxa" w:w="60"/>
              <w:left w:type="dxa" w:w="110"/>
              <w:bottom w:type="dxa" w:w="60"/>
              <w:right w:type="dxa" w:w="110"/>
            </w:tcMar>
            <w:vAlign w:val="center"/>
          </w:tcPr>
          <w:p>
            <w:pPr>
              <w:spacing w:after="0" w:line="250"/>
            </w:pPr>
            <w:r>
              <w:rPr>
                <w:color w:val="2D2D2D"/>
                <w:sz w:val="19"/>
                <w:szCs w:val="19"/>
              </w:rPr>
              <w:t xml:space="preserve">B2C bags alone don’t pay — real money came from B2B SaaS / forecasting. Pickup-only is absolute.</w:t>
            </w:r>
          </w:p>
        </w:tc>
      </w:tr>
      <w:tr>
        <w:tc>
          <w:tcPr>
            <w:tcW w:type="dxa" w:w="1500"/>
            <w:shd w:fill="FFFFFF" w:color="auto" w:val="clear"/>
            <w:tcMar>
              <w:top w:type="dxa" w:w="60"/>
              <w:left w:type="dxa" w:w="110"/>
              <w:bottom w:type="dxa" w:w="60"/>
              <w:right w:type="dxa" w:w="110"/>
            </w:tcMar>
            <w:vAlign w:val="center"/>
          </w:tcPr>
          <w:p>
            <w:pPr>
              <w:spacing w:after="0" w:line="250"/>
            </w:pPr>
            <w:r>
              <w:rPr>
                <w:color w:val="2D2D2D"/>
                <w:sz w:val="19"/>
                <w:szCs w:val="19"/>
              </w:rPr>
              <w:t xml:space="preserve">OLIO</w:t>
            </w:r>
          </w:p>
        </w:tc>
        <w:tc>
          <w:tcPr>
            <w:tcW w:type="dxa" w:w="1500"/>
            <w:shd w:fill="FFFFFF" w:color="auto" w:val="clear"/>
            <w:tcMar>
              <w:top w:type="dxa" w:w="60"/>
              <w:left w:type="dxa" w:w="110"/>
              <w:bottom w:type="dxa" w:w="60"/>
              <w:right w:type="dxa" w:w="110"/>
            </w:tcMar>
            <w:vAlign w:val="center"/>
          </w:tcPr>
          <w:p>
            <w:pPr>
              <w:spacing w:after="0" w:line="250"/>
            </w:pPr>
            <w:r>
              <w:rPr>
                <w:color w:val="2D2D2D"/>
                <w:sz w:val="19"/>
                <w:szCs w:val="19"/>
              </w:rPr>
              <w:t xml:space="preserve">UK</w:t>
            </w:r>
          </w:p>
        </w:tc>
        <w:tc>
          <w:tcPr>
            <w:tcW w:type="dxa" w:w="3360"/>
            <w:shd w:fill="FFFFFF" w:color="auto" w:val="clear"/>
            <w:tcMar>
              <w:top w:type="dxa" w:w="60"/>
              <w:left w:type="dxa" w:w="110"/>
              <w:bottom w:type="dxa" w:w="60"/>
              <w:right w:type="dxa" w:w="110"/>
            </w:tcMar>
            <w:vAlign w:val="center"/>
          </w:tcPr>
          <w:p>
            <w:pPr>
              <w:spacing w:after="0" w:line="250"/>
            </w:pPr>
            <w:r>
              <w:rPr>
                <w:color w:val="2D2D2D"/>
                <w:sz w:val="19"/>
                <w:szCs w:val="19"/>
              </w:rPr>
              <w:t xml:space="preserve">~65% UK P2P food-sharing; shifting to ~75% B2B revenue via corporate subscriptions</w:t>
            </w:r>
          </w:p>
        </w:tc>
        <w:tc>
          <w:tcPr>
            <w:tcW w:type="dxa" w:w="3000"/>
            <w:shd w:fill="FFFFFF" w:color="auto" w:val="clear"/>
            <w:tcMar>
              <w:top w:type="dxa" w:w="60"/>
              <w:left w:type="dxa" w:w="110"/>
              <w:bottom w:type="dxa" w:w="60"/>
              <w:right w:type="dxa" w:w="110"/>
            </w:tcMar>
            <w:vAlign w:val="center"/>
          </w:tcPr>
          <w:p>
            <w:pPr>
              <w:spacing w:after="0" w:line="250"/>
            </w:pPr>
            <w:r>
              <w:rPr>
                <w:color w:val="2D2D2D"/>
                <w:sz w:val="19"/>
                <w:szCs w:val="19"/>
              </w:rPr>
              <w:t xml:space="preserve">The B2B pivot is where margin lives. Plan Zayka Pro / ZaikaIQ as the destination, not a bolt-on.</w:t>
            </w:r>
          </w:p>
        </w:tc>
      </w:tr>
      <w:tr>
        <w:tc>
          <w:tcPr>
            <w:tcW w:type="dxa" w:w="1500"/>
            <w:shd w:fill="F5F5F5" w:color="auto" w:val="clear"/>
            <w:tcMar>
              <w:top w:type="dxa" w:w="60"/>
              <w:left w:type="dxa" w:w="110"/>
              <w:bottom w:type="dxa" w:w="60"/>
              <w:right w:type="dxa" w:w="110"/>
            </w:tcMar>
            <w:vAlign w:val="center"/>
          </w:tcPr>
          <w:p>
            <w:pPr>
              <w:spacing w:after="0" w:line="250"/>
            </w:pPr>
            <w:r>
              <w:rPr>
                <w:color w:val="2D2D2D"/>
                <w:sz w:val="19"/>
                <w:szCs w:val="19"/>
              </w:rPr>
              <w:t xml:space="preserve">Karma</w:t>
            </w:r>
          </w:p>
        </w:tc>
        <w:tc>
          <w:tcPr>
            <w:tcW w:type="dxa" w:w="1500"/>
            <w:shd w:fill="F5F5F5" w:color="auto" w:val="clear"/>
            <w:tcMar>
              <w:top w:type="dxa" w:w="60"/>
              <w:left w:type="dxa" w:w="110"/>
              <w:bottom w:type="dxa" w:w="60"/>
              <w:right w:type="dxa" w:w="110"/>
            </w:tcMar>
            <w:vAlign w:val="center"/>
          </w:tcPr>
          <w:p>
            <w:pPr>
              <w:spacing w:after="0" w:line="250"/>
            </w:pPr>
            <w:r>
              <w:rPr>
                <w:color w:val="2D2D2D"/>
                <w:sz w:val="19"/>
                <w:szCs w:val="19"/>
              </w:rPr>
              <w:t xml:space="preserve">Sweden / UK</w:t>
            </w:r>
          </w:p>
        </w:tc>
        <w:tc>
          <w:tcPr>
            <w:tcW w:type="dxa" w:w="3360"/>
            <w:shd w:fill="F5F5F5" w:color="auto" w:val="clear"/>
            <w:tcMar>
              <w:top w:type="dxa" w:w="60"/>
              <w:left w:type="dxa" w:w="110"/>
              <w:bottom w:type="dxa" w:w="60"/>
              <w:right w:type="dxa" w:w="110"/>
            </w:tcMar>
            <w:vAlign w:val="center"/>
          </w:tcPr>
          <w:p>
            <w:pPr>
              <w:spacing w:after="0" w:line="250"/>
            </w:pPr>
            <w:r>
              <w:rPr>
                <w:color w:val="2D2D2D"/>
                <w:sz w:val="19"/>
                <w:szCs w:val="19"/>
              </w:rPr>
              <w:t xml:space="preserve">250k+ users; VC-backed; fighting high CAC; pressured by TGTG</w:t>
            </w:r>
          </w:p>
        </w:tc>
        <w:tc>
          <w:tcPr>
            <w:tcW w:type="dxa" w:w="3000"/>
            <w:shd w:fill="F5F5F5" w:color="auto" w:val="clear"/>
            <w:tcMar>
              <w:top w:type="dxa" w:w="60"/>
              <w:left w:type="dxa" w:w="110"/>
              <w:bottom w:type="dxa" w:w="60"/>
              <w:right w:type="dxa" w:w="110"/>
            </w:tcMar>
            <w:vAlign w:val="center"/>
          </w:tcPr>
          <w:p>
            <w:pPr>
              <w:spacing w:after="0" w:line="250"/>
            </w:pPr>
            <w:r>
              <w:rPr>
                <w:color w:val="2D2D2D"/>
                <w:sz w:val="19"/>
                <w:szCs w:val="19"/>
              </w:rPr>
              <w:t xml:space="preserve">Itemised choice is nice but CAC can still sink you. Density and organic loops beat ad spend.</w:t>
            </w:r>
          </w:p>
        </w:tc>
      </w:tr>
      <w:tr>
        <w:tc>
          <w:tcPr>
            <w:tcW w:type="dxa" w:w="1500"/>
            <w:shd w:fill="FFFFFF" w:color="auto" w:val="clear"/>
            <w:tcMar>
              <w:top w:type="dxa" w:w="60"/>
              <w:left w:type="dxa" w:w="110"/>
              <w:bottom w:type="dxa" w:w="60"/>
              <w:right w:type="dxa" w:w="110"/>
            </w:tcMar>
            <w:vAlign w:val="center"/>
          </w:tcPr>
          <w:p>
            <w:pPr>
              <w:spacing w:after="0" w:line="250"/>
            </w:pPr>
            <w:r>
              <w:rPr>
                <w:color w:val="2D2D2D"/>
                <w:sz w:val="19"/>
                <w:szCs w:val="19"/>
              </w:rPr>
              <w:t xml:space="preserve">Plenti</w:t>
            </w:r>
          </w:p>
        </w:tc>
        <w:tc>
          <w:tcPr>
            <w:tcW w:type="dxa" w:w="1500"/>
            <w:shd w:fill="FFFFFF" w:color="auto" w:val="clear"/>
            <w:tcMar>
              <w:top w:type="dxa" w:w="60"/>
              <w:left w:type="dxa" w:w="110"/>
              <w:bottom w:type="dxa" w:w="60"/>
              <w:right w:type="dxa" w:w="110"/>
            </w:tcMar>
            <w:vAlign w:val="center"/>
          </w:tcPr>
          <w:p>
            <w:pPr>
              <w:spacing w:after="0" w:line="250"/>
            </w:pPr>
            <w:r>
              <w:rPr>
                <w:color w:val="2D2D2D"/>
                <w:sz w:val="19"/>
                <w:szCs w:val="19"/>
              </w:rPr>
              <w:t xml:space="preserve">Kerala, India</w:t>
            </w:r>
          </w:p>
        </w:tc>
        <w:tc>
          <w:tcPr>
            <w:tcW w:type="dxa" w:w="3360"/>
            <w:shd w:fill="FFFFFF" w:color="auto" w:val="clear"/>
            <w:tcMar>
              <w:top w:type="dxa" w:w="60"/>
              <w:left w:type="dxa" w:w="110"/>
              <w:bottom w:type="dxa" w:w="60"/>
              <w:right w:type="dxa" w:w="110"/>
            </w:tcMar>
            <w:vAlign w:val="center"/>
          </w:tcPr>
          <w:p>
            <w:pPr>
              <w:spacing w:after="0" w:line="250"/>
            </w:pPr>
            <w:r>
              <w:rPr>
                <w:color w:val="2D2D2D"/>
                <w:sz w:val="19"/>
                <w:szCs w:val="19"/>
              </w:rPr>
              <w:t xml:space="preserve">100k+ users, 400+ vendors in ~6 months; bootstrapped; IIM-B incubation</w:t>
            </w:r>
          </w:p>
        </w:tc>
        <w:tc>
          <w:tcPr>
            <w:tcW w:type="dxa" w:w="3000"/>
            <w:shd w:fill="FFFFFF" w:color="auto" w:val="clear"/>
            <w:tcMar>
              <w:top w:type="dxa" w:w="60"/>
              <w:left w:type="dxa" w:w="110"/>
              <w:bottom w:type="dxa" w:w="60"/>
              <w:right w:type="dxa" w:w="110"/>
            </w:tcMar>
            <w:vAlign w:val="center"/>
          </w:tcPr>
          <w:p>
            <w:pPr>
              <w:spacing w:after="0" w:line="250"/>
            </w:pPr>
            <w:r>
              <w:rPr>
                <w:color w:val="2D2D2D"/>
                <w:sz w:val="19"/>
                <w:szCs w:val="19"/>
              </w:rPr>
              <w:t xml:space="preserve">Closest peer. Cracked trust with manual QC stickers (packed-time / best-before). Hyper-local word-of-mouth works in India.</w:t>
            </w:r>
          </w:p>
        </w:tc>
      </w:tr>
      <w:tr>
        <w:tc>
          <w:tcPr>
            <w:tcW w:type="dxa" w:w="1500"/>
            <w:shd w:fill="F5F5F5" w:color="auto" w:val="clear"/>
            <w:tcMar>
              <w:top w:type="dxa" w:w="60"/>
              <w:left w:type="dxa" w:w="110"/>
              <w:bottom w:type="dxa" w:w="60"/>
              <w:right w:type="dxa" w:w="110"/>
            </w:tcMar>
            <w:vAlign w:val="center"/>
          </w:tcPr>
          <w:p>
            <w:pPr>
              <w:spacing w:after="0" w:line="250"/>
            </w:pPr>
            <w:r>
              <w:rPr>
                <w:color w:val="2D2D2D"/>
                <w:sz w:val="19"/>
                <w:szCs w:val="19"/>
              </w:rPr>
              <w:t xml:space="preserve">Surokki</w:t>
            </w:r>
          </w:p>
        </w:tc>
        <w:tc>
          <w:tcPr>
            <w:tcW w:type="dxa" w:w="1500"/>
            <w:shd w:fill="F5F5F5" w:color="auto" w:val="clear"/>
            <w:tcMar>
              <w:top w:type="dxa" w:w="60"/>
              <w:left w:type="dxa" w:w="110"/>
              <w:bottom w:type="dxa" w:w="60"/>
              <w:right w:type="dxa" w:w="110"/>
            </w:tcMar>
            <w:vAlign w:val="center"/>
          </w:tcPr>
          <w:p>
            <w:pPr>
              <w:spacing w:after="0" w:line="250"/>
            </w:pPr>
            <w:r>
              <w:rPr>
                <w:color w:val="2D2D2D"/>
                <w:sz w:val="19"/>
                <w:szCs w:val="19"/>
              </w:rPr>
              <w:t xml:space="preserve">Bengaluru, India</w:t>
            </w:r>
          </w:p>
        </w:tc>
        <w:tc>
          <w:tcPr>
            <w:tcW w:type="dxa" w:w="3360"/>
            <w:shd w:fill="F5F5F5" w:color="auto" w:val="clear"/>
            <w:tcMar>
              <w:top w:type="dxa" w:w="60"/>
              <w:left w:type="dxa" w:w="110"/>
              <w:bottom w:type="dxa" w:w="60"/>
              <w:right w:type="dxa" w:w="110"/>
            </w:tcMar>
            <w:vAlign w:val="center"/>
          </w:tcPr>
          <w:p>
            <w:pPr>
              <w:spacing w:after="0" w:line="250"/>
            </w:pPr>
            <w:r>
              <w:rPr>
                <w:color w:val="2D2D2D"/>
                <w:sz w:val="19"/>
                <w:szCs w:val="19"/>
              </w:rPr>
              <w:t xml:space="preserve">~1,000 downloads, 12 partners; paused on capital constraints</w:t>
            </w:r>
          </w:p>
        </w:tc>
        <w:tc>
          <w:tcPr>
            <w:tcW w:type="dxa" w:w="3000"/>
            <w:shd w:fill="F5F5F5" w:color="auto" w:val="clear"/>
            <w:tcMar>
              <w:top w:type="dxa" w:w="60"/>
              <w:left w:type="dxa" w:w="110"/>
              <w:bottom w:type="dxa" w:w="60"/>
              <w:right w:type="dxa" w:w="110"/>
            </w:tcMar>
            <w:vAlign w:val="center"/>
          </w:tcPr>
          <w:p>
            <w:pPr>
              <w:spacing w:after="0" w:line="250"/>
            </w:pPr>
            <w:r>
              <w:rPr>
                <w:color w:val="2D2D2D"/>
                <w:sz w:val="19"/>
                <w:szCs w:val="19"/>
              </w:rPr>
              <w:t xml:space="preserve">Cautionary tale: a 100-day sprint without density or capital discipline stalls. Don’t buy vanity GMV.</w:t>
            </w:r>
          </w:p>
        </w:tc>
      </w:tr>
      <w:tr>
        <w:tc>
          <w:tcPr>
            <w:tcW w:type="dxa" w:w="1500"/>
            <w:shd w:fill="FFFFFF" w:color="auto" w:val="clear"/>
            <w:tcMar>
              <w:top w:type="dxa" w:w="60"/>
              <w:left w:type="dxa" w:w="110"/>
              <w:bottom w:type="dxa" w:w="60"/>
              <w:right w:type="dxa" w:w="110"/>
            </w:tcMar>
            <w:vAlign w:val="center"/>
          </w:tcPr>
          <w:p>
            <w:pPr>
              <w:spacing w:after="0" w:line="250"/>
            </w:pPr>
            <w:r>
              <w:rPr>
                <w:color w:val="2D2D2D"/>
                <w:sz w:val="19"/>
                <w:szCs w:val="19"/>
              </w:rPr>
              <w:t xml:space="preserve">Zomato Food Rescue</w:t>
            </w:r>
          </w:p>
        </w:tc>
        <w:tc>
          <w:tcPr>
            <w:tcW w:type="dxa" w:w="1500"/>
            <w:shd w:fill="FFFFFF" w:color="auto" w:val="clear"/>
            <w:tcMar>
              <w:top w:type="dxa" w:w="60"/>
              <w:left w:type="dxa" w:w="110"/>
              <w:bottom w:type="dxa" w:w="60"/>
              <w:right w:type="dxa" w:w="110"/>
            </w:tcMar>
            <w:vAlign w:val="center"/>
          </w:tcPr>
          <w:p>
            <w:pPr>
              <w:spacing w:after="0" w:line="250"/>
            </w:pPr>
            <w:r>
              <w:rPr>
                <w:color w:val="2D2D2D"/>
                <w:sz w:val="19"/>
                <w:szCs w:val="19"/>
              </w:rPr>
              <w:t xml:space="preserve">India (national)</w:t>
            </w:r>
          </w:p>
        </w:tc>
        <w:tc>
          <w:tcPr>
            <w:tcW w:type="dxa" w:w="3360"/>
            <w:shd w:fill="FFFFFF" w:color="auto" w:val="clear"/>
            <w:tcMar>
              <w:top w:type="dxa" w:w="60"/>
              <w:left w:type="dxa" w:w="110"/>
              <w:bottom w:type="dxa" w:w="60"/>
              <w:right w:type="dxa" w:w="110"/>
            </w:tcMar>
            <w:vAlign w:val="center"/>
          </w:tcPr>
          <w:p>
            <w:pPr>
              <w:spacing w:after="0" w:line="250"/>
            </w:pPr>
            <w:r>
              <w:rPr>
                <w:color w:val="2D2D2D"/>
                <w:sz w:val="19"/>
                <w:szCs w:val="19"/>
              </w:rPr>
              <w:t xml:space="preserve">Intercepts cancelled orders at steep discount to nearby users</w:t>
            </w:r>
          </w:p>
        </w:tc>
        <w:tc>
          <w:tcPr>
            <w:tcW w:type="dxa" w:w="3000"/>
            <w:shd w:fill="FFFFFF" w:color="auto" w:val="clear"/>
            <w:tcMar>
              <w:top w:type="dxa" w:w="60"/>
              <w:left w:type="dxa" w:w="110"/>
              <w:bottom w:type="dxa" w:w="60"/>
              <w:right w:type="dxa" w:w="110"/>
            </w:tcMar>
            <w:vAlign w:val="center"/>
          </w:tcPr>
          <w:p>
            <w:pPr>
              <w:spacing w:after="0" w:line="250"/>
            </w:pPr>
            <w:r>
              <w:rPr>
                <w:color w:val="2D2D2D"/>
                <w:sz w:val="19"/>
                <w:szCs w:val="19"/>
              </w:rPr>
              <w:t xml:space="preserve">The elephant. Consumers may not distinguish “discounted food on an app they trust.” We must own the premium-discovery wedge they can’t.</w:t>
            </w:r>
          </w:p>
        </w:tc>
      </w:tr>
    </w:tbl>
    <w:p>
      <w:pPr>
        <w:pStyle w:val="Heading2"/>
        <w:spacing w:after="120" w:before="260"/>
      </w:pPr>
      <w:r>
        <w:t xml:space="preserve">3.3 Lessons, distilled</w:t>
      </w:r>
    </w:p>
    <w:p>
      <w:pPr>
        <w:pStyle w:val="ListParagraph"/>
        <w:numPr>
          <w:ilvl w:val="0"/>
          <w:numId w:val="2"/>
        </w:numPr>
        <w:spacing w:after="70" w:line="264"/>
      </w:pPr>
      <w:r>
        <w:rPr>
          <w:b/>
          <w:bCs/>
          <w:sz w:val="21"/>
          <w:szCs w:val="21"/>
        </w:rPr>
        <w:t xml:space="preserve">The B2B pivot is where the money is. </w:t>
      </w:r>
      <w:r>
        <w:rPr>
          <w:sz w:val="21"/>
          <w:szCs w:val="21"/>
        </w:rPr>
        <w:t xml:space="preserve">OLIO and TGTG did not stabilise on micro-commissions — they did it on enterprise SaaS, waste analytics and ESG compliance. Treat Zayka Pro / ZaikaIQ as the eventual profit engine.</w:t>
      </w:r>
    </w:p>
    <w:p>
      <w:pPr>
        <w:pStyle w:val="ListParagraph"/>
        <w:numPr>
          <w:ilvl w:val="0"/>
          <w:numId w:val="2"/>
        </w:numPr>
        <w:spacing w:after="70" w:line="264"/>
      </w:pPr>
      <w:r>
        <w:rPr>
          <w:b/>
          <w:bCs/>
          <w:sz w:val="21"/>
          <w:szCs w:val="21"/>
        </w:rPr>
        <w:t xml:space="preserve">No-delivery is non-negotiable. </w:t>
      </w:r>
      <w:r>
        <w:rPr>
          <w:sz w:val="21"/>
          <w:szCs w:val="21"/>
        </w:rPr>
        <w:t xml:space="preserve">Every successful player enforces strict customer pickup. A rider wipes out the margin. (Already core to goZaika.)</w:t>
      </w:r>
    </w:p>
    <w:p>
      <w:pPr>
        <w:pStyle w:val="ListParagraph"/>
        <w:numPr>
          <w:ilvl w:val="0"/>
          <w:numId w:val="2"/>
        </w:numPr>
        <w:spacing w:after="70" w:line="264"/>
      </w:pPr>
      <w:r>
        <w:rPr>
          <w:b/>
          <w:bCs/>
          <w:sz w:val="21"/>
          <w:szCs w:val="21"/>
        </w:rPr>
        <w:t xml:space="preserve">The Plenti playbook solves trust operationally. </w:t>
      </w:r>
      <w:r>
        <w:rPr>
          <w:sz w:val="21"/>
          <w:szCs w:val="21"/>
        </w:rPr>
        <w:t xml:space="preserve">Manual QC stickers with packed-time and best-before beat branding for overcoming the “stale food” stigma. Bake this into the Bag Composition Matrix and packaging standards.</w:t>
      </w:r>
    </w:p>
    <w:p>
      <w:pPr>
        <w:pStyle w:val="ListParagraph"/>
        <w:numPr>
          <w:ilvl w:val="0"/>
          <w:numId w:val="2"/>
        </w:numPr>
        <w:spacing w:after="70" w:line="264"/>
      </w:pPr>
      <w:r>
        <w:rPr>
          <w:b/>
          <w:bCs/>
          <w:sz w:val="21"/>
          <w:szCs w:val="21"/>
        </w:rPr>
        <w:t xml:space="preserve">Low-touch kitchen ops or you churn. </w:t>
      </w:r>
      <w:r>
        <w:rPr>
          <w:sz w:val="21"/>
          <w:szCs w:val="21"/>
        </w:rPr>
        <w:t xml:space="preserve">If listing a bag takes more than ~30 seconds of staff time, partners stop. Favour set-and-forget schedules and minimal data entry.</w:t>
      </w:r>
    </w:p>
    <w:p>
      <w:pPr>
        <w:pStyle w:val="Heading2"/>
        <w:spacing w:after="120" w:before="260"/>
      </w:pPr>
      <w:r>
        <w:t xml:space="preserve">3.4 The Zomato counter-attack — and our wedge</w:t>
      </w:r>
    </w:p>
    <w:p>
      <w:pPr>
        <w:spacing w:after="120" w:before="0" w:line="276"/>
      </w:pPr>
      <w:r>
        <w:rPr>
          <w:color w:val="2D2D2D"/>
          <w:sz w:val="21"/>
          <w:szCs w:val="21"/>
        </w:rPr>
        <w:t xml:space="preserve">Zomato Food Rescue is the biggest single risk: it rides an app consumers already trust and an undifferentiated “discounted food” perception. goZaika does not win by being cheaper. It wins on the axis Zomato structurally will not occupy: premium-access discovery framed away from discounting, restaurant brand dignity (never “surplus” to the diner), hyper-local curated drops, and a CRM/conversion layer handed back to the restaurant. If goZaika ever competes on price, it loses to the incumbent’s balance sheet.</w:t>
      </w:r>
    </w:p>
    <w:p>
      <w:pPr>
        <w:pStyle w:val="Heading1"/>
        <w:spacing w:after="160" w:before="360"/>
      </w:pPr>
      <w:r>
        <w:t xml:space="preserve">Part IV — The Restaurant Value Proposition</w:t>
      </w:r>
    </w:p>
    <w:p>
      <w:pPr>
        <w:pStyle w:val="Heading2"/>
        <w:spacing w:after="120" w:before="260"/>
      </w:pPr>
      <w:r>
        <w:t xml:space="preserve">4.1 Reframe: from “commission cost” to “acquisition budget”</w:t>
      </w:r>
    </w:p>
    <w:p>
      <w:pPr>
        <w:spacing w:after="120" w:before="0" w:line="276"/>
      </w:pPr>
      <w:r>
        <w:rPr>
          <w:color w:val="2D2D2D"/>
          <w:sz w:val="21"/>
          <w:szCs w:val="21"/>
        </w:rPr>
        <w:t xml:space="preserve">Every restaurant-facing surface should speak the language of customer acquisition and brand showcase, not waste recovery. You spend ₹800–2,500 to acquire one new customer through an aggregator — and half never come back, and you own none of the data. goZaika is a third channel that introduces new, discerning diners to your kitchen at a fraction of that cost, with the customer relationship handed back to you.</w:t>
      </w:r>
    </w:p>
    <w:p>
      <w:pPr>
        <w:pStyle w:val="Heading2"/>
        <w:spacing w:after="120" w:before="260"/>
      </w:pPr>
      <w:r>
        <w:t xml:space="preserve">4.2 The four value buckets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3580"/>
        <w:gridCol w:w="3580"/>
      </w:tblGrid>
      <w:tr>
        <w:trPr>
          <w:tblHeader/>
        </w:trPr>
        <w:tc>
          <w:tcPr>
            <w:tcW w:type="dxa" w:w="220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Bucket</w:t>
            </w:r>
          </w:p>
        </w:tc>
        <w:tc>
          <w:tcPr>
            <w:tcW w:type="dxa" w:w="358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Mechanism</w:t>
            </w:r>
          </w:p>
        </w:tc>
        <w:tc>
          <w:tcPr>
            <w:tcW w:type="dxa" w:w="358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Operator note</w:t>
            </w:r>
          </w:p>
        </w:tc>
      </w:tr>
      <w:tr>
        <w:tc>
          <w:tcPr>
            <w:tcW w:type="dxa" w:w="2200"/>
            <w:shd w:fill="F5F5F5" w:color="auto" w:val="clear"/>
            <w:tcMar>
              <w:top w:type="dxa" w:w="60"/>
              <w:left w:type="dxa" w:w="110"/>
              <w:bottom w:type="dxa" w:w="60"/>
              <w:right w:type="dxa" w:w="110"/>
            </w:tcMar>
            <w:vAlign w:val="center"/>
          </w:tcPr>
          <w:p>
            <w:pPr>
              <w:spacing w:after="0" w:line="250"/>
            </w:pPr>
            <w:r>
              <w:rPr>
                <w:color w:val="2D2D2D"/>
                <w:sz w:val="19"/>
                <w:szCs w:val="19"/>
              </w:rPr>
              <w:t xml:space="preserve">New-customer acquisition</w:t>
            </w:r>
          </w:p>
        </w:tc>
        <w:tc>
          <w:tcPr>
            <w:tcW w:type="dxa" w:w="3580"/>
            <w:shd w:fill="F5F5F5" w:color="auto" w:val="clear"/>
            <w:tcMar>
              <w:top w:type="dxa" w:w="60"/>
              <w:left w:type="dxa" w:w="110"/>
              <w:bottom w:type="dxa" w:w="60"/>
              <w:right w:type="dxa" w:w="110"/>
            </w:tcMar>
            <w:vAlign w:val="center"/>
          </w:tcPr>
          <w:p>
            <w:pPr>
              <w:spacing w:after="0" w:line="250"/>
            </w:pPr>
            <w:r>
              <w:rPr>
                <w:color w:val="2D2D2D"/>
                <w:sz w:val="19"/>
                <w:szCs w:val="19"/>
              </w:rPr>
              <w:t xml:space="preserve">Introduce aspirational diners to the brand without menu-wide discounting</w:t>
            </w:r>
          </w:p>
        </w:tc>
        <w:tc>
          <w:tcPr>
            <w:tcW w:type="dxa" w:w="3580"/>
            <w:shd w:fill="F5F5F5" w:color="auto" w:val="clear"/>
            <w:tcMar>
              <w:top w:type="dxa" w:w="60"/>
              <w:left w:type="dxa" w:w="110"/>
              <w:bottom w:type="dxa" w:w="60"/>
              <w:right w:type="dxa" w:w="110"/>
            </w:tcMar>
            <w:vAlign w:val="center"/>
          </w:tcPr>
          <w:p>
            <w:pPr>
              <w:spacing w:after="0" w:line="250"/>
            </w:pPr>
            <w:r>
              <w:rPr>
                <w:color w:val="2D2D2D"/>
                <w:sz w:val="19"/>
                <w:szCs w:val="19"/>
              </w:rPr>
              <w:t xml:space="preserve">Primary pitch. Track first-time-diner flag + 60-day full-price conversion (Part II).</w:t>
            </w:r>
          </w:p>
        </w:tc>
      </w:tr>
      <w:tr>
        <w:tc>
          <w:tcPr>
            <w:tcW w:type="dxa" w:w="2200"/>
            <w:shd w:fill="FFFFFF" w:color="auto" w:val="clear"/>
            <w:tcMar>
              <w:top w:type="dxa" w:w="60"/>
              <w:left w:type="dxa" w:w="110"/>
              <w:bottom w:type="dxa" w:w="60"/>
              <w:right w:type="dxa" w:w="110"/>
            </w:tcMar>
            <w:vAlign w:val="center"/>
          </w:tcPr>
          <w:p>
            <w:pPr>
              <w:spacing w:after="0" w:line="250"/>
            </w:pPr>
            <w:r>
              <w:rPr>
                <w:color w:val="2D2D2D"/>
                <w:sz w:val="19"/>
                <w:szCs w:val="19"/>
              </w:rPr>
              <w:t xml:space="preserve">Pickup-time attach sales</w:t>
            </w:r>
          </w:p>
        </w:tc>
        <w:tc>
          <w:tcPr>
            <w:tcW w:type="dxa" w:w="3580"/>
            <w:shd w:fill="FFFFFF" w:color="auto" w:val="clear"/>
            <w:tcMar>
              <w:top w:type="dxa" w:w="60"/>
              <w:left w:type="dxa" w:w="110"/>
              <w:bottom w:type="dxa" w:w="60"/>
              <w:right w:type="dxa" w:w="110"/>
            </w:tcMar>
            <w:vAlign w:val="center"/>
          </w:tcPr>
          <w:p>
            <w:pPr>
              <w:spacing w:after="0" w:line="250"/>
            </w:pPr>
            <w:r>
              <w:rPr>
                <w:color w:val="2D2D2D"/>
                <w:sz w:val="19"/>
                <w:szCs w:val="19"/>
              </w:rPr>
              <w:t xml:space="preserve">Dessert, beverage, bread, add-ons at the counter during collection</w:t>
            </w:r>
          </w:p>
        </w:tc>
        <w:tc>
          <w:tcPr>
            <w:tcW w:type="dxa" w:w="3580"/>
            <w:shd w:fill="FFFFFF" w:color="auto" w:val="clear"/>
            <w:tcMar>
              <w:top w:type="dxa" w:w="60"/>
              <w:left w:type="dxa" w:w="110"/>
              <w:bottom w:type="dxa" w:w="60"/>
              <w:right w:type="dxa" w:w="110"/>
            </w:tcMar>
            <w:vAlign w:val="center"/>
          </w:tcPr>
          <w:p>
            <w:pPr>
              <w:spacing w:after="0" w:line="250"/>
            </w:pPr>
            <w:r>
              <w:rPr>
                <w:color w:val="2D2D2D"/>
                <w:sz w:val="19"/>
                <w:szCs w:val="19"/>
              </w:rPr>
              <w:t xml:space="preserve">TGTG: 41% buy add-ons at pickup. Train staff; one frictionless attach offer.</w:t>
            </w:r>
          </w:p>
        </w:tc>
      </w:tr>
      <w:tr>
        <w:tc>
          <w:tcPr>
            <w:tcW w:type="dxa" w:w="2200"/>
            <w:shd w:fill="F5F5F5" w:color="auto" w:val="clear"/>
            <w:tcMar>
              <w:top w:type="dxa" w:w="60"/>
              <w:left w:type="dxa" w:w="110"/>
              <w:bottom w:type="dxa" w:w="60"/>
              <w:right w:type="dxa" w:w="110"/>
            </w:tcMar>
            <w:vAlign w:val="center"/>
          </w:tcPr>
          <w:p>
            <w:pPr>
              <w:spacing w:after="0" w:line="250"/>
            </w:pPr>
            <w:r>
              <w:rPr>
                <w:color w:val="2D2D2D"/>
                <w:sz w:val="19"/>
                <w:szCs w:val="19"/>
              </w:rPr>
              <w:t xml:space="preserve">Owned customer data</w:t>
            </w:r>
          </w:p>
        </w:tc>
        <w:tc>
          <w:tcPr>
            <w:tcW w:type="dxa" w:w="3580"/>
            <w:shd w:fill="F5F5F5" w:color="auto" w:val="clear"/>
            <w:tcMar>
              <w:top w:type="dxa" w:w="60"/>
              <w:left w:type="dxa" w:w="110"/>
              <w:bottom w:type="dxa" w:w="60"/>
              <w:right w:type="dxa" w:w="110"/>
            </w:tcMar>
            <w:vAlign w:val="center"/>
          </w:tcPr>
          <w:p>
            <w:pPr>
              <w:spacing w:after="0" w:line="250"/>
            </w:pPr>
            <w:r>
              <w:rPr>
                <w:color w:val="2D2D2D"/>
                <w:sz w:val="19"/>
                <w:szCs w:val="19"/>
              </w:rPr>
              <w:t xml:space="preserve">A demand + repeat cohort entirely outside aggregator channels</w:t>
            </w:r>
          </w:p>
        </w:tc>
        <w:tc>
          <w:tcPr>
            <w:tcW w:type="dxa" w:w="3580"/>
            <w:shd w:fill="F5F5F5" w:color="auto" w:val="clear"/>
            <w:tcMar>
              <w:top w:type="dxa" w:w="60"/>
              <w:left w:type="dxa" w:w="110"/>
              <w:bottom w:type="dxa" w:w="60"/>
              <w:right w:type="dxa" w:w="110"/>
            </w:tcMar>
            <w:vAlign w:val="center"/>
          </w:tcPr>
          <w:p>
            <w:pPr>
              <w:spacing w:after="0" w:line="250"/>
            </w:pPr>
            <w:r>
              <w:rPr>
                <w:color w:val="2D2D2D"/>
                <w:sz w:val="19"/>
                <w:szCs w:val="19"/>
              </w:rPr>
              <w:t xml:space="preserve">Monthly CRM report from Day 1 of Zayka Pro. The data is the moat.</w:t>
            </w:r>
          </w:p>
        </w:tc>
      </w:tr>
      <w:tr>
        <w:tc>
          <w:tcPr>
            <w:tcW w:type="dxa" w:w="2200"/>
            <w:shd w:fill="FFFFFF" w:color="auto" w:val="clear"/>
            <w:tcMar>
              <w:top w:type="dxa" w:w="60"/>
              <w:left w:type="dxa" w:w="110"/>
              <w:bottom w:type="dxa" w:w="60"/>
              <w:right w:type="dxa" w:w="110"/>
            </w:tcMar>
            <w:vAlign w:val="center"/>
          </w:tcPr>
          <w:p>
            <w:pPr>
              <w:spacing w:after="0" w:line="250"/>
            </w:pPr>
            <w:r>
              <w:rPr>
                <w:color w:val="2D2D2D"/>
                <w:sz w:val="19"/>
                <w:szCs w:val="19"/>
              </w:rPr>
              <w:t xml:space="preserve">Cash &amp; margin recovery</w:t>
            </w:r>
          </w:p>
        </w:tc>
        <w:tc>
          <w:tcPr>
            <w:tcW w:type="dxa" w:w="3580"/>
            <w:shd w:fill="FFFFFF" w:color="auto" w:val="clear"/>
            <w:tcMar>
              <w:top w:type="dxa" w:w="60"/>
              <w:left w:type="dxa" w:w="110"/>
              <w:bottom w:type="dxa" w:w="60"/>
              <w:right w:type="dxa" w:w="110"/>
            </w:tcMar>
            <w:vAlign w:val="center"/>
          </w:tcPr>
          <w:p>
            <w:pPr>
              <w:spacing w:after="0" w:line="250"/>
            </w:pPr>
            <w:r>
              <w:rPr>
                <w:color w:val="2D2D2D"/>
                <w:sz w:val="19"/>
                <w:szCs w:val="19"/>
              </w:rPr>
              <w:t xml:space="preserve">Monetise slack-hour and surplus prep that would otherwise be wasted</w:t>
            </w:r>
          </w:p>
        </w:tc>
        <w:tc>
          <w:tcPr>
            <w:tcW w:type="dxa" w:w="3580"/>
            <w:shd w:fill="FFFFFF" w:color="auto" w:val="clear"/>
            <w:tcMar>
              <w:top w:type="dxa" w:w="60"/>
              <w:left w:type="dxa" w:w="110"/>
              <w:bottom w:type="dxa" w:w="60"/>
              <w:right w:type="dxa" w:w="110"/>
            </w:tcMar>
            <w:vAlign w:val="center"/>
          </w:tcPr>
          <w:p>
            <w:pPr>
              <w:spacing w:after="0" w:line="250"/>
            </w:pPr>
            <w:r>
              <w:rPr>
                <w:color w:val="2D2D2D"/>
                <w:sz w:val="19"/>
                <w:szCs w:val="19"/>
              </w:rPr>
              <w:t xml:space="preserve">Framed internally only as contribution recovery — never to the consumer.</w:t>
            </w:r>
          </w:p>
        </w:tc>
      </w:tr>
    </w:tbl>
    <w:p>
      <w:pPr>
        <w:pStyle w:val="Heading2"/>
        <w:spacing w:after="120" w:before="260"/>
      </w:pPr>
      <w:r>
        <w:t xml:space="preserve">4.3 Zero-cannibalisation architecture</w:t>
      </w:r>
    </w:p>
    <w:p>
      <w:pPr>
        <w:pStyle w:val="ListParagraph"/>
        <w:numPr>
          <w:ilvl w:val="0"/>
          <w:numId w:val="2"/>
        </w:numPr>
        <w:spacing w:after="70" w:line="264"/>
      </w:pPr>
      <w:r>
        <w:rPr>
          <w:color w:val="2D2D2D"/>
          <w:sz w:val="21"/>
          <w:szCs w:val="21"/>
        </w:rPr>
        <w:t xml:space="preserve">Contents disclosed at allergen-category level only (Dairy / Gluten / Nuts) — never specific dishes.</w:t>
      </w:r>
    </w:p>
    <w:p>
      <w:pPr>
        <w:pStyle w:val="ListParagraph"/>
        <w:numPr>
          <w:ilvl w:val="0"/>
          <w:numId w:val="2"/>
        </w:numPr>
        <w:spacing w:after="70" w:line="264"/>
      </w:pPr>
      <w:r>
        <w:rPr>
          <w:color w:val="2D2D2D"/>
          <w:sz w:val="21"/>
          <w:szCs w:val="21"/>
        </w:rPr>
        <w:t xml:space="preserve">Pickup-only, never delivery — no overlap with dine-in or aggregator orders.</w:t>
      </w:r>
    </w:p>
    <w:p>
      <w:pPr>
        <w:pStyle w:val="ListParagraph"/>
        <w:numPr>
          <w:ilvl w:val="0"/>
          <w:numId w:val="2"/>
        </w:numPr>
        <w:spacing w:after="70" w:line="264"/>
      </w:pPr>
      <w:r>
        <w:rPr>
          <w:color w:val="2D2D2D"/>
          <w:sz w:val="21"/>
          <w:szCs w:val="21"/>
        </w:rPr>
        <w:t xml:space="preserve">Quantity capped (e.g. ~10 bags/day per restaurant) — scarcity reinforces brand premium.</w:t>
      </w:r>
    </w:p>
    <w:p>
      <w:pPr>
        <w:pStyle w:val="ListParagraph"/>
        <w:numPr>
          <w:ilvl w:val="0"/>
          <w:numId w:val="2"/>
        </w:numPr>
        <w:spacing w:after="70" w:line="264"/>
      </w:pPr>
      <w:r>
        <w:rPr>
          <w:color w:val="2D2D2D"/>
          <w:sz w:val="21"/>
          <w:szCs w:val="21"/>
        </w:rPr>
        <w:t xml:space="preserve">No goZaika price ever shown on the restaurant’s menu boards or public price lists.</w:t>
      </w:r>
    </w:p>
    <w:p>
      <w:pPr>
        <w:pStyle w:val="ListParagraph"/>
        <w:numPr>
          <w:ilvl w:val="0"/>
          <w:numId w:val="2"/>
        </w:numPr>
        <w:spacing w:after="70" w:line="264"/>
      </w:pPr>
      <w:r>
        <w:rPr>
          <w:color w:val="2D2D2D"/>
          <w:sz w:val="21"/>
          <w:szCs w:val="21"/>
        </w:rPr>
        <w:t xml:space="preserve">Narrow time windows (e.g. 6–8 PM) keep drops separate from regular service.</w:t>
      </w:r>
    </w:p>
    <w:tbl>
      <w:tblPr>
        <w:tblW w:type="dxa" w:w="9360"/>
        <w:tblBorders>
          <w:top w:val="single" w:color="1A5C38" w:sz="1"/>
          <w:left w:val="single" w:color="1A5C38" w:sz="18"/>
          <w:bottom w:val="single" w:color="1A5C38" w:sz="1"/>
          <w:right w:val="single" w:color="1A5C38" w:sz="1"/>
          <w:insideH w:val="single" w:color="auto" w:sz="4"/>
          <w:insideV w:val="single" w:color="auto" w:sz="4"/>
        </w:tblBorders>
      </w:tblPr>
      <w:tblGrid>
        <w:gridCol w:w="9360"/>
      </w:tblGrid>
      <w:tr>
        <w:tc>
          <w:tcPr>
            <w:tcW w:type="dxa" w:w="9360"/>
            <w:shd w:fill="EAF3DE" w:color="auto" w:val="clear"/>
            <w:tcMar>
              <w:top w:type="dxa" w:w="120"/>
              <w:left w:type="dxa" w:w="180"/>
              <w:bottom w:type="dxa" w:w="120"/>
              <w:right w:type="dxa" w:w="160"/>
            </w:tcMar>
          </w:tcPr>
          <w:p>
            <w:pPr>
              <w:spacing w:after="80"/>
            </w:pPr>
            <w:r>
              <w:rPr>
                <w:b/>
                <w:bCs/>
                <w:color w:val="1A5C38"/>
                <w:sz w:val="21"/>
                <w:szCs w:val="21"/>
              </w:rPr>
              <w:t xml:space="preserve">Cannibalisation assurance (verbatim for the for-restaurants page)</w:t>
            </w:r>
          </w:p>
          <w:p>
            <w:pPr>
              <w:spacing w:after="0" w:line="264"/>
            </w:pPr>
            <w:r>
              <w:rPr>
                <w:color w:val="2D2D2D"/>
                <w:sz w:val="20"/>
                <w:szCs w:val="20"/>
              </w:rPr>
              <w:t xml:space="preserve">BAM Bags are a separate, off-menu drop, claimed in advance for a pickup window you set. They do not appear on Zomato or Swiggy, do not displace walk-in covers, and create incremental demand from a new segment — the food-curious professional looking for a quality evening pickup. You can pause or stop drops at any time: no lock-in, no forced volume.</w:t>
            </w:r>
          </w:p>
        </w:tc>
      </w:tr>
    </w:tbl>
    <w:p>
      <w:pPr>
        <w:pStyle w:val="Heading1"/>
        <w:spacing w:after="160" w:before="360"/>
      </w:pPr>
      <w:r>
        <w:t xml:space="preserve">Part V — Financial Model &amp; Unit Economics</w:t>
      </w:r>
    </w:p>
    <w:p>
      <w:pPr>
        <w:spacing w:after="120" w:before="0" w:line="276"/>
      </w:pPr>
      <w:r>
        <w:rPr>
          <w:i/>
          <w:iCs/>
          <w:color w:val="666666"/>
          <w:sz w:val="21"/>
          <w:szCs w:val="21"/>
        </w:rPr>
        <w:t xml:space="preserve">Carried forward from v3 unchanged in structure. Assumptions: 26 operating days/month; phased commission 15% (post-pilot); payment processing 2%; packaging ₹22/bag; incremental labour ₹18/bag; cross-sell ₹65 at 30% attach.</w:t>
      </w:r>
    </w:p>
    <w:p>
      <w:pPr>
        <w:pStyle w:val="Heading2"/>
        <w:spacing w:after="120" w:before="260"/>
      </w:pPr>
      <w:r>
        <w:t xml:space="preserve">5.1 Single-outlet three-scenario model</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060"/>
        <w:gridCol w:w="2100"/>
        <w:gridCol w:w="2100"/>
        <w:gridCol w:w="2100"/>
      </w:tblGrid>
      <w:tr>
        <w:trPr>
          <w:tblHeader/>
        </w:trPr>
        <w:tc>
          <w:tcPr>
            <w:tcW w:type="dxa" w:w="306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Metric</w:t>
            </w:r>
          </w:p>
        </w:tc>
        <w:tc>
          <w:tcPr>
            <w:tcW w:type="dxa" w:w="210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Low</w:t>
            </w:r>
          </w:p>
        </w:tc>
        <w:tc>
          <w:tcPr>
            <w:tcW w:type="dxa" w:w="210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Base</w:t>
            </w:r>
          </w:p>
        </w:tc>
        <w:tc>
          <w:tcPr>
            <w:tcW w:type="dxa" w:w="210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High</w:t>
            </w:r>
          </w:p>
        </w:tc>
      </w:tr>
      <w:tr>
        <w:tc>
          <w:tcPr>
            <w:tcW w:type="dxa" w:w="3060"/>
            <w:shd w:fill="F5F5F5" w:color="auto" w:val="clear"/>
            <w:tcMar>
              <w:top w:type="dxa" w:w="60"/>
              <w:left w:type="dxa" w:w="110"/>
              <w:bottom w:type="dxa" w:w="60"/>
              <w:right w:type="dxa" w:w="110"/>
            </w:tcMar>
            <w:vAlign w:val="center"/>
          </w:tcPr>
          <w:p>
            <w:pPr>
              <w:spacing w:after="0" w:line="250"/>
            </w:pPr>
            <w:r>
              <w:rPr>
                <w:color w:val="2D2D2D"/>
                <w:sz w:val="19"/>
                <w:szCs w:val="19"/>
              </w:rPr>
              <w:t xml:space="preserve">Bags listed / day</w:t>
            </w:r>
          </w:p>
        </w:tc>
        <w:tc>
          <w:tcPr>
            <w:tcW w:type="dxa" w:w="2100"/>
            <w:shd w:fill="F5F5F5" w:color="auto" w:val="clear"/>
            <w:tcMar>
              <w:top w:type="dxa" w:w="60"/>
              <w:left w:type="dxa" w:w="110"/>
              <w:bottom w:type="dxa" w:w="60"/>
              <w:right w:type="dxa" w:w="110"/>
            </w:tcMar>
            <w:vAlign w:val="center"/>
          </w:tcPr>
          <w:p>
            <w:pPr>
              <w:spacing w:after="0" w:line="250"/>
            </w:pPr>
            <w:r>
              <w:rPr>
                <w:color w:val="2D2D2D"/>
                <w:sz w:val="19"/>
                <w:szCs w:val="19"/>
              </w:rPr>
              <w:t xml:space="preserve">3</w:t>
            </w:r>
          </w:p>
        </w:tc>
        <w:tc>
          <w:tcPr>
            <w:tcW w:type="dxa" w:w="2100"/>
            <w:shd w:fill="F5F5F5" w:color="auto" w:val="clear"/>
            <w:tcMar>
              <w:top w:type="dxa" w:w="60"/>
              <w:left w:type="dxa" w:w="110"/>
              <w:bottom w:type="dxa" w:w="60"/>
              <w:right w:type="dxa" w:w="110"/>
            </w:tcMar>
            <w:vAlign w:val="center"/>
          </w:tcPr>
          <w:p>
            <w:pPr>
              <w:spacing w:after="0" w:line="250"/>
            </w:pPr>
            <w:r>
              <w:rPr>
                <w:color w:val="2D2D2D"/>
                <w:sz w:val="19"/>
                <w:szCs w:val="19"/>
              </w:rPr>
              <w:t xml:space="preserve">7</w:t>
            </w:r>
          </w:p>
        </w:tc>
        <w:tc>
          <w:tcPr>
            <w:tcW w:type="dxa" w:w="2100"/>
            <w:shd w:fill="F5F5F5" w:color="auto" w:val="clear"/>
            <w:tcMar>
              <w:top w:type="dxa" w:w="60"/>
              <w:left w:type="dxa" w:w="110"/>
              <w:bottom w:type="dxa" w:w="60"/>
              <w:right w:type="dxa" w:w="110"/>
            </w:tcMar>
            <w:vAlign w:val="center"/>
          </w:tcPr>
          <w:p>
            <w:pPr>
              <w:spacing w:after="0" w:line="250"/>
            </w:pPr>
            <w:r>
              <w:rPr>
                <w:color w:val="2D2D2D"/>
                <w:sz w:val="19"/>
                <w:szCs w:val="19"/>
              </w:rPr>
              <w:t xml:space="preserve">12</w:t>
            </w:r>
          </w:p>
        </w:tc>
      </w:tr>
      <w:tr>
        <w:tc>
          <w:tcPr>
            <w:tcW w:type="dxa" w:w="3060"/>
            <w:shd w:fill="FFFFFF" w:color="auto" w:val="clear"/>
            <w:tcMar>
              <w:top w:type="dxa" w:w="60"/>
              <w:left w:type="dxa" w:w="110"/>
              <w:bottom w:type="dxa" w:w="60"/>
              <w:right w:type="dxa" w:w="110"/>
            </w:tcMar>
            <w:vAlign w:val="center"/>
          </w:tcPr>
          <w:p>
            <w:pPr>
              <w:spacing w:after="0" w:line="250"/>
            </w:pPr>
            <w:r>
              <w:rPr>
                <w:color w:val="2D2D2D"/>
                <w:sz w:val="19"/>
                <w:szCs w:val="19"/>
              </w:rPr>
              <w:t xml:space="preserve">Sell-through rate</w:t>
            </w:r>
          </w:p>
        </w:tc>
        <w:tc>
          <w:tcPr>
            <w:tcW w:type="dxa" w:w="2100"/>
            <w:shd w:fill="FFFFFF" w:color="auto" w:val="clear"/>
            <w:tcMar>
              <w:top w:type="dxa" w:w="60"/>
              <w:left w:type="dxa" w:w="110"/>
              <w:bottom w:type="dxa" w:w="60"/>
              <w:right w:type="dxa" w:w="110"/>
            </w:tcMar>
            <w:vAlign w:val="center"/>
          </w:tcPr>
          <w:p>
            <w:pPr>
              <w:spacing w:after="0" w:line="250"/>
            </w:pPr>
            <w:r>
              <w:rPr>
                <w:color w:val="2D2D2D"/>
                <w:sz w:val="19"/>
                <w:szCs w:val="19"/>
              </w:rPr>
              <w:t xml:space="preserve">65%</w:t>
            </w:r>
          </w:p>
        </w:tc>
        <w:tc>
          <w:tcPr>
            <w:tcW w:type="dxa" w:w="2100"/>
            <w:shd w:fill="FFFFFF" w:color="auto" w:val="clear"/>
            <w:tcMar>
              <w:top w:type="dxa" w:w="60"/>
              <w:left w:type="dxa" w:w="110"/>
              <w:bottom w:type="dxa" w:w="60"/>
              <w:right w:type="dxa" w:w="110"/>
            </w:tcMar>
            <w:vAlign w:val="center"/>
          </w:tcPr>
          <w:p>
            <w:pPr>
              <w:spacing w:after="0" w:line="250"/>
            </w:pPr>
            <w:r>
              <w:rPr>
                <w:color w:val="2D2D2D"/>
                <w:sz w:val="19"/>
                <w:szCs w:val="19"/>
              </w:rPr>
              <w:t xml:space="preserve">72%</w:t>
            </w:r>
          </w:p>
        </w:tc>
        <w:tc>
          <w:tcPr>
            <w:tcW w:type="dxa" w:w="2100"/>
            <w:shd w:fill="FFFFFF" w:color="auto" w:val="clear"/>
            <w:tcMar>
              <w:top w:type="dxa" w:w="60"/>
              <w:left w:type="dxa" w:w="110"/>
              <w:bottom w:type="dxa" w:w="60"/>
              <w:right w:type="dxa" w:w="110"/>
            </w:tcMar>
            <w:vAlign w:val="center"/>
          </w:tcPr>
          <w:p>
            <w:pPr>
              <w:spacing w:after="0" w:line="250"/>
            </w:pPr>
            <w:r>
              <w:rPr>
                <w:color w:val="2D2D2D"/>
                <w:sz w:val="19"/>
                <w:szCs w:val="19"/>
              </w:rPr>
              <w:t xml:space="preserve">80%</w:t>
            </w:r>
          </w:p>
        </w:tc>
      </w:tr>
      <w:tr>
        <w:tc>
          <w:tcPr>
            <w:tcW w:type="dxa" w:w="3060"/>
            <w:shd w:fill="F5F5F5" w:color="auto" w:val="clear"/>
            <w:tcMar>
              <w:top w:type="dxa" w:w="60"/>
              <w:left w:type="dxa" w:w="110"/>
              <w:bottom w:type="dxa" w:w="60"/>
              <w:right w:type="dxa" w:w="110"/>
            </w:tcMar>
            <w:vAlign w:val="center"/>
          </w:tcPr>
          <w:p>
            <w:pPr>
              <w:spacing w:after="0" w:line="250"/>
            </w:pPr>
            <w:r>
              <w:rPr>
                <w:color w:val="2D2D2D"/>
                <w:sz w:val="19"/>
                <w:szCs w:val="19"/>
              </w:rPr>
              <w:t xml:space="preserve">Bags sold / month</w:t>
            </w:r>
          </w:p>
        </w:tc>
        <w:tc>
          <w:tcPr>
            <w:tcW w:type="dxa" w:w="2100"/>
            <w:shd w:fill="F5F5F5" w:color="auto" w:val="clear"/>
            <w:tcMar>
              <w:top w:type="dxa" w:w="60"/>
              <w:left w:type="dxa" w:w="110"/>
              <w:bottom w:type="dxa" w:w="60"/>
              <w:right w:type="dxa" w:w="110"/>
            </w:tcMar>
            <w:vAlign w:val="center"/>
          </w:tcPr>
          <w:p>
            <w:pPr>
              <w:spacing w:after="0" w:line="250"/>
            </w:pPr>
            <w:r>
              <w:rPr>
                <w:color w:val="2D2D2D"/>
                <w:sz w:val="19"/>
                <w:szCs w:val="19"/>
              </w:rPr>
              <w:t xml:space="preserve">51</w:t>
            </w:r>
          </w:p>
        </w:tc>
        <w:tc>
          <w:tcPr>
            <w:tcW w:type="dxa" w:w="2100"/>
            <w:shd w:fill="F5F5F5" w:color="auto" w:val="clear"/>
            <w:tcMar>
              <w:top w:type="dxa" w:w="60"/>
              <w:left w:type="dxa" w:w="110"/>
              <w:bottom w:type="dxa" w:w="60"/>
              <w:right w:type="dxa" w:w="110"/>
            </w:tcMar>
            <w:vAlign w:val="center"/>
          </w:tcPr>
          <w:p>
            <w:pPr>
              <w:spacing w:after="0" w:line="250"/>
            </w:pPr>
            <w:r>
              <w:rPr>
                <w:color w:val="2D2D2D"/>
                <w:sz w:val="19"/>
                <w:szCs w:val="19"/>
              </w:rPr>
              <w:t xml:space="preserve">131</w:t>
            </w:r>
          </w:p>
        </w:tc>
        <w:tc>
          <w:tcPr>
            <w:tcW w:type="dxa" w:w="2100"/>
            <w:shd w:fill="F5F5F5" w:color="auto" w:val="clear"/>
            <w:tcMar>
              <w:top w:type="dxa" w:w="60"/>
              <w:left w:type="dxa" w:w="110"/>
              <w:bottom w:type="dxa" w:w="60"/>
              <w:right w:type="dxa" w:w="110"/>
            </w:tcMar>
            <w:vAlign w:val="center"/>
          </w:tcPr>
          <w:p>
            <w:pPr>
              <w:spacing w:after="0" w:line="250"/>
            </w:pPr>
            <w:r>
              <w:rPr>
                <w:color w:val="2D2D2D"/>
                <w:sz w:val="19"/>
                <w:szCs w:val="19"/>
              </w:rPr>
              <w:t xml:space="preserve">250</w:t>
            </w:r>
          </w:p>
        </w:tc>
      </w:tr>
      <w:tr>
        <w:tc>
          <w:tcPr>
            <w:tcW w:type="dxa" w:w="3060"/>
            <w:shd w:fill="FFFFFF" w:color="auto" w:val="clear"/>
            <w:tcMar>
              <w:top w:type="dxa" w:w="60"/>
              <w:left w:type="dxa" w:w="110"/>
              <w:bottom w:type="dxa" w:w="60"/>
              <w:right w:type="dxa" w:w="110"/>
            </w:tcMar>
            <w:vAlign w:val="center"/>
          </w:tcPr>
          <w:p>
            <w:pPr>
              <w:spacing w:after="0" w:line="250"/>
            </w:pPr>
            <w:r>
              <w:rPr>
                <w:color w:val="2D2D2D"/>
                <w:sz w:val="19"/>
                <w:szCs w:val="19"/>
              </w:rPr>
              <w:t xml:space="preserve">Average bag price</w:t>
            </w:r>
          </w:p>
        </w:tc>
        <w:tc>
          <w:tcPr>
            <w:tcW w:type="dxa" w:w="2100"/>
            <w:shd w:fill="FFFFFF" w:color="auto" w:val="clear"/>
            <w:tcMar>
              <w:top w:type="dxa" w:w="60"/>
              <w:left w:type="dxa" w:w="110"/>
              <w:bottom w:type="dxa" w:w="60"/>
              <w:right w:type="dxa" w:w="110"/>
            </w:tcMar>
            <w:vAlign w:val="center"/>
          </w:tcPr>
          <w:p>
            <w:pPr>
              <w:spacing w:after="0" w:line="250"/>
            </w:pPr>
            <w:r>
              <w:rPr>
                <w:color w:val="2D2D2D"/>
                <w:sz w:val="19"/>
                <w:szCs w:val="19"/>
              </w:rPr>
              <w:t xml:space="preserve">₹299</w:t>
            </w:r>
          </w:p>
        </w:tc>
        <w:tc>
          <w:tcPr>
            <w:tcW w:type="dxa" w:w="2100"/>
            <w:shd w:fill="FFFFFF" w:color="auto" w:val="clear"/>
            <w:tcMar>
              <w:top w:type="dxa" w:w="60"/>
              <w:left w:type="dxa" w:w="110"/>
              <w:bottom w:type="dxa" w:w="60"/>
              <w:right w:type="dxa" w:w="110"/>
            </w:tcMar>
            <w:vAlign w:val="center"/>
          </w:tcPr>
          <w:p>
            <w:pPr>
              <w:spacing w:after="0" w:line="250"/>
            </w:pPr>
            <w:r>
              <w:rPr>
                <w:color w:val="2D2D2D"/>
                <w:sz w:val="19"/>
                <w:szCs w:val="19"/>
              </w:rPr>
              <w:t xml:space="preserve">₹349</w:t>
            </w:r>
          </w:p>
        </w:tc>
        <w:tc>
          <w:tcPr>
            <w:tcW w:type="dxa" w:w="2100"/>
            <w:shd w:fill="FFFFFF" w:color="auto" w:val="clear"/>
            <w:tcMar>
              <w:top w:type="dxa" w:w="60"/>
              <w:left w:type="dxa" w:w="110"/>
              <w:bottom w:type="dxa" w:w="60"/>
              <w:right w:type="dxa" w:w="110"/>
            </w:tcMar>
            <w:vAlign w:val="center"/>
          </w:tcPr>
          <w:p>
            <w:pPr>
              <w:spacing w:after="0" w:line="250"/>
            </w:pPr>
            <w:r>
              <w:rPr>
                <w:color w:val="2D2D2D"/>
                <w:sz w:val="19"/>
                <w:szCs w:val="19"/>
              </w:rPr>
              <w:t xml:space="preserve">₹399</w:t>
            </w:r>
          </w:p>
        </w:tc>
      </w:tr>
      <w:tr>
        <w:tc>
          <w:tcPr>
            <w:tcW w:type="dxa" w:w="3060"/>
            <w:shd w:fill="F5F5F5" w:color="auto" w:val="clear"/>
            <w:tcMar>
              <w:top w:type="dxa" w:w="60"/>
              <w:left w:type="dxa" w:w="110"/>
              <w:bottom w:type="dxa" w:w="60"/>
              <w:right w:type="dxa" w:w="110"/>
            </w:tcMar>
            <w:vAlign w:val="center"/>
          </w:tcPr>
          <w:p>
            <w:pPr>
              <w:spacing w:after="0" w:line="250"/>
            </w:pPr>
            <w:r>
              <w:rPr>
                <w:color w:val="2D2D2D"/>
                <w:sz w:val="19"/>
                <w:szCs w:val="19"/>
              </w:rPr>
              <w:t xml:space="preserve">Bag GMV (monthly)</w:t>
            </w:r>
          </w:p>
        </w:tc>
        <w:tc>
          <w:tcPr>
            <w:tcW w:type="dxa" w:w="2100"/>
            <w:shd w:fill="F5F5F5" w:color="auto" w:val="clear"/>
            <w:tcMar>
              <w:top w:type="dxa" w:w="60"/>
              <w:left w:type="dxa" w:w="110"/>
              <w:bottom w:type="dxa" w:w="60"/>
              <w:right w:type="dxa" w:w="110"/>
            </w:tcMar>
            <w:vAlign w:val="center"/>
          </w:tcPr>
          <w:p>
            <w:pPr>
              <w:spacing w:after="0" w:line="250"/>
            </w:pPr>
            <w:r>
              <w:rPr>
                <w:color w:val="2D2D2D"/>
                <w:sz w:val="19"/>
                <w:szCs w:val="19"/>
              </w:rPr>
              <w:t xml:space="preserve">₹15,249</w:t>
            </w:r>
          </w:p>
        </w:tc>
        <w:tc>
          <w:tcPr>
            <w:tcW w:type="dxa" w:w="2100"/>
            <w:shd w:fill="F5F5F5" w:color="auto" w:val="clear"/>
            <w:tcMar>
              <w:top w:type="dxa" w:w="60"/>
              <w:left w:type="dxa" w:w="110"/>
              <w:bottom w:type="dxa" w:w="60"/>
              <w:right w:type="dxa" w:w="110"/>
            </w:tcMar>
            <w:vAlign w:val="center"/>
          </w:tcPr>
          <w:p>
            <w:pPr>
              <w:spacing w:after="0" w:line="250"/>
            </w:pPr>
            <w:r>
              <w:rPr>
                <w:color w:val="2D2D2D"/>
                <w:sz w:val="19"/>
                <w:szCs w:val="19"/>
              </w:rPr>
              <w:t xml:space="preserve">₹45,719</w:t>
            </w:r>
          </w:p>
        </w:tc>
        <w:tc>
          <w:tcPr>
            <w:tcW w:type="dxa" w:w="2100"/>
            <w:shd w:fill="F5F5F5" w:color="auto" w:val="clear"/>
            <w:tcMar>
              <w:top w:type="dxa" w:w="60"/>
              <w:left w:type="dxa" w:w="110"/>
              <w:bottom w:type="dxa" w:w="60"/>
              <w:right w:type="dxa" w:w="110"/>
            </w:tcMar>
            <w:vAlign w:val="center"/>
          </w:tcPr>
          <w:p>
            <w:pPr>
              <w:spacing w:after="0" w:line="250"/>
            </w:pPr>
            <w:r>
              <w:rPr>
                <w:color w:val="2D2D2D"/>
                <w:sz w:val="19"/>
                <w:szCs w:val="19"/>
              </w:rPr>
              <w:t xml:space="preserve">₹99,750</w:t>
            </w:r>
          </w:p>
        </w:tc>
      </w:tr>
      <w:tr>
        <w:tc>
          <w:tcPr>
            <w:tcW w:type="dxa" w:w="3060"/>
            <w:shd w:fill="FFFFFF" w:color="auto" w:val="clear"/>
            <w:tcMar>
              <w:top w:type="dxa" w:w="60"/>
              <w:left w:type="dxa" w:w="110"/>
              <w:bottom w:type="dxa" w:w="60"/>
              <w:right w:type="dxa" w:w="110"/>
            </w:tcMar>
            <w:vAlign w:val="center"/>
          </w:tcPr>
          <w:p>
            <w:pPr>
              <w:spacing w:after="0" w:line="250"/>
            </w:pPr>
            <w:r>
              <w:rPr>
                <w:color w:val="2D2D2D"/>
                <w:sz w:val="19"/>
                <w:szCs w:val="19"/>
              </w:rPr>
              <w:t xml:space="preserve">goZaika fee (15%)</w:t>
            </w:r>
          </w:p>
        </w:tc>
        <w:tc>
          <w:tcPr>
            <w:tcW w:type="dxa" w:w="2100"/>
            <w:shd w:fill="FFFFFF" w:color="auto" w:val="clear"/>
            <w:tcMar>
              <w:top w:type="dxa" w:w="60"/>
              <w:left w:type="dxa" w:w="110"/>
              <w:bottom w:type="dxa" w:w="60"/>
              <w:right w:type="dxa" w:w="110"/>
            </w:tcMar>
            <w:vAlign w:val="center"/>
          </w:tcPr>
          <w:p>
            <w:pPr>
              <w:spacing w:after="0" w:line="250"/>
            </w:pPr>
            <w:r>
              <w:rPr>
                <w:color w:val="2D2D2D"/>
                <w:sz w:val="19"/>
                <w:szCs w:val="19"/>
              </w:rPr>
              <w:t xml:space="preserve">₹2,287</w:t>
            </w:r>
          </w:p>
        </w:tc>
        <w:tc>
          <w:tcPr>
            <w:tcW w:type="dxa" w:w="2100"/>
            <w:shd w:fill="FFFFFF" w:color="auto" w:val="clear"/>
            <w:tcMar>
              <w:top w:type="dxa" w:w="60"/>
              <w:left w:type="dxa" w:w="110"/>
              <w:bottom w:type="dxa" w:w="60"/>
              <w:right w:type="dxa" w:w="110"/>
            </w:tcMar>
            <w:vAlign w:val="center"/>
          </w:tcPr>
          <w:p>
            <w:pPr>
              <w:spacing w:after="0" w:line="250"/>
            </w:pPr>
            <w:r>
              <w:rPr>
                <w:color w:val="2D2D2D"/>
                <w:sz w:val="19"/>
                <w:szCs w:val="19"/>
              </w:rPr>
              <w:t xml:space="preserve">₹6,858</w:t>
            </w:r>
          </w:p>
        </w:tc>
        <w:tc>
          <w:tcPr>
            <w:tcW w:type="dxa" w:w="2100"/>
            <w:shd w:fill="FFFFFF" w:color="auto" w:val="clear"/>
            <w:tcMar>
              <w:top w:type="dxa" w:w="60"/>
              <w:left w:type="dxa" w:w="110"/>
              <w:bottom w:type="dxa" w:w="60"/>
              <w:right w:type="dxa" w:w="110"/>
            </w:tcMar>
            <w:vAlign w:val="center"/>
          </w:tcPr>
          <w:p>
            <w:pPr>
              <w:spacing w:after="0" w:line="250"/>
            </w:pPr>
            <w:r>
              <w:rPr>
                <w:color w:val="2D2D2D"/>
                <w:sz w:val="19"/>
                <w:szCs w:val="19"/>
              </w:rPr>
              <w:t xml:space="preserve">₹14,963</w:t>
            </w:r>
          </w:p>
        </w:tc>
      </w:tr>
      <w:tr>
        <w:tc>
          <w:tcPr>
            <w:tcW w:type="dxa" w:w="3060"/>
            <w:shd w:fill="F5F5F5" w:color="auto" w:val="clear"/>
            <w:tcMar>
              <w:top w:type="dxa" w:w="60"/>
              <w:left w:type="dxa" w:w="110"/>
              <w:bottom w:type="dxa" w:w="60"/>
              <w:right w:type="dxa" w:w="110"/>
            </w:tcMar>
            <w:vAlign w:val="center"/>
          </w:tcPr>
          <w:p>
            <w:pPr>
              <w:spacing w:after="0" w:line="250"/>
            </w:pPr>
            <w:r>
              <w:rPr>
                <w:color w:val="2D2D2D"/>
                <w:sz w:val="19"/>
                <w:szCs w:val="19"/>
              </w:rPr>
              <w:t xml:space="preserve">Net recovered margin</w:t>
            </w:r>
          </w:p>
        </w:tc>
        <w:tc>
          <w:tcPr>
            <w:tcW w:type="dxa" w:w="2100"/>
            <w:shd w:fill="F5F5F5" w:color="auto" w:val="clear"/>
            <w:tcMar>
              <w:top w:type="dxa" w:w="60"/>
              <w:left w:type="dxa" w:w="110"/>
              <w:bottom w:type="dxa" w:w="60"/>
              <w:right w:type="dxa" w:w="110"/>
            </w:tcMar>
            <w:vAlign w:val="center"/>
          </w:tcPr>
          <w:p>
            <w:pPr>
              <w:spacing w:after="0" w:line="250"/>
            </w:pPr>
            <w:r>
              <w:rPr>
                <w:color w:val="2D2D2D"/>
                <w:sz w:val="19"/>
                <w:szCs w:val="19"/>
              </w:rPr>
              <w:t xml:space="preserve">₹10,617</w:t>
            </w:r>
          </w:p>
        </w:tc>
        <w:tc>
          <w:tcPr>
            <w:tcW w:type="dxa" w:w="2100"/>
            <w:shd w:fill="F5F5F5" w:color="auto" w:val="clear"/>
            <w:tcMar>
              <w:top w:type="dxa" w:w="60"/>
              <w:left w:type="dxa" w:w="110"/>
              <w:bottom w:type="dxa" w:w="60"/>
              <w:right w:type="dxa" w:w="110"/>
            </w:tcMar>
            <w:vAlign w:val="center"/>
          </w:tcPr>
          <w:p>
            <w:pPr>
              <w:spacing w:after="0" w:line="250"/>
            </w:pPr>
            <w:r>
              <w:rPr>
                <w:color w:val="2D2D2D"/>
                <w:sz w:val="19"/>
                <w:szCs w:val="19"/>
              </w:rPr>
              <w:t xml:space="preserve">₹32,707</w:t>
            </w:r>
          </w:p>
        </w:tc>
        <w:tc>
          <w:tcPr>
            <w:tcW w:type="dxa" w:w="2100"/>
            <w:shd w:fill="F5F5F5" w:color="auto" w:val="clear"/>
            <w:tcMar>
              <w:top w:type="dxa" w:w="60"/>
              <w:left w:type="dxa" w:w="110"/>
              <w:bottom w:type="dxa" w:w="60"/>
              <w:right w:type="dxa" w:w="110"/>
            </w:tcMar>
            <w:vAlign w:val="center"/>
          </w:tcPr>
          <w:p>
            <w:pPr>
              <w:spacing w:after="0" w:line="250"/>
            </w:pPr>
            <w:r>
              <w:rPr>
                <w:color w:val="2D2D2D"/>
                <w:sz w:val="19"/>
                <w:szCs w:val="19"/>
              </w:rPr>
              <w:t xml:space="preserve">₹72,793</w:t>
            </w:r>
          </w:p>
        </w:tc>
      </w:tr>
      <w:tr>
        <w:tc>
          <w:tcPr>
            <w:tcW w:type="dxa" w:w="3060"/>
            <w:shd w:fill="FFFFFF" w:color="auto" w:val="clear"/>
            <w:tcMar>
              <w:top w:type="dxa" w:w="60"/>
              <w:left w:type="dxa" w:w="110"/>
              <w:bottom w:type="dxa" w:w="60"/>
              <w:right w:type="dxa" w:w="110"/>
            </w:tcMar>
            <w:vAlign w:val="center"/>
          </w:tcPr>
          <w:p>
            <w:pPr>
              <w:spacing w:after="0" w:line="250"/>
            </w:pPr>
            <w:r>
              <w:rPr>
                <w:color w:val="2D2D2D"/>
                <w:sz w:val="19"/>
                <w:szCs w:val="19"/>
              </w:rPr>
              <w:t xml:space="preserve">Total monthly contribution</w:t>
            </w:r>
          </w:p>
        </w:tc>
        <w:tc>
          <w:tcPr>
            <w:tcW w:type="dxa" w:w="2100"/>
            <w:shd w:fill="FFFFFF" w:color="auto" w:val="clear"/>
            <w:tcMar>
              <w:top w:type="dxa" w:w="60"/>
              <w:left w:type="dxa" w:w="110"/>
              <w:bottom w:type="dxa" w:w="60"/>
              <w:right w:type="dxa" w:w="110"/>
            </w:tcMar>
            <w:vAlign w:val="center"/>
          </w:tcPr>
          <w:p>
            <w:pPr>
              <w:spacing w:after="0" w:line="250"/>
            </w:pPr>
            <w:r>
              <w:rPr>
                <w:color w:val="2D2D2D"/>
                <w:sz w:val="19"/>
                <w:szCs w:val="19"/>
              </w:rPr>
              <w:t xml:space="preserve">₹11,592</w:t>
            </w:r>
          </w:p>
        </w:tc>
        <w:tc>
          <w:tcPr>
            <w:tcW w:type="dxa" w:w="2100"/>
            <w:shd w:fill="FFFFFF" w:color="auto" w:val="clear"/>
            <w:tcMar>
              <w:top w:type="dxa" w:w="60"/>
              <w:left w:type="dxa" w:w="110"/>
              <w:bottom w:type="dxa" w:w="60"/>
              <w:right w:type="dxa" w:w="110"/>
            </w:tcMar>
            <w:vAlign w:val="center"/>
          </w:tcPr>
          <w:p>
            <w:pPr>
              <w:spacing w:after="0" w:line="250"/>
            </w:pPr>
            <w:r>
              <w:rPr>
                <w:color w:val="2D2D2D"/>
                <w:sz w:val="19"/>
                <w:szCs w:val="19"/>
              </w:rPr>
              <w:t xml:space="preserve">₹35,242</w:t>
            </w:r>
          </w:p>
        </w:tc>
        <w:tc>
          <w:tcPr>
            <w:tcW w:type="dxa" w:w="2100"/>
            <w:shd w:fill="FFFFFF" w:color="auto" w:val="clear"/>
            <w:tcMar>
              <w:top w:type="dxa" w:w="60"/>
              <w:left w:type="dxa" w:w="110"/>
              <w:bottom w:type="dxa" w:w="60"/>
              <w:right w:type="dxa" w:w="110"/>
            </w:tcMar>
            <w:vAlign w:val="center"/>
          </w:tcPr>
          <w:p>
            <w:pPr>
              <w:spacing w:after="0" w:line="250"/>
            </w:pPr>
            <w:r>
              <w:rPr>
                <w:color w:val="2D2D2D"/>
                <w:sz w:val="19"/>
                <w:szCs w:val="19"/>
              </w:rPr>
              <w:t xml:space="preserve">₹77,668</w:t>
            </w:r>
          </w:p>
        </w:tc>
      </w:tr>
      <w:tr>
        <w:tc>
          <w:tcPr>
            <w:tcW w:type="dxa" w:w="3060"/>
            <w:shd w:fill="F5F5F5" w:color="auto" w:val="clear"/>
            <w:tcMar>
              <w:top w:type="dxa" w:w="60"/>
              <w:left w:type="dxa" w:w="110"/>
              <w:bottom w:type="dxa" w:w="60"/>
              <w:right w:type="dxa" w:w="110"/>
            </w:tcMar>
            <w:vAlign w:val="center"/>
          </w:tcPr>
          <w:p>
            <w:pPr>
              <w:spacing w:after="0" w:line="250"/>
            </w:pPr>
            <w:r>
              <w:rPr>
                <w:color w:val="2D2D2D"/>
                <w:sz w:val="19"/>
                <w:szCs w:val="19"/>
              </w:rPr>
              <w:t xml:space="preserve">Annualised</w:t>
            </w:r>
          </w:p>
        </w:tc>
        <w:tc>
          <w:tcPr>
            <w:tcW w:type="dxa" w:w="2100"/>
            <w:shd w:fill="F5F5F5" w:color="auto" w:val="clear"/>
            <w:tcMar>
              <w:top w:type="dxa" w:w="60"/>
              <w:left w:type="dxa" w:w="110"/>
              <w:bottom w:type="dxa" w:w="60"/>
              <w:right w:type="dxa" w:w="110"/>
            </w:tcMar>
            <w:vAlign w:val="center"/>
          </w:tcPr>
          <w:p>
            <w:pPr>
              <w:spacing w:after="0" w:line="250"/>
            </w:pPr>
            <w:r>
              <w:rPr>
                <w:color w:val="2D2D2D"/>
                <w:sz w:val="19"/>
                <w:szCs w:val="19"/>
              </w:rPr>
              <w:t xml:space="preserve">₹1.39L</w:t>
            </w:r>
          </w:p>
        </w:tc>
        <w:tc>
          <w:tcPr>
            <w:tcW w:type="dxa" w:w="2100"/>
            <w:shd w:fill="F5F5F5" w:color="auto" w:val="clear"/>
            <w:tcMar>
              <w:top w:type="dxa" w:w="60"/>
              <w:left w:type="dxa" w:w="110"/>
              <w:bottom w:type="dxa" w:w="60"/>
              <w:right w:type="dxa" w:w="110"/>
            </w:tcMar>
            <w:vAlign w:val="center"/>
          </w:tcPr>
          <w:p>
            <w:pPr>
              <w:spacing w:after="0" w:line="250"/>
            </w:pPr>
            <w:r>
              <w:rPr>
                <w:color w:val="2D2D2D"/>
                <w:sz w:val="19"/>
                <w:szCs w:val="19"/>
              </w:rPr>
              <w:t xml:space="preserve">₹4.23L</w:t>
            </w:r>
          </w:p>
        </w:tc>
        <w:tc>
          <w:tcPr>
            <w:tcW w:type="dxa" w:w="2100"/>
            <w:shd w:fill="F5F5F5" w:color="auto" w:val="clear"/>
            <w:tcMar>
              <w:top w:type="dxa" w:w="60"/>
              <w:left w:type="dxa" w:w="110"/>
              <w:bottom w:type="dxa" w:w="60"/>
              <w:right w:type="dxa" w:w="110"/>
            </w:tcMar>
            <w:vAlign w:val="center"/>
          </w:tcPr>
          <w:p>
            <w:pPr>
              <w:spacing w:after="0" w:line="250"/>
            </w:pPr>
            <w:r>
              <w:rPr>
                <w:color w:val="2D2D2D"/>
                <w:sz w:val="19"/>
                <w:szCs w:val="19"/>
              </w:rPr>
              <w:t xml:space="preserve">₹9.32L</w:t>
            </w:r>
          </w:p>
        </w:tc>
      </w:tr>
    </w:tbl>
    <w:p>
      <w:pPr>
        <w:spacing w:after="120" w:before="0" w:line="276"/>
      </w:pPr>
      <w:r>
        <w:rPr>
          <w:i/>
          <w:iCs/>
          <w:color w:val="666666"/>
          <w:sz w:val="21"/>
          <w:szCs w:val="21"/>
        </w:rPr>
        <w:t xml:space="preserve">Base case: a restaurant listing 7 bags/day at 72% sell-through recovers ~₹35,242/month in pure incremental contribution — margin from kitchen capacity that previously walked out the back door.</w:t>
      </w:r>
    </w:p>
    <w:p>
      <w:pPr>
        <w:pStyle w:val="Heading2"/>
        <w:spacing w:after="120" w:before="260"/>
      </w:pPr>
      <w:r>
        <w:t xml:space="preserve">5.2 Phased commission strategy</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400"/>
        <w:gridCol w:w="2100"/>
        <w:gridCol w:w="1260"/>
        <w:gridCol w:w="3600"/>
      </w:tblGrid>
      <w:tr>
        <w:trPr>
          <w:tblHeader/>
        </w:trPr>
        <w:tc>
          <w:tcPr>
            <w:tcW w:type="dxa" w:w="240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Phase</w:t>
            </w:r>
          </w:p>
        </w:tc>
        <w:tc>
          <w:tcPr>
            <w:tcW w:type="dxa" w:w="210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Duration</w:t>
            </w:r>
          </w:p>
        </w:tc>
        <w:tc>
          <w:tcPr>
            <w:tcW w:type="dxa" w:w="126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Rate</w:t>
            </w:r>
          </w:p>
        </w:tc>
        <w:tc>
          <w:tcPr>
            <w:tcW w:type="dxa" w:w="360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Rationale</w:t>
            </w:r>
          </w:p>
        </w:tc>
      </w:tr>
      <w:tr>
        <w:tc>
          <w:tcPr>
            <w:tcW w:type="dxa" w:w="2400"/>
            <w:shd w:fill="F5F5F5" w:color="auto" w:val="clear"/>
            <w:tcMar>
              <w:top w:type="dxa" w:w="60"/>
              <w:left w:type="dxa" w:w="110"/>
              <w:bottom w:type="dxa" w:w="60"/>
              <w:right w:type="dxa" w:w="110"/>
            </w:tcMar>
            <w:vAlign w:val="center"/>
          </w:tcPr>
          <w:p>
            <w:pPr>
              <w:spacing w:after="0" w:line="250"/>
            </w:pPr>
            <w:r>
              <w:rPr>
                <w:color w:val="2D2D2D"/>
                <w:sz w:val="19"/>
                <w:szCs w:val="19"/>
              </w:rPr>
              <w:t xml:space="preserve">Anchor onboarding</w:t>
            </w:r>
          </w:p>
        </w:tc>
        <w:tc>
          <w:tcPr>
            <w:tcW w:type="dxa" w:w="2100"/>
            <w:shd w:fill="F5F5F5" w:color="auto" w:val="clear"/>
            <w:tcMar>
              <w:top w:type="dxa" w:w="60"/>
              <w:left w:type="dxa" w:w="110"/>
              <w:bottom w:type="dxa" w:w="60"/>
              <w:right w:type="dxa" w:w="110"/>
            </w:tcMar>
            <w:vAlign w:val="center"/>
          </w:tcPr>
          <w:p>
            <w:pPr>
              <w:spacing w:after="0" w:line="250"/>
            </w:pPr>
            <w:r>
              <w:rPr>
                <w:color w:val="2D2D2D"/>
                <w:sz w:val="19"/>
                <w:szCs w:val="19"/>
              </w:rPr>
              <w:t xml:space="preserve">First 30 days</w:t>
            </w:r>
          </w:p>
        </w:tc>
        <w:tc>
          <w:tcPr>
            <w:tcW w:type="dxa" w:w="1260"/>
            <w:shd w:fill="F5F5F5" w:color="auto" w:val="clear"/>
            <w:tcMar>
              <w:top w:type="dxa" w:w="60"/>
              <w:left w:type="dxa" w:w="110"/>
              <w:bottom w:type="dxa" w:w="60"/>
              <w:right w:type="dxa" w:w="110"/>
            </w:tcMar>
            <w:vAlign w:val="center"/>
          </w:tcPr>
          <w:p>
            <w:pPr>
              <w:spacing w:after="0" w:line="250"/>
            </w:pPr>
            <w:r>
              <w:rPr>
                <w:color w:val="2D2D2D"/>
                <w:sz w:val="19"/>
                <w:szCs w:val="19"/>
              </w:rPr>
              <w:t xml:space="preserve">0%</w:t>
            </w:r>
          </w:p>
        </w:tc>
        <w:tc>
          <w:tcPr>
            <w:tcW w:type="dxa" w:w="3600"/>
            <w:shd w:fill="F5F5F5" w:color="auto" w:val="clear"/>
            <w:tcMar>
              <w:top w:type="dxa" w:w="60"/>
              <w:left w:type="dxa" w:w="110"/>
              <w:bottom w:type="dxa" w:w="60"/>
              <w:right w:type="dxa" w:w="110"/>
            </w:tcMar>
            <w:vAlign w:val="center"/>
          </w:tcPr>
          <w:p>
            <w:pPr>
              <w:spacing w:after="0" w:line="250"/>
            </w:pPr>
            <w:r>
              <w:rPr>
                <w:color w:val="2D2D2D"/>
                <w:sz w:val="19"/>
                <w:szCs w:val="19"/>
              </w:rPr>
              <w:t xml:space="preserve">Prove the model; generate case-study data; overcome risk aversion</w:t>
            </w:r>
          </w:p>
        </w:tc>
      </w:tr>
      <w:tr>
        <w:tc>
          <w:tcPr>
            <w:tcW w:type="dxa" w:w="2400"/>
            <w:shd w:fill="FFFFFF" w:color="auto" w:val="clear"/>
            <w:tcMar>
              <w:top w:type="dxa" w:w="60"/>
              <w:left w:type="dxa" w:w="110"/>
              <w:bottom w:type="dxa" w:w="60"/>
              <w:right w:type="dxa" w:w="110"/>
            </w:tcMar>
            <w:vAlign w:val="center"/>
          </w:tcPr>
          <w:p>
            <w:pPr>
              <w:spacing w:after="0" w:line="250"/>
            </w:pPr>
            <w:r>
              <w:rPr>
                <w:color w:val="2D2D2D"/>
                <w:sz w:val="19"/>
                <w:szCs w:val="19"/>
              </w:rPr>
              <w:t xml:space="preserve">Pilot</w:t>
            </w:r>
          </w:p>
        </w:tc>
        <w:tc>
          <w:tcPr>
            <w:tcW w:type="dxa" w:w="2100"/>
            <w:shd w:fill="FFFFFF" w:color="auto" w:val="clear"/>
            <w:tcMar>
              <w:top w:type="dxa" w:w="60"/>
              <w:left w:type="dxa" w:w="110"/>
              <w:bottom w:type="dxa" w:w="60"/>
              <w:right w:type="dxa" w:w="110"/>
            </w:tcMar>
            <w:vAlign w:val="center"/>
          </w:tcPr>
          <w:p>
            <w:pPr>
              <w:spacing w:after="0" w:line="250"/>
            </w:pPr>
            <w:r>
              <w:rPr>
                <w:color w:val="2D2D2D"/>
                <w:sz w:val="19"/>
                <w:szCs w:val="19"/>
              </w:rPr>
              <w:t xml:space="preserve">Month 2–4</w:t>
            </w:r>
          </w:p>
        </w:tc>
        <w:tc>
          <w:tcPr>
            <w:tcW w:type="dxa" w:w="1260"/>
            <w:shd w:fill="FFFFFF" w:color="auto" w:val="clear"/>
            <w:tcMar>
              <w:top w:type="dxa" w:w="60"/>
              <w:left w:type="dxa" w:w="110"/>
              <w:bottom w:type="dxa" w:w="60"/>
              <w:right w:type="dxa" w:w="110"/>
            </w:tcMar>
            <w:vAlign w:val="center"/>
          </w:tcPr>
          <w:p>
            <w:pPr>
              <w:spacing w:after="0" w:line="250"/>
            </w:pPr>
            <w:r>
              <w:rPr>
                <w:color w:val="2D2D2D"/>
                <w:sz w:val="19"/>
                <w:szCs w:val="19"/>
              </w:rPr>
              <w:t xml:space="preserve">12%</w:t>
            </w:r>
          </w:p>
        </w:tc>
        <w:tc>
          <w:tcPr>
            <w:tcW w:type="dxa" w:w="3600"/>
            <w:shd w:fill="FFFFFF" w:color="auto" w:val="clear"/>
            <w:tcMar>
              <w:top w:type="dxa" w:w="60"/>
              <w:left w:type="dxa" w:w="110"/>
              <w:bottom w:type="dxa" w:w="60"/>
              <w:right w:type="dxa" w:w="110"/>
            </w:tcMar>
            <w:vAlign w:val="center"/>
          </w:tcPr>
          <w:p>
            <w:pPr>
              <w:spacing w:after="0" w:line="250"/>
            </w:pPr>
            <w:r>
              <w:rPr>
                <w:color w:val="2D2D2D"/>
                <w:sz w:val="19"/>
                <w:szCs w:val="19"/>
              </w:rPr>
              <w:t xml:space="preserve">Partners have 30 days of data; still ~60% cheaper than aggregators</w:t>
            </w:r>
          </w:p>
        </w:tc>
      </w:tr>
      <w:tr>
        <w:tc>
          <w:tcPr>
            <w:tcW w:type="dxa" w:w="2400"/>
            <w:shd w:fill="F5F5F5" w:color="auto" w:val="clear"/>
            <w:tcMar>
              <w:top w:type="dxa" w:w="60"/>
              <w:left w:type="dxa" w:w="110"/>
              <w:bottom w:type="dxa" w:w="60"/>
              <w:right w:type="dxa" w:w="110"/>
            </w:tcMar>
            <w:vAlign w:val="center"/>
          </w:tcPr>
          <w:p>
            <w:pPr>
              <w:spacing w:after="0" w:line="250"/>
            </w:pPr>
            <w:r>
              <w:rPr>
                <w:color w:val="2D2D2D"/>
                <w:sz w:val="19"/>
                <w:szCs w:val="19"/>
              </w:rPr>
              <w:t xml:space="preserve">Growth standard</w:t>
            </w:r>
          </w:p>
        </w:tc>
        <w:tc>
          <w:tcPr>
            <w:tcW w:type="dxa" w:w="2100"/>
            <w:shd w:fill="F5F5F5" w:color="auto" w:val="clear"/>
            <w:tcMar>
              <w:top w:type="dxa" w:w="60"/>
              <w:left w:type="dxa" w:w="110"/>
              <w:bottom w:type="dxa" w:w="60"/>
              <w:right w:type="dxa" w:w="110"/>
            </w:tcMar>
            <w:vAlign w:val="center"/>
          </w:tcPr>
          <w:p>
            <w:pPr>
              <w:spacing w:after="0" w:line="250"/>
            </w:pPr>
            <w:r>
              <w:rPr>
                <w:color w:val="2D2D2D"/>
                <w:sz w:val="19"/>
                <w:szCs w:val="19"/>
              </w:rPr>
              <w:t xml:space="preserve">Month 5+</w:t>
            </w:r>
          </w:p>
        </w:tc>
        <w:tc>
          <w:tcPr>
            <w:tcW w:type="dxa" w:w="1260"/>
            <w:shd w:fill="F5F5F5" w:color="auto" w:val="clear"/>
            <w:tcMar>
              <w:top w:type="dxa" w:w="60"/>
              <w:left w:type="dxa" w:w="110"/>
              <w:bottom w:type="dxa" w:w="60"/>
              <w:right w:type="dxa" w:w="110"/>
            </w:tcMar>
            <w:vAlign w:val="center"/>
          </w:tcPr>
          <w:p>
            <w:pPr>
              <w:spacing w:after="0" w:line="250"/>
            </w:pPr>
            <w:r>
              <w:rPr>
                <w:color w:val="2D2D2D"/>
                <w:sz w:val="19"/>
                <w:szCs w:val="19"/>
              </w:rPr>
              <w:t xml:space="preserve">15%</w:t>
            </w:r>
          </w:p>
        </w:tc>
        <w:tc>
          <w:tcPr>
            <w:tcW w:type="dxa" w:w="3600"/>
            <w:shd w:fill="F5F5F5" w:color="auto" w:val="clear"/>
            <w:tcMar>
              <w:top w:type="dxa" w:w="60"/>
              <w:left w:type="dxa" w:w="110"/>
              <w:bottom w:type="dxa" w:w="60"/>
              <w:right w:type="dxa" w:w="110"/>
            </w:tcMar>
            <w:vAlign w:val="center"/>
          </w:tcPr>
          <w:p>
            <w:pPr>
              <w:spacing w:after="0" w:line="250"/>
            </w:pPr>
            <w:r>
              <w:rPr>
                <w:color w:val="2D2D2D"/>
                <w:sz w:val="19"/>
                <w:szCs w:val="19"/>
              </w:rPr>
              <w:t xml:space="preserve">Proven ROI makes 15% defensible vs 25–30% aggregator fees</w:t>
            </w:r>
          </w:p>
        </w:tc>
      </w:tr>
      <w:tr>
        <w:tc>
          <w:tcPr>
            <w:tcW w:type="dxa" w:w="2400"/>
            <w:shd w:fill="FFFFFF" w:color="auto" w:val="clear"/>
            <w:tcMar>
              <w:top w:type="dxa" w:w="60"/>
              <w:left w:type="dxa" w:w="110"/>
              <w:bottom w:type="dxa" w:w="60"/>
              <w:right w:type="dxa" w:w="110"/>
            </w:tcMar>
            <w:vAlign w:val="center"/>
          </w:tcPr>
          <w:p>
            <w:pPr>
              <w:spacing w:after="0" w:line="250"/>
            </w:pPr>
            <w:r>
              <w:rPr>
                <w:color w:val="2D2D2D"/>
                <w:sz w:val="19"/>
                <w:szCs w:val="19"/>
              </w:rPr>
              <w:t xml:space="preserve">Volume tier</w:t>
            </w:r>
          </w:p>
        </w:tc>
        <w:tc>
          <w:tcPr>
            <w:tcW w:type="dxa" w:w="2100"/>
            <w:shd w:fill="FFFFFF" w:color="auto" w:val="clear"/>
            <w:tcMar>
              <w:top w:type="dxa" w:w="60"/>
              <w:left w:type="dxa" w:w="110"/>
              <w:bottom w:type="dxa" w:w="60"/>
              <w:right w:type="dxa" w:w="110"/>
            </w:tcMar>
            <w:vAlign w:val="center"/>
          </w:tcPr>
          <w:p>
            <w:pPr>
              <w:spacing w:after="0" w:line="250"/>
            </w:pPr>
            <w:r>
              <w:rPr>
                <w:color w:val="2D2D2D"/>
                <w:sz w:val="19"/>
                <w:szCs w:val="19"/>
              </w:rPr>
              <w:t xml:space="preserve">&gt;200 bags/mo</w:t>
            </w:r>
          </w:p>
        </w:tc>
        <w:tc>
          <w:tcPr>
            <w:tcW w:type="dxa" w:w="1260"/>
            <w:shd w:fill="FFFFFF" w:color="auto" w:val="clear"/>
            <w:tcMar>
              <w:top w:type="dxa" w:w="60"/>
              <w:left w:type="dxa" w:w="110"/>
              <w:bottom w:type="dxa" w:w="60"/>
              <w:right w:type="dxa" w:w="110"/>
            </w:tcMar>
            <w:vAlign w:val="center"/>
          </w:tcPr>
          <w:p>
            <w:pPr>
              <w:spacing w:after="0" w:line="250"/>
            </w:pPr>
            <w:r>
              <w:rPr>
                <w:color w:val="2D2D2D"/>
                <w:sz w:val="19"/>
                <w:szCs w:val="19"/>
              </w:rPr>
              <w:t xml:space="preserve">12%</w:t>
            </w:r>
          </w:p>
        </w:tc>
        <w:tc>
          <w:tcPr>
            <w:tcW w:type="dxa" w:w="3600"/>
            <w:shd w:fill="FFFFFF" w:color="auto" w:val="clear"/>
            <w:tcMar>
              <w:top w:type="dxa" w:w="60"/>
              <w:left w:type="dxa" w:w="110"/>
              <w:bottom w:type="dxa" w:w="60"/>
              <w:right w:type="dxa" w:w="110"/>
            </w:tcMar>
            <w:vAlign w:val="center"/>
          </w:tcPr>
          <w:p>
            <w:pPr>
              <w:spacing w:after="0" w:line="250"/>
            </w:pPr>
            <w:r>
              <w:rPr>
                <w:color w:val="2D2D2D"/>
                <w:sz w:val="19"/>
                <w:szCs w:val="19"/>
              </w:rPr>
              <w:t xml:space="preserve">Rewards high-performing partners who grow drop volume</w:t>
            </w:r>
          </w:p>
        </w:tc>
      </w:tr>
      <w:tr>
        <w:tc>
          <w:tcPr>
            <w:tcW w:type="dxa" w:w="2400"/>
            <w:shd w:fill="F5F5F5" w:color="auto" w:val="clear"/>
            <w:tcMar>
              <w:top w:type="dxa" w:w="60"/>
              <w:left w:type="dxa" w:w="110"/>
              <w:bottom w:type="dxa" w:w="60"/>
              <w:right w:type="dxa" w:w="110"/>
            </w:tcMar>
            <w:vAlign w:val="center"/>
          </w:tcPr>
          <w:p>
            <w:pPr>
              <w:spacing w:after="0" w:line="250"/>
            </w:pPr>
            <w:r>
              <w:rPr>
                <w:color w:val="2D2D2D"/>
                <w:sz w:val="19"/>
                <w:szCs w:val="19"/>
              </w:rPr>
              <w:t xml:space="preserve">Zayka Pro SaaS</w:t>
            </w:r>
          </w:p>
        </w:tc>
        <w:tc>
          <w:tcPr>
            <w:tcW w:type="dxa" w:w="2100"/>
            <w:shd w:fill="F5F5F5" w:color="auto" w:val="clear"/>
            <w:tcMar>
              <w:top w:type="dxa" w:w="60"/>
              <w:left w:type="dxa" w:w="110"/>
              <w:bottom w:type="dxa" w:w="60"/>
              <w:right w:type="dxa" w:w="110"/>
            </w:tcMar>
            <w:vAlign w:val="center"/>
          </w:tcPr>
          <w:p>
            <w:pPr>
              <w:spacing w:after="0" w:line="250"/>
            </w:pPr>
            <w:r>
              <w:rPr>
                <w:color w:val="2D2D2D"/>
                <w:sz w:val="19"/>
                <w:szCs w:val="19"/>
              </w:rPr>
              <w:t xml:space="preserve">Month 4+</w:t>
            </w:r>
          </w:p>
        </w:tc>
        <w:tc>
          <w:tcPr>
            <w:tcW w:type="dxa" w:w="1260"/>
            <w:shd w:fill="F5F5F5" w:color="auto" w:val="clear"/>
            <w:tcMar>
              <w:top w:type="dxa" w:w="60"/>
              <w:left w:type="dxa" w:w="110"/>
              <w:bottom w:type="dxa" w:w="60"/>
              <w:right w:type="dxa" w:w="110"/>
            </w:tcMar>
            <w:vAlign w:val="center"/>
          </w:tcPr>
          <w:p>
            <w:pPr>
              <w:spacing w:after="0" w:line="250"/>
            </w:pPr>
            <w:r>
              <w:rPr>
                <w:color w:val="2D2D2D"/>
                <w:sz w:val="19"/>
                <w:szCs w:val="19"/>
              </w:rPr>
              <w:t xml:space="preserve">+₹2,499/mo</w:t>
            </w:r>
          </w:p>
        </w:tc>
        <w:tc>
          <w:tcPr>
            <w:tcW w:type="dxa" w:w="3600"/>
            <w:shd w:fill="F5F5F5" w:color="auto" w:val="clear"/>
            <w:tcMar>
              <w:top w:type="dxa" w:w="60"/>
              <w:left w:type="dxa" w:w="110"/>
              <w:bottom w:type="dxa" w:w="60"/>
              <w:right w:type="dxa" w:w="110"/>
            </w:tcMar>
            <w:vAlign w:val="center"/>
          </w:tcPr>
          <w:p>
            <w:pPr>
              <w:spacing w:after="0" w:line="250"/>
            </w:pPr>
            <w:r>
              <w:rPr>
                <w:color w:val="2D2D2D"/>
                <w:sz w:val="19"/>
                <w:szCs w:val="19"/>
              </w:rPr>
              <w:t xml:space="preserve">Shifts perception from commission cost to CRM software investment</w:t>
            </w:r>
          </w:p>
        </w:tc>
      </w:tr>
    </w:tbl>
    <w:p>
      <w:pPr>
        <w:pStyle w:val="Heading2"/>
        <w:spacing w:after="120" w:before="260"/>
      </w:pPr>
      <w:r>
        <w:t xml:space="preserve">5.3 Revenue streams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900"/>
        <w:gridCol w:w="4060"/>
        <w:gridCol w:w="2400"/>
      </w:tblGrid>
      <w:tr>
        <w:trPr>
          <w:tblHeader/>
        </w:trPr>
        <w:tc>
          <w:tcPr>
            <w:tcW w:type="dxa" w:w="290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Stream</w:t>
            </w:r>
          </w:p>
        </w:tc>
        <w:tc>
          <w:tcPr>
            <w:tcW w:type="dxa" w:w="406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Model</w:t>
            </w:r>
          </w:p>
        </w:tc>
        <w:tc>
          <w:tcPr>
            <w:tcW w:type="dxa" w:w="240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Yr-2 ARR target</w:t>
            </w:r>
          </w:p>
        </w:tc>
      </w:tr>
      <w:tr>
        <w:tc>
          <w:tcPr>
            <w:tcW w:type="dxa" w:w="2900"/>
            <w:shd w:fill="F5F5F5" w:color="auto" w:val="clear"/>
            <w:tcMar>
              <w:top w:type="dxa" w:w="60"/>
              <w:left w:type="dxa" w:w="110"/>
              <w:bottom w:type="dxa" w:w="60"/>
              <w:right w:type="dxa" w:w="110"/>
            </w:tcMar>
            <w:vAlign w:val="center"/>
          </w:tcPr>
          <w:p>
            <w:pPr>
              <w:spacing w:after="0" w:line="250"/>
            </w:pPr>
            <w:r>
              <w:rPr>
                <w:color w:val="2D2D2D"/>
                <w:sz w:val="19"/>
                <w:szCs w:val="19"/>
              </w:rPr>
              <w:t xml:space="preserve">GMV commission (15%)</w:t>
            </w:r>
          </w:p>
        </w:tc>
        <w:tc>
          <w:tcPr>
            <w:tcW w:type="dxa" w:w="4060"/>
            <w:shd w:fill="F5F5F5" w:color="auto" w:val="clear"/>
            <w:tcMar>
              <w:top w:type="dxa" w:w="60"/>
              <w:left w:type="dxa" w:w="110"/>
              <w:bottom w:type="dxa" w:w="60"/>
              <w:right w:type="dxa" w:w="110"/>
            </w:tcMar>
            <w:vAlign w:val="center"/>
          </w:tcPr>
          <w:p>
            <w:pPr>
              <w:spacing w:after="0" w:line="250"/>
            </w:pPr>
            <w:r>
              <w:rPr>
                <w:color w:val="2D2D2D"/>
                <w:sz w:val="19"/>
                <w:szCs w:val="19"/>
              </w:rPr>
              <w:t xml:space="preserve">Per-bag transaction fee</w:t>
            </w:r>
          </w:p>
        </w:tc>
        <w:tc>
          <w:tcPr>
            <w:tcW w:type="dxa" w:w="2400"/>
            <w:shd w:fill="F5F5F5" w:color="auto" w:val="clear"/>
            <w:tcMar>
              <w:top w:type="dxa" w:w="60"/>
              <w:left w:type="dxa" w:w="110"/>
              <w:bottom w:type="dxa" w:w="60"/>
              <w:right w:type="dxa" w:w="110"/>
            </w:tcMar>
            <w:vAlign w:val="center"/>
          </w:tcPr>
          <w:p>
            <w:pPr>
              <w:spacing w:after="0" w:line="250"/>
            </w:pPr>
            <w:r>
              <w:rPr>
                <w:color w:val="2D2D2D"/>
                <w:sz w:val="19"/>
                <w:szCs w:val="19"/>
              </w:rPr>
              <w:t xml:space="preserve">₹2.16Cr/mo GMV</w:t>
            </w:r>
          </w:p>
        </w:tc>
      </w:tr>
      <w:tr>
        <w:tc>
          <w:tcPr>
            <w:tcW w:type="dxa" w:w="2900"/>
            <w:shd w:fill="FFFFFF" w:color="auto" w:val="clear"/>
            <w:tcMar>
              <w:top w:type="dxa" w:w="60"/>
              <w:left w:type="dxa" w:w="110"/>
              <w:bottom w:type="dxa" w:w="60"/>
              <w:right w:type="dxa" w:w="110"/>
            </w:tcMar>
            <w:vAlign w:val="center"/>
          </w:tcPr>
          <w:p>
            <w:pPr>
              <w:spacing w:after="0" w:line="250"/>
            </w:pPr>
            <w:r>
              <w:rPr>
                <w:color w:val="2D2D2D"/>
                <w:sz w:val="19"/>
                <w:szCs w:val="19"/>
              </w:rPr>
              <w:t xml:space="preserve">Zayka Pro (restaurant SaaS)</w:t>
            </w:r>
          </w:p>
        </w:tc>
        <w:tc>
          <w:tcPr>
            <w:tcW w:type="dxa" w:w="4060"/>
            <w:shd w:fill="FFFFFF" w:color="auto" w:val="clear"/>
            <w:tcMar>
              <w:top w:type="dxa" w:w="60"/>
              <w:left w:type="dxa" w:w="110"/>
              <w:bottom w:type="dxa" w:w="60"/>
              <w:right w:type="dxa" w:w="110"/>
            </w:tcMar>
            <w:vAlign w:val="center"/>
          </w:tcPr>
          <w:p>
            <w:pPr>
              <w:spacing w:after="0" w:line="250"/>
            </w:pPr>
            <w:r>
              <w:rPr>
                <w:color w:val="2D2D2D"/>
                <w:sz w:val="19"/>
                <w:szCs w:val="19"/>
              </w:rPr>
              <w:t xml:space="preserve">CRM, analytics, conversion tracking, reviews — ₹2,499/mo</w:t>
            </w:r>
          </w:p>
        </w:tc>
        <w:tc>
          <w:tcPr>
            <w:tcW w:type="dxa" w:w="2400"/>
            <w:shd w:fill="FFFFFF" w:color="auto" w:val="clear"/>
            <w:tcMar>
              <w:top w:type="dxa" w:w="60"/>
              <w:left w:type="dxa" w:w="110"/>
              <w:bottom w:type="dxa" w:w="60"/>
              <w:right w:type="dxa" w:w="110"/>
            </w:tcMar>
            <w:vAlign w:val="center"/>
          </w:tcPr>
          <w:p>
            <w:pPr>
              <w:spacing w:after="0" w:line="250"/>
            </w:pPr>
            <w:r>
              <w:rPr>
                <w:color w:val="2D2D2D"/>
                <w:sz w:val="19"/>
                <w:szCs w:val="19"/>
              </w:rPr>
              <w:t xml:space="preserve">₹90L ARR</w:t>
            </w:r>
          </w:p>
        </w:tc>
      </w:tr>
      <w:tr>
        <w:tc>
          <w:tcPr>
            <w:tcW w:type="dxa" w:w="2900"/>
            <w:shd w:fill="F5F5F5" w:color="auto" w:val="clear"/>
            <w:tcMar>
              <w:top w:type="dxa" w:w="60"/>
              <w:left w:type="dxa" w:w="110"/>
              <w:bottom w:type="dxa" w:w="60"/>
              <w:right w:type="dxa" w:w="110"/>
            </w:tcMar>
            <w:vAlign w:val="center"/>
          </w:tcPr>
          <w:p>
            <w:pPr>
              <w:spacing w:after="0" w:line="250"/>
            </w:pPr>
            <w:r>
              <w:rPr>
                <w:color w:val="2D2D2D"/>
                <w:sz w:val="19"/>
                <w:szCs w:val="19"/>
              </w:rPr>
              <w:t xml:space="preserve">Swaad Club (consumer sub)</w:t>
            </w:r>
          </w:p>
        </w:tc>
        <w:tc>
          <w:tcPr>
            <w:tcW w:type="dxa" w:w="4060"/>
            <w:shd w:fill="F5F5F5" w:color="auto" w:val="clear"/>
            <w:tcMar>
              <w:top w:type="dxa" w:w="60"/>
              <w:left w:type="dxa" w:w="110"/>
              <w:bottom w:type="dxa" w:w="60"/>
              <w:right w:type="dxa" w:w="110"/>
            </w:tcMar>
            <w:vAlign w:val="center"/>
          </w:tcPr>
          <w:p>
            <w:pPr>
              <w:spacing w:after="0" w:line="250"/>
            </w:pPr>
            <w:r>
              <w:rPr>
                <w:color w:val="2D2D2D"/>
                <w:sz w:val="19"/>
                <w:szCs w:val="19"/>
              </w:rPr>
              <w:t xml:space="preserve">Priority access, previews, no-queue pickup — ₹199/mo</w:t>
            </w:r>
          </w:p>
        </w:tc>
        <w:tc>
          <w:tcPr>
            <w:tcW w:type="dxa" w:w="2400"/>
            <w:shd w:fill="F5F5F5" w:color="auto" w:val="clear"/>
            <w:tcMar>
              <w:top w:type="dxa" w:w="60"/>
              <w:left w:type="dxa" w:w="110"/>
              <w:bottom w:type="dxa" w:w="60"/>
              <w:right w:type="dxa" w:w="110"/>
            </w:tcMar>
            <w:vAlign w:val="center"/>
          </w:tcPr>
          <w:p>
            <w:pPr>
              <w:spacing w:after="0" w:line="250"/>
            </w:pPr>
            <w:r>
              <w:rPr>
                <w:color w:val="2D2D2D"/>
                <w:sz w:val="19"/>
                <w:szCs w:val="19"/>
              </w:rPr>
              <w:t xml:space="preserve">₹60L ARR</w:t>
            </w:r>
          </w:p>
        </w:tc>
      </w:tr>
      <w:tr>
        <w:tc>
          <w:tcPr>
            <w:tcW w:type="dxa" w:w="2900"/>
            <w:shd w:fill="FFFFFF" w:color="auto" w:val="clear"/>
            <w:tcMar>
              <w:top w:type="dxa" w:w="60"/>
              <w:left w:type="dxa" w:w="110"/>
              <w:bottom w:type="dxa" w:w="60"/>
              <w:right w:type="dxa" w:w="110"/>
            </w:tcMar>
            <w:vAlign w:val="center"/>
          </w:tcPr>
          <w:p>
            <w:pPr>
              <w:spacing w:after="0" w:line="250"/>
            </w:pPr>
            <w:r>
              <w:rPr>
                <w:color w:val="2D2D2D"/>
                <w:sz w:val="19"/>
                <w:szCs w:val="19"/>
              </w:rPr>
              <w:t xml:space="preserve">Corporate BAM (B2B)</w:t>
            </w:r>
          </w:p>
        </w:tc>
        <w:tc>
          <w:tcPr>
            <w:tcW w:type="dxa" w:w="4060"/>
            <w:shd w:fill="FFFFFF" w:color="auto" w:val="clear"/>
            <w:tcMar>
              <w:top w:type="dxa" w:w="60"/>
              <w:left w:type="dxa" w:w="110"/>
              <w:bottom w:type="dxa" w:w="60"/>
              <w:right w:type="dxa" w:w="110"/>
            </w:tcMar>
            <w:vAlign w:val="center"/>
          </w:tcPr>
          <w:p>
            <w:pPr>
              <w:spacing w:after="0" w:line="250"/>
            </w:pPr>
            <w:r>
              <w:rPr>
                <w:color w:val="2D2D2D"/>
                <w:sz w:val="19"/>
                <w:szCs w:val="19"/>
              </w:rPr>
              <w:t xml:space="preserve">Office bulk orders; 10% referral</w:t>
            </w:r>
          </w:p>
        </w:tc>
        <w:tc>
          <w:tcPr>
            <w:tcW w:type="dxa" w:w="2400"/>
            <w:shd w:fill="FFFFFF" w:color="auto" w:val="clear"/>
            <w:tcMar>
              <w:top w:type="dxa" w:w="60"/>
              <w:left w:type="dxa" w:w="110"/>
              <w:bottom w:type="dxa" w:w="60"/>
              <w:right w:type="dxa" w:w="110"/>
            </w:tcMar>
            <w:vAlign w:val="center"/>
          </w:tcPr>
          <w:p>
            <w:pPr>
              <w:spacing w:after="0" w:line="250"/>
            </w:pPr>
            <w:r>
              <w:rPr>
                <w:color w:val="2D2D2D"/>
                <w:sz w:val="19"/>
                <w:szCs w:val="19"/>
              </w:rPr>
              <w:t xml:space="preserve">₹45L ARR</w:t>
            </w:r>
          </w:p>
        </w:tc>
      </w:tr>
      <w:tr>
        <w:tc>
          <w:tcPr>
            <w:tcW w:type="dxa" w:w="2900"/>
            <w:shd w:fill="F5F5F5" w:color="auto" w:val="clear"/>
            <w:tcMar>
              <w:top w:type="dxa" w:w="60"/>
              <w:left w:type="dxa" w:w="110"/>
              <w:bottom w:type="dxa" w:w="60"/>
              <w:right w:type="dxa" w:w="110"/>
            </w:tcMar>
            <w:vAlign w:val="center"/>
          </w:tcPr>
          <w:p>
            <w:pPr>
              <w:spacing w:after="0" w:line="250"/>
            </w:pPr>
            <w:r>
              <w:rPr>
                <w:color w:val="2D2D2D"/>
                <w:sz w:val="19"/>
                <w:szCs w:val="19"/>
              </w:rPr>
              <w:t xml:space="preserve">Spotlight Drops</w:t>
            </w:r>
          </w:p>
        </w:tc>
        <w:tc>
          <w:tcPr>
            <w:tcW w:type="dxa" w:w="4060"/>
            <w:shd w:fill="F5F5F5" w:color="auto" w:val="clear"/>
            <w:tcMar>
              <w:top w:type="dxa" w:w="60"/>
              <w:left w:type="dxa" w:w="110"/>
              <w:bottom w:type="dxa" w:w="60"/>
              <w:right w:type="dxa" w:w="110"/>
            </w:tcMar>
            <w:vAlign w:val="center"/>
          </w:tcPr>
          <w:p>
            <w:pPr>
              <w:spacing w:after="0" w:line="250"/>
            </w:pPr>
            <w:r>
              <w:rPr>
                <w:color w:val="2D2D2D"/>
                <w:sz w:val="19"/>
                <w:szCs w:val="19"/>
              </w:rPr>
              <w:t xml:space="preserve">Sponsored featured placement ₹5–15K</w:t>
            </w:r>
          </w:p>
        </w:tc>
        <w:tc>
          <w:tcPr>
            <w:tcW w:type="dxa" w:w="2400"/>
            <w:shd w:fill="F5F5F5" w:color="auto" w:val="clear"/>
            <w:tcMar>
              <w:top w:type="dxa" w:w="60"/>
              <w:left w:type="dxa" w:w="110"/>
              <w:bottom w:type="dxa" w:w="60"/>
              <w:right w:type="dxa" w:w="110"/>
            </w:tcMar>
            <w:vAlign w:val="center"/>
          </w:tcPr>
          <w:p>
            <w:pPr>
              <w:spacing w:after="0" w:line="250"/>
            </w:pPr>
            <w:r>
              <w:rPr>
                <w:color w:val="2D2D2D"/>
                <w:sz w:val="19"/>
                <w:szCs w:val="19"/>
              </w:rPr>
              <w:t xml:space="preserve">₹30L ARR</w:t>
            </w:r>
          </w:p>
        </w:tc>
      </w:tr>
      <w:tr>
        <w:tc>
          <w:tcPr>
            <w:tcW w:type="dxa" w:w="2900"/>
            <w:shd w:fill="FFFFFF" w:color="auto" w:val="clear"/>
            <w:tcMar>
              <w:top w:type="dxa" w:w="60"/>
              <w:left w:type="dxa" w:w="110"/>
              <w:bottom w:type="dxa" w:w="60"/>
              <w:right w:type="dxa" w:w="110"/>
            </w:tcMar>
            <w:vAlign w:val="center"/>
          </w:tcPr>
          <w:p>
            <w:pPr>
              <w:spacing w:after="0" w:line="250"/>
            </w:pPr>
            <w:r>
              <w:rPr>
                <w:color w:val="2D2D2D"/>
                <w:sz w:val="19"/>
                <w:szCs w:val="19"/>
              </w:rPr>
              <w:t xml:space="preserve">goZaika Insights / ZaikaIQ</w:t>
            </w:r>
          </w:p>
        </w:tc>
        <w:tc>
          <w:tcPr>
            <w:tcW w:type="dxa" w:w="4060"/>
            <w:shd w:fill="FFFFFF" w:color="auto" w:val="clear"/>
            <w:tcMar>
              <w:top w:type="dxa" w:w="60"/>
              <w:left w:type="dxa" w:w="110"/>
              <w:bottom w:type="dxa" w:w="60"/>
              <w:right w:type="dxa" w:w="110"/>
            </w:tcMar>
            <w:vAlign w:val="center"/>
          </w:tcPr>
          <w:p>
            <w:pPr>
              <w:spacing w:after="0" w:line="250"/>
            </w:pPr>
            <w:r>
              <w:rPr>
                <w:color w:val="2D2D2D"/>
                <w:sz w:val="19"/>
                <w:szCs w:val="19"/>
              </w:rPr>
              <w:t xml:space="preserve">Aggregated anonymised dining-trend data</w:t>
            </w:r>
          </w:p>
        </w:tc>
        <w:tc>
          <w:tcPr>
            <w:tcW w:type="dxa" w:w="2400"/>
            <w:shd w:fill="FFFFFF" w:color="auto" w:val="clear"/>
            <w:tcMar>
              <w:top w:type="dxa" w:w="60"/>
              <w:left w:type="dxa" w:w="110"/>
              <w:bottom w:type="dxa" w:w="60"/>
              <w:right w:type="dxa" w:w="110"/>
            </w:tcMar>
            <w:vAlign w:val="center"/>
          </w:tcPr>
          <w:p>
            <w:pPr>
              <w:spacing w:after="0" w:line="250"/>
            </w:pPr>
            <w:r>
              <w:rPr>
                <w:color w:val="2D2D2D"/>
                <w:sz w:val="19"/>
                <w:szCs w:val="19"/>
              </w:rPr>
              <w:t xml:space="preserve">₹20L ARR</w:t>
            </w:r>
          </w:p>
        </w:tc>
      </w:tr>
    </w:tbl>
    <w:p>
      <w:pPr>
        <w:pStyle w:val="Heading2"/>
        <w:spacing w:after="120" w:before="260"/>
      </w:pPr>
      <w:r>
        <w:t xml:space="preserve">5.4 18-month projection</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760"/>
        <w:gridCol w:w="1650"/>
        <w:gridCol w:w="1650"/>
        <w:gridCol w:w="1650"/>
        <w:gridCol w:w="1650"/>
      </w:tblGrid>
      <w:tr>
        <w:trPr>
          <w:tblHeader/>
        </w:trPr>
        <w:tc>
          <w:tcPr>
            <w:tcW w:type="dxa" w:w="276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Metric</w:t>
            </w:r>
          </w:p>
        </w:tc>
        <w:tc>
          <w:tcPr>
            <w:tcW w:type="dxa" w:w="165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M3</w:t>
            </w:r>
          </w:p>
        </w:tc>
        <w:tc>
          <w:tcPr>
            <w:tcW w:type="dxa" w:w="165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M6</w:t>
            </w:r>
          </w:p>
        </w:tc>
        <w:tc>
          <w:tcPr>
            <w:tcW w:type="dxa" w:w="165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M12</w:t>
            </w:r>
          </w:p>
        </w:tc>
        <w:tc>
          <w:tcPr>
            <w:tcW w:type="dxa" w:w="165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M18</w:t>
            </w:r>
          </w:p>
        </w:tc>
      </w:tr>
      <w:tr>
        <w:tc>
          <w:tcPr>
            <w:tcW w:type="dxa" w:w="2760"/>
            <w:shd w:fill="F5F5F5" w:color="auto" w:val="clear"/>
            <w:tcMar>
              <w:top w:type="dxa" w:w="60"/>
              <w:left w:type="dxa" w:w="110"/>
              <w:bottom w:type="dxa" w:w="60"/>
              <w:right w:type="dxa" w:w="110"/>
            </w:tcMar>
            <w:vAlign w:val="center"/>
          </w:tcPr>
          <w:p>
            <w:pPr>
              <w:spacing w:after="0" w:line="250"/>
            </w:pPr>
            <w:r>
              <w:rPr>
                <w:color w:val="2D2D2D"/>
                <w:sz w:val="19"/>
                <w:szCs w:val="19"/>
              </w:rPr>
              <w:t xml:space="preserve">Restaurant partners</w:t>
            </w:r>
          </w:p>
        </w:tc>
        <w:tc>
          <w:tcPr>
            <w:tcW w:type="dxa" w:w="1650"/>
            <w:shd w:fill="F5F5F5" w:color="auto" w:val="clear"/>
            <w:tcMar>
              <w:top w:type="dxa" w:w="60"/>
              <w:left w:type="dxa" w:w="110"/>
              <w:bottom w:type="dxa" w:w="60"/>
              <w:right w:type="dxa" w:w="110"/>
            </w:tcMar>
            <w:vAlign w:val="center"/>
          </w:tcPr>
          <w:p>
            <w:pPr>
              <w:spacing w:after="0" w:line="250"/>
            </w:pPr>
            <w:r>
              <w:rPr>
                <w:color w:val="2D2D2D"/>
                <w:sz w:val="19"/>
                <w:szCs w:val="19"/>
              </w:rPr>
              <w:t xml:space="preserve">10</w:t>
            </w:r>
          </w:p>
        </w:tc>
        <w:tc>
          <w:tcPr>
            <w:tcW w:type="dxa" w:w="1650"/>
            <w:shd w:fill="F5F5F5" w:color="auto" w:val="clear"/>
            <w:tcMar>
              <w:top w:type="dxa" w:w="60"/>
              <w:left w:type="dxa" w:w="110"/>
              <w:bottom w:type="dxa" w:w="60"/>
              <w:right w:type="dxa" w:w="110"/>
            </w:tcMar>
            <w:vAlign w:val="center"/>
          </w:tcPr>
          <w:p>
            <w:pPr>
              <w:spacing w:after="0" w:line="250"/>
            </w:pPr>
            <w:r>
              <w:rPr>
                <w:color w:val="2D2D2D"/>
                <w:sz w:val="19"/>
                <w:szCs w:val="19"/>
              </w:rPr>
              <w:t xml:space="preserve">40</w:t>
            </w:r>
          </w:p>
        </w:tc>
        <w:tc>
          <w:tcPr>
            <w:tcW w:type="dxa" w:w="1650"/>
            <w:shd w:fill="F5F5F5" w:color="auto" w:val="clear"/>
            <w:tcMar>
              <w:top w:type="dxa" w:w="60"/>
              <w:left w:type="dxa" w:w="110"/>
              <w:bottom w:type="dxa" w:w="60"/>
              <w:right w:type="dxa" w:w="110"/>
            </w:tcMar>
            <w:vAlign w:val="center"/>
          </w:tcPr>
          <w:p>
            <w:pPr>
              <w:spacing w:after="0" w:line="250"/>
            </w:pPr>
            <w:r>
              <w:rPr>
                <w:color w:val="2D2D2D"/>
                <w:sz w:val="19"/>
                <w:szCs w:val="19"/>
              </w:rPr>
              <w:t xml:space="preserve">150</w:t>
            </w:r>
          </w:p>
        </w:tc>
        <w:tc>
          <w:tcPr>
            <w:tcW w:type="dxa" w:w="1650"/>
            <w:shd w:fill="F5F5F5" w:color="auto" w:val="clear"/>
            <w:tcMar>
              <w:top w:type="dxa" w:w="60"/>
              <w:left w:type="dxa" w:w="110"/>
              <w:bottom w:type="dxa" w:w="60"/>
              <w:right w:type="dxa" w:w="110"/>
            </w:tcMar>
            <w:vAlign w:val="center"/>
          </w:tcPr>
          <w:p>
            <w:pPr>
              <w:spacing w:after="0" w:line="250"/>
            </w:pPr>
            <w:r>
              <w:rPr>
                <w:color w:val="2D2D2D"/>
                <w:sz w:val="19"/>
                <w:szCs w:val="19"/>
              </w:rPr>
              <w:t xml:space="preserve">350</w:t>
            </w:r>
          </w:p>
        </w:tc>
      </w:tr>
      <w:tr>
        <w:tc>
          <w:tcPr>
            <w:tcW w:type="dxa" w:w="2760"/>
            <w:shd w:fill="FFFFFF" w:color="auto" w:val="clear"/>
            <w:tcMar>
              <w:top w:type="dxa" w:w="60"/>
              <w:left w:type="dxa" w:w="110"/>
              <w:bottom w:type="dxa" w:w="60"/>
              <w:right w:type="dxa" w:w="110"/>
            </w:tcMar>
            <w:vAlign w:val="center"/>
          </w:tcPr>
          <w:p>
            <w:pPr>
              <w:spacing w:after="0" w:line="250"/>
            </w:pPr>
            <w:r>
              <w:rPr>
                <w:color w:val="2D2D2D"/>
                <w:sz w:val="19"/>
                <w:szCs w:val="19"/>
              </w:rPr>
              <w:t xml:space="preserve">Active users</w:t>
            </w:r>
          </w:p>
        </w:tc>
        <w:tc>
          <w:tcPr>
            <w:tcW w:type="dxa" w:w="1650"/>
            <w:shd w:fill="FFFFFF" w:color="auto" w:val="clear"/>
            <w:tcMar>
              <w:top w:type="dxa" w:w="60"/>
              <w:left w:type="dxa" w:w="110"/>
              <w:bottom w:type="dxa" w:w="60"/>
              <w:right w:type="dxa" w:w="110"/>
            </w:tcMar>
            <w:vAlign w:val="center"/>
          </w:tcPr>
          <w:p>
            <w:pPr>
              <w:spacing w:after="0" w:line="250"/>
            </w:pPr>
            <w:r>
              <w:rPr>
                <w:color w:val="2D2D2D"/>
                <w:sz w:val="19"/>
                <w:szCs w:val="19"/>
              </w:rPr>
              <w:t xml:space="preserve">500</w:t>
            </w:r>
          </w:p>
        </w:tc>
        <w:tc>
          <w:tcPr>
            <w:tcW w:type="dxa" w:w="1650"/>
            <w:shd w:fill="FFFFFF" w:color="auto" w:val="clear"/>
            <w:tcMar>
              <w:top w:type="dxa" w:w="60"/>
              <w:left w:type="dxa" w:w="110"/>
              <w:bottom w:type="dxa" w:w="60"/>
              <w:right w:type="dxa" w:w="110"/>
            </w:tcMar>
            <w:vAlign w:val="center"/>
          </w:tcPr>
          <w:p>
            <w:pPr>
              <w:spacing w:after="0" w:line="250"/>
            </w:pPr>
            <w:r>
              <w:rPr>
                <w:color w:val="2D2D2D"/>
                <w:sz w:val="19"/>
                <w:szCs w:val="19"/>
              </w:rPr>
              <w:t xml:space="preserve">3,000</w:t>
            </w:r>
          </w:p>
        </w:tc>
        <w:tc>
          <w:tcPr>
            <w:tcW w:type="dxa" w:w="1650"/>
            <w:shd w:fill="FFFFFF" w:color="auto" w:val="clear"/>
            <w:tcMar>
              <w:top w:type="dxa" w:w="60"/>
              <w:left w:type="dxa" w:w="110"/>
              <w:bottom w:type="dxa" w:w="60"/>
              <w:right w:type="dxa" w:w="110"/>
            </w:tcMar>
            <w:vAlign w:val="center"/>
          </w:tcPr>
          <w:p>
            <w:pPr>
              <w:spacing w:after="0" w:line="250"/>
            </w:pPr>
            <w:r>
              <w:rPr>
                <w:color w:val="2D2D2D"/>
                <w:sz w:val="19"/>
                <w:szCs w:val="19"/>
              </w:rPr>
              <w:t xml:space="preserve">18,000</w:t>
            </w:r>
          </w:p>
        </w:tc>
        <w:tc>
          <w:tcPr>
            <w:tcW w:type="dxa" w:w="1650"/>
            <w:shd w:fill="FFFFFF" w:color="auto" w:val="clear"/>
            <w:tcMar>
              <w:top w:type="dxa" w:w="60"/>
              <w:left w:type="dxa" w:w="110"/>
              <w:bottom w:type="dxa" w:w="60"/>
              <w:right w:type="dxa" w:w="110"/>
            </w:tcMar>
            <w:vAlign w:val="center"/>
          </w:tcPr>
          <w:p>
            <w:pPr>
              <w:spacing w:after="0" w:line="250"/>
            </w:pPr>
            <w:r>
              <w:rPr>
                <w:color w:val="2D2D2D"/>
                <w:sz w:val="19"/>
                <w:szCs w:val="19"/>
              </w:rPr>
              <w:t xml:space="preserve">55,000</w:t>
            </w:r>
          </w:p>
        </w:tc>
      </w:tr>
      <w:tr>
        <w:tc>
          <w:tcPr>
            <w:tcW w:type="dxa" w:w="2760"/>
            <w:shd w:fill="F5F5F5" w:color="auto" w:val="clear"/>
            <w:tcMar>
              <w:top w:type="dxa" w:w="60"/>
              <w:left w:type="dxa" w:w="110"/>
              <w:bottom w:type="dxa" w:w="60"/>
              <w:right w:type="dxa" w:w="110"/>
            </w:tcMar>
            <w:vAlign w:val="center"/>
          </w:tcPr>
          <w:p>
            <w:pPr>
              <w:spacing w:after="0" w:line="250"/>
            </w:pPr>
            <w:r>
              <w:rPr>
                <w:color w:val="2D2D2D"/>
                <w:sz w:val="19"/>
                <w:szCs w:val="19"/>
              </w:rPr>
              <w:t xml:space="preserve">Daily BAM drops</w:t>
            </w:r>
          </w:p>
        </w:tc>
        <w:tc>
          <w:tcPr>
            <w:tcW w:type="dxa" w:w="1650"/>
            <w:shd w:fill="F5F5F5" w:color="auto" w:val="clear"/>
            <w:tcMar>
              <w:top w:type="dxa" w:w="60"/>
              <w:left w:type="dxa" w:w="110"/>
              <w:bottom w:type="dxa" w:w="60"/>
              <w:right w:type="dxa" w:w="110"/>
            </w:tcMar>
            <w:vAlign w:val="center"/>
          </w:tcPr>
          <w:p>
            <w:pPr>
              <w:spacing w:after="0" w:line="250"/>
            </w:pPr>
            <w:r>
              <w:rPr>
                <w:color w:val="2D2D2D"/>
                <w:sz w:val="19"/>
                <w:szCs w:val="19"/>
              </w:rPr>
              <w:t xml:space="preserve">50</w:t>
            </w:r>
          </w:p>
        </w:tc>
        <w:tc>
          <w:tcPr>
            <w:tcW w:type="dxa" w:w="1650"/>
            <w:shd w:fill="F5F5F5" w:color="auto" w:val="clear"/>
            <w:tcMar>
              <w:top w:type="dxa" w:w="60"/>
              <w:left w:type="dxa" w:w="110"/>
              <w:bottom w:type="dxa" w:w="60"/>
              <w:right w:type="dxa" w:w="110"/>
            </w:tcMar>
            <w:vAlign w:val="center"/>
          </w:tcPr>
          <w:p>
            <w:pPr>
              <w:spacing w:after="0" w:line="250"/>
            </w:pPr>
            <w:r>
              <w:rPr>
                <w:color w:val="2D2D2D"/>
                <w:sz w:val="19"/>
                <w:szCs w:val="19"/>
              </w:rPr>
              <w:t xml:space="preserve">250</w:t>
            </w:r>
          </w:p>
        </w:tc>
        <w:tc>
          <w:tcPr>
            <w:tcW w:type="dxa" w:w="1650"/>
            <w:shd w:fill="F5F5F5" w:color="auto" w:val="clear"/>
            <w:tcMar>
              <w:top w:type="dxa" w:w="60"/>
              <w:left w:type="dxa" w:w="110"/>
              <w:bottom w:type="dxa" w:w="60"/>
              <w:right w:type="dxa" w:w="110"/>
            </w:tcMar>
            <w:vAlign w:val="center"/>
          </w:tcPr>
          <w:p>
            <w:pPr>
              <w:spacing w:after="0" w:line="250"/>
            </w:pPr>
            <w:r>
              <w:rPr>
                <w:color w:val="2D2D2D"/>
                <w:sz w:val="19"/>
                <w:szCs w:val="19"/>
              </w:rPr>
              <w:t xml:space="preserve">1,200</w:t>
            </w:r>
          </w:p>
        </w:tc>
        <w:tc>
          <w:tcPr>
            <w:tcW w:type="dxa" w:w="1650"/>
            <w:shd w:fill="F5F5F5" w:color="auto" w:val="clear"/>
            <w:tcMar>
              <w:top w:type="dxa" w:w="60"/>
              <w:left w:type="dxa" w:w="110"/>
              <w:bottom w:type="dxa" w:w="60"/>
              <w:right w:type="dxa" w:w="110"/>
            </w:tcMar>
            <w:vAlign w:val="center"/>
          </w:tcPr>
          <w:p>
            <w:pPr>
              <w:spacing w:after="0" w:line="250"/>
            </w:pPr>
            <w:r>
              <w:rPr>
                <w:color w:val="2D2D2D"/>
                <w:sz w:val="19"/>
                <w:szCs w:val="19"/>
              </w:rPr>
              <w:t xml:space="preserve">3,500</w:t>
            </w:r>
          </w:p>
        </w:tc>
      </w:tr>
      <w:tr>
        <w:tc>
          <w:tcPr>
            <w:tcW w:type="dxa" w:w="2760"/>
            <w:shd w:fill="FFFFFF" w:color="auto" w:val="clear"/>
            <w:tcMar>
              <w:top w:type="dxa" w:w="60"/>
              <w:left w:type="dxa" w:w="110"/>
              <w:bottom w:type="dxa" w:w="60"/>
              <w:right w:type="dxa" w:w="110"/>
            </w:tcMar>
            <w:vAlign w:val="center"/>
          </w:tcPr>
          <w:p>
            <w:pPr>
              <w:spacing w:after="0" w:line="250"/>
            </w:pPr>
            <w:r>
              <w:rPr>
                <w:color w:val="2D2D2D"/>
                <w:sz w:val="19"/>
                <w:szCs w:val="19"/>
              </w:rPr>
              <w:t xml:space="preserve">Monthly GMV</w:t>
            </w:r>
          </w:p>
        </w:tc>
        <w:tc>
          <w:tcPr>
            <w:tcW w:type="dxa" w:w="1650"/>
            <w:shd w:fill="FFFFFF" w:color="auto" w:val="clear"/>
            <w:tcMar>
              <w:top w:type="dxa" w:w="60"/>
              <w:left w:type="dxa" w:w="110"/>
              <w:bottom w:type="dxa" w:w="60"/>
              <w:right w:type="dxa" w:w="110"/>
            </w:tcMar>
            <w:vAlign w:val="center"/>
          </w:tcPr>
          <w:p>
            <w:pPr>
              <w:spacing w:after="0" w:line="250"/>
            </w:pPr>
            <w:r>
              <w:rPr>
                <w:color w:val="2D2D2D"/>
                <w:sz w:val="19"/>
                <w:szCs w:val="19"/>
              </w:rPr>
              <w:t xml:space="preserve">₹5.2L</w:t>
            </w:r>
          </w:p>
        </w:tc>
        <w:tc>
          <w:tcPr>
            <w:tcW w:type="dxa" w:w="1650"/>
            <w:shd w:fill="FFFFFF" w:color="auto" w:val="clear"/>
            <w:tcMar>
              <w:top w:type="dxa" w:w="60"/>
              <w:left w:type="dxa" w:w="110"/>
              <w:bottom w:type="dxa" w:w="60"/>
              <w:right w:type="dxa" w:w="110"/>
            </w:tcMar>
            <w:vAlign w:val="center"/>
          </w:tcPr>
          <w:p>
            <w:pPr>
              <w:spacing w:after="0" w:line="250"/>
            </w:pPr>
            <w:r>
              <w:rPr>
                <w:color w:val="2D2D2D"/>
                <w:sz w:val="19"/>
                <w:szCs w:val="19"/>
              </w:rPr>
              <w:t xml:space="preserve">₹26L</w:t>
            </w:r>
          </w:p>
        </w:tc>
        <w:tc>
          <w:tcPr>
            <w:tcW w:type="dxa" w:w="1650"/>
            <w:shd w:fill="FFFFFF" w:color="auto" w:val="clear"/>
            <w:tcMar>
              <w:top w:type="dxa" w:w="60"/>
              <w:left w:type="dxa" w:w="110"/>
              <w:bottom w:type="dxa" w:w="60"/>
              <w:right w:type="dxa" w:w="110"/>
            </w:tcMar>
            <w:vAlign w:val="center"/>
          </w:tcPr>
          <w:p>
            <w:pPr>
              <w:spacing w:after="0" w:line="250"/>
            </w:pPr>
            <w:r>
              <w:rPr>
                <w:color w:val="2D2D2D"/>
                <w:sz w:val="19"/>
                <w:szCs w:val="19"/>
              </w:rPr>
              <w:t xml:space="preserve">₹1.25Cr</w:t>
            </w:r>
          </w:p>
        </w:tc>
        <w:tc>
          <w:tcPr>
            <w:tcW w:type="dxa" w:w="1650"/>
            <w:shd w:fill="FFFFFF" w:color="auto" w:val="clear"/>
            <w:tcMar>
              <w:top w:type="dxa" w:w="60"/>
              <w:left w:type="dxa" w:w="110"/>
              <w:bottom w:type="dxa" w:w="60"/>
              <w:right w:type="dxa" w:w="110"/>
            </w:tcMar>
            <w:vAlign w:val="center"/>
          </w:tcPr>
          <w:p>
            <w:pPr>
              <w:spacing w:after="0" w:line="250"/>
            </w:pPr>
            <w:r>
              <w:rPr>
                <w:color w:val="2D2D2D"/>
                <w:sz w:val="19"/>
                <w:szCs w:val="19"/>
              </w:rPr>
              <w:t xml:space="preserve">₹3.6Cr</w:t>
            </w:r>
          </w:p>
        </w:tc>
      </w:tr>
      <w:tr>
        <w:tc>
          <w:tcPr>
            <w:tcW w:type="dxa" w:w="2760"/>
            <w:shd w:fill="F5F5F5" w:color="auto" w:val="clear"/>
            <w:tcMar>
              <w:top w:type="dxa" w:w="60"/>
              <w:left w:type="dxa" w:w="110"/>
              <w:bottom w:type="dxa" w:w="60"/>
              <w:right w:type="dxa" w:w="110"/>
            </w:tcMar>
            <w:vAlign w:val="center"/>
          </w:tcPr>
          <w:p>
            <w:pPr>
              <w:spacing w:after="0" w:line="250"/>
            </w:pPr>
            <w:r>
              <w:rPr>
                <w:color w:val="2D2D2D"/>
                <w:sz w:val="19"/>
                <w:szCs w:val="19"/>
              </w:rPr>
              <w:t xml:space="preserve">Total platform revenue</w:t>
            </w:r>
          </w:p>
        </w:tc>
        <w:tc>
          <w:tcPr>
            <w:tcW w:type="dxa" w:w="1650"/>
            <w:shd w:fill="F5F5F5" w:color="auto" w:val="clear"/>
            <w:tcMar>
              <w:top w:type="dxa" w:w="60"/>
              <w:left w:type="dxa" w:w="110"/>
              <w:bottom w:type="dxa" w:w="60"/>
              <w:right w:type="dxa" w:w="110"/>
            </w:tcMar>
            <w:vAlign w:val="center"/>
          </w:tcPr>
          <w:p>
            <w:pPr>
              <w:spacing w:after="0" w:line="250"/>
            </w:pPr>
            <w:r>
              <w:rPr>
                <w:color w:val="2D2D2D"/>
                <w:sz w:val="19"/>
                <w:szCs w:val="19"/>
              </w:rPr>
              <w:t xml:space="preserve">₹78K</w:t>
            </w:r>
          </w:p>
        </w:tc>
        <w:tc>
          <w:tcPr>
            <w:tcW w:type="dxa" w:w="1650"/>
            <w:shd w:fill="F5F5F5" w:color="auto" w:val="clear"/>
            <w:tcMar>
              <w:top w:type="dxa" w:w="60"/>
              <w:left w:type="dxa" w:w="110"/>
              <w:bottom w:type="dxa" w:w="60"/>
              <w:right w:type="dxa" w:w="110"/>
            </w:tcMar>
            <w:vAlign w:val="center"/>
          </w:tcPr>
          <w:p>
            <w:pPr>
              <w:spacing w:after="0" w:line="250"/>
            </w:pPr>
            <w:r>
              <w:rPr>
                <w:color w:val="2D2D2D"/>
                <w:sz w:val="19"/>
                <w:szCs w:val="19"/>
              </w:rPr>
              <w:t xml:space="preserve">₹5.5L</w:t>
            </w:r>
          </w:p>
        </w:tc>
        <w:tc>
          <w:tcPr>
            <w:tcW w:type="dxa" w:w="1650"/>
            <w:shd w:fill="F5F5F5" w:color="auto" w:val="clear"/>
            <w:tcMar>
              <w:top w:type="dxa" w:w="60"/>
              <w:left w:type="dxa" w:w="110"/>
              <w:bottom w:type="dxa" w:w="60"/>
              <w:right w:type="dxa" w:w="110"/>
            </w:tcMar>
            <w:vAlign w:val="center"/>
          </w:tcPr>
          <w:p>
            <w:pPr>
              <w:spacing w:after="0" w:line="250"/>
            </w:pPr>
            <w:r>
              <w:rPr>
                <w:color w:val="2D2D2D"/>
                <w:sz w:val="19"/>
                <w:szCs w:val="19"/>
              </w:rPr>
              <w:t xml:space="preserve">₹24.5L</w:t>
            </w:r>
          </w:p>
        </w:tc>
        <w:tc>
          <w:tcPr>
            <w:tcW w:type="dxa" w:w="1650"/>
            <w:shd w:fill="F5F5F5" w:color="auto" w:val="clear"/>
            <w:tcMar>
              <w:top w:type="dxa" w:w="60"/>
              <w:left w:type="dxa" w:w="110"/>
              <w:bottom w:type="dxa" w:w="60"/>
              <w:right w:type="dxa" w:w="110"/>
            </w:tcMar>
            <w:vAlign w:val="center"/>
          </w:tcPr>
          <w:p>
            <w:pPr>
              <w:spacing w:after="0" w:line="250"/>
            </w:pPr>
            <w:r>
              <w:rPr>
                <w:color w:val="2D2D2D"/>
                <w:sz w:val="19"/>
                <w:szCs w:val="19"/>
              </w:rPr>
              <w:t xml:space="preserve">₹67.75L</w:t>
            </w:r>
          </w:p>
        </w:tc>
      </w:tr>
      <w:tr>
        <w:tc>
          <w:tcPr>
            <w:tcW w:type="dxa" w:w="2760"/>
            <w:shd w:fill="FFFFFF" w:color="auto" w:val="clear"/>
            <w:tcMar>
              <w:top w:type="dxa" w:w="60"/>
              <w:left w:type="dxa" w:w="110"/>
              <w:bottom w:type="dxa" w:w="60"/>
              <w:right w:type="dxa" w:w="110"/>
            </w:tcMar>
            <w:vAlign w:val="center"/>
          </w:tcPr>
          <w:p>
            <w:pPr>
              <w:spacing w:after="0" w:line="250"/>
            </w:pPr>
            <w:r>
              <w:rPr>
                <w:color w:val="2D2D2D"/>
                <w:sz w:val="19"/>
                <w:szCs w:val="19"/>
              </w:rPr>
              <w:t xml:space="preserve">EBITDA</w:t>
            </w:r>
          </w:p>
        </w:tc>
        <w:tc>
          <w:tcPr>
            <w:tcW w:type="dxa" w:w="1650"/>
            <w:shd w:fill="FFFFFF" w:color="auto" w:val="clear"/>
            <w:tcMar>
              <w:top w:type="dxa" w:w="60"/>
              <w:left w:type="dxa" w:w="110"/>
              <w:bottom w:type="dxa" w:w="60"/>
              <w:right w:type="dxa" w:w="110"/>
            </w:tcMar>
            <w:vAlign w:val="center"/>
          </w:tcPr>
          <w:p>
            <w:pPr>
              <w:spacing w:after="0" w:line="250"/>
            </w:pPr>
            <w:r>
              <w:rPr>
                <w:color w:val="2D2D2D"/>
                <w:sz w:val="19"/>
                <w:szCs w:val="19"/>
              </w:rPr>
              <w:t xml:space="preserve">–₹1.02L</w:t>
            </w:r>
          </w:p>
        </w:tc>
        <w:tc>
          <w:tcPr>
            <w:tcW w:type="dxa" w:w="1650"/>
            <w:shd w:fill="FFFFFF" w:color="auto" w:val="clear"/>
            <w:tcMar>
              <w:top w:type="dxa" w:w="60"/>
              <w:left w:type="dxa" w:w="110"/>
              <w:bottom w:type="dxa" w:w="60"/>
              <w:right w:type="dxa" w:w="110"/>
            </w:tcMar>
            <w:vAlign w:val="center"/>
          </w:tcPr>
          <w:p>
            <w:pPr>
              <w:spacing w:after="0" w:line="250"/>
            </w:pPr>
            <w:r>
              <w:rPr>
                <w:color w:val="2D2D2D"/>
                <w:sz w:val="19"/>
                <w:szCs w:val="19"/>
              </w:rPr>
              <w:t xml:space="preserve">+₹2.0L</w:t>
            </w:r>
          </w:p>
        </w:tc>
        <w:tc>
          <w:tcPr>
            <w:tcW w:type="dxa" w:w="1650"/>
            <w:shd w:fill="FFFFFF" w:color="auto" w:val="clear"/>
            <w:tcMar>
              <w:top w:type="dxa" w:w="60"/>
              <w:left w:type="dxa" w:w="110"/>
              <w:bottom w:type="dxa" w:w="60"/>
              <w:right w:type="dxa" w:w="110"/>
            </w:tcMar>
            <w:vAlign w:val="center"/>
          </w:tcPr>
          <w:p>
            <w:pPr>
              <w:spacing w:after="0" w:line="250"/>
            </w:pPr>
            <w:r>
              <w:rPr>
                <w:color w:val="2D2D2D"/>
                <w:sz w:val="19"/>
                <w:szCs w:val="19"/>
              </w:rPr>
              <w:t xml:space="preserve">+₹10.5L</w:t>
            </w:r>
          </w:p>
        </w:tc>
        <w:tc>
          <w:tcPr>
            <w:tcW w:type="dxa" w:w="1650"/>
            <w:shd w:fill="FFFFFF" w:color="auto" w:val="clear"/>
            <w:tcMar>
              <w:top w:type="dxa" w:w="60"/>
              <w:left w:type="dxa" w:w="110"/>
              <w:bottom w:type="dxa" w:w="60"/>
              <w:right w:type="dxa" w:w="110"/>
            </w:tcMar>
            <w:vAlign w:val="center"/>
          </w:tcPr>
          <w:p>
            <w:pPr>
              <w:spacing w:after="0" w:line="250"/>
            </w:pPr>
            <w:r>
              <w:rPr>
                <w:color w:val="2D2D2D"/>
                <w:sz w:val="19"/>
                <w:szCs w:val="19"/>
              </w:rPr>
              <w:t xml:space="preserve">+₹37.75L</w:t>
            </w:r>
          </w:p>
        </w:tc>
      </w:tr>
    </w:tbl>
    <w:p>
      <w:pPr>
        <w:pStyle w:val="Heading2"/>
        <w:spacing w:after="120" w:before="260"/>
      </w:pPr>
      <w:r>
        <w:t xml:space="preserve">5.5 Unit-economics defence (for VCs)</w:t>
      </w:r>
    </w:p>
    <w:p>
      <w:pPr>
        <w:spacing w:after="120" w:before="0" w:line="276"/>
      </w:pPr>
      <w:r>
        <w:rPr>
          <w:color w:val="2D2D2D"/>
          <w:sz w:val="21"/>
          <w:szCs w:val="21"/>
        </w:rPr>
        <w:t xml:space="preserve">The sharpest grilling will be CAC vs LTV on a compressed ticket. The defence is threefold: (1) blended CAC held sub-₹50 via organic, hyper-local, referral-driven growth — not paid ad spend; (2) LTV ₹1,800+ from repeat drops + Swaad Club + attach; (3) the attribution layer (Part II) converts diners to full-price restaurant orders, lifting effective LTV and making the take-rate ROI-defensible. If CAC ever needs paid media to hold, the model is being scaled too fast — density first.</w:t>
      </w:r>
    </w:p>
    <w:p>
      <w:pPr>
        <w:pStyle w:val="Heading1"/>
        <w:spacing w:after="160" w:before="360"/>
      </w:pPr>
      <w:r>
        <w:t xml:space="preserve">Part VI — Brand, Naming &amp; Language</w:t>
      </w:r>
    </w:p>
    <w:p>
      <w:pPr>
        <w:pStyle w:val="Heading2"/>
        <w:spacing w:after="120" w:before="260"/>
      </w:pPr>
      <w:r>
        <w:t xml:space="preserve">6.1 Brand architecture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600"/>
        <w:gridCol w:w="3760"/>
        <w:gridCol w:w="3000"/>
      </w:tblGrid>
      <w:tr>
        <w:trPr>
          <w:tblHeader/>
        </w:trPr>
        <w:tc>
          <w:tcPr>
            <w:tcW w:type="dxa" w:w="260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Level</w:t>
            </w:r>
          </w:p>
        </w:tc>
        <w:tc>
          <w:tcPr>
            <w:tcW w:type="dxa" w:w="376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Name</w:t>
            </w:r>
          </w:p>
        </w:tc>
        <w:tc>
          <w:tcPr>
            <w:tcW w:type="dxa" w:w="300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Usage</w:t>
            </w:r>
          </w:p>
        </w:tc>
      </w:tr>
      <w:tr>
        <w:tc>
          <w:tcPr>
            <w:tcW w:type="dxa" w:w="2600"/>
            <w:shd w:fill="F5F5F5" w:color="auto" w:val="clear"/>
            <w:tcMar>
              <w:top w:type="dxa" w:w="60"/>
              <w:left w:type="dxa" w:w="110"/>
              <w:bottom w:type="dxa" w:w="60"/>
              <w:right w:type="dxa" w:w="110"/>
            </w:tcMar>
            <w:vAlign w:val="center"/>
          </w:tcPr>
          <w:p>
            <w:pPr>
              <w:spacing w:after="0" w:line="250"/>
            </w:pPr>
            <w:r>
              <w:rPr>
                <w:color w:val="2D2D2D"/>
                <w:sz w:val="19"/>
                <w:szCs w:val="19"/>
              </w:rPr>
              <w:t xml:space="preserve">Master brand</w:t>
            </w:r>
          </w:p>
        </w:tc>
        <w:tc>
          <w:tcPr>
            <w:tcW w:type="dxa" w:w="3760"/>
            <w:shd w:fill="F5F5F5" w:color="auto" w:val="clear"/>
            <w:tcMar>
              <w:top w:type="dxa" w:w="60"/>
              <w:left w:type="dxa" w:w="110"/>
              <w:bottom w:type="dxa" w:w="60"/>
              <w:right w:type="dxa" w:w="110"/>
            </w:tcMar>
            <w:vAlign w:val="center"/>
          </w:tcPr>
          <w:p>
            <w:pPr>
              <w:spacing w:after="0" w:line="250"/>
            </w:pPr>
            <w:r>
              <w:rPr>
                <w:color w:val="2D2D2D"/>
                <w:sz w:val="19"/>
                <w:szCs w:val="19"/>
              </w:rPr>
              <w:t xml:space="preserve">goZaika</w:t>
            </w:r>
          </w:p>
        </w:tc>
        <w:tc>
          <w:tcPr>
            <w:tcW w:type="dxa" w:w="3000"/>
            <w:shd w:fill="F5F5F5" w:color="auto" w:val="clear"/>
            <w:tcMar>
              <w:top w:type="dxa" w:w="60"/>
              <w:left w:type="dxa" w:w="110"/>
              <w:bottom w:type="dxa" w:w="60"/>
              <w:right w:type="dxa" w:w="110"/>
            </w:tcMar>
            <w:vAlign w:val="center"/>
          </w:tcPr>
          <w:p>
            <w:pPr>
              <w:spacing w:after="0" w:line="250"/>
            </w:pPr>
            <w:r>
              <w:rPr>
                <w:color w:val="2D2D2D"/>
                <w:sz w:val="19"/>
                <w:szCs w:val="19"/>
              </w:rPr>
              <w:t xml:space="preserve">All consumer, investor, restaurant communication</w:t>
            </w:r>
          </w:p>
        </w:tc>
      </w:tr>
      <w:tr>
        <w:tc>
          <w:tcPr>
            <w:tcW w:type="dxa" w:w="2600"/>
            <w:shd w:fill="FFFFFF" w:color="auto" w:val="clear"/>
            <w:tcMar>
              <w:top w:type="dxa" w:w="60"/>
              <w:left w:type="dxa" w:w="110"/>
              <w:bottom w:type="dxa" w:w="60"/>
              <w:right w:type="dxa" w:w="110"/>
            </w:tcMar>
            <w:vAlign w:val="center"/>
          </w:tcPr>
          <w:p>
            <w:pPr>
              <w:spacing w:after="0" w:line="250"/>
            </w:pPr>
            <w:r>
              <w:rPr>
                <w:color w:val="2D2D2D"/>
                <w:sz w:val="19"/>
                <w:szCs w:val="19"/>
              </w:rPr>
              <w:t xml:space="preserve">Product mechanic</w:t>
            </w:r>
          </w:p>
        </w:tc>
        <w:tc>
          <w:tcPr>
            <w:tcW w:type="dxa" w:w="3760"/>
            <w:shd w:fill="FFFFFF" w:color="auto" w:val="clear"/>
            <w:tcMar>
              <w:top w:type="dxa" w:w="60"/>
              <w:left w:type="dxa" w:w="110"/>
              <w:bottom w:type="dxa" w:w="60"/>
              <w:right w:type="dxa" w:w="110"/>
            </w:tcMar>
            <w:vAlign w:val="center"/>
          </w:tcPr>
          <w:p>
            <w:pPr>
              <w:spacing w:after="0" w:line="250"/>
            </w:pPr>
            <w:r>
              <w:rPr>
                <w:color w:val="2D2D2D"/>
                <w:sz w:val="19"/>
                <w:szCs w:val="19"/>
              </w:rPr>
              <w:t xml:space="preserve">BAM Bag (Bada Zayka Ayega Maza)</w:t>
            </w:r>
          </w:p>
        </w:tc>
        <w:tc>
          <w:tcPr>
            <w:tcW w:type="dxa" w:w="3000"/>
            <w:shd w:fill="FFFFFF" w:color="auto" w:val="clear"/>
            <w:tcMar>
              <w:top w:type="dxa" w:w="60"/>
              <w:left w:type="dxa" w:w="110"/>
              <w:bottom w:type="dxa" w:w="60"/>
              <w:right w:type="dxa" w:w="110"/>
            </w:tcMar>
            <w:vAlign w:val="center"/>
          </w:tcPr>
          <w:p>
            <w:pPr>
              <w:spacing w:after="0" w:line="250"/>
            </w:pPr>
            <w:r>
              <w:rPr>
                <w:color w:val="2D2D2D"/>
                <w:sz w:val="19"/>
                <w:szCs w:val="19"/>
              </w:rPr>
              <w:t xml:space="preserve">The bag product in app and marketing</w:t>
            </w:r>
          </w:p>
        </w:tc>
      </w:tr>
      <w:tr>
        <w:tc>
          <w:tcPr>
            <w:tcW w:type="dxa" w:w="2600"/>
            <w:shd w:fill="F5F5F5" w:color="auto" w:val="clear"/>
            <w:tcMar>
              <w:top w:type="dxa" w:w="60"/>
              <w:left w:type="dxa" w:w="110"/>
              <w:bottom w:type="dxa" w:w="60"/>
              <w:right w:type="dxa" w:w="110"/>
            </w:tcMar>
            <w:vAlign w:val="center"/>
          </w:tcPr>
          <w:p>
            <w:pPr>
              <w:spacing w:after="0" w:line="250"/>
            </w:pPr>
            <w:r>
              <w:rPr>
                <w:color w:val="2D2D2D"/>
                <w:sz w:val="19"/>
                <w:szCs w:val="19"/>
              </w:rPr>
              <w:t xml:space="preserve">Consumer subscription</w:t>
            </w:r>
          </w:p>
        </w:tc>
        <w:tc>
          <w:tcPr>
            <w:tcW w:type="dxa" w:w="3760"/>
            <w:shd w:fill="F5F5F5" w:color="auto" w:val="clear"/>
            <w:tcMar>
              <w:top w:type="dxa" w:w="60"/>
              <w:left w:type="dxa" w:w="110"/>
              <w:bottom w:type="dxa" w:w="60"/>
              <w:right w:type="dxa" w:w="110"/>
            </w:tcMar>
            <w:vAlign w:val="center"/>
          </w:tcPr>
          <w:p>
            <w:pPr>
              <w:spacing w:after="0" w:line="250"/>
            </w:pPr>
            <w:r>
              <w:rPr>
                <w:color w:val="2D2D2D"/>
                <w:sz w:val="19"/>
                <w:szCs w:val="19"/>
              </w:rPr>
              <w:t xml:space="preserve">Swaad Club</w:t>
            </w:r>
          </w:p>
        </w:tc>
        <w:tc>
          <w:tcPr>
            <w:tcW w:type="dxa" w:w="3000"/>
            <w:shd w:fill="F5F5F5" w:color="auto" w:val="clear"/>
            <w:tcMar>
              <w:top w:type="dxa" w:w="60"/>
              <w:left w:type="dxa" w:w="110"/>
              <w:bottom w:type="dxa" w:w="60"/>
              <w:right w:type="dxa" w:w="110"/>
            </w:tcMar>
            <w:vAlign w:val="center"/>
          </w:tcPr>
          <w:p>
            <w:pPr>
              <w:spacing w:after="0" w:line="250"/>
            </w:pPr>
            <w:r>
              <w:rPr>
                <w:color w:val="2D2D2D"/>
                <w:sz w:val="19"/>
                <w:szCs w:val="19"/>
              </w:rPr>
              <w:t xml:space="preserve">Priority-access membership tier</w:t>
            </w:r>
          </w:p>
        </w:tc>
      </w:tr>
      <w:tr>
        <w:tc>
          <w:tcPr>
            <w:tcW w:type="dxa" w:w="2600"/>
            <w:shd w:fill="FFFFFF" w:color="auto" w:val="clear"/>
            <w:tcMar>
              <w:top w:type="dxa" w:w="60"/>
              <w:left w:type="dxa" w:w="110"/>
              <w:bottom w:type="dxa" w:w="60"/>
              <w:right w:type="dxa" w:w="110"/>
            </w:tcMar>
            <w:vAlign w:val="center"/>
          </w:tcPr>
          <w:p>
            <w:pPr>
              <w:spacing w:after="0" w:line="250"/>
            </w:pPr>
            <w:r>
              <w:rPr>
                <w:color w:val="2D2D2D"/>
                <w:sz w:val="19"/>
                <w:szCs w:val="19"/>
              </w:rPr>
              <w:t xml:space="preserve">Restaurant SaaS</w:t>
            </w:r>
          </w:p>
        </w:tc>
        <w:tc>
          <w:tcPr>
            <w:tcW w:type="dxa" w:w="3760"/>
            <w:shd w:fill="FFFFFF" w:color="auto" w:val="clear"/>
            <w:tcMar>
              <w:top w:type="dxa" w:w="60"/>
              <w:left w:type="dxa" w:w="110"/>
              <w:bottom w:type="dxa" w:w="60"/>
              <w:right w:type="dxa" w:w="110"/>
            </w:tcMar>
            <w:vAlign w:val="center"/>
          </w:tcPr>
          <w:p>
            <w:pPr>
              <w:spacing w:after="0" w:line="250"/>
            </w:pPr>
            <w:r>
              <w:rPr>
                <w:color w:val="2D2D2D"/>
                <w:sz w:val="19"/>
                <w:szCs w:val="19"/>
              </w:rPr>
              <w:t xml:space="preserve">Zayka Pro</w:t>
            </w:r>
          </w:p>
        </w:tc>
        <w:tc>
          <w:tcPr>
            <w:tcW w:type="dxa" w:w="3000"/>
            <w:shd w:fill="FFFFFF" w:color="auto" w:val="clear"/>
            <w:tcMar>
              <w:top w:type="dxa" w:w="60"/>
              <w:left w:type="dxa" w:w="110"/>
              <w:bottom w:type="dxa" w:w="60"/>
              <w:right w:type="dxa" w:w="110"/>
            </w:tcMar>
            <w:vAlign w:val="center"/>
          </w:tcPr>
          <w:p>
            <w:pPr>
              <w:spacing w:after="0" w:line="250"/>
            </w:pPr>
            <w:r>
              <w:rPr>
                <w:color w:val="2D2D2D"/>
                <w:sz w:val="19"/>
                <w:szCs w:val="19"/>
              </w:rPr>
              <w:t xml:space="preserve">B2B dashboard &amp; analytics</w:t>
            </w:r>
          </w:p>
        </w:tc>
      </w:tr>
      <w:tr>
        <w:tc>
          <w:tcPr>
            <w:tcW w:type="dxa" w:w="2600"/>
            <w:shd w:fill="F5F5F5" w:color="auto" w:val="clear"/>
            <w:tcMar>
              <w:top w:type="dxa" w:w="60"/>
              <w:left w:type="dxa" w:w="110"/>
              <w:bottom w:type="dxa" w:w="60"/>
              <w:right w:type="dxa" w:w="110"/>
            </w:tcMar>
            <w:vAlign w:val="center"/>
          </w:tcPr>
          <w:p>
            <w:pPr>
              <w:spacing w:after="0" w:line="250"/>
            </w:pPr>
            <w:r>
              <w:rPr>
                <w:color w:val="2D2D2D"/>
                <w:sz w:val="19"/>
                <w:szCs w:val="19"/>
              </w:rPr>
              <w:t xml:space="preserve">Analytics / data</w:t>
            </w:r>
          </w:p>
        </w:tc>
        <w:tc>
          <w:tcPr>
            <w:tcW w:type="dxa" w:w="3760"/>
            <w:shd w:fill="F5F5F5" w:color="auto" w:val="clear"/>
            <w:tcMar>
              <w:top w:type="dxa" w:w="60"/>
              <w:left w:type="dxa" w:w="110"/>
              <w:bottom w:type="dxa" w:w="60"/>
              <w:right w:type="dxa" w:w="110"/>
            </w:tcMar>
            <w:vAlign w:val="center"/>
          </w:tcPr>
          <w:p>
            <w:pPr>
              <w:spacing w:after="0" w:line="250"/>
            </w:pPr>
            <w:r>
              <w:rPr>
                <w:color w:val="2D2D2D"/>
                <w:sz w:val="19"/>
                <w:szCs w:val="19"/>
              </w:rPr>
              <w:t xml:space="preserve">ZaikaIQ</w:t>
            </w:r>
          </w:p>
        </w:tc>
        <w:tc>
          <w:tcPr>
            <w:tcW w:type="dxa" w:w="3000"/>
            <w:shd w:fill="F5F5F5" w:color="auto" w:val="clear"/>
            <w:tcMar>
              <w:top w:type="dxa" w:w="60"/>
              <w:left w:type="dxa" w:w="110"/>
              <w:bottom w:type="dxa" w:w="60"/>
              <w:right w:type="dxa" w:w="110"/>
            </w:tcMar>
            <w:vAlign w:val="center"/>
          </w:tcPr>
          <w:p>
            <w:pPr>
              <w:spacing w:after="0" w:line="250"/>
            </w:pPr>
            <w:r>
              <w:rPr>
                <w:color w:val="2D2D2D"/>
                <w:sz w:val="19"/>
                <w:szCs w:val="19"/>
              </w:rPr>
              <w:t xml:space="preserve">Demand forecasting, sell-through benchmarking, ESG impact</w:t>
            </w:r>
          </w:p>
        </w:tc>
      </w:tr>
    </w:tbl>
    <w:p>
      <w:pPr>
        <w:pStyle w:val="Heading2"/>
        <w:spacing w:after="120" w:before="260"/>
      </w:pPr>
      <w:r>
        <w:t xml:space="preserve">6.2 Naming note: “chef’s thali” (composition) vs “sample bag”</w:t>
      </w:r>
    </w:p>
    <w:p>
      <w:pPr>
        <w:spacing w:after="120" w:before="0" w:line="276"/>
      </w:pPr>
      <w:r>
        <w:rPr>
          <w:color w:val="2D2D2D"/>
          <w:sz w:val="21"/>
          <w:szCs w:val="21"/>
        </w:rPr>
        <w:t xml:space="preserve">The composition descriptor is the chef’s thali — the culturally-native metaphor for a generous plate of small, varied portions, impossible to read as “surplus.” It reinforces the mechanic (the “how” a BAM Bag is composed); it is not the primary name. BAM Bag remains the primary mechanic name; “chef’s thali” (and “Chef’s Selection”) is the premium descriptor — the earlier “Chef’s Tasting / flight” wording is retired. “Sample” stays banned in consumer copy: it culturally means free — every reference point (cafés, Costco) is zero-cost trial — so a paid “sample” fights itself. Likewise retire “mystery = you can’t choose” in favour of curated variety and discovery (keep the surprise). Never promise a dish or serving count — signal a generous spread.</w:t>
      </w:r>
    </w:p>
    <w:p>
      <w:pPr>
        <w:pStyle w:val="Heading2"/>
        <w:spacing w:after="120" w:before="260"/>
      </w:pPr>
      <w:r>
        <w:t xml:space="preserve">6.3 Colour palette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2200"/>
        <w:gridCol w:w="1560"/>
        <w:gridCol w:w="3400"/>
      </w:tblGrid>
      <w:tr>
        <w:trPr>
          <w:tblHeader/>
        </w:trPr>
        <w:tc>
          <w:tcPr>
            <w:tcW w:type="dxa" w:w="220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Role</w:t>
            </w:r>
          </w:p>
        </w:tc>
        <w:tc>
          <w:tcPr>
            <w:tcW w:type="dxa" w:w="220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Name</w:t>
            </w:r>
          </w:p>
        </w:tc>
        <w:tc>
          <w:tcPr>
            <w:tcW w:type="dxa" w:w="156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Hex</w:t>
            </w:r>
          </w:p>
        </w:tc>
        <w:tc>
          <w:tcPr>
            <w:tcW w:type="dxa" w:w="340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Usage</w:t>
            </w:r>
          </w:p>
        </w:tc>
      </w:tr>
      <w:tr>
        <w:tc>
          <w:tcPr>
            <w:tcW w:type="dxa" w:w="2200"/>
            <w:shd w:fill="F5F5F5" w:color="auto" w:val="clear"/>
            <w:tcMar>
              <w:top w:type="dxa" w:w="60"/>
              <w:left w:type="dxa" w:w="110"/>
              <w:bottom w:type="dxa" w:w="60"/>
              <w:right w:type="dxa" w:w="110"/>
            </w:tcMar>
            <w:vAlign w:val="center"/>
          </w:tcPr>
          <w:p>
            <w:pPr>
              <w:spacing w:after="0" w:line="250"/>
            </w:pPr>
            <w:r>
              <w:rPr>
                <w:color w:val="2D2D2D"/>
                <w:sz w:val="19"/>
                <w:szCs w:val="19"/>
              </w:rPr>
              <w:t xml:space="preserve">Primary</w:t>
            </w:r>
          </w:p>
        </w:tc>
        <w:tc>
          <w:tcPr>
            <w:tcW w:type="dxa" w:w="2200"/>
            <w:shd w:fill="F5F5F5" w:color="auto" w:val="clear"/>
            <w:tcMar>
              <w:top w:type="dxa" w:w="60"/>
              <w:left w:type="dxa" w:w="110"/>
              <w:bottom w:type="dxa" w:w="60"/>
              <w:right w:type="dxa" w:w="110"/>
            </w:tcMar>
            <w:vAlign w:val="center"/>
          </w:tcPr>
          <w:p>
            <w:pPr>
              <w:spacing w:after="0" w:line="250"/>
            </w:pPr>
            <w:r>
              <w:rPr>
                <w:color w:val="2D2D2D"/>
                <w:sz w:val="19"/>
                <w:szCs w:val="19"/>
              </w:rPr>
              <w:t xml:space="preserve">Saffron Flame</w:t>
            </w:r>
          </w:p>
        </w:tc>
        <w:tc>
          <w:tcPr>
            <w:tcW w:type="dxa" w:w="1560"/>
            <w:shd w:fill="F5F5F5" w:color="auto" w:val="clear"/>
            <w:tcMar>
              <w:top w:type="dxa" w:w="60"/>
              <w:left w:type="dxa" w:w="110"/>
              <w:bottom w:type="dxa" w:w="60"/>
              <w:right w:type="dxa" w:w="110"/>
            </w:tcMar>
            <w:vAlign w:val="center"/>
          </w:tcPr>
          <w:p>
            <w:pPr>
              <w:spacing w:after="0" w:line="250"/>
            </w:pPr>
            <w:r>
              <w:rPr>
                <w:color w:val="2D2D2D"/>
                <w:sz w:val="19"/>
                <w:szCs w:val="19"/>
              </w:rPr>
              <w:t xml:space="preserve">#FF6B35</w:t>
            </w:r>
          </w:p>
        </w:tc>
        <w:tc>
          <w:tcPr>
            <w:tcW w:type="dxa" w:w="3400"/>
            <w:shd w:fill="F5F5F5" w:color="auto" w:val="clear"/>
            <w:tcMar>
              <w:top w:type="dxa" w:w="60"/>
              <w:left w:type="dxa" w:w="110"/>
              <w:bottom w:type="dxa" w:w="60"/>
              <w:right w:type="dxa" w:w="110"/>
            </w:tcMar>
            <w:vAlign w:val="center"/>
          </w:tcPr>
          <w:p>
            <w:pPr>
              <w:spacing w:after="0" w:line="250"/>
            </w:pPr>
            <w:r>
              <w:rPr>
                <w:color w:val="2D2D2D"/>
                <w:sz w:val="19"/>
                <w:szCs w:val="19"/>
              </w:rPr>
              <w:t xml:space="preserve">CTAs, logo accent, urgency</w:t>
            </w:r>
          </w:p>
        </w:tc>
      </w:tr>
      <w:tr>
        <w:tc>
          <w:tcPr>
            <w:tcW w:type="dxa" w:w="2200"/>
            <w:shd w:fill="FFFFFF" w:color="auto" w:val="clear"/>
            <w:tcMar>
              <w:top w:type="dxa" w:w="60"/>
              <w:left w:type="dxa" w:w="110"/>
              <w:bottom w:type="dxa" w:w="60"/>
              <w:right w:type="dxa" w:w="110"/>
            </w:tcMar>
            <w:vAlign w:val="center"/>
          </w:tcPr>
          <w:p>
            <w:pPr>
              <w:spacing w:after="0" w:line="250"/>
            </w:pPr>
            <w:r>
              <w:rPr>
                <w:color w:val="2D2D2D"/>
                <w:sz w:val="19"/>
                <w:szCs w:val="19"/>
              </w:rPr>
              <w:t xml:space="preserve">Secondary</w:t>
            </w:r>
          </w:p>
        </w:tc>
        <w:tc>
          <w:tcPr>
            <w:tcW w:type="dxa" w:w="2200"/>
            <w:shd w:fill="FFFFFF" w:color="auto" w:val="clear"/>
            <w:tcMar>
              <w:top w:type="dxa" w:w="60"/>
              <w:left w:type="dxa" w:w="110"/>
              <w:bottom w:type="dxa" w:w="60"/>
              <w:right w:type="dxa" w:w="110"/>
            </w:tcMar>
            <w:vAlign w:val="center"/>
          </w:tcPr>
          <w:p>
            <w:pPr>
              <w:spacing w:after="0" w:line="250"/>
            </w:pPr>
            <w:r>
              <w:rPr>
                <w:color w:val="2D2D2D"/>
                <w:sz w:val="19"/>
                <w:szCs w:val="19"/>
              </w:rPr>
              <w:t xml:space="preserve">Forest Deep</w:t>
            </w:r>
          </w:p>
        </w:tc>
        <w:tc>
          <w:tcPr>
            <w:tcW w:type="dxa" w:w="1560"/>
            <w:shd w:fill="FFFFFF" w:color="auto" w:val="clear"/>
            <w:tcMar>
              <w:top w:type="dxa" w:w="60"/>
              <w:left w:type="dxa" w:w="110"/>
              <w:bottom w:type="dxa" w:w="60"/>
              <w:right w:type="dxa" w:w="110"/>
            </w:tcMar>
            <w:vAlign w:val="center"/>
          </w:tcPr>
          <w:p>
            <w:pPr>
              <w:spacing w:after="0" w:line="250"/>
            </w:pPr>
            <w:r>
              <w:rPr>
                <w:color w:val="2D2D2D"/>
                <w:sz w:val="19"/>
                <w:szCs w:val="19"/>
              </w:rPr>
              <w:t xml:space="preserve">#1A5C38</w:t>
            </w:r>
          </w:p>
        </w:tc>
        <w:tc>
          <w:tcPr>
            <w:tcW w:type="dxa" w:w="3400"/>
            <w:shd w:fill="FFFFFF" w:color="auto" w:val="clear"/>
            <w:tcMar>
              <w:top w:type="dxa" w:w="60"/>
              <w:left w:type="dxa" w:w="110"/>
              <w:bottom w:type="dxa" w:w="60"/>
              <w:right w:type="dxa" w:w="110"/>
            </w:tcMar>
            <w:vAlign w:val="center"/>
          </w:tcPr>
          <w:p>
            <w:pPr>
              <w:spacing w:after="0" w:line="250"/>
            </w:pPr>
            <w:r>
              <w:rPr>
                <w:color w:val="2D2D2D"/>
                <w:sz w:val="19"/>
                <w:szCs w:val="19"/>
              </w:rPr>
              <w:t xml:space="preserve">Headlines, brand text, trust, nav</w:t>
            </w:r>
          </w:p>
        </w:tc>
      </w:tr>
      <w:tr>
        <w:tc>
          <w:tcPr>
            <w:tcW w:type="dxa" w:w="2200"/>
            <w:shd w:fill="F5F5F5" w:color="auto" w:val="clear"/>
            <w:tcMar>
              <w:top w:type="dxa" w:w="60"/>
              <w:left w:type="dxa" w:w="110"/>
              <w:bottom w:type="dxa" w:w="60"/>
              <w:right w:type="dxa" w:w="110"/>
            </w:tcMar>
            <w:vAlign w:val="center"/>
          </w:tcPr>
          <w:p>
            <w:pPr>
              <w:spacing w:after="0" w:line="250"/>
            </w:pPr>
            <w:r>
              <w:rPr>
                <w:color w:val="2D2D2D"/>
                <w:sz w:val="19"/>
                <w:szCs w:val="19"/>
              </w:rPr>
              <w:t xml:space="preserve">Accent</w:t>
            </w:r>
          </w:p>
        </w:tc>
        <w:tc>
          <w:tcPr>
            <w:tcW w:type="dxa" w:w="2200"/>
            <w:shd w:fill="F5F5F5" w:color="auto" w:val="clear"/>
            <w:tcMar>
              <w:top w:type="dxa" w:w="60"/>
              <w:left w:type="dxa" w:w="110"/>
              <w:bottom w:type="dxa" w:w="60"/>
              <w:right w:type="dxa" w:w="110"/>
            </w:tcMar>
            <w:vAlign w:val="center"/>
          </w:tcPr>
          <w:p>
            <w:pPr>
              <w:spacing w:after="0" w:line="250"/>
            </w:pPr>
            <w:r>
              <w:rPr>
                <w:color w:val="2D2D2D"/>
                <w:sz w:val="19"/>
                <w:szCs w:val="19"/>
              </w:rPr>
              <w:t xml:space="preserve">Heritage Gold</w:t>
            </w:r>
          </w:p>
        </w:tc>
        <w:tc>
          <w:tcPr>
            <w:tcW w:type="dxa" w:w="1560"/>
            <w:shd w:fill="F5F5F5" w:color="auto" w:val="clear"/>
            <w:tcMar>
              <w:top w:type="dxa" w:w="60"/>
              <w:left w:type="dxa" w:w="110"/>
              <w:bottom w:type="dxa" w:w="60"/>
              <w:right w:type="dxa" w:w="110"/>
            </w:tcMar>
            <w:vAlign w:val="center"/>
          </w:tcPr>
          <w:p>
            <w:pPr>
              <w:spacing w:after="0" w:line="250"/>
            </w:pPr>
            <w:r>
              <w:rPr>
                <w:color w:val="2D2D2D"/>
                <w:sz w:val="19"/>
                <w:szCs w:val="19"/>
              </w:rPr>
              <w:t xml:space="preserve">#D4A017</w:t>
            </w:r>
          </w:p>
        </w:tc>
        <w:tc>
          <w:tcPr>
            <w:tcW w:type="dxa" w:w="3400"/>
            <w:shd w:fill="F5F5F5" w:color="auto" w:val="clear"/>
            <w:tcMar>
              <w:top w:type="dxa" w:w="60"/>
              <w:left w:type="dxa" w:w="110"/>
              <w:bottom w:type="dxa" w:w="60"/>
              <w:right w:type="dxa" w:w="110"/>
            </w:tcMar>
            <w:vAlign w:val="center"/>
          </w:tcPr>
          <w:p>
            <w:pPr>
              <w:spacing w:after="0" w:line="250"/>
            </w:pPr>
            <w:r>
              <w:rPr>
                <w:color w:val="2D2D2D"/>
                <w:sz w:val="19"/>
                <w:szCs w:val="19"/>
              </w:rPr>
              <w:t xml:space="preserve">Premium badge, Swaad Club, ratings</w:t>
            </w:r>
          </w:p>
        </w:tc>
      </w:tr>
      <w:tr>
        <w:tc>
          <w:tcPr>
            <w:tcW w:type="dxa" w:w="2200"/>
            <w:shd w:fill="FFFFFF" w:color="auto" w:val="clear"/>
            <w:tcMar>
              <w:top w:type="dxa" w:w="60"/>
              <w:left w:type="dxa" w:w="110"/>
              <w:bottom w:type="dxa" w:w="60"/>
              <w:right w:type="dxa" w:w="110"/>
            </w:tcMar>
            <w:vAlign w:val="center"/>
          </w:tcPr>
          <w:p>
            <w:pPr>
              <w:spacing w:after="0" w:line="250"/>
            </w:pPr>
            <w:r>
              <w:rPr>
                <w:color w:val="2D2D2D"/>
                <w:sz w:val="19"/>
                <w:szCs w:val="19"/>
              </w:rPr>
              <w:t xml:space="preserve">Background</w:t>
            </w:r>
          </w:p>
        </w:tc>
        <w:tc>
          <w:tcPr>
            <w:tcW w:type="dxa" w:w="2200"/>
            <w:shd w:fill="FFFFFF" w:color="auto" w:val="clear"/>
            <w:tcMar>
              <w:top w:type="dxa" w:w="60"/>
              <w:left w:type="dxa" w:w="110"/>
              <w:bottom w:type="dxa" w:w="60"/>
              <w:right w:type="dxa" w:w="110"/>
            </w:tcMar>
            <w:vAlign w:val="center"/>
          </w:tcPr>
          <w:p>
            <w:pPr>
              <w:spacing w:after="0" w:line="250"/>
            </w:pPr>
            <w:r>
              <w:rPr>
                <w:color w:val="2D2D2D"/>
                <w:sz w:val="19"/>
                <w:szCs w:val="19"/>
              </w:rPr>
              <w:t xml:space="preserve">Warm Cream</w:t>
            </w:r>
          </w:p>
        </w:tc>
        <w:tc>
          <w:tcPr>
            <w:tcW w:type="dxa" w:w="1560"/>
            <w:shd w:fill="FFFFFF" w:color="auto" w:val="clear"/>
            <w:tcMar>
              <w:top w:type="dxa" w:w="60"/>
              <w:left w:type="dxa" w:w="110"/>
              <w:bottom w:type="dxa" w:w="60"/>
              <w:right w:type="dxa" w:w="110"/>
            </w:tcMar>
            <w:vAlign w:val="center"/>
          </w:tcPr>
          <w:p>
            <w:pPr>
              <w:spacing w:after="0" w:line="250"/>
            </w:pPr>
            <w:r>
              <w:rPr>
                <w:color w:val="2D2D2D"/>
                <w:sz w:val="19"/>
                <w:szCs w:val="19"/>
              </w:rPr>
              <w:t xml:space="preserve">#FFF8F0</w:t>
            </w:r>
          </w:p>
        </w:tc>
        <w:tc>
          <w:tcPr>
            <w:tcW w:type="dxa" w:w="3400"/>
            <w:shd w:fill="FFFFFF" w:color="auto" w:val="clear"/>
            <w:tcMar>
              <w:top w:type="dxa" w:w="60"/>
              <w:left w:type="dxa" w:w="110"/>
              <w:bottom w:type="dxa" w:w="60"/>
              <w:right w:type="dxa" w:w="110"/>
            </w:tcMar>
            <w:vAlign w:val="center"/>
          </w:tcPr>
          <w:p>
            <w:pPr>
              <w:spacing w:after="0" w:line="250"/>
            </w:pPr>
            <w:r>
              <w:rPr>
                <w:color w:val="2D2D2D"/>
                <w:sz w:val="19"/>
                <w:szCs w:val="19"/>
              </w:rPr>
              <w:t xml:space="preserve">App &amp; card backgrounds</w:t>
            </w:r>
          </w:p>
        </w:tc>
      </w:tr>
      <w:tr>
        <w:tc>
          <w:tcPr>
            <w:tcW w:type="dxa" w:w="2200"/>
            <w:shd w:fill="F5F5F5" w:color="auto" w:val="clear"/>
            <w:tcMar>
              <w:top w:type="dxa" w:w="60"/>
              <w:left w:type="dxa" w:w="110"/>
              <w:bottom w:type="dxa" w:w="60"/>
              <w:right w:type="dxa" w:w="110"/>
            </w:tcMar>
            <w:vAlign w:val="center"/>
          </w:tcPr>
          <w:p>
            <w:pPr>
              <w:spacing w:after="0" w:line="250"/>
            </w:pPr>
            <w:r>
              <w:rPr>
                <w:color w:val="2D2D2D"/>
                <w:sz w:val="19"/>
                <w:szCs w:val="19"/>
              </w:rPr>
              <w:t xml:space="preserve">Neutral dark</w:t>
            </w:r>
          </w:p>
        </w:tc>
        <w:tc>
          <w:tcPr>
            <w:tcW w:type="dxa" w:w="2200"/>
            <w:shd w:fill="F5F5F5" w:color="auto" w:val="clear"/>
            <w:tcMar>
              <w:top w:type="dxa" w:w="60"/>
              <w:left w:type="dxa" w:w="110"/>
              <w:bottom w:type="dxa" w:w="60"/>
              <w:right w:type="dxa" w:w="110"/>
            </w:tcMar>
            <w:vAlign w:val="center"/>
          </w:tcPr>
          <w:p>
            <w:pPr>
              <w:spacing w:after="0" w:line="250"/>
            </w:pPr>
            <w:r>
              <w:rPr>
                <w:color w:val="2D2D2D"/>
                <w:sz w:val="19"/>
                <w:szCs w:val="19"/>
              </w:rPr>
              <w:t xml:space="preserve">Charcoal</w:t>
            </w:r>
          </w:p>
        </w:tc>
        <w:tc>
          <w:tcPr>
            <w:tcW w:type="dxa" w:w="1560"/>
            <w:shd w:fill="F5F5F5" w:color="auto" w:val="clear"/>
            <w:tcMar>
              <w:top w:type="dxa" w:w="60"/>
              <w:left w:type="dxa" w:w="110"/>
              <w:bottom w:type="dxa" w:w="60"/>
              <w:right w:type="dxa" w:w="110"/>
            </w:tcMar>
            <w:vAlign w:val="center"/>
          </w:tcPr>
          <w:p>
            <w:pPr>
              <w:spacing w:after="0" w:line="250"/>
            </w:pPr>
            <w:r>
              <w:rPr>
                <w:color w:val="2D2D2D"/>
                <w:sz w:val="19"/>
                <w:szCs w:val="19"/>
              </w:rPr>
              <w:t xml:space="preserve">#2D2D2D</w:t>
            </w:r>
          </w:p>
        </w:tc>
        <w:tc>
          <w:tcPr>
            <w:tcW w:type="dxa" w:w="3400"/>
            <w:shd w:fill="F5F5F5" w:color="auto" w:val="clear"/>
            <w:tcMar>
              <w:top w:type="dxa" w:w="60"/>
              <w:left w:type="dxa" w:w="110"/>
              <w:bottom w:type="dxa" w:w="60"/>
              <w:right w:type="dxa" w:w="110"/>
            </w:tcMar>
            <w:vAlign w:val="center"/>
          </w:tcPr>
          <w:p>
            <w:pPr>
              <w:spacing w:after="0" w:line="250"/>
            </w:pPr>
            <w:r>
              <w:rPr>
                <w:color w:val="2D2D2D"/>
                <w:sz w:val="19"/>
                <w:szCs w:val="19"/>
              </w:rPr>
              <w:t xml:space="preserve">Body text, secondary UI</w:t>
            </w:r>
          </w:p>
        </w:tc>
      </w:tr>
      <w:tr>
        <w:tc>
          <w:tcPr>
            <w:tcW w:type="dxa" w:w="2200"/>
            <w:shd w:fill="FFFFFF" w:color="auto" w:val="clear"/>
            <w:tcMar>
              <w:top w:type="dxa" w:w="60"/>
              <w:left w:type="dxa" w:w="110"/>
              <w:bottom w:type="dxa" w:w="60"/>
              <w:right w:type="dxa" w:w="110"/>
            </w:tcMar>
            <w:vAlign w:val="center"/>
          </w:tcPr>
          <w:p>
            <w:pPr>
              <w:spacing w:after="0" w:line="250"/>
            </w:pPr>
            <w:r>
              <w:rPr>
                <w:color w:val="2D2D2D"/>
                <w:sz w:val="19"/>
                <w:szCs w:val="19"/>
              </w:rPr>
              <w:t xml:space="preserve">Merchant</w:t>
            </w:r>
          </w:p>
        </w:tc>
        <w:tc>
          <w:tcPr>
            <w:tcW w:type="dxa" w:w="2200"/>
            <w:shd w:fill="FFFFFF" w:color="auto" w:val="clear"/>
            <w:tcMar>
              <w:top w:type="dxa" w:w="60"/>
              <w:left w:type="dxa" w:w="110"/>
              <w:bottom w:type="dxa" w:w="60"/>
              <w:right w:type="dxa" w:w="110"/>
            </w:tcMar>
            <w:vAlign w:val="center"/>
          </w:tcPr>
          <w:p>
            <w:pPr>
              <w:spacing w:after="0" w:line="250"/>
            </w:pPr>
            <w:r>
              <w:rPr>
                <w:color w:val="2D2D2D"/>
                <w:sz w:val="19"/>
                <w:szCs w:val="19"/>
              </w:rPr>
              <w:t xml:space="preserve">Deep Teal</w:t>
            </w:r>
          </w:p>
        </w:tc>
        <w:tc>
          <w:tcPr>
            <w:tcW w:type="dxa" w:w="1560"/>
            <w:shd w:fill="FFFFFF" w:color="auto" w:val="clear"/>
            <w:tcMar>
              <w:top w:type="dxa" w:w="60"/>
              <w:left w:type="dxa" w:w="110"/>
              <w:bottom w:type="dxa" w:w="60"/>
              <w:right w:type="dxa" w:w="110"/>
            </w:tcMar>
            <w:vAlign w:val="center"/>
          </w:tcPr>
          <w:p>
            <w:pPr>
              <w:spacing w:after="0" w:line="250"/>
            </w:pPr>
            <w:r>
              <w:rPr>
                <w:color w:val="2D2D2D"/>
                <w:sz w:val="19"/>
                <w:szCs w:val="19"/>
              </w:rPr>
              <w:t xml:space="preserve">#194B4A</w:t>
            </w:r>
          </w:p>
        </w:tc>
        <w:tc>
          <w:tcPr>
            <w:tcW w:type="dxa" w:w="3400"/>
            <w:shd w:fill="FFFFFF" w:color="auto" w:val="clear"/>
            <w:tcMar>
              <w:top w:type="dxa" w:w="60"/>
              <w:left w:type="dxa" w:w="110"/>
              <w:bottom w:type="dxa" w:w="60"/>
              <w:right w:type="dxa" w:w="110"/>
            </w:tcMar>
            <w:vAlign w:val="center"/>
          </w:tcPr>
          <w:p>
            <w:pPr>
              <w:spacing w:after="0" w:line="250"/>
            </w:pPr>
            <w:r>
              <w:rPr>
                <w:color w:val="2D2D2D"/>
                <w:sz w:val="19"/>
                <w:szCs w:val="19"/>
              </w:rPr>
              <w:t xml:space="preserve">Restaurant-facing / trust contexts</w:t>
            </w:r>
          </w:p>
        </w:tc>
      </w:tr>
    </w:tbl>
    <w:p>
      <w:pPr>
        <w:pStyle w:val="Heading2"/>
        <w:spacing w:after="120" w:before="260"/>
      </w:pPr>
      <w:r>
        <w:t xml:space="preserve">6.4 Taglines by context</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600"/>
        <w:gridCol w:w="3600"/>
        <w:gridCol w:w="3160"/>
      </w:tblGrid>
      <w:tr>
        <w:trPr>
          <w:tblHeader/>
        </w:trPr>
        <w:tc>
          <w:tcPr>
            <w:tcW w:type="dxa" w:w="260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Context</w:t>
            </w:r>
          </w:p>
        </w:tc>
        <w:tc>
          <w:tcPr>
            <w:tcW w:type="dxa" w:w="360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Tagline</w:t>
            </w:r>
          </w:p>
        </w:tc>
        <w:tc>
          <w:tcPr>
            <w:tcW w:type="dxa" w:w="316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Rationale</w:t>
            </w:r>
          </w:p>
        </w:tc>
      </w:tr>
      <w:tr>
        <w:tc>
          <w:tcPr>
            <w:tcW w:type="dxa" w:w="2600"/>
            <w:shd w:fill="F5F5F5" w:color="auto" w:val="clear"/>
            <w:tcMar>
              <w:top w:type="dxa" w:w="60"/>
              <w:left w:type="dxa" w:w="110"/>
              <w:bottom w:type="dxa" w:w="60"/>
              <w:right w:type="dxa" w:w="110"/>
            </w:tcMar>
            <w:vAlign w:val="center"/>
          </w:tcPr>
          <w:p>
            <w:pPr>
              <w:spacing w:after="0" w:line="250"/>
            </w:pPr>
            <w:r>
              <w:rPr>
                <w:color w:val="2D2D2D"/>
                <w:sz w:val="19"/>
                <w:szCs w:val="19"/>
              </w:rPr>
              <w:t xml:space="preserve">Consumer (EN)</w:t>
            </w:r>
          </w:p>
        </w:tc>
        <w:tc>
          <w:tcPr>
            <w:tcW w:type="dxa" w:w="3600"/>
            <w:shd w:fill="F5F5F5" w:color="auto" w:val="clear"/>
            <w:tcMar>
              <w:top w:type="dxa" w:w="60"/>
              <w:left w:type="dxa" w:w="110"/>
              <w:bottom w:type="dxa" w:w="60"/>
              <w:right w:type="dxa" w:w="110"/>
            </w:tcMar>
            <w:vAlign w:val="center"/>
          </w:tcPr>
          <w:p>
            <w:pPr>
              <w:spacing w:after="0" w:line="250"/>
            </w:pPr>
            <w:r>
              <w:rPr>
                <w:color w:val="2D2D2D"/>
                <w:sz w:val="19"/>
                <w:szCs w:val="19"/>
              </w:rPr>
              <w:t xml:space="preserve">Great food. No menu. No algorithm.</w:t>
            </w:r>
          </w:p>
        </w:tc>
        <w:tc>
          <w:tcPr>
            <w:tcW w:type="dxa" w:w="3160"/>
            <w:shd w:fill="F5F5F5" w:color="auto" w:val="clear"/>
            <w:tcMar>
              <w:top w:type="dxa" w:w="60"/>
              <w:left w:type="dxa" w:w="110"/>
              <w:bottom w:type="dxa" w:w="60"/>
              <w:right w:type="dxa" w:w="110"/>
            </w:tcMar>
            <w:vAlign w:val="center"/>
          </w:tcPr>
          <w:p>
            <w:pPr>
              <w:spacing w:after="0" w:line="250"/>
            </w:pPr>
            <w:r>
              <w:rPr>
                <w:color w:val="2D2D2D"/>
                <w:sz w:val="19"/>
                <w:szCs w:val="19"/>
              </w:rPr>
              <w:t xml:space="preserve">Discovery + surprise; site hero</w:t>
            </w:r>
          </w:p>
        </w:tc>
      </w:tr>
      <w:tr>
        <w:tc>
          <w:tcPr>
            <w:tcW w:type="dxa" w:w="2600"/>
            <w:shd w:fill="FFFFFF" w:color="auto" w:val="clear"/>
            <w:tcMar>
              <w:top w:type="dxa" w:w="60"/>
              <w:left w:type="dxa" w:w="110"/>
              <w:bottom w:type="dxa" w:w="60"/>
              <w:right w:type="dxa" w:w="110"/>
            </w:tcMar>
            <w:vAlign w:val="center"/>
          </w:tcPr>
          <w:p>
            <w:pPr>
              <w:spacing w:after="0" w:line="250"/>
            </w:pPr>
            <w:r>
              <w:rPr>
                <w:color w:val="2D2D2D"/>
                <w:sz w:val="19"/>
                <w:szCs w:val="19"/>
              </w:rPr>
              <w:t xml:space="preserve">Consumer (HI)</w:t>
            </w:r>
          </w:p>
        </w:tc>
        <w:tc>
          <w:tcPr>
            <w:tcW w:type="dxa" w:w="3600"/>
            <w:shd w:fill="FFFFFF" w:color="auto" w:val="clear"/>
            <w:tcMar>
              <w:top w:type="dxa" w:w="60"/>
              <w:left w:type="dxa" w:w="110"/>
              <w:bottom w:type="dxa" w:w="60"/>
              <w:right w:type="dxa" w:w="110"/>
            </w:tcMar>
            <w:vAlign w:val="center"/>
          </w:tcPr>
          <w:p>
            <w:pPr>
              <w:spacing w:after="0" w:line="250"/>
            </w:pPr>
            <w:r>
              <w:rPr>
                <w:color w:val="2D2D2D"/>
                <w:sz w:val="19"/>
                <w:szCs w:val="19"/>
              </w:rPr>
              <w:t xml:space="preserve">Bada Zayka, Chhoti Kimat</w:t>
            </w:r>
          </w:p>
        </w:tc>
        <w:tc>
          <w:tcPr>
            <w:tcW w:type="dxa" w:w="3160"/>
            <w:shd w:fill="FFFFFF" w:color="auto" w:val="clear"/>
            <w:tcMar>
              <w:top w:type="dxa" w:w="60"/>
              <w:left w:type="dxa" w:w="110"/>
              <w:bottom w:type="dxa" w:w="60"/>
              <w:right w:type="dxa" w:w="110"/>
            </w:tcMar>
            <w:vAlign w:val="center"/>
          </w:tcPr>
          <w:p>
            <w:pPr>
              <w:spacing w:after="0" w:line="250"/>
            </w:pPr>
            <w:r>
              <w:rPr>
                <w:color w:val="2D2D2D"/>
                <w:sz w:val="19"/>
                <w:szCs w:val="19"/>
              </w:rPr>
              <w:t xml:space="preserve">Value-centric, culturally resonant</w:t>
            </w:r>
          </w:p>
        </w:tc>
      </w:tr>
      <w:tr>
        <w:tc>
          <w:tcPr>
            <w:tcW w:type="dxa" w:w="2600"/>
            <w:shd w:fill="F5F5F5" w:color="auto" w:val="clear"/>
            <w:tcMar>
              <w:top w:type="dxa" w:w="60"/>
              <w:left w:type="dxa" w:w="110"/>
              <w:bottom w:type="dxa" w:w="60"/>
              <w:right w:type="dxa" w:w="110"/>
            </w:tcMar>
            <w:vAlign w:val="center"/>
          </w:tcPr>
          <w:p>
            <w:pPr>
              <w:spacing w:after="0" w:line="250"/>
            </w:pPr>
            <w:r>
              <w:rPr>
                <w:color w:val="2D2D2D"/>
                <w:sz w:val="19"/>
                <w:szCs w:val="19"/>
              </w:rPr>
              <w:t xml:space="preserve">Restaurant (B2B)</w:t>
            </w:r>
          </w:p>
        </w:tc>
        <w:tc>
          <w:tcPr>
            <w:tcW w:type="dxa" w:w="3600"/>
            <w:shd w:fill="F5F5F5" w:color="auto" w:val="clear"/>
            <w:tcMar>
              <w:top w:type="dxa" w:w="60"/>
              <w:left w:type="dxa" w:w="110"/>
              <w:bottom w:type="dxa" w:w="60"/>
              <w:right w:type="dxa" w:w="110"/>
            </w:tcMar>
            <w:vAlign w:val="center"/>
          </w:tcPr>
          <w:p>
            <w:pPr>
              <w:spacing w:after="0" w:line="250"/>
            </w:pPr>
            <w:r>
              <w:rPr>
                <w:color w:val="2D2D2D"/>
                <w:sz w:val="19"/>
                <w:szCs w:val="19"/>
              </w:rPr>
              <w:t xml:space="preserve">Your kitchen. Your curation. New customers.</w:t>
            </w:r>
          </w:p>
        </w:tc>
        <w:tc>
          <w:tcPr>
            <w:tcW w:type="dxa" w:w="3160"/>
            <w:shd w:fill="F5F5F5" w:color="auto" w:val="clear"/>
            <w:tcMar>
              <w:top w:type="dxa" w:w="60"/>
              <w:left w:type="dxa" w:w="110"/>
              <w:bottom w:type="dxa" w:w="60"/>
              <w:right w:type="dxa" w:w="110"/>
            </w:tcMar>
            <w:vAlign w:val="center"/>
          </w:tcPr>
          <w:p>
            <w:pPr>
              <w:spacing w:after="0" w:line="250"/>
            </w:pPr>
            <w:r>
              <w:rPr>
                <w:color w:val="2D2D2D"/>
                <w:sz w:val="19"/>
                <w:szCs w:val="19"/>
              </w:rPr>
              <w:t xml:space="preserve">Acquisition / showcase framing (Part I)</w:t>
            </w:r>
          </w:p>
        </w:tc>
      </w:tr>
      <w:tr>
        <w:tc>
          <w:tcPr>
            <w:tcW w:type="dxa" w:w="2600"/>
            <w:shd w:fill="FFFFFF" w:color="auto" w:val="clear"/>
            <w:tcMar>
              <w:top w:type="dxa" w:w="60"/>
              <w:left w:type="dxa" w:w="110"/>
              <w:bottom w:type="dxa" w:w="60"/>
              <w:right w:type="dxa" w:w="110"/>
            </w:tcMar>
            <w:vAlign w:val="center"/>
          </w:tcPr>
          <w:p>
            <w:pPr>
              <w:spacing w:after="0" w:line="250"/>
            </w:pPr>
            <w:r>
              <w:rPr>
                <w:color w:val="2D2D2D"/>
                <w:sz w:val="19"/>
                <w:szCs w:val="19"/>
              </w:rPr>
              <w:t xml:space="preserve">Investor</w:t>
            </w:r>
          </w:p>
        </w:tc>
        <w:tc>
          <w:tcPr>
            <w:tcW w:type="dxa" w:w="3600"/>
            <w:shd w:fill="FFFFFF" w:color="auto" w:val="clear"/>
            <w:tcMar>
              <w:top w:type="dxa" w:w="60"/>
              <w:left w:type="dxa" w:w="110"/>
              <w:bottom w:type="dxa" w:w="60"/>
              <w:right w:type="dxa" w:w="110"/>
            </w:tcMar>
            <w:vAlign w:val="center"/>
          </w:tcPr>
          <w:p>
            <w:pPr>
              <w:spacing w:after="0" w:line="250"/>
            </w:pPr>
            <w:r>
              <w:rPr>
                <w:color w:val="2D2D2D"/>
                <w:sz w:val="19"/>
                <w:szCs w:val="19"/>
              </w:rPr>
              <w:t xml:space="preserve">India’s F&amp;B CRM. Built on Bags.</w:t>
            </w:r>
          </w:p>
        </w:tc>
        <w:tc>
          <w:tcPr>
            <w:tcW w:type="dxa" w:w="3160"/>
            <w:shd w:fill="FFFFFF" w:color="auto" w:val="clear"/>
            <w:tcMar>
              <w:top w:type="dxa" w:w="60"/>
              <w:left w:type="dxa" w:w="110"/>
              <w:bottom w:type="dxa" w:w="60"/>
              <w:right w:type="dxa" w:w="110"/>
            </w:tcMar>
            <w:vAlign w:val="center"/>
          </w:tcPr>
          <w:p>
            <w:pPr>
              <w:spacing w:after="0" w:line="250"/>
            </w:pPr>
            <w:r>
              <w:rPr>
                <w:color w:val="2D2D2D"/>
                <w:sz w:val="19"/>
                <w:szCs w:val="19"/>
              </w:rPr>
              <w:t xml:space="preserve">Positions the data layer for Series A</w:t>
            </w:r>
          </w:p>
        </w:tc>
      </w:tr>
      <w:tr>
        <w:tc>
          <w:tcPr>
            <w:tcW w:type="dxa" w:w="2600"/>
            <w:shd w:fill="F5F5F5" w:color="auto" w:val="clear"/>
            <w:tcMar>
              <w:top w:type="dxa" w:w="60"/>
              <w:left w:type="dxa" w:w="110"/>
              <w:bottom w:type="dxa" w:w="60"/>
              <w:right w:type="dxa" w:w="110"/>
            </w:tcMar>
            <w:vAlign w:val="center"/>
          </w:tcPr>
          <w:p>
            <w:pPr>
              <w:spacing w:after="0" w:line="250"/>
            </w:pPr>
            <w:r>
              <w:rPr>
                <w:color w:val="2D2D2D"/>
                <w:sz w:val="19"/>
                <w:szCs w:val="19"/>
              </w:rPr>
              <w:t xml:space="preserve">Swaad Club</w:t>
            </w:r>
          </w:p>
        </w:tc>
        <w:tc>
          <w:tcPr>
            <w:tcW w:type="dxa" w:w="3600"/>
            <w:shd w:fill="F5F5F5" w:color="auto" w:val="clear"/>
            <w:tcMar>
              <w:top w:type="dxa" w:w="60"/>
              <w:left w:type="dxa" w:w="110"/>
              <w:bottom w:type="dxa" w:w="60"/>
              <w:right w:type="dxa" w:w="110"/>
            </w:tcMar>
            <w:vAlign w:val="center"/>
          </w:tcPr>
          <w:p>
            <w:pPr>
              <w:spacing w:after="0" w:line="250"/>
            </w:pPr>
            <w:r>
              <w:rPr>
                <w:color w:val="2D2D2D"/>
                <w:sz w:val="19"/>
                <w:szCs w:val="19"/>
              </w:rPr>
              <w:t xml:space="preserve">Get in early. Taste it first.</w:t>
            </w:r>
          </w:p>
        </w:tc>
        <w:tc>
          <w:tcPr>
            <w:tcW w:type="dxa" w:w="3160"/>
            <w:shd w:fill="F5F5F5" w:color="auto" w:val="clear"/>
            <w:tcMar>
              <w:top w:type="dxa" w:w="60"/>
              <w:left w:type="dxa" w:w="110"/>
              <w:bottom w:type="dxa" w:w="60"/>
              <w:right w:type="dxa" w:w="110"/>
            </w:tcMar>
            <w:vAlign w:val="center"/>
          </w:tcPr>
          <w:p>
            <w:pPr>
              <w:spacing w:after="0" w:line="250"/>
            </w:pPr>
            <w:r>
              <w:rPr>
                <w:color w:val="2D2D2D"/>
                <w:sz w:val="19"/>
                <w:szCs w:val="19"/>
              </w:rPr>
              <w:t xml:space="preserve">Exclusivity / insider access</w:t>
            </w:r>
          </w:p>
        </w:tc>
      </w:tr>
    </w:tbl>
    <w:p>
      <w:pPr>
        <w:pStyle w:val="Heading2"/>
        <w:spacing w:after="120" w:before="260"/>
      </w:pPr>
      <w:r>
        <w:t xml:space="preserve">6.5 Banned words &amp; language rules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400"/>
        <w:gridCol w:w="3560"/>
        <w:gridCol w:w="3400"/>
      </w:tblGrid>
      <w:tr>
        <w:trPr>
          <w:tblHeader/>
        </w:trPr>
        <w:tc>
          <w:tcPr>
            <w:tcW w:type="dxa" w:w="240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Never use</w:t>
            </w:r>
          </w:p>
        </w:tc>
        <w:tc>
          <w:tcPr>
            <w:tcW w:type="dxa" w:w="356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Why</w:t>
            </w:r>
          </w:p>
        </w:tc>
        <w:tc>
          <w:tcPr>
            <w:tcW w:type="dxa" w:w="340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Use instead</w:t>
            </w:r>
          </w:p>
        </w:tc>
      </w:tr>
      <w:tr>
        <w:tc>
          <w:tcPr>
            <w:tcW w:type="dxa" w:w="2400"/>
            <w:shd w:fill="F5F5F5" w:color="auto" w:val="clear"/>
            <w:tcMar>
              <w:top w:type="dxa" w:w="60"/>
              <w:left w:type="dxa" w:w="110"/>
              <w:bottom w:type="dxa" w:w="60"/>
              <w:right w:type="dxa" w:w="110"/>
            </w:tcMar>
            <w:vAlign w:val="center"/>
          </w:tcPr>
          <w:p>
            <w:pPr>
              <w:spacing w:after="0" w:line="250"/>
            </w:pPr>
            <w:r>
              <w:rPr>
                <w:color w:val="2D2D2D"/>
                <w:sz w:val="19"/>
                <w:szCs w:val="19"/>
              </w:rPr>
              <w:t xml:space="preserve">Leftover / Stale / Yesterday’s</w:t>
            </w:r>
          </w:p>
        </w:tc>
        <w:tc>
          <w:tcPr>
            <w:tcW w:type="dxa" w:w="3560"/>
            <w:shd w:fill="F5F5F5" w:color="auto" w:val="clear"/>
            <w:tcMar>
              <w:top w:type="dxa" w:w="60"/>
              <w:left w:type="dxa" w:w="110"/>
              <w:bottom w:type="dxa" w:w="60"/>
              <w:right w:type="dxa" w:w="110"/>
            </w:tcMar>
            <w:vAlign w:val="center"/>
          </w:tcPr>
          <w:p>
            <w:pPr>
              <w:spacing w:after="0" w:line="250"/>
            </w:pPr>
            <w:r>
              <w:rPr>
                <w:color w:val="2D2D2D"/>
                <w:sz w:val="19"/>
                <w:szCs w:val="19"/>
              </w:rPr>
              <w:t xml:space="preserve">Disgust trigger; destroys premium; legal liability</w:t>
            </w:r>
          </w:p>
        </w:tc>
        <w:tc>
          <w:tcPr>
            <w:tcW w:type="dxa" w:w="3400"/>
            <w:shd w:fill="F5F5F5" w:color="auto" w:val="clear"/>
            <w:tcMar>
              <w:top w:type="dxa" w:w="60"/>
              <w:left w:type="dxa" w:w="110"/>
              <w:bottom w:type="dxa" w:w="60"/>
              <w:right w:type="dxa" w:w="110"/>
            </w:tcMar>
            <w:vAlign w:val="center"/>
          </w:tcPr>
          <w:p>
            <w:pPr>
              <w:spacing w:after="0" w:line="250"/>
            </w:pPr>
            <w:r>
              <w:rPr>
                <w:color w:val="2D2D2D"/>
                <w:sz w:val="19"/>
                <w:szCs w:val="19"/>
              </w:rPr>
              <w:t xml:space="preserve">Chef’s Selection / Limited Drop / Same-Day Prep</w:t>
            </w:r>
          </w:p>
        </w:tc>
      </w:tr>
      <w:tr>
        <w:tc>
          <w:tcPr>
            <w:tcW w:type="dxa" w:w="2400"/>
            <w:shd w:fill="FFFFFF" w:color="auto" w:val="clear"/>
            <w:tcMar>
              <w:top w:type="dxa" w:w="60"/>
              <w:left w:type="dxa" w:w="110"/>
              <w:bottom w:type="dxa" w:w="60"/>
              <w:right w:type="dxa" w:w="110"/>
            </w:tcMar>
            <w:vAlign w:val="center"/>
          </w:tcPr>
          <w:p>
            <w:pPr>
              <w:spacing w:after="0" w:line="250"/>
            </w:pPr>
            <w:r>
              <w:rPr>
                <w:color w:val="2D2D2D"/>
                <w:sz w:val="19"/>
                <w:szCs w:val="19"/>
              </w:rPr>
              <w:t xml:space="preserve">Cheap / Bargain / Clearance</w:t>
            </w:r>
          </w:p>
        </w:tc>
        <w:tc>
          <w:tcPr>
            <w:tcW w:type="dxa" w:w="3560"/>
            <w:shd w:fill="FFFFFF" w:color="auto" w:val="clear"/>
            <w:tcMar>
              <w:top w:type="dxa" w:w="60"/>
              <w:left w:type="dxa" w:w="110"/>
              <w:bottom w:type="dxa" w:w="60"/>
              <w:right w:type="dxa" w:w="110"/>
            </w:tcMar>
            <w:vAlign w:val="center"/>
          </w:tcPr>
          <w:p>
            <w:pPr>
              <w:spacing w:after="0" w:line="250"/>
            </w:pPr>
            <w:r>
              <w:rPr>
                <w:color w:val="2D2D2D"/>
                <w:sz w:val="19"/>
                <w:szCs w:val="19"/>
              </w:rPr>
              <w:t xml:space="preserve">Trains price sensitivity; brand dilution</w:t>
            </w:r>
          </w:p>
        </w:tc>
        <w:tc>
          <w:tcPr>
            <w:tcW w:type="dxa" w:w="3400"/>
            <w:shd w:fill="FFFFFF" w:color="auto" w:val="clear"/>
            <w:tcMar>
              <w:top w:type="dxa" w:w="60"/>
              <w:left w:type="dxa" w:w="110"/>
              <w:bottom w:type="dxa" w:w="60"/>
              <w:right w:type="dxa" w:w="110"/>
            </w:tcMar>
            <w:vAlign w:val="center"/>
          </w:tcPr>
          <w:p>
            <w:pPr>
              <w:spacing w:after="0" w:line="250"/>
            </w:pPr>
            <w:r>
              <w:rPr>
                <w:color w:val="2D2D2D"/>
                <w:sz w:val="19"/>
                <w:szCs w:val="19"/>
              </w:rPr>
              <w:t xml:space="preserve">Smarter access / Best-value discovery</w:t>
            </w:r>
          </w:p>
        </w:tc>
      </w:tr>
      <w:tr>
        <w:tc>
          <w:tcPr>
            <w:tcW w:type="dxa" w:w="2400"/>
            <w:shd w:fill="F5F5F5" w:color="auto" w:val="clear"/>
            <w:tcMar>
              <w:top w:type="dxa" w:w="60"/>
              <w:left w:type="dxa" w:w="110"/>
              <w:bottom w:type="dxa" w:w="60"/>
              <w:right w:type="dxa" w:w="110"/>
            </w:tcMar>
            <w:vAlign w:val="center"/>
          </w:tcPr>
          <w:p>
            <w:pPr>
              <w:spacing w:after="0" w:line="250"/>
            </w:pPr>
            <w:r>
              <w:rPr>
                <w:color w:val="2D2D2D"/>
                <w:sz w:val="19"/>
                <w:szCs w:val="19"/>
              </w:rPr>
              <w:t xml:space="preserve">Discount</w:t>
            </w:r>
          </w:p>
        </w:tc>
        <w:tc>
          <w:tcPr>
            <w:tcW w:type="dxa" w:w="3560"/>
            <w:shd w:fill="F5F5F5" w:color="auto" w:val="clear"/>
            <w:tcMar>
              <w:top w:type="dxa" w:w="60"/>
              <w:left w:type="dxa" w:w="110"/>
              <w:bottom w:type="dxa" w:w="60"/>
              <w:right w:type="dxa" w:w="110"/>
            </w:tcMar>
            <w:vAlign w:val="center"/>
          </w:tcPr>
          <w:p>
            <w:pPr>
              <w:spacing w:after="0" w:line="250"/>
            </w:pPr>
            <w:r>
              <w:rPr>
                <w:color w:val="2D2D2D"/>
                <w:sz w:val="19"/>
                <w:szCs w:val="19"/>
              </w:rPr>
              <w:t xml:space="preserve">Trains waiting; damages restaurant brand</w:t>
            </w:r>
          </w:p>
        </w:tc>
        <w:tc>
          <w:tcPr>
            <w:tcW w:type="dxa" w:w="3400"/>
            <w:shd w:fill="F5F5F5" w:color="auto" w:val="clear"/>
            <w:tcMar>
              <w:top w:type="dxa" w:w="60"/>
              <w:left w:type="dxa" w:w="110"/>
              <w:bottom w:type="dxa" w:w="60"/>
              <w:right w:type="dxa" w:w="110"/>
            </w:tcMar>
            <w:vAlign w:val="center"/>
          </w:tcPr>
          <w:p>
            <w:pPr>
              <w:spacing w:after="0" w:line="250"/>
            </w:pPr>
            <w:r>
              <w:rPr>
                <w:color w:val="2D2D2D"/>
                <w:sz w:val="19"/>
                <w:szCs w:val="19"/>
              </w:rPr>
              <w:t xml:space="preserve">Off-menu pricing / Exclusive access</w:t>
            </w:r>
          </w:p>
        </w:tc>
      </w:tr>
      <w:tr>
        <w:tc>
          <w:tcPr>
            <w:tcW w:type="dxa" w:w="2400"/>
            <w:shd w:fill="FFFFFF" w:color="auto" w:val="clear"/>
            <w:tcMar>
              <w:top w:type="dxa" w:w="60"/>
              <w:left w:type="dxa" w:w="110"/>
              <w:bottom w:type="dxa" w:w="60"/>
              <w:right w:type="dxa" w:w="110"/>
            </w:tcMar>
            <w:vAlign w:val="center"/>
          </w:tcPr>
          <w:p>
            <w:pPr>
              <w:spacing w:after="0" w:line="250"/>
            </w:pPr>
            <w:r>
              <w:rPr>
                <w:color w:val="2D2D2D"/>
                <w:sz w:val="19"/>
                <w:szCs w:val="19"/>
              </w:rPr>
              <w:t xml:space="preserve">Rescue app / Food rescue</w:t>
            </w:r>
          </w:p>
        </w:tc>
        <w:tc>
          <w:tcPr>
            <w:tcW w:type="dxa" w:w="3560"/>
            <w:shd w:fill="FFFFFF" w:color="auto" w:val="clear"/>
            <w:tcMar>
              <w:top w:type="dxa" w:w="60"/>
              <w:left w:type="dxa" w:w="110"/>
              <w:bottom w:type="dxa" w:w="60"/>
              <w:right w:type="dxa" w:w="110"/>
            </w:tcMar>
            <w:vAlign w:val="center"/>
          </w:tcPr>
          <w:p>
            <w:pPr>
              <w:spacing w:after="0" w:line="250"/>
            </w:pPr>
            <w:r>
              <w:rPr>
                <w:color w:val="2D2D2D"/>
                <w:sz w:val="19"/>
                <w:szCs w:val="19"/>
              </w:rPr>
              <w:t xml:space="preserve">Charity connotation; incompatible with premium</w:t>
            </w:r>
          </w:p>
        </w:tc>
        <w:tc>
          <w:tcPr>
            <w:tcW w:type="dxa" w:w="3400"/>
            <w:shd w:fill="FFFFFF" w:color="auto" w:val="clear"/>
            <w:tcMar>
              <w:top w:type="dxa" w:w="60"/>
              <w:left w:type="dxa" w:w="110"/>
              <w:bottom w:type="dxa" w:w="60"/>
              <w:right w:type="dxa" w:w="110"/>
            </w:tcMar>
            <w:vAlign w:val="center"/>
          </w:tcPr>
          <w:p>
            <w:pPr>
              <w:spacing w:after="0" w:line="250"/>
            </w:pPr>
            <w:r>
              <w:rPr>
                <w:color w:val="2D2D2D"/>
                <w:sz w:val="19"/>
                <w:szCs w:val="19"/>
              </w:rPr>
              <w:t xml:space="preserve">Premium discovery platform</w:t>
            </w:r>
          </w:p>
        </w:tc>
      </w:tr>
      <w:tr>
        <w:tc>
          <w:tcPr>
            <w:tcW w:type="dxa" w:w="2400"/>
            <w:shd w:fill="F5F5F5" w:color="auto" w:val="clear"/>
            <w:tcMar>
              <w:top w:type="dxa" w:w="60"/>
              <w:left w:type="dxa" w:w="110"/>
              <w:bottom w:type="dxa" w:w="60"/>
              <w:right w:type="dxa" w:w="110"/>
            </w:tcMar>
            <w:vAlign w:val="center"/>
          </w:tcPr>
          <w:p>
            <w:pPr>
              <w:spacing w:after="0" w:line="250"/>
            </w:pPr>
            <w:r>
              <w:rPr>
                <w:color w:val="2D2D2D"/>
                <w:sz w:val="19"/>
                <w:szCs w:val="19"/>
              </w:rPr>
              <w:t xml:space="preserve">Sample / Sampling (consumer)</w:t>
            </w:r>
          </w:p>
        </w:tc>
        <w:tc>
          <w:tcPr>
            <w:tcW w:type="dxa" w:w="3560"/>
            <w:shd w:fill="F5F5F5" w:color="auto" w:val="clear"/>
            <w:tcMar>
              <w:top w:type="dxa" w:w="60"/>
              <w:left w:type="dxa" w:w="110"/>
              <w:bottom w:type="dxa" w:w="60"/>
              <w:right w:type="dxa" w:w="110"/>
            </w:tcMar>
            <w:vAlign w:val="center"/>
          </w:tcPr>
          <w:p>
            <w:pPr>
              <w:spacing w:after="0" w:line="250"/>
            </w:pPr>
            <w:r>
              <w:rPr>
                <w:color w:val="2D2D2D"/>
                <w:sz w:val="19"/>
                <w:szCs w:val="19"/>
              </w:rPr>
              <w:t xml:space="preserve">Means “free”; fights the price gate; centres the restaurant’s funnel</w:t>
            </w:r>
          </w:p>
        </w:tc>
        <w:tc>
          <w:tcPr>
            <w:tcW w:type="dxa" w:w="3400"/>
            <w:shd w:fill="F5F5F5" w:color="auto" w:val="clear"/>
            <w:tcMar>
              <w:top w:type="dxa" w:w="60"/>
              <w:left w:type="dxa" w:w="110"/>
              <w:bottom w:type="dxa" w:w="60"/>
              <w:right w:type="dxa" w:w="110"/>
            </w:tcMar>
            <w:vAlign w:val="center"/>
          </w:tcPr>
          <w:p>
            <w:pPr>
              <w:spacing w:after="0" w:line="250"/>
            </w:pPr>
            <w:r>
              <w:rPr>
                <w:color w:val="2D2D2D"/>
                <w:sz w:val="19"/>
                <w:szCs w:val="19"/>
              </w:rPr>
              <w:t xml:space="preserve">Discover / chef’s thali / Chef’s Selection</w:t>
            </w:r>
          </w:p>
        </w:tc>
      </w:tr>
      <w:tr>
        <w:tc>
          <w:tcPr>
            <w:tcW w:type="dxa" w:w="2400"/>
            <w:shd w:fill="FFFFFF" w:color="auto" w:val="clear"/>
            <w:tcMar>
              <w:top w:type="dxa" w:w="60"/>
              <w:left w:type="dxa" w:w="110"/>
              <w:bottom w:type="dxa" w:w="60"/>
              <w:right w:type="dxa" w:w="110"/>
            </w:tcMar>
            <w:vAlign w:val="center"/>
          </w:tcPr>
          <w:p>
            <w:pPr>
              <w:spacing w:after="0" w:line="250"/>
            </w:pPr>
            <w:r>
              <w:rPr>
                <w:color w:val="2D2D2D"/>
                <w:sz w:val="19"/>
                <w:szCs w:val="19"/>
              </w:rPr>
              <w:t xml:space="preserve">Surplus / Waste / Liquidation</w:t>
            </w:r>
          </w:p>
        </w:tc>
        <w:tc>
          <w:tcPr>
            <w:tcW w:type="dxa" w:w="3560"/>
            <w:shd w:fill="FFFFFF" w:color="auto" w:val="clear"/>
            <w:tcMar>
              <w:top w:type="dxa" w:w="60"/>
              <w:left w:type="dxa" w:w="110"/>
              <w:bottom w:type="dxa" w:w="60"/>
              <w:right w:type="dxa" w:w="110"/>
            </w:tcMar>
            <w:vAlign w:val="center"/>
          </w:tcPr>
          <w:p>
            <w:pPr>
              <w:spacing w:after="0" w:line="250"/>
            </w:pPr>
            <w:r>
              <w:rPr>
                <w:color w:val="2D2D2D"/>
                <w:sz w:val="19"/>
                <w:szCs w:val="19"/>
              </w:rPr>
              <w:t xml:space="preserve">Wrong framing; hygiene stigma in India</w:t>
            </w:r>
          </w:p>
        </w:tc>
        <w:tc>
          <w:tcPr>
            <w:tcW w:type="dxa" w:w="3400"/>
            <w:shd w:fill="FFFFFF" w:color="auto" w:val="clear"/>
            <w:tcMar>
              <w:top w:type="dxa" w:w="60"/>
              <w:left w:type="dxa" w:w="110"/>
              <w:bottom w:type="dxa" w:w="60"/>
              <w:right w:type="dxa" w:w="110"/>
            </w:tcMar>
            <w:vAlign w:val="center"/>
          </w:tcPr>
          <w:p>
            <w:pPr>
              <w:spacing w:after="0" w:line="250"/>
            </w:pPr>
            <w:r>
              <w:rPr>
                <w:color w:val="2D2D2D"/>
                <w:sz w:val="19"/>
                <w:szCs w:val="19"/>
              </w:rPr>
              <w:t xml:space="preserve">Recovered inventory (internal only) — never consumer-facing</w:t>
            </w:r>
          </w:p>
        </w:tc>
      </w:tr>
    </w:tbl>
    <w:p>
      <w:pPr>
        <w:pStyle w:val="Heading1"/>
        <w:spacing w:after="160" w:before="360"/>
      </w:pPr>
      <w:r>
        <w:t xml:space="preserve">Part VII — Regulatory &amp; Legal Compliance (India 2026)</w:t>
      </w:r>
    </w:p>
    <w:tbl>
      <w:tblPr>
        <w:tblW w:type="dxa" w:w="9360"/>
        <w:tblBorders>
          <w:top w:val="single" w:color="D4A017" w:sz="1"/>
          <w:left w:val="single" w:color="D4A017" w:sz="18"/>
          <w:bottom w:val="single" w:color="D4A017" w:sz="1"/>
          <w:right w:val="single" w:color="D4A017" w:sz="1"/>
          <w:insideH w:val="single" w:color="auto" w:sz="4"/>
          <w:insideV w:val="single" w:color="auto" w:sz="4"/>
        </w:tblBorders>
      </w:tblPr>
      <w:tblGrid>
        <w:gridCol w:w="9360"/>
      </w:tblGrid>
      <w:tr>
        <w:tc>
          <w:tcPr>
            <w:tcW w:type="dxa" w:w="9360"/>
            <w:shd w:fill="FBF3DD" w:color="auto" w:val="clear"/>
            <w:tcMar>
              <w:top w:type="dxa" w:w="120"/>
              <w:left w:type="dxa" w:w="180"/>
              <w:bottom w:type="dxa" w:w="120"/>
              <w:right w:type="dxa" w:w="160"/>
            </w:tcMar>
          </w:tcPr>
          <w:p>
            <w:pPr>
              <w:spacing w:after="80"/>
            </w:pPr>
            <w:r>
              <w:rPr>
                <w:b/>
                <w:bCs/>
                <w:color w:val="D4A017"/>
                <w:sz w:val="21"/>
                <w:szCs w:val="21"/>
              </w:rPr>
              <w:t xml:space="preserve">Critical correction (carried from v3)</w:t>
            </w:r>
          </w:p>
          <w:p>
            <w:pPr>
              <w:spacing w:after="0" w:line="264"/>
            </w:pPr>
            <w:r>
              <w:rPr>
                <w:color w:val="2D2D2D"/>
                <w:sz w:val="20"/>
                <w:szCs w:val="20"/>
              </w:rPr>
              <w:t xml:space="preserve">goZaika must apply for an FSSAI CENTRAL License as an e-Commerce FBO (₹7,500/year via FoSCoS) — NOT a State License. It must be structured as an e-commerce food-ordering platform under FSSAI 2024 e-commerce rules, NOT as a “surplus food platform” (the 2019 Surplus Food Regulations govern free charitable distribution only). Operating on a State License creates enforcement risk.</w:t>
            </w:r>
          </w:p>
        </w:tc>
      </w:tr>
    </w:tbl>
    <w:p>
      <w:pPr>
        <w:pStyle w:val="Heading2"/>
        <w:spacing w:after="120" w:before="260"/>
      </w:pPr>
      <w:r>
        <w:t xml:space="preserve">7.1 Compliance matrix</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500"/>
        <w:gridCol w:w="4060"/>
        <w:gridCol w:w="2800"/>
      </w:tblGrid>
      <w:tr>
        <w:trPr>
          <w:tblHeader/>
        </w:trPr>
        <w:tc>
          <w:tcPr>
            <w:tcW w:type="dxa" w:w="250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Area</w:t>
            </w:r>
          </w:p>
        </w:tc>
        <w:tc>
          <w:tcPr>
            <w:tcW w:type="dxa" w:w="406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Requirement</w:t>
            </w:r>
          </w:p>
        </w:tc>
        <w:tc>
          <w:tcPr>
            <w:tcW w:type="dxa" w:w="280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Action</w:t>
            </w:r>
          </w:p>
        </w:tc>
      </w:tr>
      <w:tr>
        <w:tc>
          <w:tcPr>
            <w:tcW w:type="dxa" w:w="2500"/>
            <w:shd w:fill="F5F5F5" w:color="auto" w:val="clear"/>
            <w:tcMar>
              <w:top w:type="dxa" w:w="60"/>
              <w:left w:type="dxa" w:w="110"/>
              <w:bottom w:type="dxa" w:w="60"/>
              <w:right w:type="dxa" w:w="110"/>
            </w:tcMar>
            <w:vAlign w:val="center"/>
          </w:tcPr>
          <w:p>
            <w:pPr>
              <w:spacing w:after="0" w:line="250"/>
            </w:pPr>
            <w:r>
              <w:rPr>
                <w:color w:val="2D2D2D"/>
                <w:sz w:val="19"/>
                <w:szCs w:val="19"/>
              </w:rPr>
              <w:t xml:space="preserve">FSSAI Central License</w:t>
            </w:r>
          </w:p>
        </w:tc>
        <w:tc>
          <w:tcPr>
            <w:tcW w:type="dxa" w:w="4060"/>
            <w:shd w:fill="F5F5F5" w:color="auto" w:val="clear"/>
            <w:tcMar>
              <w:top w:type="dxa" w:w="60"/>
              <w:left w:type="dxa" w:w="110"/>
              <w:bottom w:type="dxa" w:w="60"/>
              <w:right w:type="dxa" w:w="110"/>
            </w:tcMar>
            <w:vAlign w:val="center"/>
          </w:tcPr>
          <w:p>
            <w:pPr>
              <w:spacing w:after="0" w:line="250"/>
            </w:pPr>
            <w:r>
              <w:rPr>
                <w:color w:val="2D2D2D"/>
                <w:sz w:val="19"/>
                <w:szCs w:val="19"/>
              </w:rPr>
              <w:t xml:space="preserve">e-Commerce FBO facilitating food transactions</w:t>
            </w:r>
          </w:p>
        </w:tc>
        <w:tc>
          <w:tcPr>
            <w:tcW w:type="dxa" w:w="2800"/>
            <w:shd w:fill="F5F5F5" w:color="auto" w:val="clear"/>
            <w:tcMar>
              <w:top w:type="dxa" w:w="60"/>
              <w:left w:type="dxa" w:w="110"/>
              <w:bottom w:type="dxa" w:w="60"/>
              <w:right w:type="dxa" w:w="110"/>
            </w:tcMar>
            <w:vAlign w:val="center"/>
          </w:tcPr>
          <w:p>
            <w:pPr>
              <w:spacing w:after="0" w:line="250"/>
            </w:pPr>
            <w:r>
              <w:rPr>
                <w:color w:val="2D2D2D"/>
                <w:sz w:val="19"/>
                <w:szCs w:val="19"/>
              </w:rPr>
              <w:t xml:space="preserve">Apply on FoSCoS before first public txn; ₹7,500/yr</w:t>
            </w:r>
          </w:p>
        </w:tc>
      </w:tr>
      <w:tr>
        <w:tc>
          <w:tcPr>
            <w:tcW w:type="dxa" w:w="2500"/>
            <w:shd w:fill="FFFFFF" w:color="auto" w:val="clear"/>
            <w:tcMar>
              <w:top w:type="dxa" w:w="60"/>
              <w:left w:type="dxa" w:w="110"/>
              <w:bottom w:type="dxa" w:w="60"/>
              <w:right w:type="dxa" w:w="110"/>
            </w:tcMar>
            <w:vAlign w:val="center"/>
          </w:tcPr>
          <w:p>
            <w:pPr>
              <w:spacing w:after="0" w:line="250"/>
            </w:pPr>
            <w:r>
              <w:rPr>
                <w:color w:val="2D2D2D"/>
                <w:sz w:val="19"/>
                <w:szCs w:val="19"/>
              </w:rPr>
              <w:t xml:space="preserve">Merchant verification</w:t>
            </w:r>
          </w:p>
        </w:tc>
        <w:tc>
          <w:tcPr>
            <w:tcW w:type="dxa" w:w="4060"/>
            <w:shd w:fill="FFFFFF" w:color="auto" w:val="clear"/>
            <w:tcMar>
              <w:top w:type="dxa" w:w="60"/>
              <w:left w:type="dxa" w:w="110"/>
              <w:bottom w:type="dxa" w:w="60"/>
              <w:right w:type="dxa" w:w="110"/>
            </w:tcMar>
            <w:vAlign w:val="center"/>
          </w:tcPr>
          <w:p>
            <w:pPr>
              <w:spacing w:after="0" w:line="250"/>
            </w:pPr>
            <w:r>
              <w:rPr>
                <w:color w:val="2D2D2D"/>
                <w:sz w:val="19"/>
                <w:szCs w:val="19"/>
              </w:rPr>
              <w:t xml:space="preserve">Every partner displays valid FSSAI number on listing</w:t>
            </w:r>
          </w:p>
        </w:tc>
        <w:tc>
          <w:tcPr>
            <w:tcW w:type="dxa" w:w="2800"/>
            <w:shd w:fill="FFFFFF" w:color="auto" w:val="clear"/>
            <w:tcMar>
              <w:top w:type="dxa" w:w="60"/>
              <w:left w:type="dxa" w:w="110"/>
              <w:bottom w:type="dxa" w:w="60"/>
              <w:right w:type="dxa" w:w="110"/>
            </w:tcMar>
            <w:vAlign w:val="center"/>
          </w:tcPr>
          <w:p>
            <w:pPr>
              <w:spacing w:after="0" w:line="250"/>
            </w:pPr>
            <w:r>
              <w:rPr>
                <w:color w:val="2D2D2D"/>
                <w:sz w:val="19"/>
                <w:szCs w:val="19"/>
              </w:rPr>
              <w:t xml:space="preserve">Upload + verify at onboarding; re-verify every 6 months</w:t>
            </w:r>
          </w:p>
        </w:tc>
      </w:tr>
      <w:tr>
        <w:tc>
          <w:tcPr>
            <w:tcW w:type="dxa" w:w="2500"/>
            <w:shd w:fill="F5F5F5" w:color="auto" w:val="clear"/>
            <w:tcMar>
              <w:top w:type="dxa" w:w="60"/>
              <w:left w:type="dxa" w:w="110"/>
              <w:bottom w:type="dxa" w:w="60"/>
              <w:right w:type="dxa" w:w="110"/>
            </w:tcMar>
            <w:vAlign w:val="center"/>
          </w:tcPr>
          <w:p>
            <w:pPr>
              <w:spacing w:after="0" w:line="250"/>
            </w:pPr>
            <w:r>
              <w:rPr>
                <w:color w:val="2D2D2D"/>
                <w:sz w:val="19"/>
                <w:szCs w:val="19"/>
              </w:rPr>
              <w:t xml:space="preserve">Fresh-food-only rule</w:t>
            </w:r>
          </w:p>
        </w:tc>
        <w:tc>
          <w:tcPr>
            <w:tcW w:type="dxa" w:w="4060"/>
            <w:shd w:fill="F5F5F5" w:color="auto" w:val="clear"/>
            <w:tcMar>
              <w:top w:type="dxa" w:w="60"/>
              <w:left w:type="dxa" w:w="110"/>
              <w:bottom w:type="dxa" w:w="60"/>
              <w:right w:type="dxa" w:w="110"/>
            </w:tcMar>
            <w:vAlign w:val="center"/>
          </w:tcPr>
          <w:p>
            <w:pPr>
              <w:spacing w:after="0" w:line="250"/>
            </w:pPr>
            <w:r>
              <w:rPr>
                <w:color w:val="2D2D2D"/>
                <w:sz w:val="19"/>
                <w:szCs w:val="19"/>
              </w:rPr>
              <w:t xml:space="preserve">FSSAI 2024: same-day prep; no next-day carryover</w:t>
            </w:r>
          </w:p>
        </w:tc>
        <w:tc>
          <w:tcPr>
            <w:tcW w:type="dxa" w:w="2800"/>
            <w:shd w:fill="F5F5F5" w:color="auto" w:val="clear"/>
            <w:tcMar>
              <w:top w:type="dxa" w:w="60"/>
              <w:left w:type="dxa" w:w="110"/>
              <w:bottom w:type="dxa" w:w="60"/>
              <w:right w:type="dxa" w:w="110"/>
            </w:tcMar>
            <w:vAlign w:val="center"/>
          </w:tcPr>
          <w:p>
            <w:pPr>
              <w:spacing w:after="0" w:line="250"/>
            </w:pPr>
            <w:r>
              <w:rPr>
                <w:color w:val="2D2D2D"/>
                <w:sz w:val="19"/>
                <w:szCs w:val="19"/>
              </w:rPr>
              <w:t xml:space="preserve">Enforce via Bag Composition Matrix + pickup windows</w:t>
            </w:r>
          </w:p>
        </w:tc>
      </w:tr>
      <w:tr>
        <w:tc>
          <w:tcPr>
            <w:tcW w:type="dxa" w:w="2500"/>
            <w:shd w:fill="FFFFFF" w:color="auto" w:val="clear"/>
            <w:tcMar>
              <w:top w:type="dxa" w:w="60"/>
              <w:left w:type="dxa" w:w="110"/>
              <w:bottom w:type="dxa" w:w="60"/>
              <w:right w:type="dxa" w:w="110"/>
            </w:tcMar>
            <w:vAlign w:val="center"/>
          </w:tcPr>
          <w:p>
            <w:pPr>
              <w:spacing w:after="0" w:line="250"/>
            </w:pPr>
            <w:r>
              <w:rPr>
                <w:color w:val="2D2D2D"/>
                <w:sz w:val="19"/>
                <w:szCs w:val="19"/>
              </w:rPr>
              <w:t xml:space="preserve">Allergen disclosure</w:t>
            </w:r>
          </w:p>
        </w:tc>
        <w:tc>
          <w:tcPr>
            <w:tcW w:type="dxa" w:w="4060"/>
            <w:shd w:fill="FFFFFF" w:color="auto" w:val="clear"/>
            <w:tcMar>
              <w:top w:type="dxa" w:w="60"/>
              <w:left w:type="dxa" w:w="110"/>
              <w:bottom w:type="dxa" w:w="60"/>
              <w:right w:type="dxa" w:w="110"/>
            </w:tcMar>
            <w:vAlign w:val="center"/>
          </w:tcPr>
          <w:p>
            <w:pPr>
              <w:spacing w:after="0" w:line="250"/>
            </w:pPr>
            <w:r>
              <w:rPr>
                <w:color w:val="2D2D2D"/>
                <w:sz w:val="19"/>
                <w:szCs w:val="19"/>
              </w:rPr>
              <w:t xml:space="preserve">Categories disclosed even for surprise bags</w:t>
            </w:r>
          </w:p>
        </w:tc>
        <w:tc>
          <w:tcPr>
            <w:tcW w:type="dxa" w:w="2800"/>
            <w:shd w:fill="FFFFFF" w:color="auto" w:val="clear"/>
            <w:tcMar>
              <w:top w:type="dxa" w:w="60"/>
              <w:left w:type="dxa" w:w="110"/>
              <w:bottom w:type="dxa" w:w="60"/>
              <w:right w:type="dxa" w:w="110"/>
            </w:tcMar>
            <w:vAlign w:val="center"/>
          </w:tcPr>
          <w:p>
            <w:pPr>
              <w:spacing w:after="0" w:line="250"/>
            </w:pPr>
            <w:r>
              <w:rPr>
                <w:color w:val="2D2D2D"/>
                <w:sz w:val="19"/>
                <w:szCs w:val="19"/>
              </w:rPr>
              <w:t xml:space="preserve">Flag Nuts/Dairy/Gluten/Shellfish/Soy; never specific dishes</w:t>
            </w:r>
          </w:p>
        </w:tc>
      </w:tr>
      <w:tr>
        <w:tc>
          <w:tcPr>
            <w:tcW w:type="dxa" w:w="2500"/>
            <w:shd w:fill="F5F5F5" w:color="auto" w:val="clear"/>
            <w:tcMar>
              <w:top w:type="dxa" w:w="60"/>
              <w:left w:type="dxa" w:w="110"/>
              <w:bottom w:type="dxa" w:w="60"/>
              <w:right w:type="dxa" w:w="110"/>
            </w:tcMar>
            <w:vAlign w:val="center"/>
          </w:tcPr>
          <w:p>
            <w:pPr>
              <w:spacing w:after="0" w:line="250"/>
            </w:pPr>
            <w:r>
              <w:rPr>
                <w:color w:val="2D2D2D"/>
                <w:sz w:val="19"/>
                <w:szCs w:val="19"/>
              </w:rPr>
              <w:t xml:space="preserve">Platform–merchant agreement</w:t>
            </w:r>
          </w:p>
        </w:tc>
        <w:tc>
          <w:tcPr>
            <w:tcW w:type="dxa" w:w="4060"/>
            <w:shd w:fill="F5F5F5" w:color="auto" w:val="clear"/>
            <w:tcMar>
              <w:top w:type="dxa" w:w="60"/>
              <w:left w:type="dxa" w:w="110"/>
              <w:bottom w:type="dxa" w:w="60"/>
              <w:right w:type="dxa" w:w="110"/>
            </w:tcMar>
            <w:vAlign w:val="center"/>
          </w:tcPr>
          <w:p>
            <w:pPr>
              <w:spacing w:after="0" w:line="250"/>
            </w:pPr>
            <w:r>
              <w:rPr>
                <w:color w:val="2D2D2D"/>
                <w:sz w:val="19"/>
                <w:szCs w:val="19"/>
              </w:rPr>
              <w:t xml:space="preserve">Signed compliance agreement per seller</w:t>
            </w:r>
          </w:p>
        </w:tc>
        <w:tc>
          <w:tcPr>
            <w:tcW w:type="dxa" w:w="2800"/>
            <w:shd w:fill="F5F5F5" w:color="auto" w:val="clear"/>
            <w:tcMar>
              <w:top w:type="dxa" w:w="60"/>
              <w:left w:type="dxa" w:w="110"/>
              <w:bottom w:type="dxa" w:w="60"/>
              <w:right w:type="dxa" w:w="110"/>
            </w:tcMar>
            <w:vAlign w:val="center"/>
          </w:tcPr>
          <w:p>
            <w:pPr>
              <w:spacing w:after="0" w:line="250"/>
            </w:pPr>
            <w:r>
              <w:rPr>
                <w:color w:val="2D2D2D"/>
                <w:sz w:val="19"/>
                <w:szCs w:val="19"/>
              </w:rPr>
              <w:t xml:space="preserve">In merchant onboarding pack</w:t>
            </w:r>
          </w:p>
        </w:tc>
      </w:tr>
      <w:tr>
        <w:tc>
          <w:tcPr>
            <w:tcW w:type="dxa" w:w="2500"/>
            <w:shd w:fill="FFFFFF" w:color="auto" w:val="clear"/>
            <w:tcMar>
              <w:top w:type="dxa" w:w="60"/>
              <w:left w:type="dxa" w:w="110"/>
              <w:bottom w:type="dxa" w:w="60"/>
              <w:right w:type="dxa" w:w="110"/>
            </w:tcMar>
            <w:vAlign w:val="center"/>
          </w:tcPr>
          <w:p>
            <w:pPr>
              <w:spacing w:after="0" w:line="250"/>
            </w:pPr>
            <w:r>
              <w:rPr>
                <w:color w:val="2D2D2D"/>
                <w:sz w:val="19"/>
                <w:szCs w:val="19"/>
              </w:rPr>
              <w:t xml:space="preserve">Eco-packaging</w:t>
            </w:r>
          </w:p>
        </w:tc>
        <w:tc>
          <w:tcPr>
            <w:tcW w:type="dxa" w:w="4060"/>
            <w:shd w:fill="FFFFFF" w:color="auto" w:val="clear"/>
            <w:tcMar>
              <w:top w:type="dxa" w:w="60"/>
              <w:left w:type="dxa" w:w="110"/>
              <w:bottom w:type="dxa" w:w="60"/>
              <w:right w:type="dxa" w:w="110"/>
            </w:tcMar>
            <w:vAlign w:val="center"/>
          </w:tcPr>
          <w:p>
            <w:pPr>
              <w:spacing w:after="0" w:line="250"/>
            </w:pPr>
            <w:r>
              <w:rPr>
                <w:color w:val="2D2D2D"/>
                <w:sz w:val="19"/>
                <w:szCs w:val="19"/>
              </w:rPr>
              <w:t xml:space="preserve">Single-use plastic ban</w:t>
            </w:r>
          </w:p>
        </w:tc>
        <w:tc>
          <w:tcPr>
            <w:tcW w:type="dxa" w:w="2800"/>
            <w:shd w:fill="FFFFFF" w:color="auto" w:val="clear"/>
            <w:tcMar>
              <w:top w:type="dxa" w:w="60"/>
              <w:left w:type="dxa" w:w="110"/>
              <w:bottom w:type="dxa" w:w="60"/>
              <w:right w:type="dxa" w:w="110"/>
            </w:tcMar>
            <w:vAlign w:val="center"/>
          </w:tcPr>
          <w:p>
            <w:pPr>
              <w:spacing w:after="0" w:line="250"/>
            </w:pPr>
            <w:r>
              <w:rPr>
                <w:color w:val="2D2D2D"/>
                <w:sz w:val="19"/>
                <w:szCs w:val="19"/>
              </w:rPr>
              <w:t xml:space="preserve">Kraft / bagasse / compostable from Day 1 — brand asset</w:t>
            </w:r>
          </w:p>
        </w:tc>
      </w:tr>
      <w:tr>
        <w:tc>
          <w:tcPr>
            <w:tcW w:type="dxa" w:w="2500"/>
            <w:shd w:fill="F5F5F5" w:color="auto" w:val="clear"/>
            <w:tcMar>
              <w:top w:type="dxa" w:w="60"/>
              <w:left w:type="dxa" w:w="110"/>
              <w:bottom w:type="dxa" w:w="60"/>
              <w:right w:type="dxa" w:w="110"/>
            </w:tcMar>
            <w:vAlign w:val="center"/>
          </w:tcPr>
          <w:p>
            <w:pPr>
              <w:spacing w:after="0" w:line="250"/>
            </w:pPr>
            <w:r>
              <w:rPr>
                <w:color w:val="2D2D2D"/>
                <w:sz w:val="19"/>
                <w:szCs w:val="19"/>
              </w:rPr>
              <w:t xml:space="preserve">Grievance officer</w:t>
            </w:r>
          </w:p>
        </w:tc>
        <w:tc>
          <w:tcPr>
            <w:tcW w:type="dxa" w:w="4060"/>
            <w:shd w:fill="F5F5F5" w:color="auto" w:val="clear"/>
            <w:tcMar>
              <w:top w:type="dxa" w:w="60"/>
              <w:left w:type="dxa" w:w="110"/>
              <w:bottom w:type="dxa" w:w="60"/>
              <w:right w:type="dxa" w:w="110"/>
            </w:tcMar>
            <w:vAlign w:val="center"/>
          </w:tcPr>
          <w:p>
            <w:pPr>
              <w:spacing w:after="0" w:line="250"/>
            </w:pPr>
            <w:r>
              <w:rPr>
                <w:color w:val="2D2D2D"/>
                <w:sz w:val="19"/>
                <w:szCs w:val="19"/>
              </w:rPr>
              <w:t xml:space="preserve">Published mechanism, 48-hour SLA</w:t>
            </w:r>
          </w:p>
        </w:tc>
        <w:tc>
          <w:tcPr>
            <w:tcW w:type="dxa" w:w="2800"/>
            <w:shd w:fill="F5F5F5" w:color="auto" w:val="clear"/>
            <w:tcMar>
              <w:top w:type="dxa" w:w="60"/>
              <w:left w:type="dxa" w:w="110"/>
              <w:bottom w:type="dxa" w:w="60"/>
              <w:right w:type="dxa" w:w="110"/>
            </w:tcMar>
            <w:vAlign w:val="center"/>
          </w:tcPr>
          <w:p>
            <w:pPr>
              <w:spacing w:after="0" w:line="250"/>
            </w:pPr>
            <w:r>
              <w:rPr>
                <w:color w:val="2D2D2D"/>
                <w:sz w:val="19"/>
                <w:szCs w:val="19"/>
              </w:rPr>
              <w:t xml:space="preserve">Appoint at incorporation; publish in app &amp; footer</w:t>
            </w:r>
          </w:p>
        </w:tc>
      </w:tr>
      <w:tr>
        <w:tc>
          <w:tcPr>
            <w:tcW w:type="dxa" w:w="2500"/>
            <w:shd w:fill="FFFFFF" w:color="auto" w:val="clear"/>
            <w:tcMar>
              <w:top w:type="dxa" w:w="60"/>
              <w:left w:type="dxa" w:w="110"/>
              <w:bottom w:type="dxa" w:w="60"/>
              <w:right w:type="dxa" w:w="110"/>
            </w:tcMar>
            <w:vAlign w:val="center"/>
          </w:tcPr>
          <w:p>
            <w:pPr>
              <w:spacing w:after="0" w:line="250"/>
            </w:pPr>
            <w:r>
              <w:rPr>
                <w:color w:val="2D2D2D"/>
                <w:sz w:val="19"/>
                <w:szCs w:val="19"/>
              </w:rPr>
              <w:t xml:space="preserve">GST</w:t>
            </w:r>
          </w:p>
        </w:tc>
        <w:tc>
          <w:tcPr>
            <w:tcW w:type="dxa" w:w="4060"/>
            <w:shd w:fill="FFFFFF" w:color="auto" w:val="clear"/>
            <w:tcMar>
              <w:top w:type="dxa" w:w="60"/>
              <w:left w:type="dxa" w:w="110"/>
              <w:bottom w:type="dxa" w:w="60"/>
              <w:right w:type="dxa" w:w="110"/>
            </w:tcMar>
            <w:vAlign w:val="center"/>
          </w:tcPr>
          <w:p>
            <w:pPr>
              <w:spacing w:after="0" w:line="250"/>
            </w:pPr>
            <w:r>
              <w:rPr>
                <w:color w:val="2D2D2D"/>
                <w:sz w:val="19"/>
                <w:szCs w:val="19"/>
              </w:rPr>
              <w:t xml:space="preserve">18% on platform fee; 5% on food sales</w:t>
            </w:r>
          </w:p>
        </w:tc>
        <w:tc>
          <w:tcPr>
            <w:tcW w:type="dxa" w:w="2800"/>
            <w:shd w:fill="FFFFFF" w:color="auto" w:val="clear"/>
            <w:tcMar>
              <w:top w:type="dxa" w:w="60"/>
              <w:left w:type="dxa" w:w="110"/>
              <w:bottom w:type="dxa" w:w="60"/>
              <w:right w:type="dxa" w:w="110"/>
            </w:tcMar>
            <w:vAlign w:val="center"/>
          </w:tcPr>
          <w:p>
            <w:pPr>
              <w:spacing w:after="0" w:line="250"/>
            </w:pPr>
            <w:r>
              <w:rPr>
                <w:color w:val="2D2D2D"/>
                <w:sz w:val="19"/>
                <w:szCs w:val="19"/>
              </w:rPr>
              <w:t xml:space="preserve">Build into pricing; CA from Month 1</w:t>
            </w:r>
          </w:p>
        </w:tc>
      </w:tr>
    </w:tbl>
    <w:p>
      <w:pPr>
        <w:pStyle w:val="Heading2"/>
        <w:spacing w:after="120" w:before="260"/>
      </w:pPr>
      <w:r>
        <w:t xml:space="preserve">7.2 DPDP Act 2023 &amp; 2025 Rules</w:t>
      </w:r>
    </w:p>
    <w:p>
      <w:pPr>
        <w:pStyle w:val="ListParagraph"/>
        <w:numPr>
          <w:ilvl w:val="0"/>
          <w:numId w:val="2"/>
        </w:numPr>
        <w:spacing w:after="70" w:line="264"/>
      </w:pPr>
      <w:r>
        <w:rPr>
          <w:color w:val="2D2D2D"/>
          <w:sz w:val="21"/>
          <w:szCs w:val="21"/>
        </w:rPr>
        <w:t xml:space="preserve">Explicit, unbundled consent per data category; no pre-ticked boxes — built into waitlist and signup from Day 1.</w:t>
      </w:r>
    </w:p>
    <w:p>
      <w:pPr>
        <w:pStyle w:val="ListParagraph"/>
        <w:numPr>
          <w:ilvl w:val="0"/>
          <w:numId w:val="2"/>
        </w:numPr>
        <w:spacing w:after="70" w:line="264"/>
      </w:pPr>
      <w:r>
        <w:rPr>
          <w:color w:val="2D2D2D"/>
          <w:sz w:val="21"/>
          <w:szCs w:val="21"/>
        </w:rPr>
        <w:t xml:space="preserve">Purpose limitation enforced at the database query level; fulfilment data not repurposed for marketing without separate consent.</w:t>
      </w:r>
    </w:p>
    <w:p>
      <w:pPr>
        <w:pStyle w:val="ListParagraph"/>
        <w:numPr>
          <w:ilvl w:val="0"/>
          <w:numId w:val="2"/>
        </w:numPr>
        <w:spacing w:after="70" w:line="264"/>
      </w:pPr>
      <w:r>
        <w:rPr>
          <w:color w:val="2D2D2D"/>
          <w:sz w:val="21"/>
          <w:szCs w:val="21"/>
        </w:rPr>
        <w:t xml:space="preserve">Published retention periods + automated deletion jobs (by Month 4); full right-to-erasure on request.</w:t>
      </w:r>
    </w:p>
    <w:p>
      <w:pPr>
        <w:pStyle w:val="ListParagraph"/>
        <w:numPr>
          <w:ilvl w:val="0"/>
          <w:numId w:val="2"/>
        </w:numPr>
        <w:spacing w:after="70" w:line="264"/>
      </w:pPr>
      <w:r>
        <w:rPr>
          <w:color w:val="2D2D2D"/>
          <w:sz w:val="21"/>
          <w:szCs w:val="21"/>
        </w:rPr>
        <w:t xml:space="preserve">Named Grievance Officer with 48-hour SLA before public launch; confirm Data Fiduciary registration threshold with counsel by Month 3.</w:t>
      </w:r>
    </w:p>
    <w:p>
      <w:pPr>
        <w:pStyle w:val="Heading1"/>
        <w:spacing w:after="160" w:before="360"/>
      </w:pPr>
      <w:r>
        <w:t xml:space="preserve">Part VIII — Corporate Structure (OCI / US-Based Founder)</w:t>
      </w:r>
    </w:p>
    <w:p>
      <w:pPr>
        <w:spacing w:after="120" w:before="0" w:line="276"/>
      </w:pPr>
      <w:r>
        <w:rPr>
          <w:color w:val="2D2D2D"/>
          <w:sz w:val="21"/>
          <w:szCs w:val="21"/>
        </w:rPr>
        <w:t xml:space="preserve">The founder is a US citizen with OCI status and Aadhaar, resident in the USA with family in Hyderabad. Recommended structure: a Delaware C-Corp parent + a 100% wholly-owned Indian subsidiary — the gold-standard for OCI founders seeking institutional capital.</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000"/>
        <w:gridCol w:w="3180"/>
        <w:gridCol w:w="3180"/>
      </w:tblGrid>
      <w:tr>
        <w:trPr>
          <w:tblHeader/>
        </w:trPr>
        <w:tc>
          <w:tcPr>
            <w:tcW w:type="dxa" w:w="300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Entity</w:t>
            </w:r>
          </w:p>
        </w:tc>
        <w:tc>
          <w:tcPr>
            <w:tcW w:type="dxa" w:w="318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Purpose</w:t>
            </w:r>
          </w:p>
        </w:tc>
        <w:tc>
          <w:tcPr>
            <w:tcW w:type="dxa" w:w="318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Ownership</w:t>
            </w:r>
          </w:p>
        </w:tc>
      </w:tr>
      <w:tr>
        <w:tc>
          <w:tcPr>
            <w:tcW w:type="dxa" w:w="3000"/>
            <w:shd w:fill="F5F5F5" w:color="auto" w:val="clear"/>
            <w:tcMar>
              <w:top w:type="dxa" w:w="60"/>
              <w:left w:type="dxa" w:w="110"/>
              <w:bottom w:type="dxa" w:w="60"/>
              <w:right w:type="dxa" w:w="110"/>
            </w:tcMar>
            <w:vAlign w:val="center"/>
          </w:tcPr>
          <w:p>
            <w:pPr>
              <w:spacing w:after="0" w:line="250"/>
            </w:pPr>
            <w:r>
              <w:rPr>
                <w:color w:val="2D2D2D"/>
                <w:sz w:val="19"/>
                <w:szCs w:val="19"/>
              </w:rPr>
              <w:t xml:space="preserve">GoZaika Inc. (Delaware C-Corp)</w:t>
            </w:r>
          </w:p>
        </w:tc>
        <w:tc>
          <w:tcPr>
            <w:tcW w:type="dxa" w:w="3180"/>
            <w:shd w:fill="F5F5F5" w:color="auto" w:val="clear"/>
            <w:tcMar>
              <w:top w:type="dxa" w:w="60"/>
              <w:left w:type="dxa" w:w="110"/>
              <w:bottom w:type="dxa" w:w="60"/>
              <w:right w:type="dxa" w:w="110"/>
            </w:tcMar>
            <w:vAlign w:val="center"/>
          </w:tcPr>
          <w:p>
            <w:pPr>
              <w:spacing w:after="0" w:line="250"/>
            </w:pPr>
            <w:r>
              <w:rPr>
                <w:color w:val="2D2D2D"/>
                <w:sz w:val="19"/>
                <w:szCs w:val="19"/>
              </w:rPr>
              <w:t xml:space="preserve">IP holding, US fundraising, global parent, US ESOP</w:t>
            </w:r>
          </w:p>
        </w:tc>
        <w:tc>
          <w:tcPr>
            <w:tcW w:type="dxa" w:w="3180"/>
            <w:shd w:fill="F5F5F5" w:color="auto" w:val="clear"/>
            <w:tcMar>
              <w:top w:type="dxa" w:w="60"/>
              <w:left w:type="dxa" w:w="110"/>
              <w:bottom w:type="dxa" w:w="60"/>
              <w:right w:type="dxa" w:w="110"/>
            </w:tcMar>
            <w:vAlign w:val="center"/>
          </w:tcPr>
          <w:p>
            <w:pPr>
              <w:spacing w:after="0" w:line="250"/>
            </w:pPr>
            <w:r>
              <w:rPr>
                <w:color w:val="2D2D2D"/>
                <w:sz w:val="19"/>
                <w:szCs w:val="19"/>
              </w:rPr>
              <w:t xml:space="preserve">Founders directly (common stock)</w:t>
            </w:r>
          </w:p>
        </w:tc>
      </w:tr>
      <w:tr>
        <w:tc>
          <w:tcPr>
            <w:tcW w:type="dxa" w:w="3000"/>
            <w:shd w:fill="FFFFFF" w:color="auto" w:val="clear"/>
            <w:tcMar>
              <w:top w:type="dxa" w:w="60"/>
              <w:left w:type="dxa" w:w="110"/>
              <w:bottom w:type="dxa" w:w="60"/>
              <w:right w:type="dxa" w:w="110"/>
            </w:tcMar>
            <w:vAlign w:val="center"/>
          </w:tcPr>
          <w:p>
            <w:pPr>
              <w:spacing w:after="0" w:line="250"/>
            </w:pPr>
            <w:r>
              <w:rPr>
                <w:color w:val="2D2D2D"/>
                <w:sz w:val="19"/>
                <w:szCs w:val="19"/>
              </w:rPr>
              <w:t xml:space="preserve">GoZaika Technologies Pvt Ltd (India)</w:t>
            </w:r>
          </w:p>
        </w:tc>
        <w:tc>
          <w:tcPr>
            <w:tcW w:type="dxa" w:w="3180"/>
            <w:shd w:fill="FFFFFF" w:color="auto" w:val="clear"/>
            <w:tcMar>
              <w:top w:type="dxa" w:w="60"/>
              <w:left w:type="dxa" w:w="110"/>
              <w:bottom w:type="dxa" w:w="60"/>
              <w:right w:type="dxa" w:w="110"/>
            </w:tcMar>
            <w:vAlign w:val="center"/>
          </w:tcPr>
          <w:p>
            <w:pPr>
              <w:spacing w:after="0" w:line="250"/>
            </w:pPr>
            <w:r>
              <w:rPr>
                <w:color w:val="2D2D2D"/>
                <w:sz w:val="19"/>
                <w:szCs w:val="19"/>
              </w:rPr>
              <w:t xml:space="preserve">All Indian ops, FSSAI, GST, payroll, contracts, data</w:t>
            </w:r>
          </w:p>
        </w:tc>
        <w:tc>
          <w:tcPr>
            <w:tcW w:type="dxa" w:w="3180"/>
            <w:shd w:fill="FFFFFF" w:color="auto" w:val="clear"/>
            <w:tcMar>
              <w:top w:type="dxa" w:w="60"/>
              <w:left w:type="dxa" w:w="110"/>
              <w:bottom w:type="dxa" w:w="60"/>
              <w:right w:type="dxa" w:w="110"/>
            </w:tcMar>
            <w:vAlign w:val="center"/>
          </w:tcPr>
          <w:p>
            <w:pPr>
              <w:spacing w:after="0" w:line="250"/>
            </w:pPr>
            <w:r>
              <w:rPr>
                <w:color w:val="2D2D2D"/>
                <w:sz w:val="19"/>
                <w:szCs w:val="19"/>
              </w:rPr>
              <w:t xml:space="preserve">100% owned by GoZaika Inc. as FDI</w:t>
            </w:r>
          </w:p>
        </w:tc>
      </w:tr>
    </w:tbl>
    <w:p>
      <w:pPr>
        <w:pStyle w:val="Heading2"/>
        <w:spacing w:after="120" w:before="260"/>
      </w:pPr>
      <w:r>
        <w:t xml:space="preserve">8.1 Key mechanics</w:t>
      </w:r>
    </w:p>
    <w:p>
      <w:pPr>
        <w:pStyle w:val="ListParagraph"/>
        <w:numPr>
          <w:ilvl w:val="0"/>
          <w:numId w:val="2"/>
        </w:numPr>
        <w:spacing w:after="70" w:line="264"/>
      </w:pPr>
      <w:r>
        <w:rPr>
          <w:color w:val="2D2D2D"/>
          <w:sz w:val="21"/>
          <w:szCs w:val="21"/>
        </w:rPr>
        <w:t xml:space="preserve">Delaware via Stripe Atlas / Clerky / Doola; 10M authorised shares; 4-yr vesting, 1-yr cliff; 83(b) within 30 days; Mercury/Brex banking; EIN via SS-4.</w:t>
      </w:r>
    </w:p>
    <w:p>
      <w:pPr>
        <w:pStyle w:val="ListParagraph"/>
        <w:numPr>
          <w:ilvl w:val="0"/>
          <w:numId w:val="2"/>
        </w:numPr>
        <w:spacing w:after="70" w:line="264"/>
      </w:pPr>
      <w:r>
        <w:rPr>
          <w:color w:val="2D2D2D"/>
          <w:sz w:val="21"/>
          <w:szCs w:val="21"/>
        </w:rPr>
        <w:t xml:space="preserve">India via SPICe+ (PAN+TAN+GST); recommended name GoZaika Technologies Private Limited; one resident Indian director; ₹1L min capital.</w:t>
      </w:r>
    </w:p>
    <w:p>
      <w:pPr>
        <w:pStyle w:val="ListParagraph"/>
        <w:numPr>
          <w:ilvl w:val="0"/>
          <w:numId w:val="2"/>
        </w:numPr>
        <w:spacing w:after="70" w:line="264"/>
      </w:pPr>
      <w:r>
        <w:rPr>
          <w:color w:val="2D2D2D"/>
          <w:sz w:val="21"/>
          <w:szCs w:val="21"/>
        </w:rPr>
        <w:t xml:space="preserve">FDI under Automatic Route (up to 100% in food-tech e-commerce, no prior RBI approval); FC-GPR within 30 days of allotment; shares at certified FMV; SWIFT purpose code P0006.</w:t>
      </w:r>
    </w:p>
    <w:p>
      <w:pPr>
        <w:pStyle w:val="ListParagraph"/>
        <w:numPr>
          <w:ilvl w:val="0"/>
          <w:numId w:val="2"/>
        </w:numPr>
        <w:spacing w:after="70" w:line="264"/>
      </w:pPr>
      <w:r>
        <w:rPr>
          <w:color w:val="2D2D2D"/>
          <w:sz w:val="21"/>
          <w:szCs w:val="21"/>
        </w:rPr>
        <w:t xml:space="preserve">Apply DPIIT Startup India recognition (80-IAC exemption, fast-track IP); ICICI/HDFC startup current account.</w:t>
      </w:r>
    </w:p>
    <w:p>
      <w:pPr>
        <w:pStyle w:val="ListParagraph"/>
        <w:numPr>
          <w:ilvl w:val="0"/>
          <w:numId w:val="2"/>
        </w:numPr>
        <w:spacing w:after="70" w:line="264"/>
      </w:pPr>
      <w:r>
        <w:rPr>
          <w:color w:val="2D2D2D"/>
          <w:sz w:val="21"/>
          <w:szCs w:val="21"/>
        </w:rPr>
        <w:t xml:space="preserve">All IP assigned to the Delaware parent; Indian subsidiary operates under licence. File US + Indian trademarks for “goZaika” and “BAM Bag” (Class 43). AI-generated assets require human review/modification to meet IP-ownership thresholds — document the process.</w:t>
      </w:r>
    </w:p>
    <w:p>
      <w:pPr>
        <w:pStyle w:val="Heading2"/>
        <w:spacing w:after="120" w:before="260"/>
      </w:pPr>
      <w:r>
        <w:t xml:space="preserve">8.2 Indicative equity (Delaware parent)</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2880"/>
        <w:gridCol w:w="2880"/>
      </w:tblGrid>
      <w:tr>
        <w:trPr>
          <w:tblHeader/>
        </w:trPr>
        <w:tc>
          <w:tcPr>
            <w:tcW w:type="dxa" w:w="360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Holder</w:t>
            </w:r>
          </w:p>
        </w:tc>
        <w:tc>
          <w:tcPr>
            <w:tcW w:type="dxa" w:w="288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Pre-seed</w:t>
            </w:r>
          </w:p>
        </w:tc>
        <w:tc>
          <w:tcPr>
            <w:tcW w:type="dxa" w:w="288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Notes</w:t>
            </w:r>
          </w:p>
        </w:tc>
      </w:tr>
      <w:tr>
        <w:tc>
          <w:tcPr>
            <w:tcW w:type="dxa" w:w="3600"/>
            <w:shd w:fill="F5F5F5" w:color="auto" w:val="clear"/>
            <w:tcMar>
              <w:top w:type="dxa" w:w="60"/>
              <w:left w:type="dxa" w:w="110"/>
              <w:bottom w:type="dxa" w:w="60"/>
              <w:right w:type="dxa" w:w="110"/>
            </w:tcMar>
            <w:vAlign w:val="center"/>
          </w:tcPr>
          <w:p>
            <w:pPr>
              <w:spacing w:after="0" w:line="250"/>
            </w:pPr>
            <w:r>
              <w:rPr>
                <w:color w:val="2D2D2D"/>
                <w:sz w:val="19"/>
                <w:szCs w:val="19"/>
              </w:rPr>
              <w:t xml:space="preserve">Founder (CEO)</w:t>
            </w:r>
          </w:p>
        </w:tc>
        <w:tc>
          <w:tcPr>
            <w:tcW w:type="dxa" w:w="2880"/>
            <w:shd w:fill="F5F5F5" w:color="auto" w:val="clear"/>
            <w:tcMar>
              <w:top w:type="dxa" w:w="60"/>
              <w:left w:type="dxa" w:w="110"/>
              <w:bottom w:type="dxa" w:w="60"/>
              <w:right w:type="dxa" w:w="110"/>
            </w:tcMar>
            <w:vAlign w:val="center"/>
          </w:tcPr>
          <w:p>
            <w:pPr>
              <w:spacing w:after="0" w:line="250"/>
            </w:pPr>
            <w:r>
              <w:rPr>
                <w:color w:val="2D2D2D"/>
                <w:sz w:val="19"/>
                <w:szCs w:val="19"/>
              </w:rPr>
              <w:t xml:space="preserve">55%</w:t>
            </w:r>
          </w:p>
        </w:tc>
        <w:tc>
          <w:tcPr>
            <w:tcW w:type="dxa" w:w="2880"/>
            <w:shd w:fill="F5F5F5" w:color="auto" w:val="clear"/>
            <w:tcMar>
              <w:top w:type="dxa" w:w="60"/>
              <w:left w:type="dxa" w:w="110"/>
              <w:bottom w:type="dxa" w:w="60"/>
              <w:right w:type="dxa" w:w="110"/>
            </w:tcMar>
            <w:vAlign w:val="center"/>
          </w:tcPr>
          <w:p>
            <w:pPr>
              <w:spacing w:after="0" w:line="250"/>
            </w:pPr>
            <w:r>
              <w:rPr>
                <w:color w:val="2D2D2D"/>
                <w:sz w:val="19"/>
                <w:szCs w:val="19"/>
              </w:rPr>
              <w:t xml:space="preserve">4-yr vest, 1-yr cliff; 83(b) filed</w:t>
            </w:r>
          </w:p>
        </w:tc>
      </w:tr>
      <w:tr>
        <w:tc>
          <w:tcPr>
            <w:tcW w:type="dxa" w:w="3600"/>
            <w:shd w:fill="FFFFFF" w:color="auto" w:val="clear"/>
            <w:tcMar>
              <w:top w:type="dxa" w:w="60"/>
              <w:left w:type="dxa" w:w="110"/>
              <w:bottom w:type="dxa" w:w="60"/>
              <w:right w:type="dxa" w:w="110"/>
            </w:tcMar>
            <w:vAlign w:val="center"/>
          </w:tcPr>
          <w:p>
            <w:pPr>
              <w:spacing w:after="0" w:line="250"/>
            </w:pPr>
            <w:r>
              <w:rPr>
                <w:color w:val="2D2D2D"/>
                <w:sz w:val="19"/>
                <w:szCs w:val="19"/>
              </w:rPr>
              <w:t xml:space="preserve">Co-founder / CTO</w:t>
            </w:r>
          </w:p>
        </w:tc>
        <w:tc>
          <w:tcPr>
            <w:tcW w:type="dxa" w:w="2880"/>
            <w:shd w:fill="FFFFFF" w:color="auto" w:val="clear"/>
            <w:tcMar>
              <w:top w:type="dxa" w:w="60"/>
              <w:left w:type="dxa" w:w="110"/>
              <w:bottom w:type="dxa" w:w="60"/>
              <w:right w:type="dxa" w:w="110"/>
            </w:tcMar>
            <w:vAlign w:val="center"/>
          </w:tcPr>
          <w:p>
            <w:pPr>
              <w:spacing w:after="0" w:line="250"/>
            </w:pPr>
            <w:r>
              <w:rPr>
                <w:color w:val="2D2D2D"/>
                <w:sz w:val="19"/>
                <w:szCs w:val="19"/>
              </w:rPr>
              <w:t xml:space="preserve">35%</w:t>
            </w:r>
          </w:p>
        </w:tc>
        <w:tc>
          <w:tcPr>
            <w:tcW w:type="dxa" w:w="2880"/>
            <w:shd w:fill="FFFFFF" w:color="auto" w:val="clear"/>
            <w:tcMar>
              <w:top w:type="dxa" w:w="60"/>
              <w:left w:type="dxa" w:w="110"/>
              <w:bottom w:type="dxa" w:w="60"/>
              <w:right w:type="dxa" w:w="110"/>
            </w:tcMar>
            <w:vAlign w:val="center"/>
          </w:tcPr>
          <w:p>
            <w:pPr>
              <w:spacing w:after="0" w:line="250"/>
            </w:pPr>
            <w:r>
              <w:rPr>
                <w:color w:val="2D2D2D"/>
                <w:sz w:val="19"/>
                <w:szCs w:val="19"/>
              </w:rPr>
              <w:t xml:space="preserve">4-yr vest, 1-yr cliff; 83(b) filed</w:t>
            </w:r>
          </w:p>
        </w:tc>
      </w:tr>
      <w:tr>
        <w:tc>
          <w:tcPr>
            <w:tcW w:type="dxa" w:w="3600"/>
            <w:shd w:fill="F5F5F5" w:color="auto" w:val="clear"/>
            <w:tcMar>
              <w:top w:type="dxa" w:w="60"/>
              <w:left w:type="dxa" w:w="110"/>
              <w:bottom w:type="dxa" w:w="60"/>
              <w:right w:type="dxa" w:w="110"/>
            </w:tcMar>
            <w:vAlign w:val="center"/>
          </w:tcPr>
          <w:p>
            <w:pPr>
              <w:spacing w:after="0" w:line="250"/>
            </w:pPr>
            <w:r>
              <w:rPr>
                <w:color w:val="2D2D2D"/>
                <w:sz w:val="19"/>
                <w:szCs w:val="19"/>
              </w:rPr>
              <w:t xml:space="preserve">US ESOP pool</w:t>
            </w:r>
          </w:p>
        </w:tc>
        <w:tc>
          <w:tcPr>
            <w:tcW w:type="dxa" w:w="2880"/>
            <w:shd w:fill="F5F5F5" w:color="auto" w:val="clear"/>
            <w:tcMar>
              <w:top w:type="dxa" w:w="60"/>
              <w:left w:type="dxa" w:w="110"/>
              <w:bottom w:type="dxa" w:w="60"/>
              <w:right w:type="dxa" w:w="110"/>
            </w:tcMar>
            <w:vAlign w:val="center"/>
          </w:tcPr>
          <w:p>
            <w:pPr>
              <w:spacing w:after="0" w:line="250"/>
            </w:pPr>
            <w:r>
              <w:rPr>
                <w:color w:val="2D2D2D"/>
                <w:sz w:val="19"/>
                <w:szCs w:val="19"/>
              </w:rPr>
              <w:t xml:space="preserve">10%</w:t>
            </w:r>
          </w:p>
        </w:tc>
        <w:tc>
          <w:tcPr>
            <w:tcW w:type="dxa" w:w="2880"/>
            <w:shd w:fill="F5F5F5" w:color="auto" w:val="clear"/>
            <w:tcMar>
              <w:top w:type="dxa" w:w="60"/>
              <w:left w:type="dxa" w:w="110"/>
              <w:bottom w:type="dxa" w:w="60"/>
              <w:right w:type="dxa" w:w="110"/>
            </w:tcMar>
            <w:vAlign w:val="center"/>
          </w:tcPr>
          <w:p>
            <w:pPr>
              <w:spacing w:after="0" w:line="250"/>
            </w:pPr>
            <w:r>
              <w:rPr>
                <w:color w:val="2D2D2D"/>
                <w:sz w:val="19"/>
                <w:szCs w:val="19"/>
              </w:rPr>
              <w:t xml:space="preserve">Expand at Series A; India ESOP separate (10% of subsidiary)</w:t>
            </w:r>
          </w:p>
        </w:tc>
      </w:tr>
      <w:tr>
        <w:tc>
          <w:tcPr>
            <w:tcW w:type="dxa" w:w="3600"/>
            <w:shd w:fill="FFFFFF" w:color="auto" w:val="clear"/>
            <w:tcMar>
              <w:top w:type="dxa" w:w="60"/>
              <w:left w:type="dxa" w:w="110"/>
              <w:bottom w:type="dxa" w:w="60"/>
              <w:right w:type="dxa" w:w="110"/>
            </w:tcMar>
            <w:vAlign w:val="center"/>
          </w:tcPr>
          <w:p>
            <w:pPr>
              <w:spacing w:after="0" w:line="250"/>
            </w:pPr>
            <w:r>
              <w:rPr>
                <w:color w:val="2D2D2D"/>
                <w:sz w:val="19"/>
                <w:szCs w:val="19"/>
              </w:rPr>
              <w:t xml:space="preserve">Seed investor</w:t>
            </w:r>
          </w:p>
        </w:tc>
        <w:tc>
          <w:tcPr>
            <w:tcW w:type="dxa" w:w="2880"/>
            <w:shd w:fill="FFFFFF" w:color="auto" w:val="clear"/>
            <w:tcMar>
              <w:top w:type="dxa" w:w="60"/>
              <w:left w:type="dxa" w:w="110"/>
              <w:bottom w:type="dxa" w:w="60"/>
              <w:right w:type="dxa" w:w="110"/>
            </w:tcMar>
            <w:vAlign w:val="center"/>
          </w:tcPr>
          <w:p>
            <w:pPr>
              <w:spacing w:after="0" w:line="250"/>
            </w:pPr>
            <w:r>
              <w:rPr>
                <w:color w:val="2D2D2D"/>
                <w:sz w:val="19"/>
                <w:szCs w:val="19"/>
              </w:rPr>
              <w:t xml:space="preserve">0% → 18% post-seed</w:t>
            </w:r>
          </w:p>
        </w:tc>
        <w:tc>
          <w:tcPr>
            <w:tcW w:type="dxa" w:w="2880"/>
            <w:shd w:fill="FFFFFF" w:color="auto" w:val="clear"/>
            <w:tcMar>
              <w:top w:type="dxa" w:w="60"/>
              <w:left w:type="dxa" w:w="110"/>
              <w:bottom w:type="dxa" w:w="60"/>
              <w:right w:type="dxa" w:w="110"/>
            </w:tcMar>
            <w:vAlign w:val="center"/>
          </w:tcPr>
          <w:p>
            <w:pPr>
              <w:spacing w:after="0" w:line="250"/>
            </w:pPr>
            <w:r>
              <w:rPr>
                <w:color w:val="2D2D2D"/>
                <w:sz w:val="19"/>
                <w:szCs w:val="19"/>
              </w:rPr>
              <w:t xml:space="preserve">Preferred stock at ~₹4.17Cr pre-money</w:t>
            </w:r>
          </w:p>
        </w:tc>
      </w:tr>
    </w:tbl>
    <w:p>
      <w:pPr>
        <w:pStyle w:val="Heading1"/>
        <w:spacing w:after="160" w:before="360"/>
      </w:pPr>
      <w:r>
        <w:t xml:space="preserve">Part IX — Hybrid Supply Model &amp; Operations</w:t>
      </w:r>
    </w:p>
    <w:p>
      <w:pPr>
        <w:spacing w:after="120" w:before="0" w:line="276"/>
      </w:pPr>
      <w:r>
        <w:rPr>
          <w:color w:val="2D2D2D"/>
          <w:sz w:val="21"/>
          <w:szCs w:val="21"/>
        </w:rPr>
        <w:t xml:space="preserve">A pure surplus-dependent model is operationally fragile — on low-waste days the app runs empty and the habit loop breaks. The hybrid model keeps minimum daily listing density without sliding back toward clearance economics (Part I).</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400"/>
        <w:gridCol w:w="4160"/>
        <w:gridCol w:w="2800"/>
      </w:tblGrid>
      <w:tr>
        <w:trPr>
          <w:tblHeader/>
        </w:trPr>
        <w:tc>
          <w:tcPr>
            <w:tcW w:type="dxa" w:w="240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Supply type</w:t>
            </w:r>
          </w:p>
        </w:tc>
        <w:tc>
          <w:tcPr>
            <w:tcW w:type="dxa" w:w="416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Definition</w:t>
            </w:r>
          </w:p>
        </w:tc>
        <w:tc>
          <w:tcPr>
            <w:tcW w:type="dxa" w:w="280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Best fit / frequency</w:t>
            </w:r>
          </w:p>
        </w:tc>
      </w:tr>
      <w:tr>
        <w:tc>
          <w:tcPr>
            <w:tcW w:type="dxa" w:w="2400"/>
            <w:shd w:fill="F5F5F5" w:color="auto" w:val="clear"/>
            <w:tcMar>
              <w:top w:type="dxa" w:w="60"/>
              <w:left w:type="dxa" w:w="110"/>
              <w:bottom w:type="dxa" w:w="60"/>
              <w:right w:type="dxa" w:w="110"/>
            </w:tcMar>
            <w:vAlign w:val="center"/>
          </w:tcPr>
          <w:p>
            <w:pPr>
              <w:spacing w:after="0" w:line="250"/>
            </w:pPr>
            <w:r>
              <w:rPr>
                <w:color w:val="2D2D2D"/>
                <w:sz w:val="19"/>
                <w:szCs w:val="19"/>
              </w:rPr>
              <w:t xml:space="preserve">True surplus recovery</w:t>
            </w:r>
          </w:p>
        </w:tc>
        <w:tc>
          <w:tcPr>
            <w:tcW w:type="dxa" w:w="4160"/>
            <w:shd w:fill="F5F5F5" w:color="auto" w:val="clear"/>
            <w:tcMar>
              <w:top w:type="dxa" w:w="60"/>
              <w:left w:type="dxa" w:w="110"/>
              <w:bottom w:type="dxa" w:w="60"/>
              <w:right w:type="dxa" w:w="110"/>
            </w:tcMar>
            <w:vAlign w:val="center"/>
          </w:tcPr>
          <w:p>
            <w:pPr>
              <w:spacing w:after="0" w:line="250"/>
            </w:pPr>
            <w:r>
              <w:rPr>
                <w:color w:val="2D2D2D"/>
                <w:sz w:val="19"/>
                <w:szCs w:val="19"/>
              </w:rPr>
              <w:t xml:space="preserve">Unsold same-day prep: dough, marinated proteins, grains, bakes</w:t>
            </w:r>
          </w:p>
        </w:tc>
        <w:tc>
          <w:tcPr>
            <w:tcW w:type="dxa" w:w="2800"/>
            <w:shd w:fill="F5F5F5" w:color="auto" w:val="clear"/>
            <w:tcMar>
              <w:top w:type="dxa" w:w="60"/>
              <w:left w:type="dxa" w:w="110"/>
              <w:bottom w:type="dxa" w:w="60"/>
              <w:right w:type="dxa" w:w="110"/>
            </w:tcMar>
            <w:vAlign w:val="center"/>
          </w:tcPr>
          <w:p>
            <w:pPr>
              <w:spacing w:after="0" w:line="250"/>
            </w:pPr>
            <w:r>
              <w:rPr>
                <w:color w:val="2D2D2D"/>
                <w:sz w:val="19"/>
                <w:szCs w:val="19"/>
              </w:rPr>
              <w:t xml:space="preserve">Bakeries, cafés, casual — 3–5 days/wk</w:t>
            </w:r>
          </w:p>
        </w:tc>
      </w:tr>
      <w:tr>
        <w:tc>
          <w:tcPr>
            <w:tcW w:type="dxa" w:w="2400"/>
            <w:shd w:fill="FFFFFF" w:color="auto" w:val="clear"/>
            <w:tcMar>
              <w:top w:type="dxa" w:w="60"/>
              <w:left w:type="dxa" w:w="110"/>
              <w:bottom w:type="dxa" w:w="60"/>
              <w:right w:type="dxa" w:w="110"/>
            </w:tcMar>
            <w:vAlign w:val="center"/>
          </w:tcPr>
          <w:p>
            <w:pPr>
              <w:spacing w:after="0" w:line="250"/>
            </w:pPr>
            <w:r>
              <w:rPr>
                <w:color w:val="2D2D2D"/>
                <w:sz w:val="19"/>
                <w:szCs w:val="19"/>
              </w:rPr>
              <w:t xml:space="preserve">Intentional slack-hour bag</w:t>
            </w:r>
          </w:p>
        </w:tc>
        <w:tc>
          <w:tcPr>
            <w:tcW w:type="dxa" w:w="4160"/>
            <w:shd w:fill="FFFFFF" w:color="auto" w:val="clear"/>
            <w:tcMar>
              <w:top w:type="dxa" w:w="60"/>
              <w:left w:type="dxa" w:w="110"/>
              <w:bottom w:type="dxa" w:w="60"/>
              <w:right w:type="dxa" w:w="110"/>
            </w:tcMar>
            <w:vAlign w:val="center"/>
          </w:tcPr>
          <w:p>
            <w:pPr>
              <w:spacing w:after="0" w:line="250"/>
            </w:pPr>
            <w:r>
              <w:rPr>
                <w:color w:val="2D2D2D"/>
                <w:sz w:val="19"/>
                <w:szCs w:val="19"/>
              </w:rPr>
              <w:t xml:space="preserve">Assembled in low-utilisation windows from existing prep as a Chef’s Selection</w:t>
            </w:r>
          </w:p>
        </w:tc>
        <w:tc>
          <w:tcPr>
            <w:tcW w:type="dxa" w:w="2800"/>
            <w:shd w:fill="FFFFFF" w:color="auto" w:val="clear"/>
            <w:tcMar>
              <w:top w:type="dxa" w:w="60"/>
              <w:left w:type="dxa" w:w="110"/>
              <w:bottom w:type="dxa" w:w="60"/>
              <w:right w:type="dxa" w:w="110"/>
            </w:tcMar>
            <w:vAlign w:val="center"/>
          </w:tcPr>
          <w:p>
            <w:pPr>
              <w:spacing w:after="0" w:line="250"/>
            </w:pPr>
            <w:r>
              <w:rPr>
                <w:color w:val="2D2D2D"/>
                <w:sz w:val="19"/>
                <w:szCs w:val="19"/>
              </w:rPr>
              <w:t xml:space="preserve">Premium casual, hotel delis — 2–4 days/wk</w:t>
            </w:r>
          </w:p>
        </w:tc>
      </w:tr>
      <w:tr>
        <w:tc>
          <w:tcPr>
            <w:tcW w:type="dxa" w:w="2400"/>
            <w:shd w:fill="F5F5F5" w:color="auto" w:val="clear"/>
            <w:tcMar>
              <w:top w:type="dxa" w:w="60"/>
              <w:left w:type="dxa" w:w="110"/>
              <w:bottom w:type="dxa" w:w="60"/>
              <w:right w:type="dxa" w:w="110"/>
            </w:tcMar>
            <w:vAlign w:val="center"/>
          </w:tcPr>
          <w:p>
            <w:pPr>
              <w:spacing w:after="0" w:line="250"/>
            </w:pPr>
            <w:r>
              <w:rPr>
                <w:color w:val="2D2D2D"/>
                <w:sz w:val="19"/>
                <w:szCs w:val="19"/>
              </w:rPr>
              <w:t xml:space="preserve">Chef’s Special Drop</w:t>
            </w:r>
          </w:p>
        </w:tc>
        <w:tc>
          <w:tcPr>
            <w:tcW w:type="dxa" w:w="4160"/>
            <w:shd w:fill="F5F5F5" w:color="auto" w:val="clear"/>
            <w:tcMar>
              <w:top w:type="dxa" w:w="60"/>
              <w:left w:type="dxa" w:w="110"/>
              <w:bottom w:type="dxa" w:w="60"/>
              <w:right w:type="dxa" w:w="110"/>
            </w:tcMar>
            <w:vAlign w:val="center"/>
          </w:tcPr>
          <w:p>
            <w:pPr>
              <w:spacing w:after="0" w:line="250"/>
            </w:pPr>
            <w:r>
              <w:rPr>
                <w:color w:val="2D2D2D"/>
                <w:sz w:val="19"/>
                <w:szCs w:val="19"/>
              </w:rPr>
              <w:t xml:space="preserve">Planned limited drop of a signature / experimental item</w:t>
            </w:r>
          </w:p>
        </w:tc>
        <w:tc>
          <w:tcPr>
            <w:tcW w:type="dxa" w:w="2800"/>
            <w:shd w:fill="F5F5F5" w:color="auto" w:val="clear"/>
            <w:tcMar>
              <w:top w:type="dxa" w:w="60"/>
              <w:left w:type="dxa" w:w="110"/>
              <w:bottom w:type="dxa" w:w="60"/>
              <w:right w:type="dxa" w:w="110"/>
            </w:tcMar>
            <w:vAlign w:val="center"/>
          </w:tcPr>
          <w:p>
            <w:pPr>
              <w:spacing w:after="0" w:line="250"/>
            </w:pPr>
            <w:r>
              <w:rPr>
                <w:color w:val="2D2D2D"/>
                <w:sz w:val="19"/>
                <w:szCs w:val="19"/>
              </w:rPr>
              <w:t xml:space="preserve">All types — 1–2/wk; buzz + social content</w:t>
            </w:r>
          </w:p>
        </w:tc>
      </w:tr>
    </w:tbl>
    <w:p>
      <w:pPr>
        <w:pStyle w:val="Heading2"/>
        <w:spacing w:after="120" w:before="260"/>
      </w:pPr>
      <w:r>
        <w:t xml:space="preserve">9.1 Bag Composition Matrix (mandatory pre-launch, per partner)</w:t>
      </w:r>
    </w:p>
    <w:p>
      <w:pPr>
        <w:pStyle w:val="ListParagraph"/>
        <w:numPr>
          <w:ilvl w:val="0"/>
          <w:numId w:val="2"/>
        </w:numPr>
        <w:spacing w:after="70" w:line="264"/>
      </w:pPr>
      <w:r>
        <w:rPr>
          <w:color w:val="2D2D2D"/>
          <w:sz w:val="21"/>
          <w:szCs w:val="21"/>
        </w:rPr>
        <w:t xml:space="preserve">Dietary category (Pure Veg / Non-Veg / Egg Only / Jain Available) — on listing.</w:t>
      </w:r>
    </w:p>
    <w:p>
      <w:pPr>
        <w:pStyle w:val="ListParagraph"/>
        <w:numPr>
          <w:ilvl w:val="0"/>
          <w:numId w:val="2"/>
        </w:numPr>
        <w:spacing w:after="70" w:line="264"/>
      </w:pPr>
      <w:r>
        <w:rPr>
          <w:color w:val="2D2D2D"/>
          <w:sz w:val="21"/>
          <w:szCs w:val="21"/>
        </w:rPr>
        <w:t xml:space="preserve">Allergen flags (Nuts / Dairy / Gluten / Shellfish / Soy) — minimum disclosure; specific dishes hidden.</w:t>
      </w:r>
    </w:p>
    <w:p>
      <w:pPr>
        <w:pStyle w:val="ListParagraph"/>
        <w:numPr>
          <w:ilvl w:val="0"/>
          <w:numId w:val="2"/>
        </w:numPr>
        <w:spacing w:after="70" w:line="264"/>
      </w:pPr>
      <w:r>
        <w:rPr>
          <w:color w:val="2D2D2D"/>
          <w:sz w:val="21"/>
          <w:szCs w:val="21"/>
        </w:rPr>
        <w:t xml:space="preserve">Spice level, serves count, maximum holding time, and locked pickup window.</w:t>
      </w:r>
    </w:p>
    <w:p>
      <w:pPr>
        <w:pStyle w:val="ListParagraph"/>
        <w:numPr>
          <w:ilvl w:val="0"/>
          <w:numId w:val="2"/>
        </w:numPr>
        <w:spacing w:after="70" w:line="264"/>
      </w:pPr>
      <w:r>
        <w:rPr>
          <w:color w:val="2D2D2D"/>
          <w:sz w:val="21"/>
          <w:szCs w:val="21"/>
        </w:rPr>
        <w:t xml:space="preserve">Minimum menu value (internal): “contains items valued ≥₹600 on our regular menu” — protects the value promise.</w:t>
      </w:r>
    </w:p>
    <w:p>
      <w:pPr>
        <w:pStyle w:val="Heading2"/>
        <w:spacing w:after="120" w:before="260"/>
      </w:pPr>
      <w:r>
        <w:t xml:space="preserve">9.2 Sell-through rate: the primary pilot KPI</w:t>
      </w:r>
    </w:p>
    <w:p>
      <w:pPr>
        <w:spacing w:after="120" w:before="0" w:line="276"/>
      </w:pPr>
      <w:r>
        <w:rPr>
          <w:color w:val="2D2D2D"/>
          <w:sz w:val="21"/>
          <w:szCs w:val="21"/>
        </w:rPr>
        <w:t xml:space="preserve">Sell-through is more important than GMV or user count at pilot stage. A 75%+ partner stays, refers others, and accepts commission increases. A sub-50% partner churns in 60 days — and tells their network the platform doesn’t work.</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400"/>
        <w:gridCol w:w="3480"/>
        <w:gridCol w:w="3480"/>
      </w:tblGrid>
      <w:tr>
        <w:trPr>
          <w:tblHeader/>
        </w:trPr>
        <w:tc>
          <w:tcPr>
            <w:tcW w:type="dxa" w:w="240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Sell-through</w:t>
            </w:r>
          </w:p>
        </w:tc>
        <w:tc>
          <w:tcPr>
            <w:tcW w:type="dxa" w:w="348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Signal</w:t>
            </w:r>
          </w:p>
        </w:tc>
        <w:tc>
          <w:tcPr>
            <w:tcW w:type="dxa" w:w="348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Action</w:t>
            </w:r>
          </w:p>
        </w:tc>
      </w:tr>
      <w:tr>
        <w:tc>
          <w:tcPr>
            <w:tcW w:type="dxa" w:w="2400"/>
            <w:shd w:fill="F5F5F5" w:color="auto" w:val="clear"/>
            <w:tcMar>
              <w:top w:type="dxa" w:w="60"/>
              <w:left w:type="dxa" w:w="110"/>
              <w:bottom w:type="dxa" w:w="60"/>
              <w:right w:type="dxa" w:w="110"/>
            </w:tcMar>
            <w:vAlign w:val="center"/>
          </w:tcPr>
          <w:p>
            <w:pPr>
              <w:spacing w:after="0" w:line="250"/>
            </w:pPr>
            <w:r>
              <w:rPr>
                <w:color w:val="2D2D2D"/>
                <w:sz w:val="19"/>
                <w:szCs w:val="19"/>
              </w:rPr>
              <w:t xml:space="preserve">&gt;75%</w:t>
            </w:r>
          </w:p>
        </w:tc>
        <w:tc>
          <w:tcPr>
            <w:tcW w:type="dxa" w:w="3480"/>
            <w:shd w:fill="F5F5F5" w:color="auto" w:val="clear"/>
            <w:tcMar>
              <w:top w:type="dxa" w:w="60"/>
              <w:left w:type="dxa" w:w="110"/>
              <w:bottom w:type="dxa" w:w="60"/>
              <w:right w:type="dxa" w:w="110"/>
            </w:tcMar>
            <w:vAlign w:val="center"/>
          </w:tcPr>
          <w:p>
            <w:pPr>
              <w:spacing w:after="0" w:line="250"/>
            </w:pPr>
            <w:r>
              <w:rPr>
                <w:color w:val="2D2D2D"/>
                <w:sz w:val="19"/>
                <w:szCs w:val="19"/>
              </w:rPr>
              <w:t xml:space="preserve">Healthy</w:t>
            </w:r>
          </w:p>
        </w:tc>
        <w:tc>
          <w:tcPr>
            <w:tcW w:type="dxa" w:w="3480"/>
            <w:shd w:fill="F5F5F5" w:color="auto" w:val="clear"/>
            <w:tcMar>
              <w:top w:type="dxa" w:w="60"/>
              <w:left w:type="dxa" w:w="110"/>
              <w:bottom w:type="dxa" w:w="60"/>
              <w:right w:type="dxa" w:w="110"/>
            </w:tcMar>
            <w:vAlign w:val="center"/>
          </w:tcPr>
          <w:p>
            <w:pPr>
              <w:spacing w:after="0" w:line="250"/>
            </w:pPr>
            <w:r>
              <w:rPr>
                <w:color w:val="2D2D2D"/>
                <w:sz w:val="19"/>
                <w:szCs w:val="19"/>
              </w:rPr>
              <w:t xml:space="preserve">Publish as case study; recruit next restaurant</w:t>
            </w:r>
          </w:p>
        </w:tc>
      </w:tr>
      <w:tr>
        <w:tc>
          <w:tcPr>
            <w:tcW w:type="dxa" w:w="2400"/>
            <w:shd w:fill="FFFFFF" w:color="auto" w:val="clear"/>
            <w:tcMar>
              <w:top w:type="dxa" w:w="60"/>
              <w:left w:type="dxa" w:w="110"/>
              <w:bottom w:type="dxa" w:w="60"/>
              <w:right w:type="dxa" w:w="110"/>
            </w:tcMar>
            <w:vAlign w:val="center"/>
          </w:tcPr>
          <w:p>
            <w:pPr>
              <w:spacing w:after="0" w:line="250"/>
            </w:pPr>
            <w:r>
              <w:rPr>
                <w:color w:val="2D2D2D"/>
                <w:sz w:val="19"/>
                <w:szCs w:val="19"/>
              </w:rPr>
              <w:t xml:space="preserve">60–75%</w:t>
            </w:r>
          </w:p>
        </w:tc>
        <w:tc>
          <w:tcPr>
            <w:tcW w:type="dxa" w:w="3480"/>
            <w:shd w:fill="FFFFFF" w:color="auto" w:val="clear"/>
            <w:tcMar>
              <w:top w:type="dxa" w:w="60"/>
              <w:left w:type="dxa" w:w="110"/>
              <w:bottom w:type="dxa" w:w="60"/>
              <w:right w:type="dxa" w:w="110"/>
            </w:tcMar>
            <w:vAlign w:val="center"/>
          </w:tcPr>
          <w:p>
            <w:pPr>
              <w:spacing w:after="0" w:line="250"/>
            </w:pPr>
            <w:r>
              <w:rPr>
                <w:color w:val="2D2D2D"/>
                <w:sz w:val="19"/>
                <w:szCs w:val="19"/>
              </w:rPr>
              <w:t xml:space="preserve">Acceptable</w:t>
            </w:r>
          </w:p>
        </w:tc>
        <w:tc>
          <w:tcPr>
            <w:tcW w:type="dxa" w:w="3480"/>
            <w:shd w:fill="FFFFFF" w:color="auto" w:val="clear"/>
            <w:tcMar>
              <w:top w:type="dxa" w:w="60"/>
              <w:left w:type="dxa" w:w="110"/>
              <w:bottom w:type="dxa" w:w="60"/>
              <w:right w:type="dxa" w:w="110"/>
            </w:tcMar>
            <w:vAlign w:val="center"/>
          </w:tcPr>
          <w:p>
            <w:pPr>
              <w:spacing w:after="0" w:line="250"/>
            </w:pPr>
            <w:r>
              <w:rPr>
                <w:color w:val="2D2D2D"/>
                <w:sz w:val="19"/>
                <w:szCs w:val="19"/>
              </w:rPr>
              <w:t xml:space="preserve">Review pricing, timing, neighbourhood demand</w:t>
            </w:r>
          </w:p>
        </w:tc>
      </w:tr>
      <w:tr>
        <w:tc>
          <w:tcPr>
            <w:tcW w:type="dxa" w:w="2400"/>
            <w:shd w:fill="F5F5F5" w:color="auto" w:val="clear"/>
            <w:tcMar>
              <w:top w:type="dxa" w:w="60"/>
              <w:left w:type="dxa" w:w="110"/>
              <w:bottom w:type="dxa" w:w="60"/>
              <w:right w:type="dxa" w:w="110"/>
            </w:tcMar>
            <w:vAlign w:val="center"/>
          </w:tcPr>
          <w:p>
            <w:pPr>
              <w:spacing w:after="0" w:line="250"/>
            </w:pPr>
            <w:r>
              <w:rPr>
                <w:color w:val="2D2D2D"/>
                <w:sz w:val="19"/>
                <w:szCs w:val="19"/>
              </w:rPr>
              <w:t xml:space="preserve">40–60%</w:t>
            </w:r>
          </w:p>
        </w:tc>
        <w:tc>
          <w:tcPr>
            <w:tcW w:type="dxa" w:w="3480"/>
            <w:shd w:fill="F5F5F5" w:color="auto" w:val="clear"/>
            <w:tcMar>
              <w:top w:type="dxa" w:w="60"/>
              <w:left w:type="dxa" w:w="110"/>
              <w:bottom w:type="dxa" w:w="60"/>
              <w:right w:type="dxa" w:w="110"/>
            </w:tcMar>
            <w:vAlign w:val="center"/>
          </w:tcPr>
          <w:p>
            <w:pPr>
              <w:spacing w:after="0" w:line="250"/>
            </w:pPr>
            <w:r>
              <w:rPr>
                <w:color w:val="2D2D2D"/>
                <w:sz w:val="19"/>
                <w:szCs w:val="19"/>
              </w:rPr>
              <w:t xml:space="preserve">Warning</w:t>
            </w:r>
          </w:p>
        </w:tc>
        <w:tc>
          <w:tcPr>
            <w:tcW w:type="dxa" w:w="3480"/>
            <w:shd w:fill="F5F5F5" w:color="auto" w:val="clear"/>
            <w:tcMar>
              <w:top w:type="dxa" w:w="60"/>
              <w:left w:type="dxa" w:w="110"/>
              <w:bottom w:type="dxa" w:w="60"/>
              <w:right w:type="dxa" w:w="110"/>
            </w:tcMar>
            <w:vAlign w:val="center"/>
          </w:tcPr>
          <w:p>
            <w:pPr>
              <w:spacing w:after="0" w:line="250"/>
            </w:pPr>
            <w:r>
              <w:rPr>
                <w:color w:val="2D2D2D"/>
                <w:sz w:val="19"/>
                <w:szCs w:val="19"/>
              </w:rPr>
              <w:t xml:space="preserve">Reduce bag count; redesign listing &amp; timing</w:t>
            </w:r>
          </w:p>
        </w:tc>
      </w:tr>
      <w:tr>
        <w:tc>
          <w:tcPr>
            <w:tcW w:type="dxa" w:w="2400"/>
            <w:shd w:fill="FFFFFF" w:color="auto" w:val="clear"/>
            <w:tcMar>
              <w:top w:type="dxa" w:w="60"/>
              <w:left w:type="dxa" w:w="110"/>
              <w:bottom w:type="dxa" w:w="60"/>
              <w:right w:type="dxa" w:w="110"/>
            </w:tcMar>
            <w:vAlign w:val="center"/>
          </w:tcPr>
          <w:p>
            <w:pPr>
              <w:spacing w:after="0" w:line="250"/>
            </w:pPr>
            <w:r>
              <w:rPr>
                <w:color w:val="2D2D2D"/>
                <w:sz w:val="19"/>
                <w:szCs w:val="19"/>
              </w:rPr>
              <w:t xml:space="preserve">&lt;40%</w:t>
            </w:r>
          </w:p>
        </w:tc>
        <w:tc>
          <w:tcPr>
            <w:tcW w:type="dxa" w:w="3480"/>
            <w:shd w:fill="FFFFFF" w:color="auto" w:val="clear"/>
            <w:tcMar>
              <w:top w:type="dxa" w:w="60"/>
              <w:left w:type="dxa" w:w="110"/>
              <w:bottom w:type="dxa" w:w="60"/>
              <w:right w:type="dxa" w:w="110"/>
            </w:tcMar>
            <w:vAlign w:val="center"/>
          </w:tcPr>
          <w:p>
            <w:pPr>
              <w:spacing w:after="0" w:line="250"/>
            </w:pPr>
            <w:r>
              <w:rPr>
                <w:color w:val="2D2D2D"/>
                <w:sz w:val="19"/>
                <w:szCs w:val="19"/>
              </w:rPr>
              <w:t xml:space="preserve">Critical — churn risk</w:t>
            </w:r>
          </w:p>
        </w:tc>
        <w:tc>
          <w:tcPr>
            <w:tcW w:type="dxa" w:w="3480"/>
            <w:shd w:fill="FFFFFF" w:color="auto" w:val="clear"/>
            <w:tcMar>
              <w:top w:type="dxa" w:w="60"/>
              <w:left w:type="dxa" w:w="110"/>
              <w:bottom w:type="dxa" w:w="60"/>
              <w:right w:type="dxa" w:w="110"/>
            </w:tcMar>
            <w:vAlign w:val="center"/>
          </w:tcPr>
          <w:p>
            <w:pPr>
              <w:spacing w:after="0" w:line="250"/>
            </w:pPr>
            <w:r>
              <w:rPr>
                <w:color w:val="2D2D2D"/>
                <w:sz w:val="19"/>
                <w:szCs w:val="19"/>
              </w:rPr>
              <w:t xml:space="preserve">Pause; meet owner; redesign composition &amp; price</w:t>
            </w:r>
          </w:p>
        </w:tc>
      </w:tr>
    </w:tbl>
    <w:p>
      <w:pPr>
        <w:pStyle w:val="Heading2"/>
        <w:spacing w:after="120" w:before="260"/>
      </w:pPr>
      <w:r>
        <w:t xml:space="preserve">9.3 Operational safety appendix (per city, per restaurant)</w:t>
      </w:r>
    </w:p>
    <w:p>
      <w:pPr>
        <w:pStyle w:val="ListParagraph"/>
        <w:numPr>
          <w:ilvl w:val="0"/>
          <w:numId w:val="2"/>
        </w:numPr>
        <w:spacing w:after="70" w:line="264"/>
      </w:pPr>
      <w:r>
        <w:rPr>
          <w:color w:val="2D2D2D"/>
          <w:sz w:val="21"/>
          <w:szCs w:val="21"/>
        </w:rPr>
        <w:t xml:space="preserve">Listing by 4 PM; pickups 6–8 PM. Quality cutoffs: hot food ≤3h prep-to-pickup; cold/pastry ≤6h; raw salads ≤1h.</w:t>
      </w:r>
    </w:p>
    <w:p>
      <w:pPr>
        <w:pStyle w:val="ListParagraph"/>
        <w:numPr>
          <w:ilvl w:val="0"/>
          <w:numId w:val="2"/>
        </w:numPr>
        <w:spacing w:after="70" w:line="264"/>
      </w:pPr>
      <w:r>
        <w:rPr>
          <w:color w:val="2D2D2D"/>
          <w:sz w:val="21"/>
          <w:szCs w:val="21"/>
        </w:rPr>
        <w:t xml:space="preserve">Packaging: tamper-evident seal; restaurant name + date + time label; allergen sticker; QR insert (the Plenti trust playbook).</w:t>
      </w:r>
    </w:p>
    <w:p>
      <w:pPr>
        <w:pStyle w:val="ListParagraph"/>
        <w:numPr>
          <w:ilvl w:val="0"/>
          <w:numId w:val="2"/>
        </w:numPr>
        <w:spacing w:after="70" w:line="264"/>
      </w:pPr>
      <w:r>
        <w:rPr>
          <w:color w:val="2D2D2D"/>
          <w:sz w:val="21"/>
          <w:szCs w:val="21"/>
        </w:rPr>
        <w:t xml:space="preserve">Pickup verification: OTP or name check by staff before release — no self-service.</w:t>
      </w:r>
    </w:p>
    <w:p>
      <w:pPr>
        <w:pStyle w:val="ListParagraph"/>
        <w:numPr>
          <w:ilvl w:val="0"/>
          <w:numId w:val="2"/>
        </w:numPr>
        <w:spacing w:after="70" w:line="264"/>
      </w:pPr>
      <w:r>
        <w:rPr>
          <w:color w:val="2D2D2D"/>
          <w:sz w:val="21"/>
          <w:szCs w:val="21"/>
        </w:rPr>
        <w:t xml:space="preserve">Refund triggers: wrong dietary category, missing order, packaging breach, pickup not honoured — full refund, no questions.</w:t>
      </w:r>
    </w:p>
    <w:p>
      <w:pPr>
        <w:pStyle w:val="ListParagraph"/>
        <w:numPr>
          <w:ilvl w:val="0"/>
          <w:numId w:val="2"/>
        </w:numPr>
        <w:spacing w:after="70" w:line="264"/>
      </w:pPr>
      <w:r>
        <w:rPr>
          <w:color w:val="2D2D2D"/>
          <w:sz w:val="21"/>
          <w:szCs w:val="21"/>
        </w:rPr>
        <w:t xml:space="preserve">Daily closure: unsold bags disposed at close; no next-day carryover; logged. Food complaint → immediate bag pull, photo documentation, 48-hour investigation SLA, founder escalation within 2 hours.</w:t>
      </w:r>
    </w:p>
    <w:p>
      <w:pPr>
        <w:pStyle w:val="Heading1"/>
        <w:spacing w:after="160" w:before="360"/>
      </w:pPr>
      <w:r>
        <w:t xml:space="preserve">Part X — Go-To-Market</w:t>
      </w:r>
    </w:p>
    <w:p>
      <w:pPr>
        <w:pStyle w:val="Heading2"/>
        <w:spacing w:after="120" w:before="260"/>
      </w:pPr>
      <w:r>
        <w:t xml:space="preserve">10.1 Pilot city: Hyderabad</w:t>
      </w:r>
    </w:p>
    <w:p>
      <w:pPr>
        <w:pStyle w:val="ListParagraph"/>
        <w:numPr>
          <w:ilvl w:val="0"/>
          <w:numId w:val="2"/>
        </w:numPr>
        <w:spacing w:after="70" w:line="264"/>
      </w:pPr>
      <w:r>
        <w:rPr>
          <w:color w:val="2D2D2D"/>
          <w:sz w:val="21"/>
          <w:szCs w:val="21"/>
        </w:rPr>
        <w:t xml:space="preserve">2,000+ mid-high restaurants; Banjara Hills / Jubilee Hills alone have 150+ premium options within 5km — density first.</w:t>
      </w:r>
    </w:p>
    <w:p>
      <w:pPr>
        <w:pStyle w:val="ListParagraph"/>
        <w:numPr>
          <w:ilvl w:val="0"/>
          <w:numId w:val="2"/>
        </w:numPr>
        <w:spacing w:after="70" w:line="264"/>
      </w:pPr>
      <w:r>
        <w:rPr>
          <w:color w:val="2D2D2D"/>
          <w:sz w:val="21"/>
          <w:szCs w:val="21"/>
        </w:rPr>
        <w:t xml:space="preserve">HITEC City IT corridor: large digital-native, aspirational user base; 8.5M metro, 40%+ aspirational middle class.</w:t>
      </w:r>
    </w:p>
    <w:p>
      <w:pPr>
        <w:pStyle w:val="ListParagraph"/>
        <w:numPr>
          <w:ilvl w:val="0"/>
          <w:numId w:val="2"/>
        </w:numPr>
        <w:spacing w:after="70" w:line="264"/>
      </w:pPr>
      <w:r>
        <w:rPr>
          <w:color w:val="2D2D2D"/>
          <w:sz w:val="21"/>
          <w:szCs w:val="21"/>
        </w:rPr>
        <w:t xml:space="preserve">Lower aggregator lock-in than Mumbai/Bengaluru; strong Hyderabadi food pride for organic buzz; founder’s family network for trust-based restaurant acquisition.</w:t>
      </w:r>
    </w:p>
    <w:p>
      <w:pPr>
        <w:pStyle w:val="Heading2"/>
        <w:spacing w:after="120" w:before="260"/>
      </w:pPr>
      <w:r>
        <w:t xml:space="preserve">10.2 Restaurant acquisition playbook — first 10</w:t>
      </w:r>
    </w:p>
    <w:p>
      <w:pPr>
        <w:pStyle w:val="ListParagraph"/>
        <w:numPr>
          <w:ilvl w:val="0"/>
          <w:numId w:val="3"/>
        </w:numPr>
        <w:spacing w:after="70" w:line="264"/>
      </w:pPr>
      <w:r>
        <w:rPr>
          <w:color w:val="2D2D2D"/>
          <w:sz w:val="21"/>
          <w:szCs w:val="21"/>
        </w:rPr>
        <w:t xml:space="preserve">Segment: mid-high restaurants in Banjara Hills / Jubilee Hills / Kondapur — not legacy fine dining or fast food.</w:t>
      </w:r>
    </w:p>
    <w:p>
      <w:pPr>
        <w:pStyle w:val="ListParagraph"/>
        <w:numPr>
          <w:ilvl w:val="0"/>
          <w:numId w:val="3"/>
        </w:numPr>
        <w:spacing w:after="70" w:line="264"/>
      </w:pPr>
      <w:r>
        <w:rPr>
          <w:color w:val="2D2D2D"/>
          <w:sz w:val="21"/>
          <w:szCs w:val="21"/>
        </w:rPr>
        <w:t xml:space="preserve">Identify: 4.0+ rating, 100+ reviews, no active public discounts. Research by visiting as a customer first.</w:t>
      </w:r>
    </w:p>
    <w:p>
      <w:pPr>
        <w:pStyle w:val="ListParagraph"/>
        <w:numPr>
          <w:ilvl w:val="0"/>
          <w:numId w:val="3"/>
        </w:numPr>
        <w:spacing w:after="70" w:line="264"/>
      </w:pPr>
      <w:r>
        <w:rPr>
          <w:color w:val="2D2D2D"/>
          <w:sz w:val="21"/>
          <w:szCs w:val="21"/>
        </w:rPr>
        <w:t xml:space="preserve">Outreach: personal visit to owner/manager with a 2-page one-pager and one sample BAM Bag (acquisition framing, never “surplus”).</w:t>
      </w:r>
    </w:p>
    <w:p>
      <w:pPr>
        <w:pStyle w:val="ListParagraph"/>
        <w:numPr>
          <w:ilvl w:val="0"/>
          <w:numId w:val="3"/>
        </w:numPr>
        <w:spacing w:after="70" w:line="264"/>
      </w:pPr>
      <w:r>
        <w:rPr>
          <w:color w:val="2D2D2D"/>
          <w:sz w:val="21"/>
          <w:szCs w:val="21"/>
        </w:rPr>
        <w:t xml:space="preserve">Offer: first 30 days zero commission — restaurant keeps all revenue; onboard with Bag Composition Matrix + 15-min counter training.</w:t>
      </w:r>
    </w:p>
    <w:p>
      <w:pPr>
        <w:pStyle w:val="ListParagraph"/>
        <w:numPr>
          <w:ilvl w:val="0"/>
          <w:numId w:val="3"/>
        </w:numPr>
        <w:spacing w:after="70" w:line="264"/>
      </w:pPr>
      <w:r>
        <w:rPr>
          <w:color w:val="2D2D2D"/>
          <w:sz w:val="21"/>
          <w:szCs w:val="21"/>
        </w:rPr>
        <w:t xml:space="preserve">Report weekly: sell-through %, attach rate, first-time diners, repeat visits — proactively within 7 days.</w:t>
      </w:r>
    </w:p>
    <w:p>
      <w:pPr>
        <w:pStyle w:val="ListParagraph"/>
        <w:numPr>
          <w:ilvl w:val="0"/>
          <w:numId w:val="3"/>
        </w:numPr>
        <w:spacing w:after="70" w:line="264"/>
      </w:pPr>
      <w:r>
        <w:rPr>
          <w:color w:val="2D2D2D"/>
          <w:sz w:val="21"/>
          <w:szCs w:val="21"/>
        </w:rPr>
        <w:t xml:space="preserve">Convert: after 30 days present case-study data; sign LOI at 12%; ask for a referral to the next restaurant.</w:t>
      </w:r>
    </w:p>
    <w:p>
      <w:pPr>
        <w:pStyle w:val="Heading2"/>
        <w:spacing w:after="120" w:before="260"/>
      </w:pPr>
      <w:r>
        <w:t xml:space="preserve">10.3 Consumer acquisition (zero / low budget)</w:t>
      </w:r>
    </w:p>
    <w:p>
      <w:pPr>
        <w:pStyle w:val="ListParagraph"/>
        <w:numPr>
          <w:ilvl w:val="0"/>
          <w:numId w:val="2"/>
        </w:numPr>
        <w:spacing w:after="70" w:line="264"/>
      </w:pPr>
      <w:r>
        <w:rPr>
          <w:color w:val="2D2D2D"/>
          <w:sz w:val="21"/>
          <w:szCs w:val="21"/>
        </w:rPr>
        <w:t xml:space="preserve">Seed 10 Hyderabad food WhatsApp groups + Insider list; 10 micro-influencers (10K–100K) for a free bag + priority access.</w:t>
      </w:r>
    </w:p>
    <w:p>
      <w:pPr>
        <w:pStyle w:val="ListParagraph"/>
        <w:numPr>
          <w:ilvl w:val="0"/>
          <w:numId w:val="2"/>
        </w:numPr>
        <w:spacing w:after="70" w:line="264"/>
      </w:pPr>
      <w:r>
        <w:rPr>
          <w:color w:val="2D2D2D"/>
          <w:sz w:val="21"/>
          <w:szCs w:val="21"/>
        </w:rPr>
        <w:t xml:space="preserve">Founder LinkedIn posts on the restaurant-CAC problem; campus ambassadors at BITS / IIT-H / IIIT-H; HITEC City office-coordinator Friday-lunch trials.</w:t>
      </w:r>
    </w:p>
    <w:p>
      <w:pPr>
        <w:pStyle w:val="ListParagraph"/>
        <w:numPr>
          <w:ilvl w:val="0"/>
          <w:numId w:val="2"/>
        </w:numPr>
        <w:spacing w:after="70" w:line="264"/>
      </w:pPr>
      <w:r>
        <w:rPr>
          <w:color w:val="2D2D2D"/>
          <w:sz w:val="21"/>
          <w:szCs w:val="21"/>
        </w:rPr>
        <w:t xml:space="preserve">Referral loop from Day 1: refer 3 friends → 1 free BAM Bag (targets ~3× viral coefficient). PR to Deccan Chronicle / TOI-HYD / YourStory.</w:t>
      </w:r>
    </w:p>
    <w:p>
      <w:pPr>
        <w:pStyle w:val="Heading2"/>
        <w:spacing w:after="120" w:before="260"/>
      </w:pPr>
      <w:r>
        <w:t xml:space="preserve">10.4 City expansion</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1700"/>
        <w:gridCol w:w="3460"/>
        <w:gridCol w:w="2000"/>
      </w:tblGrid>
      <w:tr>
        <w:trPr>
          <w:tblHeader/>
        </w:trPr>
        <w:tc>
          <w:tcPr>
            <w:tcW w:type="dxa" w:w="220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City</w:t>
            </w:r>
          </w:p>
        </w:tc>
        <w:tc>
          <w:tcPr>
            <w:tcW w:type="dxa" w:w="170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Launch</w:t>
            </w:r>
          </w:p>
        </w:tc>
        <w:tc>
          <w:tcPr>
            <w:tcW w:type="dxa" w:w="346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Strategy</w:t>
            </w:r>
          </w:p>
        </w:tc>
        <w:tc>
          <w:tcPr>
            <w:tcW w:type="dxa" w:w="200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M18 GMV</w:t>
            </w:r>
          </w:p>
        </w:tc>
      </w:tr>
      <w:tr>
        <w:tc>
          <w:tcPr>
            <w:tcW w:type="dxa" w:w="2200"/>
            <w:shd w:fill="F5F5F5" w:color="auto" w:val="clear"/>
            <w:tcMar>
              <w:top w:type="dxa" w:w="60"/>
              <w:left w:type="dxa" w:w="110"/>
              <w:bottom w:type="dxa" w:w="60"/>
              <w:right w:type="dxa" w:w="110"/>
            </w:tcMar>
            <w:vAlign w:val="center"/>
          </w:tcPr>
          <w:p>
            <w:pPr>
              <w:spacing w:after="0" w:line="250"/>
            </w:pPr>
            <w:r>
              <w:rPr>
                <w:color w:val="2D2D2D"/>
                <w:sz w:val="19"/>
                <w:szCs w:val="19"/>
              </w:rPr>
              <w:t xml:space="preserve">Hyderabad (pilot)</w:t>
            </w:r>
          </w:p>
        </w:tc>
        <w:tc>
          <w:tcPr>
            <w:tcW w:type="dxa" w:w="1700"/>
            <w:shd w:fill="F5F5F5" w:color="auto" w:val="clear"/>
            <w:tcMar>
              <w:top w:type="dxa" w:w="60"/>
              <w:left w:type="dxa" w:w="110"/>
              <w:bottom w:type="dxa" w:w="60"/>
              <w:right w:type="dxa" w:w="110"/>
            </w:tcMar>
            <w:vAlign w:val="center"/>
          </w:tcPr>
          <w:p>
            <w:pPr>
              <w:spacing w:after="0" w:line="250"/>
            </w:pPr>
            <w:r>
              <w:rPr>
                <w:color w:val="2D2D2D"/>
                <w:sz w:val="19"/>
                <w:szCs w:val="19"/>
              </w:rPr>
              <w:t xml:space="preserve">M1–M5</w:t>
            </w:r>
          </w:p>
        </w:tc>
        <w:tc>
          <w:tcPr>
            <w:tcW w:type="dxa" w:w="3460"/>
            <w:shd w:fill="F5F5F5" w:color="auto" w:val="clear"/>
            <w:tcMar>
              <w:top w:type="dxa" w:w="60"/>
              <w:left w:type="dxa" w:w="110"/>
              <w:bottom w:type="dxa" w:w="60"/>
              <w:right w:type="dxa" w:w="110"/>
            </w:tcMar>
            <w:vAlign w:val="center"/>
          </w:tcPr>
          <w:p>
            <w:pPr>
              <w:spacing w:after="0" w:line="250"/>
            </w:pPr>
            <w:r>
              <w:rPr>
                <w:color w:val="2D2D2D"/>
                <w:sz w:val="19"/>
                <w:szCs w:val="19"/>
              </w:rPr>
              <w:t xml:space="preserve">Founder-led sales; WhatsApp-first distribution</w:t>
            </w:r>
          </w:p>
        </w:tc>
        <w:tc>
          <w:tcPr>
            <w:tcW w:type="dxa" w:w="2000"/>
            <w:shd w:fill="F5F5F5" w:color="auto" w:val="clear"/>
            <w:tcMar>
              <w:top w:type="dxa" w:w="60"/>
              <w:left w:type="dxa" w:w="110"/>
              <w:bottom w:type="dxa" w:w="60"/>
              <w:right w:type="dxa" w:w="110"/>
            </w:tcMar>
            <w:vAlign w:val="center"/>
          </w:tcPr>
          <w:p>
            <w:pPr>
              <w:spacing w:after="0" w:line="250"/>
            </w:pPr>
            <w:r>
              <w:rPr>
                <w:color w:val="2D2D2D"/>
                <w:sz w:val="19"/>
                <w:szCs w:val="19"/>
              </w:rPr>
              <w:t xml:space="preserve">₹45L/mo</w:t>
            </w:r>
          </w:p>
        </w:tc>
      </w:tr>
      <w:tr>
        <w:tc>
          <w:tcPr>
            <w:tcW w:type="dxa" w:w="2200"/>
            <w:shd w:fill="FFFFFF" w:color="auto" w:val="clear"/>
            <w:tcMar>
              <w:top w:type="dxa" w:w="60"/>
              <w:left w:type="dxa" w:w="110"/>
              <w:bottom w:type="dxa" w:w="60"/>
              <w:right w:type="dxa" w:w="110"/>
            </w:tcMar>
            <w:vAlign w:val="center"/>
          </w:tcPr>
          <w:p>
            <w:pPr>
              <w:spacing w:after="0" w:line="250"/>
            </w:pPr>
            <w:r>
              <w:rPr>
                <w:color w:val="2D2D2D"/>
                <w:sz w:val="19"/>
                <w:szCs w:val="19"/>
              </w:rPr>
              <w:t xml:space="preserve">Pune</w:t>
            </w:r>
          </w:p>
        </w:tc>
        <w:tc>
          <w:tcPr>
            <w:tcW w:type="dxa" w:w="1700"/>
            <w:shd w:fill="FFFFFF" w:color="auto" w:val="clear"/>
            <w:tcMar>
              <w:top w:type="dxa" w:w="60"/>
              <w:left w:type="dxa" w:w="110"/>
              <w:bottom w:type="dxa" w:w="60"/>
              <w:right w:type="dxa" w:w="110"/>
            </w:tcMar>
            <w:vAlign w:val="center"/>
          </w:tcPr>
          <w:p>
            <w:pPr>
              <w:spacing w:after="0" w:line="250"/>
            </w:pPr>
            <w:r>
              <w:rPr>
                <w:color w:val="2D2D2D"/>
                <w:sz w:val="19"/>
                <w:szCs w:val="19"/>
              </w:rPr>
              <w:t xml:space="preserve">M6</w:t>
            </w:r>
          </w:p>
        </w:tc>
        <w:tc>
          <w:tcPr>
            <w:tcW w:type="dxa" w:w="3460"/>
            <w:shd w:fill="FFFFFF" w:color="auto" w:val="clear"/>
            <w:tcMar>
              <w:top w:type="dxa" w:w="60"/>
              <w:left w:type="dxa" w:w="110"/>
              <w:bottom w:type="dxa" w:w="60"/>
              <w:right w:type="dxa" w:w="110"/>
            </w:tcMar>
            <w:vAlign w:val="center"/>
          </w:tcPr>
          <w:p>
            <w:pPr>
              <w:spacing w:after="0" w:line="250"/>
            </w:pPr>
            <w:r>
              <w:rPr>
                <w:color w:val="2D2D2D"/>
                <w:sz w:val="19"/>
                <w:szCs w:val="19"/>
              </w:rPr>
              <w:t xml:space="preserve">City lead + T-Hub / startup community intros</w:t>
            </w:r>
          </w:p>
        </w:tc>
        <w:tc>
          <w:tcPr>
            <w:tcW w:type="dxa" w:w="2000"/>
            <w:shd w:fill="FFFFFF" w:color="auto" w:val="clear"/>
            <w:tcMar>
              <w:top w:type="dxa" w:w="60"/>
              <w:left w:type="dxa" w:w="110"/>
              <w:bottom w:type="dxa" w:w="60"/>
              <w:right w:type="dxa" w:w="110"/>
            </w:tcMar>
            <w:vAlign w:val="center"/>
          </w:tcPr>
          <w:p>
            <w:pPr>
              <w:spacing w:after="0" w:line="250"/>
            </w:pPr>
            <w:r>
              <w:rPr>
                <w:color w:val="2D2D2D"/>
                <w:sz w:val="19"/>
                <w:szCs w:val="19"/>
              </w:rPr>
              <w:t xml:space="preserve">₹35L/mo</w:t>
            </w:r>
          </w:p>
        </w:tc>
      </w:tr>
      <w:tr>
        <w:tc>
          <w:tcPr>
            <w:tcW w:type="dxa" w:w="2200"/>
            <w:shd w:fill="F5F5F5" w:color="auto" w:val="clear"/>
            <w:tcMar>
              <w:top w:type="dxa" w:w="60"/>
              <w:left w:type="dxa" w:w="110"/>
              <w:bottom w:type="dxa" w:w="60"/>
              <w:right w:type="dxa" w:w="110"/>
            </w:tcMar>
            <w:vAlign w:val="center"/>
          </w:tcPr>
          <w:p>
            <w:pPr>
              <w:spacing w:after="0" w:line="250"/>
            </w:pPr>
            <w:r>
              <w:rPr>
                <w:color w:val="2D2D2D"/>
                <w:sz w:val="19"/>
                <w:szCs w:val="19"/>
              </w:rPr>
              <w:t xml:space="preserve">Bengaluru</w:t>
            </w:r>
          </w:p>
        </w:tc>
        <w:tc>
          <w:tcPr>
            <w:tcW w:type="dxa" w:w="1700"/>
            <w:shd w:fill="F5F5F5" w:color="auto" w:val="clear"/>
            <w:tcMar>
              <w:top w:type="dxa" w:w="60"/>
              <w:left w:type="dxa" w:w="110"/>
              <w:bottom w:type="dxa" w:w="60"/>
              <w:right w:type="dxa" w:w="110"/>
            </w:tcMar>
            <w:vAlign w:val="center"/>
          </w:tcPr>
          <w:p>
            <w:pPr>
              <w:spacing w:after="0" w:line="250"/>
            </w:pPr>
            <w:r>
              <w:rPr>
                <w:color w:val="2D2D2D"/>
                <w:sz w:val="19"/>
                <w:szCs w:val="19"/>
              </w:rPr>
              <w:t xml:space="preserve">M9</w:t>
            </w:r>
          </w:p>
        </w:tc>
        <w:tc>
          <w:tcPr>
            <w:tcW w:type="dxa" w:w="3460"/>
            <w:shd w:fill="F5F5F5" w:color="auto" w:val="clear"/>
            <w:tcMar>
              <w:top w:type="dxa" w:w="60"/>
              <w:left w:type="dxa" w:w="110"/>
              <w:bottom w:type="dxa" w:w="60"/>
              <w:right w:type="dxa" w:w="110"/>
            </w:tcMar>
            <w:vAlign w:val="center"/>
          </w:tcPr>
          <w:p>
            <w:pPr>
              <w:spacing w:after="0" w:line="250"/>
            </w:pPr>
            <w:r>
              <w:rPr>
                <w:color w:val="2D2D2D"/>
                <w:sz w:val="19"/>
                <w:szCs w:val="19"/>
              </w:rPr>
              <w:t xml:space="preserve">Aggregator-displaced restaurant channel + influencer launch</w:t>
            </w:r>
          </w:p>
        </w:tc>
        <w:tc>
          <w:tcPr>
            <w:tcW w:type="dxa" w:w="2000"/>
            <w:shd w:fill="F5F5F5" w:color="auto" w:val="clear"/>
            <w:tcMar>
              <w:top w:type="dxa" w:w="60"/>
              <w:left w:type="dxa" w:w="110"/>
              <w:bottom w:type="dxa" w:w="60"/>
              <w:right w:type="dxa" w:w="110"/>
            </w:tcMar>
            <w:vAlign w:val="center"/>
          </w:tcPr>
          <w:p>
            <w:pPr>
              <w:spacing w:after="0" w:line="250"/>
            </w:pPr>
            <w:r>
              <w:rPr>
                <w:color w:val="2D2D2D"/>
                <w:sz w:val="19"/>
                <w:szCs w:val="19"/>
              </w:rPr>
              <w:t xml:space="preserve">₹60L/mo</w:t>
            </w:r>
          </w:p>
        </w:tc>
      </w:tr>
      <w:tr>
        <w:tc>
          <w:tcPr>
            <w:tcW w:type="dxa" w:w="2200"/>
            <w:shd w:fill="FFFFFF" w:color="auto" w:val="clear"/>
            <w:tcMar>
              <w:top w:type="dxa" w:w="60"/>
              <w:left w:type="dxa" w:w="110"/>
              <w:bottom w:type="dxa" w:w="60"/>
              <w:right w:type="dxa" w:w="110"/>
            </w:tcMar>
            <w:vAlign w:val="center"/>
          </w:tcPr>
          <w:p>
            <w:pPr>
              <w:spacing w:after="0" w:line="250"/>
            </w:pPr>
            <w:r>
              <w:rPr>
                <w:color w:val="2D2D2D"/>
                <w:sz w:val="19"/>
                <w:szCs w:val="19"/>
              </w:rPr>
              <w:t xml:space="preserve">Mumbai</w:t>
            </w:r>
          </w:p>
        </w:tc>
        <w:tc>
          <w:tcPr>
            <w:tcW w:type="dxa" w:w="1700"/>
            <w:shd w:fill="FFFFFF" w:color="auto" w:val="clear"/>
            <w:tcMar>
              <w:top w:type="dxa" w:w="60"/>
              <w:left w:type="dxa" w:w="110"/>
              <w:bottom w:type="dxa" w:w="60"/>
              <w:right w:type="dxa" w:w="110"/>
            </w:tcMar>
            <w:vAlign w:val="center"/>
          </w:tcPr>
          <w:p>
            <w:pPr>
              <w:spacing w:after="0" w:line="250"/>
            </w:pPr>
            <w:r>
              <w:rPr>
                <w:color w:val="2D2D2D"/>
                <w:sz w:val="19"/>
                <w:szCs w:val="19"/>
              </w:rPr>
              <w:t xml:space="preserve">M14</w:t>
            </w:r>
          </w:p>
        </w:tc>
        <w:tc>
          <w:tcPr>
            <w:tcW w:type="dxa" w:w="3460"/>
            <w:shd w:fill="FFFFFF" w:color="auto" w:val="clear"/>
            <w:tcMar>
              <w:top w:type="dxa" w:w="60"/>
              <w:left w:type="dxa" w:w="110"/>
              <w:bottom w:type="dxa" w:w="60"/>
              <w:right w:type="dxa" w:w="110"/>
            </w:tcMar>
            <w:vAlign w:val="center"/>
          </w:tcPr>
          <w:p>
            <w:pPr>
              <w:spacing w:after="0" w:line="250"/>
            </w:pPr>
            <w:r>
              <w:rPr>
                <w:color w:val="2D2D2D"/>
                <w:sz w:val="19"/>
                <w:szCs w:val="19"/>
              </w:rPr>
              <w:t xml:space="preserve">Series-A funded; celebrity-chef BAM collaboration</w:t>
            </w:r>
          </w:p>
        </w:tc>
        <w:tc>
          <w:tcPr>
            <w:tcW w:type="dxa" w:w="2000"/>
            <w:shd w:fill="FFFFFF" w:color="auto" w:val="clear"/>
            <w:tcMar>
              <w:top w:type="dxa" w:w="60"/>
              <w:left w:type="dxa" w:w="110"/>
              <w:bottom w:type="dxa" w:w="60"/>
              <w:right w:type="dxa" w:w="110"/>
            </w:tcMar>
            <w:vAlign w:val="center"/>
          </w:tcPr>
          <w:p>
            <w:pPr>
              <w:spacing w:after="0" w:line="250"/>
            </w:pPr>
            <w:r>
              <w:rPr>
                <w:color w:val="2D2D2D"/>
                <w:sz w:val="19"/>
                <w:szCs w:val="19"/>
              </w:rPr>
              <w:t xml:space="preserve">₹1.2Cr/mo</w:t>
            </w:r>
          </w:p>
        </w:tc>
      </w:tr>
      <w:tr>
        <w:tc>
          <w:tcPr>
            <w:tcW w:type="dxa" w:w="2200"/>
            <w:shd w:fill="F5F5F5" w:color="auto" w:val="clear"/>
            <w:tcMar>
              <w:top w:type="dxa" w:w="60"/>
              <w:left w:type="dxa" w:w="110"/>
              <w:bottom w:type="dxa" w:w="60"/>
              <w:right w:type="dxa" w:w="110"/>
            </w:tcMar>
            <w:vAlign w:val="center"/>
          </w:tcPr>
          <w:p>
            <w:pPr>
              <w:spacing w:after="0" w:line="250"/>
            </w:pPr>
            <w:r>
              <w:rPr>
                <w:color w:val="2D2D2D"/>
                <w:sz w:val="19"/>
                <w:szCs w:val="19"/>
              </w:rPr>
              <w:t xml:space="preserve">Delhi NCR</w:t>
            </w:r>
          </w:p>
        </w:tc>
        <w:tc>
          <w:tcPr>
            <w:tcW w:type="dxa" w:w="1700"/>
            <w:shd w:fill="F5F5F5" w:color="auto" w:val="clear"/>
            <w:tcMar>
              <w:top w:type="dxa" w:w="60"/>
              <w:left w:type="dxa" w:w="110"/>
              <w:bottom w:type="dxa" w:w="60"/>
              <w:right w:type="dxa" w:w="110"/>
            </w:tcMar>
            <w:vAlign w:val="center"/>
          </w:tcPr>
          <w:p>
            <w:pPr>
              <w:spacing w:after="0" w:line="250"/>
            </w:pPr>
            <w:r>
              <w:rPr>
                <w:color w:val="2D2D2D"/>
                <w:sz w:val="19"/>
                <w:szCs w:val="19"/>
              </w:rPr>
              <w:t xml:space="preserve">M18</w:t>
            </w:r>
          </w:p>
        </w:tc>
        <w:tc>
          <w:tcPr>
            <w:tcW w:type="dxa" w:w="3460"/>
            <w:shd w:fill="F5F5F5" w:color="auto" w:val="clear"/>
            <w:tcMar>
              <w:top w:type="dxa" w:w="60"/>
              <w:left w:type="dxa" w:w="110"/>
              <w:bottom w:type="dxa" w:w="60"/>
              <w:right w:type="dxa" w:w="110"/>
            </w:tcMar>
            <w:vAlign w:val="center"/>
          </w:tcPr>
          <w:p>
            <w:pPr>
              <w:spacing w:after="0" w:line="250"/>
            </w:pPr>
            <w:r>
              <w:rPr>
                <w:color w:val="2D2D2D"/>
                <w:sz w:val="19"/>
                <w:szCs w:val="19"/>
              </w:rPr>
              <w:t xml:space="preserve">Full platform; ML recommendations; B2B corporate drops</w:t>
            </w:r>
          </w:p>
        </w:tc>
        <w:tc>
          <w:tcPr>
            <w:tcW w:type="dxa" w:w="2000"/>
            <w:shd w:fill="F5F5F5" w:color="auto" w:val="clear"/>
            <w:tcMar>
              <w:top w:type="dxa" w:w="60"/>
              <w:left w:type="dxa" w:w="110"/>
              <w:bottom w:type="dxa" w:w="60"/>
              <w:right w:type="dxa" w:w="110"/>
            </w:tcMar>
            <w:vAlign w:val="center"/>
          </w:tcPr>
          <w:p>
            <w:pPr>
              <w:spacing w:after="0" w:line="250"/>
            </w:pPr>
            <w:r>
              <w:rPr>
                <w:color w:val="2D2D2D"/>
                <w:sz w:val="19"/>
                <w:szCs w:val="19"/>
              </w:rPr>
              <w:t xml:space="preserve">₹80L/mo</w:t>
            </w:r>
          </w:p>
        </w:tc>
      </w:tr>
    </w:tbl>
    <w:p>
      <w:pPr>
        <w:pStyle w:val="Heading1"/>
        <w:spacing w:after="160" w:before="360"/>
      </w:pPr>
      <w:r>
        <w:t xml:space="preserve">Part XI — Investor Narrative &amp; the Unicorn Question</w:t>
      </w:r>
    </w:p>
    <w:p>
      <w:pPr>
        <w:pStyle w:val="Heading2"/>
        <w:spacing w:after="120" w:before="260"/>
      </w:pPr>
      <w:r>
        <w:t xml:space="preserve">11.1 The honest assessment</w:t>
      </w:r>
    </w:p>
    <w:p>
      <w:pPr>
        <w:spacing w:after="120" w:before="0" w:line="276"/>
      </w:pPr>
      <w:r>
        <w:rPr>
          <w:color w:val="2D2D2D"/>
          <w:sz w:val="21"/>
          <w:szCs w:val="21"/>
        </w:rPr>
        <w:t xml:space="preserve">A candid view, because investors will reach it themselves: a pure thin-margin B2C surplus app does not reach a $1B valuation in India. Ticket sizes are compressed — a 15% cut of a ₹349 bag is ~₹52 — so unicorn-scale revenue would need millions of daily transactions. The credible path to a billion dollars is an ecosystem / data play, not micro-commissions. This is exactly the path OLIO and Too Good To Go took to stability.</w:t>
      </w:r>
    </w:p>
    <w:p>
      <w:pPr>
        <w:pStyle w:val="Heading2"/>
        <w:spacing w:after="120" w:before="260"/>
      </w:pPr>
      <w:r>
        <w:t xml:space="preserve">11.2 Two investor audiences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400"/>
        <w:gridCol w:w="3480"/>
        <w:gridCol w:w="3480"/>
      </w:tblGrid>
      <w:tr>
        <w:trPr>
          <w:tblHeader/>
        </w:trPr>
        <w:tc>
          <w:tcPr>
            <w:tcW w:type="dxa" w:w="240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
            </w:r>
          </w:p>
        </w:tc>
        <w:tc>
          <w:tcPr>
            <w:tcW w:type="dxa" w:w="348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ESG / Impact funds</w:t>
            </w:r>
          </w:p>
        </w:tc>
        <w:tc>
          <w:tcPr>
            <w:tcW w:type="dxa" w:w="348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Traditional tech VCs</w:t>
            </w:r>
          </w:p>
        </w:tc>
      </w:tr>
      <w:tr>
        <w:tc>
          <w:tcPr>
            <w:tcW w:type="dxa" w:w="2400"/>
            <w:shd w:fill="F5F5F5" w:color="auto" w:val="clear"/>
            <w:tcMar>
              <w:top w:type="dxa" w:w="60"/>
              <w:left w:type="dxa" w:w="110"/>
              <w:bottom w:type="dxa" w:w="60"/>
              <w:right w:type="dxa" w:w="110"/>
            </w:tcMar>
            <w:vAlign w:val="center"/>
          </w:tcPr>
          <w:p>
            <w:pPr>
              <w:spacing w:after="0" w:line="250"/>
            </w:pPr>
            <w:r>
              <w:rPr>
                <w:color w:val="2D2D2D"/>
                <w:sz w:val="19"/>
                <w:szCs w:val="19"/>
              </w:rPr>
              <w:t xml:space="preserve">Love</w:t>
            </w:r>
          </w:p>
        </w:tc>
        <w:tc>
          <w:tcPr>
            <w:tcW w:type="dxa" w:w="3480"/>
            <w:shd w:fill="F5F5F5" w:color="auto" w:val="clear"/>
            <w:tcMar>
              <w:top w:type="dxa" w:w="60"/>
              <w:left w:type="dxa" w:w="110"/>
              <w:bottom w:type="dxa" w:w="60"/>
              <w:right w:type="dxa" w:w="110"/>
            </w:tcMar>
            <w:vAlign w:val="center"/>
          </w:tcPr>
          <w:p>
            <w:pPr>
              <w:spacing w:after="0" w:line="250"/>
            </w:pPr>
            <w:r>
              <w:rPr>
                <w:color w:val="2D2D2D"/>
                <w:sz w:val="19"/>
                <w:szCs w:val="19"/>
              </w:rPr>
              <w:t xml:space="preserve">Carbon-avoided metrics; “Zero Hunger” alignment; social impact</w:t>
            </w:r>
          </w:p>
        </w:tc>
        <w:tc>
          <w:tcPr>
            <w:tcW w:type="dxa" w:w="3480"/>
            <w:shd w:fill="F5F5F5" w:color="auto" w:val="clear"/>
            <w:tcMar>
              <w:top w:type="dxa" w:w="60"/>
              <w:left w:type="dxa" w:w="110"/>
              <w:bottom w:type="dxa" w:w="60"/>
              <w:right w:type="dxa" w:w="110"/>
            </w:tcMar>
            <w:vAlign w:val="center"/>
          </w:tcPr>
          <w:p>
            <w:pPr>
              <w:spacing w:after="0" w:line="250"/>
            </w:pPr>
            <w:r>
              <w:rPr>
                <w:color w:val="2D2D2D"/>
                <w:sz w:val="19"/>
                <w:szCs w:val="19"/>
              </w:rPr>
              <w:t xml:space="preserve">Owned CRM data; pre-paid float; the take-rate-defence story</w:t>
            </w:r>
          </w:p>
        </w:tc>
      </w:tr>
      <w:tr>
        <w:tc>
          <w:tcPr>
            <w:tcW w:type="dxa" w:w="2400"/>
            <w:shd w:fill="FFFFFF" w:color="auto" w:val="clear"/>
            <w:tcMar>
              <w:top w:type="dxa" w:w="60"/>
              <w:left w:type="dxa" w:w="110"/>
              <w:bottom w:type="dxa" w:w="60"/>
              <w:right w:type="dxa" w:w="110"/>
            </w:tcMar>
            <w:vAlign w:val="center"/>
          </w:tcPr>
          <w:p>
            <w:pPr>
              <w:spacing w:after="0" w:line="250"/>
            </w:pPr>
            <w:r>
              <w:rPr>
                <w:color w:val="2D2D2D"/>
                <w:sz w:val="19"/>
                <w:szCs w:val="19"/>
              </w:rPr>
              <w:t xml:space="preserve">Grill on</w:t>
            </w:r>
          </w:p>
        </w:tc>
        <w:tc>
          <w:tcPr>
            <w:tcW w:type="dxa" w:w="3480"/>
            <w:shd w:fill="FFFFFF" w:color="auto" w:val="clear"/>
            <w:tcMar>
              <w:top w:type="dxa" w:w="60"/>
              <w:left w:type="dxa" w:w="110"/>
              <w:bottom w:type="dxa" w:w="60"/>
              <w:right w:type="dxa" w:w="110"/>
            </w:tcMar>
            <w:vAlign w:val="center"/>
          </w:tcPr>
          <w:p>
            <w:pPr>
              <w:spacing w:after="0" w:line="250"/>
            </w:pPr>
            <w:r>
              <w:rPr>
                <w:color w:val="2D2D2D"/>
                <w:sz w:val="19"/>
                <w:szCs w:val="19"/>
              </w:rPr>
              <w:t xml:space="preserve">Whether impact scales with revenue</w:t>
            </w:r>
          </w:p>
        </w:tc>
        <w:tc>
          <w:tcPr>
            <w:tcW w:type="dxa" w:w="3480"/>
            <w:shd w:fill="FFFFFF" w:color="auto" w:val="clear"/>
            <w:tcMar>
              <w:top w:type="dxa" w:w="60"/>
              <w:left w:type="dxa" w:w="110"/>
              <w:bottom w:type="dxa" w:w="60"/>
              <w:right w:type="dxa" w:w="110"/>
            </w:tcMar>
            <w:vAlign w:val="center"/>
          </w:tcPr>
          <w:p>
            <w:pPr>
              <w:spacing w:after="0" w:line="250"/>
            </w:pPr>
            <w:r>
              <w:rPr>
                <w:color w:val="2D2D2D"/>
                <w:sz w:val="19"/>
                <w:szCs w:val="19"/>
              </w:rPr>
              <w:t xml:space="preserve">CAC vs LTV on a compressed ticket; Zomato/Swiggy defensibility</w:t>
            </w:r>
          </w:p>
        </w:tc>
      </w:tr>
      <w:tr>
        <w:tc>
          <w:tcPr>
            <w:tcW w:type="dxa" w:w="2400"/>
            <w:shd w:fill="F5F5F5" w:color="auto" w:val="clear"/>
            <w:tcMar>
              <w:top w:type="dxa" w:w="60"/>
              <w:left w:type="dxa" w:w="110"/>
              <w:bottom w:type="dxa" w:w="60"/>
              <w:right w:type="dxa" w:w="110"/>
            </w:tcMar>
            <w:vAlign w:val="center"/>
          </w:tcPr>
          <w:p>
            <w:pPr>
              <w:spacing w:after="0" w:line="250"/>
            </w:pPr>
            <w:r>
              <w:rPr>
                <w:color w:val="2D2D2D"/>
                <w:sz w:val="19"/>
                <w:szCs w:val="19"/>
              </w:rPr>
              <w:t xml:space="preserve">What to show them</w:t>
            </w:r>
          </w:p>
        </w:tc>
        <w:tc>
          <w:tcPr>
            <w:tcW w:type="dxa" w:w="3480"/>
            <w:shd w:fill="F5F5F5" w:color="auto" w:val="clear"/>
            <w:tcMar>
              <w:top w:type="dxa" w:w="60"/>
              <w:left w:type="dxa" w:w="110"/>
              <w:bottom w:type="dxa" w:w="60"/>
              <w:right w:type="dxa" w:w="110"/>
            </w:tcMar>
            <w:vAlign w:val="center"/>
          </w:tcPr>
          <w:p>
            <w:pPr>
              <w:spacing w:after="0" w:line="250"/>
            </w:pPr>
            <w:r>
              <w:rPr>
                <w:color w:val="2D2D2D"/>
                <w:sz w:val="19"/>
                <w:szCs w:val="19"/>
              </w:rPr>
              <w:t xml:space="preserve">Quantified CO₂ avoided per bag; pickup-only zero-rider footprint</w:t>
            </w:r>
          </w:p>
        </w:tc>
        <w:tc>
          <w:tcPr>
            <w:tcW w:type="dxa" w:w="3480"/>
            <w:shd w:fill="F5F5F5" w:color="auto" w:val="clear"/>
            <w:tcMar>
              <w:top w:type="dxa" w:w="60"/>
              <w:left w:type="dxa" w:w="110"/>
              <w:bottom w:type="dxa" w:w="60"/>
              <w:right w:type="dxa" w:w="110"/>
            </w:tcMar>
            <w:vAlign w:val="center"/>
          </w:tcPr>
          <w:p>
            <w:pPr>
              <w:spacing w:after="0" w:line="250"/>
            </w:pPr>
            <w:r>
              <w:rPr>
                <w:color w:val="2D2D2D"/>
                <w:sz w:val="19"/>
                <w:szCs w:val="19"/>
              </w:rPr>
              <w:t xml:space="preserve">Sub-₹50 organic CAC; attribution layer; density-first discipline</w:t>
            </w:r>
          </w:p>
        </w:tc>
      </w:tr>
    </w:tbl>
    <w:p>
      <w:pPr>
        <w:pStyle w:val="Heading2"/>
        <w:spacing w:after="120" w:before="260"/>
      </w:pPr>
      <w:r>
        <w:t xml:space="preserve">11.3 The ecosystem path</w:t>
      </w:r>
    </w:p>
    <w:p>
      <w:pPr>
        <w:pStyle w:val="ListParagraph"/>
        <w:numPr>
          <w:ilvl w:val="0"/>
          <w:numId w:val="2"/>
        </w:numPr>
        <w:spacing w:after="70" w:line="264"/>
      </w:pPr>
      <w:r>
        <w:rPr>
          <w:b/>
          <w:bCs/>
          <w:sz w:val="21"/>
          <w:szCs w:val="21"/>
        </w:rPr>
        <w:t xml:space="preserve">Data &amp; SaaS first. </w:t>
      </w:r>
      <w:r>
        <w:rPr>
          <w:sz w:val="21"/>
          <w:szCs w:val="21"/>
        </w:rPr>
        <w:t xml:space="preserve">Zayka Pro + ZaikaIQ turn the marketplace into a restaurant CRM and demand-forecasting business — the high-margin destination. The consumer app is the front-end clearinghouse that generates the data.</w:t>
      </w:r>
    </w:p>
    <w:p>
      <w:pPr>
        <w:pStyle w:val="ListParagraph"/>
        <w:numPr>
          <w:ilvl w:val="0"/>
          <w:numId w:val="2"/>
        </w:numPr>
        <w:spacing w:after="70" w:line="264"/>
      </w:pPr>
      <w:r>
        <w:rPr>
          <w:b/>
          <w:bCs/>
          <w:sz w:val="21"/>
          <w:szCs w:val="21"/>
        </w:rPr>
        <w:t xml:space="preserve">Predictive inventory. </w:t>
      </w:r>
      <w:r>
        <w:rPr>
          <w:sz w:val="21"/>
          <w:szCs w:val="21"/>
        </w:rPr>
        <w:t xml:space="preserve">Aggregate drop / sell-through data into tools that help kitchens stop over-preparing in the first place — selling the cure, not just the symptom.</w:t>
      </w:r>
    </w:p>
    <w:p>
      <w:pPr>
        <w:pStyle w:val="ListParagraph"/>
        <w:numPr>
          <w:ilvl w:val="0"/>
          <w:numId w:val="2"/>
        </w:numPr>
        <w:spacing w:after="70" w:line="264"/>
      </w:pPr>
      <w:r>
        <w:rPr>
          <w:b/>
          <w:bCs/>
          <w:sz w:val="21"/>
          <w:szCs w:val="21"/>
        </w:rPr>
        <w:t xml:space="preserve">Corporate &amp; catering. </w:t>
      </w:r>
      <w:r>
        <w:rPr>
          <w:sz w:val="21"/>
          <w:szCs w:val="21"/>
        </w:rPr>
        <w:t xml:space="preserve">Corporate BAM (office bulk drops) and catering discovery tap institutionalised over-preparation — larger tickets, B2B repeat.</w:t>
      </w:r>
    </w:p>
    <w:p>
      <w:pPr>
        <w:pStyle w:val="ListParagraph"/>
        <w:numPr>
          <w:ilvl w:val="0"/>
          <w:numId w:val="2"/>
        </w:numPr>
        <w:spacing w:after="70" w:line="264"/>
      </w:pPr>
      <w:r>
        <w:rPr>
          <w:b/>
          <w:bCs/>
          <w:sz w:val="21"/>
          <w:szCs w:val="21"/>
        </w:rPr>
        <w:t xml:space="preserve">ESG monetisation. </w:t>
      </w:r>
      <w:r>
        <w:rPr>
          <w:sz w:val="21"/>
          <w:szCs w:val="21"/>
        </w:rPr>
        <w:t xml:space="preserve">Track avoided emissions; package ESG / impact reporting for partners and, later, for FMCG / VC data buyers.</w:t>
      </w:r>
    </w:p>
    <w:p>
      <w:pPr>
        <w:pStyle w:val="Heading2"/>
        <w:spacing w:after="120" w:before="260"/>
      </w:pPr>
      <w:r>
        <w:t xml:space="preserve">11.4 Seed one-pager (summary)</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600"/>
        <w:gridCol w:w="6760"/>
      </w:tblGrid>
      <w:tr>
        <w:trPr>
          <w:tblHeader/>
        </w:trPr>
        <w:tc>
          <w:tcPr>
            <w:tcW w:type="dxa" w:w="260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Field</w:t>
            </w:r>
          </w:p>
        </w:tc>
        <w:tc>
          <w:tcPr>
            <w:tcW w:type="dxa" w:w="676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Content</w:t>
            </w:r>
          </w:p>
        </w:tc>
      </w:tr>
      <w:tr>
        <w:tc>
          <w:tcPr>
            <w:tcW w:type="dxa" w:w="2600"/>
            <w:shd w:fill="F5F5F5" w:color="auto" w:val="clear"/>
            <w:tcMar>
              <w:top w:type="dxa" w:w="60"/>
              <w:left w:type="dxa" w:w="110"/>
              <w:bottom w:type="dxa" w:w="60"/>
              <w:right w:type="dxa" w:w="110"/>
            </w:tcMar>
            <w:vAlign w:val="center"/>
          </w:tcPr>
          <w:p>
            <w:pPr>
              <w:spacing w:after="0" w:line="250"/>
            </w:pPr>
            <w:r>
              <w:rPr>
                <w:color w:val="2D2D2D"/>
                <w:sz w:val="19"/>
                <w:szCs w:val="19"/>
              </w:rPr>
              <w:t xml:space="preserve">Ask</w:t>
            </w:r>
          </w:p>
        </w:tc>
        <w:tc>
          <w:tcPr>
            <w:tcW w:type="dxa" w:w="6760"/>
            <w:shd w:fill="F5F5F5" w:color="auto" w:val="clear"/>
            <w:tcMar>
              <w:top w:type="dxa" w:w="60"/>
              <w:left w:type="dxa" w:w="110"/>
              <w:bottom w:type="dxa" w:w="60"/>
              <w:right w:type="dxa" w:w="110"/>
            </w:tcMar>
            <w:vAlign w:val="center"/>
          </w:tcPr>
          <w:p>
            <w:pPr>
              <w:spacing w:after="0" w:line="250"/>
            </w:pPr>
            <w:r>
              <w:rPr>
                <w:color w:val="2D2D2D"/>
                <w:sz w:val="19"/>
                <w:szCs w:val="19"/>
              </w:rPr>
              <w:t xml:space="preserve">₹75 Lakhs seed — 18% via Delaware parent at ~₹4.17Cr pre-money. Deploy: 40% tech, 30% ops, 20% marketing, 10% legal.</w:t>
            </w:r>
          </w:p>
        </w:tc>
      </w:tr>
      <w:tr>
        <w:tc>
          <w:tcPr>
            <w:tcW w:type="dxa" w:w="2600"/>
            <w:shd w:fill="FFFFFF" w:color="auto" w:val="clear"/>
            <w:tcMar>
              <w:top w:type="dxa" w:w="60"/>
              <w:left w:type="dxa" w:w="110"/>
              <w:bottom w:type="dxa" w:w="60"/>
              <w:right w:type="dxa" w:w="110"/>
            </w:tcMar>
            <w:vAlign w:val="center"/>
          </w:tcPr>
          <w:p>
            <w:pPr>
              <w:spacing w:after="0" w:line="250"/>
            </w:pPr>
            <w:r>
              <w:rPr>
                <w:color w:val="2D2D2D"/>
                <w:sz w:val="19"/>
                <w:szCs w:val="19"/>
              </w:rPr>
              <w:t xml:space="preserve">Problem</w:t>
            </w:r>
          </w:p>
        </w:tc>
        <w:tc>
          <w:tcPr>
            <w:tcW w:type="dxa" w:w="6760"/>
            <w:shd w:fill="FFFFFF" w:color="auto" w:val="clear"/>
            <w:tcMar>
              <w:top w:type="dxa" w:w="60"/>
              <w:left w:type="dxa" w:w="110"/>
              <w:bottom w:type="dxa" w:w="60"/>
              <w:right w:type="dxa" w:w="110"/>
            </w:tcMar>
            <w:vAlign w:val="center"/>
          </w:tcPr>
          <w:p>
            <w:pPr>
              <w:spacing w:after="0" w:line="250"/>
            </w:pPr>
            <w:r>
              <w:rPr>
                <w:color w:val="2D2D2D"/>
                <w:sz w:val="19"/>
                <w:szCs w:val="19"/>
              </w:rPr>
              <w:t xml:space="preserve">₹600Cr+ annual premium-restaurant CAC; 30–40% daily food waste; 300M aspirational diners locked out of premium dining.</w:t>
            </w:r>
          </w:p>
        </w:tc>
      </w:tr>
      <w:tr>
        <w:tc>
          <w:tcPr>
            <w:tcW w:type="dxa" w:w="2600"/>
            <w:shd w:fill="F5F5F5" w:color="auto" w:val="clear"/>
            <w:tcMar>
              <w:top w:type="dxa" w:w="60"/>
              <w:left w:type="dxa" w:w="110"/>
              <w:bottom w:type="dxa" w:w="60"/>
              <w:right w:type="dxa" w:w="110"/>
            </w:tcMar>
            <w:vAlign w:val="center"/>
          </w:tcPr>
          <w:p>
            <w:pPr>
              <w:spacing w:after="0" w:line="250"/>
            </w:pPr>
            <w:r>
              <w:rPr>
                <w:color w:val="2D2D2D"/>
                <w:sz w:val="19"/>
                <w:szCs w:val="19"/>
              </w:rPr>
              <w:t xml:space="preserve">Solution</w:t>
            </w:r>
          </w:p>
        </w:tc>
        <w:tc>
          <w:tcPr>
            <w:tcW w:type="dxa" w:w="6760"/>
            <w:shd w:fill="F5F5F5" w:color="auto" w:val="clear"/>
            <w:tcMar>
              <w:top w:type="dxa" w:w="60"/>
              <w:left w:type="dxa" w:w="110"/>
              <w:bottom w:type="dxa" w:w="60"/>
              <w:right w:type="dxa" w:w="110"/>
            </w:tcMar>
            <w:vAlign w:val="center"/>
          </w:tcPr>
          <w:p>
            <w:pPr>
              <w:spacing w:after="0" w:line="250"/>
            </w:pPr>
            <w:r>
              <w:rPr>
                <w:color w:val="2D2D2D"/>
                <w:sz w:val="19"/>
                <w:szCs w:val="19"/>
              </w:rPr>
              <w:t xml:space="preserve">Chef’s-thali pickup-only BAM Bags from premium kitchens, ₹149–599, limited daily drops via goZaika.</w:t>
            </w:r>
          </w:p>
        </w:tc>
      </w:tr>
      <w:tr>
        <w:tc>
          <w:tcPr>
            <w:tcW w:type="dxa" w:w="2600"/>
            <w:shd w:fill="FFFFFF" w:color="auto" w:val="clear"/>
            <w:tcMar>
              <w:top w:type="dxa" w:w="60"/>
              <w:left w:type="dxa" w:w="110"/>
              <w:bottom w:type="dxa" w:w="60"/>
              <w:right w:type="dxa" w:w="110"/>
            </w:tcMar>
            <w:vAlign w:val="center"/>
          </w:tcPr>
          <w:p>
            <w:pPr>
              <w:spacing w:after="0" w:line="250"/>
            </w:pPr>
            <w:r>
              <w:rPr>
                <w:color w:val="2D2D2D"/>
                <w:sz w:val="19"/>
                <w:szCs w:val="19"/>
              </w:rPr>
              <w:t xml:space="preserve">Model</w:t>
            </w:r>
          </w:p>
        </w:tc>
        <w:tc>
          <w:tcPr>
            <w:tcW w:type="dxa" w:w="6760"/>
            <w:shd w:fill="FFFFFF" w:color="auto" w:val="clear"/>
            <w:tcMar>
              <w:top w:type="dxa" w:w="60"/>
              <w:left w:type="dxa" w:w="110"/>
              <w:bottom w:type="dxa" w:w="60"/>
              <w:right w:type="dxa" w:w="110"/>
            </w:tcMar>
            <w:vAlign w:val="center"/>
          </w:tcPr>
          <w:p>
            <w:pPr>
              <w:spacing w:after="0" w:line="250"/>
            </w:pPr>
            <w:r>
              <w:rPr>
                <w:color w:val="2D2D2D"/>
                <w:sz w:val="19"/>
                <w:szCs w:val="19"/>
              </w:rPr>
              <w:t xml:space="preserve">15% commission + Zayka Pro (₹2,499/mo) + Swaad Club (₹199/mo) + sponsored drops + corporate + data.</w:t>
            </w:r>
          </w:p>
        </w:tc>
      </w:tr>
      <w:tr>
        <w:tc>
          <w:tcPr>
            <w:tcW w:type="dxa" w:w="2600"/>
            <w:shd w:fill="F5F5F5" w:color="auto" w:val="clear"/>
            <w:tcMar>
              <w:top w:type="dxa" w:w="60"/>
              <w:left w:type="dxa" w:w="110"/>
              <w:bottom w:type="dxa" w:w="60"/>
              <w:right w:type="dxa" w:w="110"/>
            </w:tcMar>
            <w:vAlign w:val="center"/>
          </w:tcPr>
          <w:p>
            <w:pPr>
              <w:spacing w:after="0" w:line="250"/>
            </w:pPr>
            <w:r>
              <w:rPr>
                <w:color w:val="2D2D2D"/>
                <w:sz w:val="19"/>
                <w:szCs w:val="19"/>
              </w:rPr>
              <w:t xml:space="preserve">Unit economics</w:t>
            </w:r>
          </w:p>
        </w:tc>
        <w:tc>
          <w:tcPr>
            <w:tcW w:type="dxa" w:w="6760"/>
            <w:shd w:fill="F5F5F5" w:color="auto" w:val="clear"/>
            <w:tcMar>
              <w:top w:type="dxa" w:w="60"/>
              <w:left w:type="dxa" w:w="110"/>
              <w:bottom w:type="dxa" w:w="60"/>
              <w:right w:type="dxa" w:w="110"/>
            </w:tcMar>
            <w:vAlign w:val="center"/>
          </w:tcPr>
          <w:p>
            <w:pPr>
              <w:spacing w:after="0" w:line="250"/>
            </w:pPr>
            <w:r>
              <w:rPr>
                <w:color w:val="2D2D2D"/>
                <w:sz w:val="19"/>
                <w:szCs w:val="19"/>
              </w:rPr>
              <w:t xml:space="preserve">Blended CAC ~₹42; LTV ₹1,800+; payback ~43 days; platform gross margin ~68%.</w:t>
            </w:r>
          </w:p>
        </w:tc>
      </w:tr>
      <w:tr>
        <w:tc>
          <w:tcPr>
            <w:tcW w:type="dxa" w:w="2600"/>
            <w:shd w:fill="FFFFFF" w:color="auto" w:val="clear"/>
            <w:tcMar>
              <w:top w:type="dxa" w:w="60"/>
              <w:left w:type="dxa" w:w="110"/>
              <w:bottom w:type="dxa" w:w="60"/>
              <w:right w:type="dxa" w:w="110"/>
            </w:tcMar>
            <w:vAlign w:val="center"/>
          </w:tcPr>
          <w:p>
            <w:pPr>
              <w:spacing w:after="0" w:line="250"/>
            </w:pPr>
            <w:r>
              <w:rPr>
                <w:color w:val="2D2D2D"/>
                <w:sz w:val="19"/>
                <w:szCs w:val="19"/>
              </w:rPr>
              <w:t xml:space="preserve">Why we win</w:t>
            </w:r>
          </w:p>
        </w:tc>
        <w:tc>
          <w:tcPr>
            <w:tcW w:type="dxa" w:w="6760"/>
            <w:shd w:fill="FFFFFF" w:color="auto" w:val="clear"/>
            <w:tcMar>
              <w:top w:type="dxa" w:w="60"/>
              <w:left w:type="dxa" w:w="110"/>
              <w:bottom w:type="dxa" w:w="60"/>
              <w:right w:type="dxa" w:w="110"/>
            </w:tcMar>
            <w:vAlign w:val="center"/>
          </w:tcPr>
          <w:p>
            <w:pPr>
              <w:spacing w:after="0" w:line="250"/>
            </w:pPr>
            <w:r>
              <w:rPr>
                <w:color w:val="2D2D2D"/>
                <w:sz w:val="19"/>
                <w:szCs w:val="19"/>
              </w:rPr>
              <w:t xml:space="preserve">Premium-access positioning + two-sided pitch + conversion/attribution data — the axis Zomato won’t occupy.</w:t>
            </w:r>
          </w:p>
        </w:tc>
      </w:tr>
      <w:tr>
        <w:tc>
          <w:tcPr>
            <w:tcW w:type="dxa" w:w="2600"/>
            <w:shd w:fill="F5F5F5" w:color="auto" w:val="clear"/>
            <w:tcMar>
              <w:top w:type="dxa" w:w="60"/>
              <w:left w:type="dxa" w:w="110"/>
              <w:bottom w:type="dxa" w:w="60"/>
              <w:right w:type="dxa" w:w="110"/>
            </w:tcMar>
            <w:vAlign w:val="center"/>
          </w:tcPr>
          <w:p>
            <w:pPr>
              <w:spacing w:after="0" w:line="250"/>
            </w:pPr>
            <w:r>
              <w:rPr>
                <w:color w:val="2D2D2D"/>
                <w:sz w:val="19"/>
                <w:szCs w:val="19"/>
              </w:rPr>
              <w:t xml:space="preserve">Seed milestones</w:t>
            </w:r>
          </w:p>
        </w:tc>
        <w:tc>
          <w:tcPr>
            <w:tcW w:type="dxa" w:w="6760"/>
            <w:shd w:fill="F5F5F5" w:color="auto" w:val="clear"/>
            <w:tcMar>
              <w:top w:type="dxa" w:w="60"/>
              <w:left w:type="dxa" w:w="110"/>
              <w:bottom w:type="dxa" w:w="60"/>
              <w:right w:type="dxa" w:w="110"/>
            </w:tcMar>
            <w:vAlign w:val="center"/>
          </w:tcPr>
          <w:p>
            <w:pPr>
              <w:spacing w:after="0" w:line="250"/>
            </w:pPr>
            <w:r>
              <w:rPr>
                <w:color w:val="2D2D2D"/>
                <w:sz w:val="19"/>
                <w:szCs w:val="19"/>
              </w:rPr>
              <w:t xml:space="preserve">100 partners in 1–2 metros; 65%+ sell-through; 25%+ repeat at 90 days; 20%+ attach at pickup.</w:t>
            </w:r>
          </w:p>
        </w:tc>
      </w:tr>
    </w:tbl>
    <w:p>
      <w:pPr>
        <w:pStyle w:val="Heading1"/>
        <w:spacing w:after="160" w:before="360"/>
      </w:pPr>
      <w:r>
        <w:t xml:space="preserve">Part XII — Operating Values &amp; Launch Checklist</w:t>
      </w:r>
    </w:p>
    <w:p>
      <w:pPr>
        <w:pStyle w:val="Heading2"/>
        <w:spacing w:after="120" w:before="260"/>
      </w:pPr>
      <w:r>
        <w:t xml:space="preserve">12.1 Best-in-class operating values</w:t>
      </w:r>
    </w:p>
    <w:p>
      <w:pPr>
        <w:spacing w:after="120" w:before="0" w:line="276"/>
      </w:pPr>
      <w:r>
        <w:rPr>
          <w:color w:val="2D2D2D"/>
          <w:sz w:val="21"/>
          <w:szCs w:val="21"/>
        </w:rPr>
        <w:t xml:space="preserve">These are product and contract constraints, not PR language — embedded in SOPs, merchant agreements, and hiring from Day 1.</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600"/>
        <w:gridCol w:w="3760"/>
        <w:gridCol w:w="3000"/>
      </w:tblGrid>
      <w:tr>
        <w:trPr>
          <w:tblHeader/>
        </w:trPr>
        <w:tc>
          <w:tcPr>
            <w:tcW w:type="dxa" w:w="260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Value</w:t>
            </w:r>
          </w:p>
        </w:tc>
        <w:tc>
          <w:tcPr>
            <w:tcW w:type="dxa" w:w="376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Operational meaning</w:t>
            </w:r>
          </w:p>
        </w:tc>
        <w:tc>
          <w:tcPr>
            <w:tcW w:type="dxa" w:w="300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Prevents</w:t>
            </w:r>
          </w:p>
        </w:tc>
      </w:tr>
      <w:tr>
        <w:tc>
          <w:tcPr>
            <w:tcW w:type="dxa" w:w="2600"/>
            <w:shd w:fill="F5F5F5" w:color="auto" w:val="clear"/>
            <w:tcMar>
              <w:top w:type="dxa" w:w="60"/>
              <w:left w:type="dxa" w:w="110"/>
              <w:bottom w:type="dxa" w:w="60"/>
              <w:right w:type="dxa" w:w="110"/>
            </w:tcMar>
            <w:vAlign w:val="center"/>
          </w:tcPr>
          <w:p>
            <w:pPr>
              <w:spacing w:after="0" w:line="250"/>
            </w:pPr>
            <w:r>
              <w:rPr>
                <w:color w:val="2D2D2D"/>
                <w:sz w:val="19"/>
                <w:szCs w:val="19"/>
              </w:rPr>
              <w:t xml:space="preserve">Transparent value</w:t>
            </w:r>
          </w:p>
        </w:tc>
        <w:tc>
          <w:tcPr>
            <w:tcW w:type="dxa" w:w="3760"/>
            <w:shd w:fill="F5F5F5" w:color="auto" w:val="clear"/>
            <w:tcMar>
              <w:top w:type="dxa" w:w="60"/>
              <w:left w:type="dxa" w:w="110"/>
              <w:bottom w:type="dxa" w:w="60"/>
              <w:right w:type="dxa" w:w="110"/>
            </w:tcMar>
            <w:vAlign w:val="center"/>
          </w:tcPr>
          <w:p>
            <w:pPr>
              <w:spacing w:after="0" w:line="250"/>
            </w:pPr>
            <w:r>
              <w:rPr>
                <w:color w:val="2D2D2D"/>
                <w:sz w:val="19"/>
                <w:szCs w:val="19"/>
              </w:rPr>
              <w:t xml:space="preserve">No fake MRP inflation; all “minimum value” claims substantiated</w:t>
            </w:r>
          </w:p>
        </w:tc>
        <w:tc>
          <w:tcPr>
            <w:tcW w:type="dxa" w:w="3000"/>
            <w:shd w:fill="F5F5F5" w:color="auto" w:val="clear"/>
            <w:tcMar>
              <w:top w:type="dxa" w:w="60"/>
              <w:left w:type="dxa" w:w="110"/>
              <w:bottom w:type="dxa" w:w="60"/>
              <w:right w:type="dxa" w:w="110"/>
            </w:tcMar>
            <w:vAlign w:val="center"/>
          </w:tcPr>
          <w:p>
            <w:pPr>
              <w:spacing w:after="0" w:line="250"/>
            </w:pPr>
            <w:r>
              <w:rPr>
                <w:color w:val="2D2D2D"/>
                <w:sz w:val="19"/>
                <w:szCs w:val="19"/>
              </w:rPr>
              <w:t xml:space="preserve">Consumer Protection Act risk; trust collapse</w:t>
            </w:r>
          </w:p>
        </w:tc>
      </w:tr>
      <w:tr>
        <w:tc>
          <w:tcPr>
            <w:tcW w:type="dxa" w:w="2600"/>
            <w:shd w:fill="FFFFFF" w:color="auto" w:val="clear"/>
            <w:tcMar>
              <w:top w:type="dxa" w:w="60"/>
              <w:left w:type="dxa" w:w="110"/>
              <w:bottom w:type="dxa" w:w="60"/>
              <w:right w:type="dxa" w:w="110"/>
            </w:tcMar>
            <w:vAlign w:val="center"/>
          </w:tcPr>
          <w:p>
            <w:pPr>
              <w:spacing w:after="0" w:line="250"/>
            </w:pPr>
            <w:r>
              <w:rPr>
                <w:color w:val="2D2D2D"/>
                <w:sz w:val="19"/>
                <w:szCs w:val="19"/>
              </w:rPr>
              <w:t xml:space="preserve">No dark patterns</w:t>
            </w:r>
          </w:p>
        </w:tc>
        <w:tc>
          <w:tcPr>
            <w:tcW w:type="dxa" w:w="3760"/>
            <w:shd w:fill="FFFFFF" w:color="auto" w:val="clear"/>
            <w:tcMar>
              <w:top w:type="dxa" w:w="60"/>
              <w:left w:type="dxa" w:w="110"/>
              <w:bottom w:type="dxa" w:w="60"/>
              <w:right w:type="dxa" w:w="110"/>
            </w:tcMar>
            <w:vAlign w:val="center"/>
          </w:tcPr>
          <w:p>
            <w:pPr>
              <w:spacing w:after="0" w:line="250"/>
            </w:pPr>
            <w:r>
              <w:rPr>
                <w:color w:val="2D2D2D"/>
                <w:sz w:val="19"/>
                <w:szCs w:val="19"/>
              </w:rPr>
              <w:t xml:space="preserve">No fake countdowns; no hidden fees; no pre-selected add-ons</w:t>
            </w:r>
          </w:p>
        </w:tc>
        <w:tc>
          <w:tcPr>
            <w:tcW w:type="dxa" w:w="3000"/>
            <w:shd w:fill="FFFFFF" w:color="auto" w:val="clear"/>
            <w:tcMar>
              <w:top w:type="dxa" w:w="60"/>
              <w:left w:type="dxa" w:w="110"/>
              <w:bottom w:type="dxa" w:w="60"/>
              <w:right w:type="dxa" w:w="110"/>
            </w:tcMar>
            <w:vAlign w:val="center"/>
          </w:tcPr>
          <w:p>
            <w:pPr>
              <w:spacing w:after="0" w:line="250"/>
            </w:pPr>
            <w:r>
              <w:rPr>
                <w:color w:val="2D2D2D"/>
                <w:sz w:val="19"/>
                <w:szCs w:val="19"/>
              </w:rPr>
              <w:t xml:space="preserve">Brand damage; CCPA enforcement</w:t>
            </w:r>
          </w:p>
        </w:tc>
      </w:tr>
      <w:tr>
        <w:tc>
          <w:tcPr>
            <w:tcW w:type="dxa" w:w="2600"/>
            <w:shd w:fill="F5F5F5" w:color="auto" w:val="clear"/>
            <w:tcMar>
              <w:top w:type="dxa" w:w="60"/>
              <w:left w:type="dxa" w:w="110"/>
              <w:bottom w:type="dxa" w:w="60"/>
              <w:right w:type="dxa" w:w="110"/>
            </w:tcMar>
            <w:vAlign w:val="center"/>
          </w:tcPr>
          <w:p>
            <w:pPr>
              <w:spacing w:after="0" w:line="250"/>
            </w:pPr>
            <w:r>
              <w:rPr>
                <w:color w:val="2D2D2D"/>
                <w:sz w:val="19"/>
                <w:szCs w:val="19"/>
              </w:rPr>
              <w:t xml:space="preserve">Food safety first</w:t>
            </w:r>
          </w:p>
        </w:tc>
        <w:tc>
          <w:tcPr>
            <w:tcW w:type="dxa" w:w="3760"/>
            <w:shd w:fill="F5F5F5" w:color="auto" w:val="clear"/>
            <w:tcMar>
              <w:top w:type="dxa" w:w="60"/>
              <w:left w:type="dxa" w:w="110"/>
              <w:bottom w:type="dxa" w:w="60"/>
              <w:right w:type="dxa" w:w="110"/>
            </w:tcMar>
            <w:vAlign w:val="center"/>
          </w:tcPr>
          <w:p>
            <w:pPr>
              <w:spacing w:after="0" w:line="250"/>
            </w:pPr>
            <w:r>
              <w:rPr>
                <w:color w:val="2D2D2D"/>
                <w:sz w:val="19"/>
                <w:szCs w:val="19"/>
              </w:rPr>
              <w:t xml:space="preserve">Freshness &amp; dietary trust beat short-term GMV — every time</w:t>
            </w:r>
          </w:p>
        </w:tc>
        <w:tc>
          <w:tcPr>
            <w:tcW w:type="dxa" w:w="3000"/>
            <w:shd w:fill="F5F5F5" w:color="auto" w:val="clear"/>
            <w:tcMar>
              <w:top w:type="dxa" w:w="60"/>
              <w:left w:type="dxa" w:w="110"/>
              <w:bottom w:type="dxa" w:w="60"/>
              <w:right w:type="dxa" w:w="110"/>
            </w:tcMar>
            <w:vAlign w:val="center"/>
          </w:tcPr>
          <w:p>
            <w:pPr>
              <w:spacing w:after="0" w:line="250"/>
            </w:pPr>
            <w:r>
              <w:rPr>
                <w:color w:val="2D2D2D"/>
                <w:sz w:val="19"/>
                <w:szCs w:val="19"/>
              </w:rPr>
              <w:t xml:space="preserve">Food-safety incident; FSSAI shutdown</w:t>
            </w:r>
          </w:p>
        </w:tc>
      </w:tr>
      <w:tr>
        <w:tc>
          <w:tcPr>
            <w:tcW w:type="dxa" w:w="2600"/>
            <w:shd w:fill="FFFFFF" w:color="auto" w:val="clear"/>
            <w:tcMar>
              <w:top w:type="dxa" w:w="60"/>
              <w:left w:type="dxa" w:w="110"/>
              <w:bottom w:type="dxa" w:w="60"/>
              <w:right w:type="dxa" w:w="110"/>
            </w:tcMar>
            <w:vAlign w:val="center"/>
          </w:tcPr>
          <w:p>
            <w:pPr>
              <w:spacing w:after="0" w:line="250"/>
            </w:pPr>
            <w:r>
              <w:rPr>
                <w:color w:val="2D2D2D"/>
                <w:sz w:val="19"/>
                <w:szCs w:val="19"/>
              </w:rPr>
              <w:t xml:space="preserve">Merchant fairness</w:t>
            </w:r>
          </w:p>
        </w:tc>
        <w:tc>
          <w:tcPr>
            <w:tcW w:type="dxa" w:w="3760"/>
            <w:shd w:fill="FFFFFF" w:color="auto" w:val="clear"/>
            <w:tcMar>
              <w:top w:type="dxa" w:w="60"/>
              <w:left w:type="dxa" w:w="110"/>
              <w:bottom w:type="dxa" w:w="60"/>
              <w:right w:type="dxa" w:w="110"/>
            </w:tcMar>
            <w:vAlign w:val="center"/>
          </w:tcPr>
          <w:p>
            <w:pPr>
              <w:spacing w:after="0" w:line="250"/>
            </w:pPr>
            <w:r>
              <w:rPr>
                <w:color w:val="2D2D2D"/>
                <w:sz w:val="19"/>
                <w:szCs w:val="19"/>
              </w:rPr>
              <w:t xml:space="preserve">Clear payouts; 30-day notice for term changes; no silent changes</w:t>
            </w:r>
          </w:p>
        </w:tc>
        <w:tc>
          <w:tcPr>
            <w:tcW w:type="dxa" w:w="3000"/>
            <w:shd w:fill="FFFFFF" w:color="auto" w:val="clear"/>
            <w:tcMar>
              <w:top w:type="dxa" w:w="60"/>
              <w:left w:type="dxa" w:w="110"/>
              <w:bottom w:type="dxa" w:w="60"/>
              <w:right w:type="dxa" w:w="110"/>
            </w:tcMar>
            <w:vAlign w:val="center"/>
          </w:tcPr>
          <w:p>
            <w:pPr>
              <w:spacing w:after="0" w:line="250"/>
            </w:pPr>
            <w:r>
              <w:rPr>
                <w:color w:val="2D2D2D"/>
                <w:sz w:val="19"/>
                <w:szCs w:val="19"/>
              </w:rPr>
              <w:t xml:space="preserve">Restaurant churn; industry reputation</w:t>
            </w:r>
          </w:p>
        </w:tc>
      </w:tr>
      <w:tr>
        <w:tc>
          <w:tcPr>
            <w:tcW w:type="dxa" w:w="2600"/>
            <w:shd w:fill="F5F5F5" w:color="auto" w:val="clear"/>
            <w:tcMar>
              <w:top w:type="dxa" w:w="60"/>
              <w:left w:type="dxa" w:w="110"/>
              <w:bottom w:type="dxa" w:w="60"/>
              <w:right w:type="dxa" w:w="110"/>
            </w:tcMar>
            <w:vAlign w:val="center"/>
          </w:tcPr>
          <w:p>
            <w:pPr>
              <w:spacing w:after="0" w:line="250"/>
            </w:pPr>
            <w:r>
              <w:rPr>
                <w:color w:val="2D2D2D"/>
                <w:sz w:val="19"/>
                <w:szCs w:val="19"/>
              </w:rPr>
              <w:t xml:space="preserve">Data minimisation</w:t>
            </w:r>
          </w:p>
        </w:tc>
        <w:tc>
          <w:tcPr>
            <w:tcW w:type="dxa" w:w="3760"/>
            <w:shd w:fill="F5F5F5" w:color="auto" w:val="clear"/>
            <w:tcMar>
              <w:top w:type="dxa" w:w="60"/>
              <w:left w:type="dxa" w:w="110"/>
              <w:bottom w:type="dxa" w:w="60"/>
              <w:right w:type="dxa" w:w="110"/>
            </w:tcMar>
            <w:vAlign w:val="center"/>
          </w:tcPr>
          <w:p>
            <w:pPr>
              <w:spacing w:after="0" w:line="250"/>
            </w:pPr>
            <w:r>
              <w:rPr>
                <w:color w:val="2D2D2D"/>
                <w:sz w:val="19"/>
                <w:szCs w:val="19"/>
              </w:rPr>
              <w:t xml:space="preserve">Collect only what’s needed; no third-party sales; consent-based</w:t>
            </w:r>
          </w:p>
        </w:tc>
        <w:tc>
          <w:tcPr>
            <w:tcW w:type="dxa" w:w="3000"/>
            <w:shd w:fill="F5F5F5" w:color="auto" w:val="clear"/>
            <w:tcMar>
              <w:top w:type="dxa" w:w="60"/>
              <w:left w:type="dxa" w:w="110"/>
              <w:bottom w:type="dxa" w:w="60"/>
              <w:right w:type="dxa" w:w="110"/>
            </w:tcMar>
            <w:vAlign w:val="center"/>
          </w:tcPr>
          <w:p>
            <w:pPr>
              <w:spacing w:after="0" w:line="250"/>
            </w:pPr>
            <w:r>
              <w:rPr>
                <w:color w:val="2D2D2D"/>
                <w:sz w:val="19"/>
                <w:szCs w:val="19"/>
              </w:rPr>
              <w:t xml:space="preserve">DPDP violation; due-diligence failure</w:t>
            </w:r>
          </w:p>
        </w:tc>
      </w:tr>
      <w:tr>
        <w:tc>
          <w:tcPr>
            <w:tcW w:type="dxa" w:w="2600"/>
            <w:shd w:fill="FFFFFF" w:color="auto" w:val="clear"/>
            <w:tcMar>
              <w:top w:type="dxa" w:w="60"/>
              <w:left w:type="dxa" w:w="110"/>
              <w:bottom w:type="dxa" w:w="60"/>
              <w:right w:type="dxa" w:w="110"/>
            </w:tcMar>
            <w:vAlign w:val="center"/>
          </w:tcPr>
          <w:p>
            <w:pPr>
              <w:spacing w:after="0" w:line="250"/>
            </w:pPr>
            <w:r>
              <w:rPr>
                <w:color w:val="2D2D2D"/>
                <w:sz w:val="19"/>
                <w:szCs w:val="19"/>
              </w:rPr>
              <w:t xml:space="preserve">Unit-economics discipline</w:t>
            </w:r>
          </w:p>
        </w:tc>
        <w:tc>
          <w:tcPr>
            <w:tcW w:type="dxa" w:w="3760"/>
            <w:shd w:fill="FFFFFF" w:color="auto" w:val="clear"/>
            <w:tcMar>
              <w:top w:type="dxa" w:w="60"/>
              <w:left w:type="dxa" w:w="110"/>
              <w:bottom w:type="dxa" w:w="60"/>
              <w:right w:type="dxa" w:w="110"/>
            </w:tcMar>
            <w:vAlign w:val="center"/>
          </w:tcPr>
          <w:p>
            <w:pPr>
              <w:spacing w:after="0" w:line="250"/>
            </w:pPr>
            <w:r>
              <w:rPr>
                <w:color w:val="2D2D2D"/>
                <w:sz w:val="19"/>
                <w:szCs w:val="19"/>
              </w:rPr>
              <w:t xml:space="preserve">Scale only where sell-through &amp; retention justify it</w:t>
            </w:r>
          </w:p>
        </w:tc>
        <w:tc>
          <w:tcPr>
            <w:tcW w:type="dxa" w:w="3000"/>
            <w:shd w:fill="FFFFFF" w:color="auto" w:val="clear"/>
            <w:tcMar>
              <w:top w:type="dxa" w:w="60"/>
              <w:left w:type="dxa" w:w="110"/>
              <w:bottom w:type="dxa" w:w="60"/>
              <w:right w:type="dxa" w:w="110"/>
            </w:tcMar>
            <w:vAlign w:val="center"/>
          </w:tcPr>
          <w:p>
            <w:pPr>
              <w:spacing w:after="0" w:line="250"/>
            </w:pPr>
            <w:r>
              <w:rPr>
                <w:color w:val="2D2D2D"/>
                <w:sz w:val="19"/>
                <w:szCs w:val="19"/>
              </w:rPr>
              <w:t xml:space="preserve">Premature burn; weak cohorts at Series A</w:t>
            </w:r>
          </w:p>
        </w:tc>
      </w:tr>
    </w:tbl>
    <w:p>
      <w:pPr>
        <w:pStyle w:val="Heading2"/>
        <w:spacing w:after="120" w:before="260"/>
      </w:pPr>
      <w:r>
        <w:t xml:space="preserve">12.2 First 30 days founder checklist</w:t>
      </w:r>
    </w:p>
    <w:p>
      <w:pPr>
        <w:pStyle w:val="ListParagraph"/>
        <w:numPr>
          <w:ilvl w:val="0"/>
          <w:numId w:val="2"/>
        </w:numPr>
        <w:spacing w:after="70" w:line="264"/>
      </w:pPr>
      <w:r>
        <w:rPr>
          <w:color w:val="2D2D2D"/>
          <w:sz w:val="21"/>
          <w:szCs w:val="21"/>
        </w:rPr>
        <w:t xml:space="preserve">Lock positioning: every team member repeats the two-sided pitch verbatim (acquisition to restaurants, discovery to consumers).</w:t>
      </w:r>
    </w:p>
    <w:p>
      <w:pPr>
        <w:pStyle w:val="ListParagraph"/>
        <w:numPr>
          <w:ilvl w:val="0"/>
          <w:numId w:val="2"/>
        </w:numPr>
        <w:spacing w:after="70" w:line="264"/>
      </w:pPr>
      <w:r>
        <w:rPr>
          <w:color w:val="2D2D2D"/>
          <w:sz w:val="21"/>
          <w:szCs w:val="21"/>
        </w:rPr>
        <w:t xml:space="preserve">Pick one high-density micro-market (20+ eligible restaurants within 2km); build a 50-outlet target list, researched before contact.</w:t>
      </w:r>
    </w:p>
    <w:p>
      <w:pPr>
        <w:pStyle w:val="ListParagraph"/>
        <w:numPr>
          <w:ilvl w:val="0"/>
          <w:numId w:val="2"/>
        </w:numPr>
        <w:spacing w:after="70" w:line="264"/>
      </w:pPr>
      <w:r>
        <w:rPr>
          <w:color w:val="2D2D2D"/>
          <w:sz w:val="21"/>
          <w:szCs w:val="21"/>
        </w:rPr>
        <w:t xml:space="preserve">Draft all legal docs (merchant agreement, TOS, privacy, refund, safety appendix); incorporate Delaware + India; file FSSAI Central License.</w:t>
      </w:r>
    </w:p>
    <w:p>
      <w:pPr>
        <w:pStyle w:val="ListParagraph"/>
        <w:numPr>
          <w:ilvl w:val="0"/>
          <w:numId w:val="2"/>
        </w:numPr>
        <w:spacing w:after="70" w:line="264"/>
      </w:pPr>
      <w:r>
        <w:rPr>
          <w:color w:val="2D2D2D"/>
          <w:sz w:val="21"/>
          <w:szCs w:val="21"/>
        </w:rPr>
        <w:t xml:space="preserve">Launch landing page + waitlist (separate consumer and merchant paths); create WhatsApp Insider group seeded with 100–200 personal contacts.</w:t>
      </w:r>
    </w:p>
    <w:p>
      <w:pPr>
        <w:pStyle w:val="ListParagraph"/>
        <w:numPr>
          <w:ilvl w:val="0"/>
          <w:numId w:val="2"/>
        </w:numPr>
        <w:spacing w:after="70" w:line="264"/>
      </w:pPr>
      <w:r>
        <w:rPr>
          <w:color w:val="2D2D2D"/>
          <w:sz w:val="21"/>
          <w:szCs w:val="21"/>
        </w:rPr>
        <w:t xml:space="preserve">Sign first 10 anchors at zero commission + Bag Composition Matrix; run 3–5 internal mock drops before public listing.</w:t>
      </w:r>
    </w:p>
    <w:p>
      <w:pPr>
        <w:pStyle w:val="ListParagraph"/>
        <w:numPr>
          <w:ilvl w:val="0"/>
          <w:numId w:val="2"/>
        </w:numPr>
        <w:spacing w:after="70" w:line="264"/>
      </w:pPr>
      <w:r>
        <w:rPr>
          <w:color w:val="2D2D2D"/>
          <w:sz w:val="21"/>
          <w:szCs w:val="21"/>
        </w:rPr>
        <w:t xml:space="preserve">Call every buyer after the first 3 drops; publish the first merchant case study and customer story within 2 weeks — with data.</w:t>
      </w:r>
    </w:p>
    <w:p>
      <w:pPr>
        <w:pStyle w:val="Heading1"/>
        <w:spacing w:after="160" w:before="360"/>
      </w:pPr>
      <w:r>
        <w:t xml:space="preserve">Appendix A — AI Prompt &amp; Tooling Library (2026 refresh)</w:t>
      </w:r>
    </w:p>
    <w:p>
      <w:pPr>
        <w:spacing w:after="120" w:before="0" w:line="276"/>
      </w:pPr>
      <w:r>
        <w:rPr>
          <w:color w:val="2D2D2D"/>
          <w:sz w:val="21"/>
          <w:szCs w:val="21"/>
        </w:rPr>
        <w:t xml:space="preserve">goZaika operates AI-first from Day 1. All important assets follow the chain: Brief → First Draft → Brand-Voice Critique → Channel Adaptation → Founder Final Edit. Never single-shot an important asset.</w:t>
      </w:r>
    </w:p>
    <w:p>
      <w:pPr>
        <w:spacing w:after="120" w:before="0" w:line="276"/>
      </w:pPr>
      <w:r>
        <w:rPr>
          <w:i/>
          <w:iCs/>
          <w:color w:val="666666"/>
          <w:sz w:val="21"/>
          <w:szCs w:val="21"/>
        </w:rPr>
        <w:t xml:space="preserve">Image-generation tooling note (June 2026): the strongest current options for brand and marketing imagery are OpenAI GPT Image 2 (top-ranked, excellent instruction-following and in-image text), Google “Nano Banana Pro” / Gemini 3 Pro Image (high realism, best-in-class readable text, character/style consistency), FLUX.2 Pro (best default for quality + speed + price) and Midjourney v7 (most aesthetic). See Part-level graphics recommendation in the accompanying website/graphics review.</w:t>
      </w:r>
    </w:p>
    <w:p>
      <w:pPr>
        <w:pStyle w:val="ListParagraph"/>
        <w:numPr>
          <w:ilvl w:val="0"/>
          <w:numId w:val="2"/>
        </w:numPr>
        <w:spacing w:after="70" w:line="264"/>
      </w:pPr>
      <w:r>
        <w:rPr>
          <w:color w:val="2D2D2D"/>
          <w:sz w:val="21"/>
          <w:szCs w:val="21"/>
        </w:rPr>
        <w:t xml:space="preserve">Logo / brand kit: Midjourney v7 or FLUX.2 Pro for exploration; human-finish in vector. Keep IP-ownership documentation (Part VIII).</w:t>
      </w:r>
    </w:p>
    <w:p>
      <w:pPr>
        <w:pStyle w:val="ListParagraph"/>
        <w:numPr>
          <w:ilvl w:val="0"/>
          <w:numId w:val="2"/>
        </w:numPr>
        <w:spacing w:after="70" w:line="264"/>
      </w:pPr>
      <w:r>
        <w:rPr>
          <w:color w:val="2D2D2D"/>
          <w:sz w:val="21"/>
          <w:szCs w:val="21"/>
        </w:rPr>
        <w:t xml:space="preserve">Website &amp; social copy: brand-voice-constrained drafting with the banned-words list (Part VI) enforced in the prompt.</w:t>
      </w:r>
    </w:p>
    <w:p>
      <w:pPr>
        <w:pStyle w:val="ListParagraph"/>
        <w:numPr>
          <w:ilvl w:val="0"/>
          <w:numId w:val="2"/>
        </w:numPr>
        <w:spacing w:after="70" w:line="264"/>
      </w:pPr>
      <w:r>
        <w:rPr>
          <w:color w:val="2D2D2D"/>
          <w:sz w:val="21"/>
          <w:szCs w:val="21"/>
        </w:rPr>
        <w:t xml:space="preserve">Restaurant partner deck (8 slides): problem → acquisition solution → how it works → brand protection → unit economics → proof → 30-days-free → sign up. ROI-focused, never salesy.</w:t>
      </w:r>
    </w:p>
    <w:p>
      <w:pPr>
        <w:pStyle w:val="ListParagraph"/>
        <w:numPr>
          <w:ilvl w:val="0"/>
          <w:numId w:val="2"/>
        </w:numPr>
        <w:spacing w:after="70" w:line="264"/>
      </w:pPr>
      <w:r>
        <w:rPr>
          <w:color w:val="2D2D2D"/>
          <w:sz w:val="21"/>
          <w:szCs w:val="21"/>
        </w:rPr>
        <w:t xml:space="preserve">Financial model: 24-month P&amp;L, cash flow, cohort CAC/LTV, break-even, headcount, bear/base/bull — structured for Sheets.</w:t>
      </w:r>
    </w:p>
    <w:p>
      <w:pPr>
        <w:pStyle w:val="Heading1"/>
        <w:spacing w:after="160" w:before="360"/>
      </w:pPr>
      <w:r>
        <w:t xml:space="preserve">Appendix B — Changelog vs v3.0</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600"/>
        <w:gridCol w:w="6760"/>
      </w:tblGrid>
      <w:tr>
        <w:trPr>
          <w:tblHeader/>
        </w:trPr>
        <w:tc>
          <w:tcPr>
            <w:tcW w:type="dxa" w:w="260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Area</w:t>
            </w:r>
          </w:p>
        </w:tc>
        <w:tc>
          <w:tcPr>
            <w:tcW w:type="dxa" w:w="6760"/>
            <w:shd w:fill="1A5C38" w:color="auto" w:val="clear"/>
            <w:tcMar>
              <w:top w:type="dxa" w:w="60"/>
              <w:left w:type="dxa" w:w="110"/>
              <w:bottom w:type="dxa" w:w="60"/>
              <w:right w:type="dxa" w:w="110"/>
            </w:tcMar>
            <w:vAlign w:val="center"/>
          </w:tcPr>
          <w:p>
            <w:pPr>
              <w:spacing w:after="0" w:line="250"/>
            </w:pPr>
            <w:r>
              <w:rPr>
                <w:b/>
                <w:bCs/>
                <w:color w:val="FFFFFF"/>
                <w:sz w:val="19"/>
                <w:szCs w:val="19"/>
              </w:rPr>
              <w:t xml:space="preserve">Change in v4.0</w:t>
            </w:r>
          </w:p>
        </w:tc>
      </w:tr>
      <w:tr>
        <w:tc>
          <w:tcPr>
            <w:tcW w:type="dxa" w:w="2600"/>
            <w:shd w:fill="F5F5F5" w:color="auto" w:val="clear"/>
            <w:tcMar>
              <w:top w:type="dxa" w:w="60"/>
              <w:left w:type="dxa" w:w="110"/>
              <w:bottom w:type="dxa" w:w="60"/>
              <w:right w:type="dxa" w:w="110"/>
            </w:tcMar>
            <w:vAlign w:val="center"/>
          </w:tcPr>
          <w:p>
            <w:pPr>
              <w:spacing w:after="0" w:line="250"/>
            </w:pPr>
            <w:r>
              <w:rPr>
                <w:color w:val="2D2D2D"/>
                <w:sz w:val="19"/>
                <w:szCs w:val="19"/>
              </w:rPr>
              <w:t xml:space="preserve">Positioning</w:t>
            </w:r>
          </w:p>
        </w:tc>
        <w:tc>
          <w:tcPr>
            <w:tcW w:type="dxa" w:w="6760"/>
            <w:shd w:fill="F5F5F5" w:color="auto" w:val="clear"/>
            <w:tcMar>
              <w:top w:type="dxa" w:w="60"/>
              <w:left w:type="dxa" w:w="110"/>
              <w:bottom w:type="dxa" w:w="60"/>
              <w:right w:type="dxa" w:w="110"/>
            </w:tcMar>
            <w:vAlign w:val="center"/>
          </w:tcPr>
          <w:p>
            <w:pPr>
              <w:spacing w:after="0" w:line="250"/>
            </w:pPr>
            <w:r>
              <w:rPr>
                <w:color w:val="2D2D2D"/>
                <w:sz w:val="19"/>
                <w:szCs w:val="19"/>
              </w:rPr>
              <w:t xml:space="preserve">Added the two-sided framework (B2B acquisition / B2C discovery) and the surplus→tasting spectrum as the organising strategy (Part I).</w:t>
            </w:r>
          </w:p>
        </w:tc>
      </w:tr>
      <w:tr>
        <w:tc>
          <w:tcPr>
            <w:tcW w:type="dxa" w:w="2600"/>
            <w:shd w:fill="FFFFFF" w:color="auto" w:val="clear"/>
            <w:tcMar>
              <w:top w:type="dxa" w:w="60"/>
              <w:left w:type="dxa" w:w="110"/>
              <w:bottom w:type="dxa" w:w="60"/>
              <w:right w:type="dxa" w:w="110"/>
            </w:tcMar>
            <w:vAlign w:val="center"/>
          </w:tcPr>
          <w:p>
            <w:pPr>
              <w:spacing w:after="0" w:line="250"/>
            </w:pPr>
            <w:r>
              <w:rPr>
                <w:color w:val="2D2D2D"/>
                <w:sz w:val="19"/>
                <w:szCs w:val="19"/>
              </w:rPr>
              <w:t xml:space="preserve">Product</w:t>
            </w:r>
          </w:p>
        </w:tc>
        <w:tc>
          <w:tcPr>
            <w:tcW w:type="dxa" w:w="6760"/>
            <w:shd w:fill="FFFFFF" w:color="auto" w:val="clear"/>
            <w:tcMar>
              <w:top w:type="dxa" w:w="60"/>
              <w:left w:type="dxa" w:w="110"/>
              <w:bottom w:type="dxa" w:w="60"/>
              <w:right w:type="dxa" w:w="110"/>
            </w:tcMar>
            <w:vAlign w:val="center"/>
          </w:tcPr>
          <w:p>
            <w:pPr>
              <w:spacing w:after="0" w:line="250"/>
            </w:pPr>
            <w:r>
              <w:rPr>
                <w:color w:val="2D2D2D"/>
                <w:sz w:val="19"/>
                <w:szCs w:val="19"/>
              </w:rPr>
              <w:t xml:space="preserve">New Conversion &amp; Attribution Layer — “Find it on the menu” — with a build-now / defer / never matrix (Part II).</w:t>
            </w:r>
          </w:p>
        </w:tc>
      </w:tr>
      <w:tr>
        <w:tc>
          <w:tcPr>
            <w:tcW w:type="dxa" w:w="2600"/>
            <w:shd w:fill="F5F5F5" w:color="auto" w:val="clear"/>
            <w:tcMar>
              <w:top w:type="dxa" w:w="60"/>
              <w:left w:type="dxa" w:w="110"/>
              <w:bottom w:type="dxa" w:w="60"/>
              <w:right w:type="dxa" w:w="110"/>
            </w:tcMar>
            <w:vAlign w:val="center"/>
          </w:tcPr>
          <w:p>
            <w:pPr>
              <w:spacing w:after="0" w:line="250"/>
            </w:pPr>
            <w:r>
              <w:rPr>
                <w:color w:val="2D2D2D"/>
                <w:sz w:val="19"/>
                <w:szCs w:val="19"/>
              </w:rPr>
              <w:t xml:space="preserve">Competition</w:t>
            </w:r>
          </w:p>
        </w:tc>
        <w:tc>
          <w:tcPr>
            <w:tcW w:type="dxa" w:w="6760"/>
            <w:shd w:fill="F5F5F5" w:color="auto" w:val="clear"/>
            <w:tcMar>
              <w:top w:type="dxa" w:w="60"/>
              <w:left w:type="dxa" w:w="110"/>
              <w:bottom w:type="dxa" w:w="60"/>
              <w:right w:type="dxa" w:w="110"/>
            </w:tcMar>
            <w:vAlign w:val="center"/>
          </w:tcPr>
          <w:p>
            <w:pPr>
              <w:spacing w:after="0" w:line="250"/>
            </w:pPr>
            <w:r>
              <w:rPr>
                <w:color w:val="2D2D2D"/>
                <w:sz w:val="19"/>
                <w:szCs w:val="19"/>
              </w:rPr>
              <w:t xml:space="preserve">Retired “no direct competitor.” Mapped Plenti, Surokki, Zomato Food Rescue, TGTG, OLIO, Karma with lessons (Part III).</w:t>
            </w:r>
          </w:p>
        </w:tc>
      </w:tr>
      <w:tr>
        <w:tc>
          <w:tcPr>
            <w:tcW w:type="dxa" w:w="2600"/>
            <w:shd w:fill="FFFFFF" w:color="auto" w:val="clear"/>
            <w:tcMar>
              <w:top w:type="dxa" w:w="60"/>
              <w:left w:type="dxa" w:w="110"/>
              <w:bottom w:type="dxa" w:w="60"/>
              <w:right w:type="dxa" w:w="110"/>
            </w:tcMar>
            <w:vAlign w:val="center"/>
          </w:tcPr>
          <w:p>
            <w:pPr>
              <w:spacing w:after="0" w:line="250"/>
            </w:pPr>
            <w:r>
              <w:rPr>
                <w:color w:val="2D2D2D"/>
                <w:sz w:val="19"/>
                <w:szCs w:val="19"/>
              </w:rPr>
              <w:t xml:space="preserve">Restaurant pitch</w:t>
            </w:r>
          </w:p>
        </w:tc>
        <w:tc>
          <w:tcPr>
            <w:tcW w:type="dxa" w:w="6760"/>
            <w:shd w:fill="FFFFFF" w:color="auto" w:val="clear"/>
            <w:tcMar>
              <w:top w:type="dxa" w:w="60"/>
              <w:left w:type="dxa" w:w="110"/>
              <w:bottom w:type="dxa" w:w="60"/>
              <w:right w:type="dxa" w:w="110"/>
            </w:tcMar>
            <w:vAlign w:val="center"/>
          </w:tcPr>
          <w:p>
            <w:pPr>
              <w:spacing w:after="0" w:line="250"/>
            </w:pPr>
            <w:r>
              <w:rPr>
                <w:color w:val="2D2D2D"/>
                <w:sz w:val="19"/>
                <w:szCs w:val="19"/>
              </w:rPr>
              <w:t xml:space="preserve">Reframed commission as a customer-acquisition / marketing budget line (Part IV).</w:t>
            </w:r>
          </w:p>
        </w:tc>
      </w:tr>
      <w:tr>
        <w:tc>
          <w:tcPr>
            <w:tcW w:type="dxa" w:w="2600"/>
            <w:shd w:fill="F5F5F5" w:color="auto" w:val="clear"/>
            <w:tcMar>
              <w:top w:type="dxa" w:w="60"/>
              <w:left w:type="dxa" w:w="110"/>
              <w:bottom w:type="dxa" w:w="60"/>
              <w:right w:type="dxa" w:w="110"/>
            </w:tcMar>
            <w:vAlign w:val="center"/>
          </w:tcPr>
          <w:p>
            <w:pPr>
              <w:spacing w:after="0" w:line="250"/>
            </w:pPr>
            <w:r>
              <w:rPr>
                <w:color w:val="2D2D2D"/>
                <w:sz w:val="19"/>
                <w:szCs w:val="19"/>
              </w:rPr>
              <w:t xml:space="preserve">Language</w:t>
            </w:r>
          </w:p>
        </w:tc>
        <w:tc>
          <w:tcPr>
            <w:tcW w:type="dxa" w:w="6760"/>
            <w:shd w:fill="F5F5F5" w:color="auto" w:val="clear"/>
            <w:tcMar>
              <w:top w:type="dxa" w:w="60"/>
              <w:left w:type="dxa" w:w="110"/>
              <w:bottom w:type="dxa" w:w="60"/>
              <w:right w:type="dxa" w:w="110"/>
            </w:tcMar>
            <w:vAlign w:val="center"/>
          </w:tcPr>
          <w:p>
            <w:pPr>
              <w:spacing w:after="0" w:line="250"/>
            </w:pPr>
            <w:r>
              <w:rPr>
                <w:color w:val="2D2D2D"/>
                <w:sz w:val="19"/>
                <w:szCs w:val="19"/>
              </w:rPr>
              <w:t xml:space="preserve">Added “sample / sampling” (consumer-facing) and “surplus” to the banned-words list; added “Chef’s Tasting” naming note (Part VI).</w:t>
            </w:r>
          </w:p>
        </w:tc>
      </w:tr>
      <w:tr>
        <w:tc>
          <w:tcPr>
            <w:tcW w:type="dxa" w:w="2600"/>
            <w:shd w:fill="FFFFFF" w:color="auto" w:val="clear"/>
            <w:tcMar>
              <w:top w:type="dxa" w:w="60"/>
              <w:left w:type="dxa" w:w="110"/>
              <w:bottom w:type="dxa" w:w="60"/>
              <w:right w:type="dxa" w:w="110"/>
            </w:tcMar>
            <w:vAlign w:val="center"/>
          </w:tcPr>
          <w:p>
            <w:pPr>
              <w:spacing w:after="0" w:line="250"/>
            </w:pPr>
            <w:r>
              <w:rPr>
                <w:color w:val="2D2D2D"/>
                <w:sz w:val="19"/>
                <w:szCs w:val="19"/>
              </w:rPr>
              <w:t xml:space="preserve">Investor</w:t>
            </w:r>
          </w:p>
        </w:tc>
        <w:tc>
          <w:tcPr>
            <w:tcW w:type="dxa" w:w="6760"/>
            <w:shd w:fill="FFFFFF" w:color="auto" w:val="clear"/>
            <w:tcMar>
              <w:top w:type="dxa" w:w="60"/>
              <w:left w:type="dxa" w:w="110"/>
              <w:bottom w:type="dxa" w:w="60"/>
              <w:right w:type="dxa" w:w="110"/>
            </w:tcMar>
            <w:vAlign w:val="center"/>
          </w:tcPr>
          <w:p>
            <w:pPr>
              <w:spacing w:after="0" w:line="250"/>
            </w:pPr>
            <w:r>
              <w:rPr>
                <w:color w:val="2D2D2D"/>
                <w:sz w:val="19"/>
                <w:szCs w:val="19"/>
              </w:rPr>
              <w:t xml:space="preserve">Added the honest unicorn assessment and the ecosystem / data path; ESG-vs-VC framing; CAC/LTV defence (Parts V &amp; XI).</w:t>
            </w:r>
          </w:p>
        </w:tc>
      </w:tr>
      <w:tr>
        <w:tc>
          <w:tcPr>
            <w:tcW w:type="dxa" w:w="2600"/>
            <w:shd w:fill="F5F5F5" w:color="auto" w:val="clear"/>
            <w:tcMar>
              <w:top w:type="dxa" w:w="60"/>
              <w:left w:type="dxa" w:w="110"/>
              <w:bottom w:type="dxa" w:w="60"/>
              <w:right w:type="dxa" w:w="110"/>
            </w:tcMar>
            <w:vAlign w:val="center"/>
          </w:tcPr>
          <w:p>
            <w:pPr>
              <w:spacing w:after="0" w:line="250"/>
            </w:pPr>
            <w:r>
              <w:rPr>
                <w:color w:val="2D2D2D"/>
                <w:sz w:val="19"/>
                <w:szCs w:val="19"/>
              </w:rPr>
              <w:t xml:space="preserve">Carried forward</w:t>
            </w:r>
          </w:p>
        </w:tc>
        <w:tc>
          <w:tcPr>
            <w:tcW w:type="dxa" w:w="6760"/>
            <w:shd w:fill="F5F5F5" w:color="auto" w:val="clear"/>
            <w:tcMar>
              <w:top w:type="dxa" w:w="60"/>
              <w:left w:type="dxa" w:w="110"/>
              <w:bottom w:type="dxa" w:w="60"/>
              <w:right w:type="dxa" w:w="110"/>
            </w:tcMar>
            <w:vAlign w:val="center"/>
          </w:tcPr>
          <w:p>
            <w:pPr>
              <w:spacing w:after="0" w:line="250"/>
            </w:pPr>
            <w:r>
              <w:rPr>
                <w:color w:val="2D2D2D"/>
                <w:sz w:val="19"/>
                <w:szCs w:val="19"/>
              </w:rPr>
              <w:t xml:space="preserve">Financial model, FSSAI/DPDP compliance, OCI corporate structure, hybrid supply, operations, GTM, operating values — intact from v3.</w:t>
            </w:r>
          </w:p>
        </w:tc>
      </w:tr>
    </w:tbl>
    <w:p>
      <w:pPr>
        <w:spacing w:after="120"/>
      </w:pPr>
      <w:r>
        <w:t xml:space="preserve"/>
      </w:r>
    </w:p>
    <w:p>
      <w:pPr>
        <w:spacing w:after="120" w:before="0" w:line="276"/>
        <w:jc w:val="center"/>
      </w:pPr>
      <w:r>
        <w:rPr>
          <w:i/>
          <w:iCs/>
          <w:color w:val="888888"/>
          <w:sz w:val="21"/>
          <w:szCs w:val="21"/>
        </w:rPr>
        <w:t xml:space="preserve">— End of document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center"/>
    </w:pPr>
    <w:r>
      <w:rPr>
        <w:color w:val="999999"/>
        <w:sz w:val="16"/>
        <w:szCs w:val="16"/>
      </w:rPr>
      <w:t xml:space="preserve">goZaika — Confidential   ·   v4.0 June 2026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FF6B35"/>
      </w:r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2D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4A017" w:sz="6" w:space="4"/>
      </w:pBdr>
      <w:spacing w:after="160" w:before="360"/>
      <w:outlineLvl w:val="0"/>
    </w:pPr>
    <w:rPr>
      <w:rFonts w:ascii="Calibri" w:cs="Calibri" w:eastAsia="Calibri" w:hAnsi="Calibri"/>
      <w:b/>
      <w:bCs/>
      <w:color w:val="1A5C38"/>
      <w:sz w:val="30"/>
      <w:szCs w:val="30"/>
    </w:rPr>
  </w:style>
  <w:style w:type="paragraph" w:styleId="Heading2">
    <w:name w:val="Heading 2"/>
    <w:basedOn w:val="Normal"/>
    <w:next w:val="Normal"/>
    <w:qFormat/>
    <w:pPr>
      <w:spacing w:after="110" w:before="260"/>
      <w:outlineLvl w:val="1"/>
    </w:pPr>
    <w:rPr>
      <w:rFonts w:ascii="Calibri" w:cs="Calibri" w:eastAsia="Calibri" w:hAnsi="Calibri"/>
      <w:b/>
      <w:bCs/>
      <w:color w:val="1A5C38"/>
      <w:sz w:val="25"/>
      <w:szCs w:val="25"/>
    </w:rPr>
  </w:style>
  <w:style w:type="paragraph" w:styleId="Heading3">
    <w:name w:val="Heading 3"/>
    <w:basedOn w:val="Normal"/>
    <w:next w:val="Normal"/>
    <w:qFormat/>
    <w:pPr>
      <w:spacing w:after="90" w:before="200"/>
      <w:outlineLvl w:val="2"/>
    </w:pPr>
    <w:rPr>
      <w:rFonts w:ascii="Calibri" w:cs="Calibri" w:eastAsia="Calibri" w:hAnsi="Calibri"/>
      <w:b/>
      <w:bCs/>
      <w:color w:val="194B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goZaika Master Business &amp; Strategy Document v4.0</dc:title>
  <dc:creator>goZaika</dc:creator>
  <cp:lastModifiedBy>Un-named</cp:lastModifiedBy>
  <cp:revision>1</cp:revision>
  <dcterms:created xsi:type="dcterms:W3CDTF">2026-06-16T16:55:10.768Z</dcterms:created>
  <dcterms:modified xsi:type="dcterms:W3CDTF">2026-06-16T16:55:10.769Z</dcterms:modified>
</cp:coreProperties>
</file>

<file path=docProps/custom.xml><?xml version="1.0" encoding="utf-8"?>
<Properties xmlns="http://schemas.openxmlformats.org/officeDocument/2006/custom-properties" xmlns:vt="http://schemas.openxmlformats.org/officeDocument/2006/docPropsVTypes"/>
</file>