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886"/>
        <w:jc w:val="center"/>
        <w:tblLayout w:type="fixed"/>
        <w:tblLook w:firstColumn="1" w:firstRow="1" w:lastColumn="0" w:lastRow="0" w:noHBand="0" w:noVBand="1" w:val="04A0"/>
      </w:tblPr>
      <w:tblGrid>
        <w:gridCol w:w="10886"/>
      </w:tblGrid>
      <w:tr>
        <w:trPr>
          <w:trHeight w:hRule="atLeast" w:val="3798"/>
        </w:trPr>
        <w:tc>
          <w:tcPr>
            <w:tcW w:type="dxa" w:w="10886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insideH w:val="nil" w:sz="0" w:color="FFFFFF"/>
              <w:insideV w:val="nil" w:sz="0" w:color="FFFFFF"/>
            </w:tcBorders>
            <w:tcMar>
              <w:top w:w="170" w:type="dxa"/>
              <w:start w:w="220" w:type="dxa"/>
              <w:bottom w:w="170" w:type="dxa"/>
              <w:end w:w="220" w:type="dxa"/>
            </w:tcMar>
            <w:vAlign w:val="center"/>
            <w:shd w:fill="194B4A"/>
          </w:tcPr>
          <w:p/>
          <w:tbl>
            <w:tblPr>
              <w:tblW w:type="dxa" w:w="1044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443"/>
              <w:gridCol w:w="5443"/>
            </w:tblGrid>
            <w:tr>
              <w:tc>
                <w:tcPr>
                  <w:tcW w:type="dxa" w:w="8390"/>
                  <w:tcBorders>
                    <w:top w:val="nil" w:sz="0" w:color="FFFFFF"/>
                    <w:left w:val="nil" w:sz="0" w:color="FFFFFF"/>
                    <w:bottom w:val="nil" w:sz="0" w:color="FFFFFF"/>
                    <w:right w:val="nil" w:sz="0" w:color="FFFFFF"/>
                    <w:insideH w:val="nil" w:sz="0" w:color="FFFFFF"/>
                    <w:insideV w:val="nil" w:sz="0" w:color="FFFFFF"/>
                  </w:tcBorders>
                  <w:shd w:fill="194B4A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spacing w:after="120" w:before="0" w:line="252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30000" cy="39015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ozaika-logo-whit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0000" cy="3901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040"/>
                  <w:tcBorders>
                    <w:top w:val="nil" w:sz="0" w:color="FFFFFF"/>
                    <w:left w:val="nil" w:sz="0" w:color="FFFFFF"/>
                    <w:bottom w:val="nil" w:sz="0" w:color="FFFFFF"/>
                    <w:right w:val="nil" w:sz="0" w:color="FFFFFF"/>
                    <w:insideH w:val="nil" w:sz="0" w:color="FFFFFF"/>
                    <w:insideV w:val="nil" w:sz="0" w:color="FFFFFF"/>
                  </w:tcBorders>
                  <w:shd w:fill="194B4A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spacing w:after="0" w:before="0" w:line="252" w:lineRule="auto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32000" cy="4320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lam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2000" cy="43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after="120" w:before="0" w:line="226" w:lineRule="auto"/>
            </w:pPr>
            <w:r>
              <w:rPr>
                <w:rFonts w:ascii="Hind" w:hAnsi="Hind" w:cs="Hind"/>
                <w:b/>
                <w:i w:val="0"/>
                <w:color w:val="FFFFFF"/>
                <w:sz w:val="44"/>
              </w:rPr>
              <w:t>नया customer.</w:t>
            </w:r>
            <w:r>
              <w:br/>
            </w:r>
            <w:r>
              <w:rPr>
                <w:rFonts w:ascii="Hind" w:hAnsi="Hind" w:cs="Hind"/>
                <w:b/>
                <w:i w:val="0"/>
                <w:color w:val="FFFFFF"/>
                <w:sz w:val="44"/>
              </w:rPr>
              <w:t>सीधा आपके restaurant के अंदर.</w:t>
            </w:r>
          </w:p>
          <w:p>
            <w:pPr>
              <w:spacing w:after="80" w:before="0" w:line="269" w:lineRule="auto"/>
            </w:pPr>
            <w:r>
              <w:rPr>
                <w:rFonts w:ascii="Hind" w:hAnsi="Hind" w:cs="Hind"/>
                <w:b w:val="0"/>
                <w:i w:val="0"/>
                <w:color w:val="FFF4E8"/>
                <w:sz w:val="19"/>
              </w:rPr>
              <w:t>goZaika आपके brand की पहचान संभालते हुए BAM Bag drops को smart customer acquisition channel बनाता है.</w:t>
            </w:r>
          </w:p>
          <w:p>
            <w:pPr>
              <w:spacing w:after="0" w:before="0" w:line="252" w:lineRule="auto"/>
            </w:pPr>
            <w:r>
              <w:rPr>
                <w:rFonts w:ascii="Hind" w:hAnsi="Hind" w:cs="Hind"/>
                <w:b/>
                <w:i w:val="0"/>
                <w:color w:val="D4A017"/>
                <w:sz w:val="21"/>
              </w:rPr>
              <w:t>BAM! बड़ा ज़ायका, आएगा मज़ा</w:t>
            </w:r>
          </w:p>
        </w:tc>
      </w:tr>
      <w:tr>
        <w:trPr>
          <w:trHeight w:hRule="atLeast" w:val="7597"/>
        </w:trPr>
        <w:tc>
          <w:tcPr>
            <w:tcW w:type="dxa" w:w="10886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insideH w:val="nil" w:sz="0" w:color="FFFFFF"/>
              <w:insideV w:val="nil" w:sz="0" w:color="FFFFFF"/>
            </w:tcBorders>
            <w:tcMar>
              <w:top w:w="170" w:type="dxa"/>
              <w:start w:w="220" w:type="dxa"/>
              <w:bottom w:w="170" w:type="dxa"/>
              <w:end w:w="220" w:type="dxa"/>
            </w:tcMar>
            <w:vAlign w:val="center"/>
            <w:shd w:fill="FFF8F0"/>
          </w:tcPr>
          <w:p>
            <w:pPr>
              <w:spacing w:after="60" w:before="0" w:line="252" w:lineRule="auto"/>
            </w:pPr>
            <w:r>
              <w:rPr>
                <w:rFonts w:ascii="Poppins" w:hAnsi="Poppins" w:cs="Poppins"/>
                <w:b/>
                <w:i w:val="0"/>
                <w:color w:val="D4A017"/>
                <w:sz w:val="15"/>
              </w:rPr>
              <w:t>Restaurant Partner Sales Sheet</w:t>
            </w:r>
          </w:p>
          <w:p>
            <w:pPr>
              <w:spacing w:after="120" w:before="0" w:line="240" w:lineRule="auto"/>
            </w:pPr>
            <w:r>
              <w:rPr>
                <w:rFonts w:ascii="Hind" w:hAnsi="Hind" w:cs="Hind"/>
                <w:b/>
                <w:i w:val="0"/>
                <w:color w:val="1A5C38"/>
                <w:sz w:val="25"/>
              </w:rPr>
              <w:t>Serious restaurant brands के लिए goZaika के चार मजबूत कारण</w:t>
            </w:r>
          </w:p>
          <w:tbl>
            <w:tblPr>
              <w:tblW w:type="dxa" w:w="1044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443"/>
              <w:gridCol w:w="5443"/>
            </w:tblGrid>
            <w:tr>
              <w:trPr>
                <w:trHeight w:hRule="atLeast" w:val="2523"/>
              </w:trPr>
              <w:tc>
                <w:tcPr>
                  <w:tcW w:type="dxa" w:w="5159"/>
                  <w:tcBorders>
                    <w:top w:val="single" w:sz="8" w:color="E7D7C6"/>
                    <w:left w:val="single" w:sz="8" w:color="E7D7C6"/>
                    <w:bottom w:val="single" w:sz="8" w:color="E7D7C6"/>
                    <w:right w:val="single" w:sz="8" w:color="E7D7C6"/>
                    <w:insideH w:val="single" w:sz="8" w:color="E7D7C6"/>
                    <w:insideV w:val="single" w:sz="8" w:color="E7D7C6"/>
                  </w:tcBorders>
                  <w:shd w:fill="FFFFFF"/>
                  <w:tcMar>
                    <w:top w:w="155" w:type="dxa"/>
                    <w:start w:w="185" w:type="dxa"/>
                    <w:bottom w:w="155" w:type="dxa"/>
                    <w:end w:w="185" w:type="dxa"/>
                  </w:tcMar>
                  <w:vAlign w:val="center"/>
                </w:tcPr>
                <w:p>
                  <w:pPr>
                    <w:spacing w:after="60" w:before="0" w:line="252" w:lineRule="auto"/>
                  </w:pPr>
                  <w:r>
                    <w:rPr>
                      <w:rFonts w:ascii="Poppins" w:hAnsi="Poppins" w:cs="Poppins"/>
                      <w:b/>
                      <w:i w:val="0"/>
                      <w:color w:val="FF6B35"/>
                      <w:sz w:val="14"/>
                    </w:rPr>
                    <w:t>Rs</w:t>
                  </w:r>
                </w:p>
                <w:p>
                  <w:pPr>
                    <w:spacing w:after="60" w:before="0" w:line="245" w:lineRule="auto"/>
                  </w:pPr>
                  <w:r>
                    <w:rPr>
                      <w:rFonts w:ascii="Hind" w:hAnsi="Hind" w:cs="Hind"/>
                      <w:b/>
                      <w:i w:val="0"/>
                      <w:color w:val="1A5C38"/>
                      <w:sz w:val="22"/>
                    </w:rPr>
                    <w:t>Margin वापस. पहचान intact.</w:t>
                  </w:r>
                </w:p>
                <w:p>
                  <w:pPr>
                    <w:spacing w:after="0" w:before="0" w:line="259" w:lineRule="auto"/>
                  </w:pPr>
                  <w:r>
                    <w:rPr>
                      <w:rFonts w:ascii="Hind" w:hAnsi="Hind" w:cs="Hind"/>
                      <w:b w:val="0"/>
                      <w:i w:val="0"/>
                      <w:color w:val="2D2D2D"/>
                      <w:sz w:val="16"/>
                    </w:rPr>
                    <w:t>Planned kitchen prep को नई revenue stream बनाइए. Menu value और brand dignity आपके control में रहती है.</w:t>
                  </w:r>
                </w:p>
              </w:tc>
              <w:tc>
                <w:tcPr>
                  <w:tcW w:type="dxa" w:w="5159"/>
                  <w:tcBorders>
                    <w:top w:val="single" w:sz="8" w:color="E7D7C6"/>
                    <w:left w:val="single" w:sz="8" w:color="E7D7C6"/>
                    <w:bottom w:val="single" w:sz="8" w:color="E7D7C6"/>
                    <w:right w:val="single" w:sz="8" w:color="E7D7C6"/>
                    <w:insideH w:val="single" w:sz="8" w:color="E7D7C6"/>
                    <w:insideV w:val="single" w:sz="8" w:color="E7D7C6"/>
                  </w:tcBorders>
                  <w:shd w:fill="FFFFFF"/>
                  <w:tcMar>
                    <w:top w:w="155" w:type="dxa"/>
                    <w:start w:w="185" w:type="dxa"/>
                    <w:bottom w:w="155" w:type="dxa"/>
                    <w:end w:w="185" w:type="dxa"/>
                  </w:tcMar>
                  <w:vAlign w:val="center"/>
                </w:tcPr>
                <w:p>
                  <w:pPr>
                    <w:spacing w:after="60" w:before="0" w:line="252" w:lineRule="auto"/>
                  </w:pPr>
                  <w:r>
                    <w:rPr>
                      <w:rFonts w:ascii="Poppins" w:hAnsi="Poppins" w:cs="Poppins"/>
                      <w:b/>
                      <w:i w:val="0"/>
                      <w:color w:val="FF6B35"/>
                      <w:sz w:val="14"/>
                    </w:rPr>
                    <w:t>CRM</w:t>
                  </w:r>
                </w:p>
                <w:p>
                  <w:pPr>
                    <w:spacing w:after="60" w:before="0" w:line="245" w:lineRule="auto"/>
                  </w:pPr>
                  <w:r>
                    <w:rPr>
                      <w:rFonts w:ascii="Hind" w:hAnsi="Hind" w:cs="Hind"/>
                      <w:b/>
                      <w:i w:val="0"/>
                      <w:color w:val="1A5C38"/>
                      <w:sz w:val="22"/>
                    </w:rPr>
                    <w:t>नए customers. Data आपका.</w:t>
                  </w:r>
                </w:p>
                <w:p>
                  <w:pPr>
                    <w:spacing w:after="0" w:before="0" w:line="259" w:lineRule="auto"/>
                  </w:pPr>
                  <w:r>
                    <w:rPr>
                      <w:rFonts w:ascii="Hind" w:hAnsi="Hind" w:cs="Hind"/>
                      <w:b w:val="0"/>
                      <w:i w:val="0"/>
                      <w:color w:val="2D2D2D"/>
                      <w:sz w:val="16"/>
                    </w:rPr>
                    <w:t>हर BAM Bag claim एक नया customer लाता है. Aapke customers, aapka data - hamesha.</w:t>
                  </w:r>
                </w:p>
              </w:tc>
            </w:tr>
            <w:tr>
              <w:trPr>
                <w:trHeight w:hRule="atLeast" w:val="2523"/>
              </w:trPr>
              <w:tc>
                <w:tcPr>
                  <w:tcW w:type="dxa" w:w="5159"/>
                  <w:tcBorders>
                    <w:top w:val="single" w:sz="8" w:color="E7D7C6"/>
                    <w:left w:val="single" w:sz="8" w:color="E7D7C6"/>
                    <w:bottom w:val="single" w:sz="8" w:color="E7D7C6"/>
                    <w:right w:val="single" w:sz="8" w:color="E7D7C6"/>
                    <w:insideH w:val="single" w:sz="8" w:color="E7D7C6"/>
                    <w:insideV w:val="single" w:sz="8" w:color="E7D7C6"/>
                  </w:tcBorders>
                  <w:shd w:fill="FFFFFF"/>
                  <w:tcMar>
                    <w:top w:w="155" w:type="dxa"/>
                    <w:start w:w="185" w:type="dxa"/>
                    <w:bottom w:w="155" w:type="dxa"/>
                    <w:end w:w="185" w:type="dxa"/>
                  </w:tcMar>
                  <w:vAlign w:val="center"/>
                </w:tcPr>
                <w:p>
                  <w:pPr>
                    <w:spacing w:after="60" w:before="0" w:line="252" w:lineRule="auto"/>
                  </w:pPr>
                  <w:r>
                    <w:rPr>
                      <w:rFonts w:ascii="Poppins" w:hAnsi="Poppins" w:cs="Poppins"/>
                      <w:b/>
                      <w:i w:val="0"/>
                      <w:color w:val="FF6B35"/>
                      <w:sz w:val="14"/>
                    </w:rPr>
                    <w:t>IN</w:t>
                  </w:r>
                </w:p>
                <w:p>
                  <w:pPr>
                    <w:spacing w:after="60" w:before="0" w:line="245" w:lineRule="auto"/>
                  </w:pPr>
                  <w:r>
                    <w:rPr>
                      <w:rFonts w:ascii="Hind" w:hAnsi="Hind" w:cs="Hind"/>
                      <w:b/>
                      <w:i w:val="0"/>
                      <w:color w:val="1A5C38"/>
                      <w:sz w:val="22"/>
                    </w:rPr>
                    <w:t>वो walk-in करते हैं. आप और sell करते हैं.</w:t>
                  </w:r>
                </w:p>
                <w:p>
                  <w:pPr>
                    <w:spacing w:after="0" w:before="0" w:line="259" w:lineRule="auto"/>
                  </w:pPr>
                  <w:r>
                    <w:rPr>
                      <w:rFonts w:ascii="Hind" w:hAnsi="Hind" w:cs="Hind"/>
                      <w:b w:val="0"/>
                      <w:i w:val="0"/>
                      <w:color w:val="2D2D2D"/>
                      <w:sz w:val="16"/>
                    </w:rPr>
                    <w:t>Pickup customers में से 41% collection पर extra items खरीदते हैं. हर pickup window counter upsell moment है.</w:t>
                  </w:r>
                </w:p>
              </w:tc>
              <w:tc>
                <w:tcPr>
                  <w:tcW w:type="dxa" w:w="5159"/>
                  <w:tcBorders>
                    <w:top w:val="single" w:sz="8" w:color="E7D7C6"/>
                    <w:left w:val="single" w:sz="8" w:color="E7D7C6"/>
                    <w:bottom w:val="single" w:sz="8" w:color="E7D7C6"/>
                    <w:right w:val="single" w:sz="8" w:color="E7D7C6"/>
                    <w:insideH w:val="single" w:sz="8" w:color="E7D7C6"/>
                    <w:insideV w:val="single" w:sz="8" w:color="E7D7C6"/>
                  </w:tcBorders>
                  <w:shd w:fill="FFFFFF"/>
                  <w:tcMar>
                    <w:top w:w="155" w:type="dxa"/>
                    <w:start w:w="185" w:type="dxa"/>
                    <w:bottom w:w="155" w:type="dxa"/>
                    <w:end w:w="185" w:type="dxa"/>
                  </w:tcMar>
                  <w:vAlign w:val="center"/>
                </w:tcPr>
                <w:p>
                  <w:pPr>
                    <w:spacing w:after="60" w:before="0" w:line="252" w:lineRule="auto"/>
                  </w:pPr>
                  <w:r>
                    <w:rPr>
                      <w:rFonts w:ascii="Poppins" w:hAnsi="Poppins" w:cs="Poppins"/>
                      <w:b/>
                      <w:i w:val="0"/>
                      <w:color w:val="FF6B35"/>
                      <w:sz w:val="14"/>
                    </w:rPr>
                    <w:t>BRAND</w:t>
                  </w:r>
                </w:p>
                <w:p>
                  <w:pPr>
                    <w:spacing w:after="60" w:before="0" w:line="245" w:lineRule="auto"/>
                  </w:pPr>
                  <w:r>
                    <w:rPr>
                      <w:rFonts w:ascii="Hind" w:hAnsi="Hind" w:cs="Hind"/>
                      <w:b/>
                      <w:i w:val="0"/>
                      <w:color w:val="1A5C38"/>
                      <w:sz w:val="22"/>
                    </w:rPr>
                    <w:t>आपका खाना, आपकी पहचान.</w:t>
                  </w:r>
                </w:p>
                <w:p>
                  <w:pPr>
                    <w:spacing w:after="0" w:before="0" w:line="259" w:lineRule="auto"/>
                  </w:pPr>
                  <w:r>
                    <w:rPr>
                      <w:rFonts w:ascii="Hind" w:hAnsi="Hind" w:cs="Hind"/>
                      <w:b w:val="0"/>
                      <w:i w:val="0"/>
                      <w:color w:val="2D2D2D"/>
                      <w:sz w:val="16"/>
                    </w:rPr>
                    <w:t>Restaurant name, food story और hospitality front and centre रहती है. Kya drop hoga, kab hoga - aap decide karte hain.</w:t>
                  </w:r>
                </w:p>
              </w:tc>
            </w:tr>
          </w:tbl>
          <w:p/>
        </w:tc>
      </w:tr>
      <w:tr>
        <w:trPr>
          <w:trHeight w:hRule="atLeast" w:val="3402"/>
        </w:trPr>
        <w:tc>
          <w:tcPr>
            <w:tcW w:type="dxa" w:w="10886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insideH w:val="nil" w:sz="0" w:color="FFFFFF"/>
              <w:insideV w:val="nil" w:sz="0" w:color="FFFFFF"/>
            </w:tcBorders>
            <w:tcMar>
              <w:top w:w="170" w:type="dxa"/>
              <w:start w:w="220" w:type="dxa"/>
              <w:bottom w:w="170" w:type="dxa"/>
              <w:end w:w="220" w:type="dxa"/>
            </w:tcMar>
            <w:vAlign w:val="center"/>
            <w:shd w:fill="1A5C38"/>
          </w:tcPr>
          <w:p/>
          <w:tbl>
            <w:tblPr>
              <w:tblW w:type="dxa" w:w="1044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721"/>
              <w:gridCol w:w="2721"/>
              <w:gridCol w:w="2721"/>
              <w:gridCol w:w="2721"/>
            </w:tblGrid>
            <w:tr>
              <w:tc>
                <w:tcPr>
                  <w:tcW w:type="dxa" w:w="2579"/>
                  <w:tcBorders>
                    <w:top w:val="single" w:sz="6" w:color="2F7A50"/>
                    <w:left w:val="single" w:sz="6" w:color="2F7A50"/>
                    <w:bottom w:val="single" w:sz="6" w:color="2F7A50"/>
                    <w:right w:val="single" w:sz="6" w:color="2F7A50"/>
                    <w:insideH w:val="single" w:sz="6" w:color="2F7A50"/>
                    <w:insideV w:val="single" w:sz="6" w:color="2F7A50"/>
                  </w:tcBorders>
                  <w:shd w:fill="1A5C38"/>
                  <w:tcMar>
                    <w:top w:w="95" w:type="dxa"/>
                    <w:start w:w="100" w:type="dxa"/>
                    <w:bottom w:w="95" w:type="dxa"/>
                    <w:end w:w="100" w:type="dxa"/>
                  </w:tcMar>
                  <w:vAlign w:val="center"/>
                </w:tcPr>
                <w:p>
                  <w:pPr>
                    <w:spacing w:after="20" w:before="0" w:line="252" w:lineRule="auto"/>
                    <w:jc w:val="center"/>
                  </w:pPr>
                  <w:r>
                    <w:rPr>
                      <w:rFonts w:ascii="Poppins" w:hAnsi="Poppins" w:cs="Poppins"/>
                      <w:b/>
                      <w:i w:val="0"/>
                      <w:color w:val="FFFFFF"/>
                      <w:sz w:val="26"/>
                    </w:rPr>
                    <w:t>12%</w:t>
                  </w:r>
                </w:p>
                <w:p>
                  <w:pPr>
                    <w:spacing w:after="20" w:before="0" w:line="252" w:lineRule="auto"/>
                    <w:jc w:val="center"/>
                  </w:pPr>
                  <w:r>
                    <w:rPr>
                      <w:rFonts w:ascii="Hind" w:hAnsi="Hind" w:cs="Hind"/>
                      <w:b/>
                      <w:i w:val="0"/>
                      <w:color w:val="D4A017"/>
                      <w:sz w:val="15"/>
                    </w:rPr>
                    <w:t>Commission</w:t>
                  </w:r>
                </w:p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rFonts w:ascii="Hind" w:hAnsi="Hind" w:cs="Hind"/>
                      <w:b w:val="0"/>
                      <w:i w:val="0"/>
                      <w:color w:val="E8F4E8"/>
                      <w:sz w:val="13"/>
                    </w:rPr>
                    <w:t>Aggregators: 25-30% तक</w:t>
                  </w:r>
                </w:p>
              </w:tc>
              <w:tc>
                <w:tcPr>
                  <w:tcW w:type="dxa" w:w="2579"/>
                  <w:tcBorders>
                    <w:top w:val="single" w:sz="6" w:color="2F7A50"/>
                    <w:left w:val="single" w:sz="6" w:color="2F7A50"/>
                    <w:bottom w:val="single" w:sz="6" w:color="2F7A50"/>
                    <w:right w:val="single" w:sz="6" w:color="2F7A50"/>
                    <w:insideH w:val="single" w:sz="6" w:color="2F7A50"/>
                    <w:insideV w:val="single" w:sz="6" w:color="2F7A50"/>
                  </w:tcBorders>
                  <w:shd w:fill="1A5C38"/>
                  <w:tcMar>
                    <w:top w:w="95" w:type="dxa"/>
                    <w:start w:w="100" w:type="dxa"/>
                    <w:bottom w:w="95" w:type="dxa"/>
                    <w:end w:w="100" w:type="dxa"/>
                  </w:tcMar>
                  <w:vAlign w:val="center"/>
                </w:tcPr>
                <w:p>
                  <w:pPr>
                    <w:spacing w:after="20" w:before="0" w:line="252" w:lineRule="auto"/>
                    <w:jc w:val="center"/>
                  </w:pPr>
                  <w:r>
                    <w:rPr>
                      <w:rFonts w:ascii="Poppins" w:hAnsi="Poppins" w:cs="Poppins"/>
                      <w:b/>
                      <w:i w:val="0"/>
                      <w:color w:val="FFFFFF"/>
                      <w:sz w:val="26"/>
                    </w:rPr>
                    <w:t>0%</w:t>
                  </w:r>
                </w:p>
                <w:p>
                  <w:pPr>
                    <w:spacing w:after="20" w:before="0" w:line="252" w:lineRule="auto"/>
                    <w:jc w:val="center"/>
                  </w:pPr>
                  <w:r>
                    <w:rPr>
                      <w:rFonts w:ascii="Hind" w:hAnsi="Hind" w:cs="Hind"/>
                      <w:b/>
                      <w:i w:val="0"/>
                      <w:color w:val="D4A017"/>
                      <w:sz w:val="15"/>
                    </w:rPr>
                    <w:t>पहले 30 दिन</w:t>
                  </w:r>
                </w:p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rFonts w:ascii="Hind" w:hAnsi="Hind" w:cs="Hind"/>
                      <w:b w:val="0"/>
                      <w:i w:val="0"/>
                      <w:color w:val="E8F4E8"/>
                      <w:sz w:val="13"/>
                    </w:rPr>
                    <w:t>Commission के बिना pilot</w:t>
                  </w:r>
                </w:p>
              </w:tc>
              <w:tc>
                <w:tcPr>
                  <w:tcW w:type="dxa" w:w="2579"/>
                  <w:tcBorders>
                    <w:top w:val="single" w:sz="6" w:color="2F7A50"/>
                    <w:left w:val="single" w:sz="6" w:color="2F7A50"/>
                    <w:bottom w:val="single" w:sz="6" w:color="2F7A50"/>
                    <w:right w:val="single" w:sz="6" w:color="2F7A50"/>
                    <w:insideH w:val="single" w:sz="6" w:color="2F7A50"/>
                    <w:insideV w:val="single" w:sz="6" w:color="2F7A50"/>
                  </w:tcBorders>
                  <w:shd w:fill="1A5C38"/>
                  <w:tcMar>
                    <w:top w:w="95" w:type="dxa"/>
                    <w:start w:w="100" w:type="dxa"/>
                    <w:bottom w:w="95" w:type="dxa"/>
                    <w:end w:w="100" w:type="dxa"/>
                  </w:tcMar>
                  <w:vAlign w:val="center"/>
                </w:tcPr>
                <w:p>
                  <w:pPr>
                    <w:spacing w:after="20" w:before="0" w:line="252" w:lineRule="auto"/>
                    <w:jc w:val="center"/>
                  </w:pPr>
                  <w:r>
                    <w:rPr>
                      <w:rFonts w:ascii="Poppins" w:hAnsi="Poppins" w:cs="Poppins"/>
                      <w:b/>
                      <w:i w:val="0"/>
                      <w:color w:val="FFFFFF"/>
                      <w:sz w:val="26"/>
                    </w:rPr>
                    <w:t>₹35,000+</w:t>
                  </w:r>
                </w:p>
                <w:p>
                  <w:pPr>
                    <w:spacing w:after="20" w:before="0" w:line="252" w:lineRule="auto"/>
                    <w:jc w:val="center"/>
                  </w:pPr>
                  <w:r>
                    <w:rPr>
                      <w:rFonts w:ascii="Hind" w:hAnsi="Hind" w:cs="Hind"/>
                      <w:b/>
                      <w:i w:val="0"/>
                      <w:color w:val="D4A017"/>
                      <w:sz w:val="15"/>
                    </w:rPr>
                    <w:t>Monthly net, base case</w:t>
                  </w:r>
                </w:p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rFonts w:ascii="Hind" w:hAnsi="Hind" w:cs="Hind"/>
                      <w:b w:val="0"/>
                      <w:i w:val="0"/>
                      <w:color w:val="E8F4E8"/>
                      <w:sz w:val="13"/>
                    </w:rPr>
                    <w:t>7 BAM Bags/day पर</w:t>
                  </w:r>
                </w:p>
              </w:tc>
              <w:tc>
                <w:tcPr>
                  <w:tcW w:type="dxa" w:w="2579"/>
                  <w:tcBorders>
                    <w:top w:val="single" w:sz="6" w:color="2F7A50"/>
                    <w:left w:val="single" w:sz="6" w:color="2F7A50"/>
                    <w:bottom w:val="single" w:sz="6" w:color="2F7A50"/>
                    <w:right w:val="single" w:sz="6" w:color="2F7A50"/>
                    <w:insideH w:val="single" w:sz="6" w:color="2F7A50"/>
                    <w:insideV w:val="single" w:sz="6" w:color="2F7A50"/>
                  </w:tcBorders>
                  <w:shd w:fill="1A5C38"/>
                  <w:tcMar>
                    <w:top w:w="95" w:type="dxa"/>
                    <w:start w:w="100" w:type="dxa"/>
                    <w:bottom w:w="95" w:type="dxa"/>
                    <w:end w:w="100" w:type="dxa"/>
                  </w:tcMar>
                  <w:vAlign w:val="center"/>
                </w:tcPr>
                <w:p>
                  <w:pPr>
                    <w:spacing w:after="20" w:before="0" w:line="252" w:lineRule="auto"/>
                    <w:jc w:val="center"/>
                  </w:pPr>
                  <w:r>
                    <w:rPr>
                      <w:rFonts w:ascii="Poppins" w:hAnsi="Poppins" w:cs="Poppins"/>
                      <w:b/>
                      <w:i w:val="0"/>
                      <w:color w:val="FFFFFF"/>
                      <w:sz w:val="22"/>
                    </w:rPr>
                    <w:t>Pickup only</w:t>
                  </w:r>
                </w:p>
                <w:p>
                  <w:pPr>
                    <w:spacing w:after="20" w:before="0" w:line="252" w:lineRule="auto"/>
                    <w:jc w:val="center"/>
                  </w:pPr>
                  <w:r>
                    <w:rPr>
                      <w:rFonts w:ascii="Hind" w:hAnsi="Hind" w:cs="Hind"/>
                      <w:b/>
                      <w:i w:val="0"/>
                      <w:color w:val="D4A017"/>
                      <w:sz w:val="15"/>
                    </w:rPr>
                    <w:t>Delivery ops नहीं</w:t>
                  </w:r>
                </w:p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rFonts w:ascii="Hind" w:hAnsi="Hind" w:cs="Hind"/>
                      <w:b w:val="0"/>
                      <w:i w:val="0"/>
                      <w:color w:val="E8F4E8"/>
                      <w:sz w:val="13"/>
                    </w:rPr>
                    <w:t>Customers आपके counter पर आते हैं</w:t>
                  </w:r>
                </w:p>
              </w:tc>
            </w:tr>
          </w:tbl>
          <w:p/>
          <w:tbl>
            <w:tblPr>
              <w:tblW w:type="dxa" w:w="1044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629"/>
              <w:gridCol w:w="3629"/>
              <w:gridCol w:w="3629"/>
            </w:tblGrid>
            <w:tr>
              <w:tc>
                <w:tcPr>
                  <w:tcW w:type="dxa" w:w="708"/>
                  <w:tcBorders>
                    <w:top w:val="nil" w:sz="0" w:color="FFFFFF"/>
                    <w:left w:val="nil" w:sz="0" w:color="FFFFFF"/>
                    <w:bottom w:val="nil" w:sz="0" w:color="FFFFFF"/>
                    <w:right w:val="nil" w:sz="0" w:color="FFFFFF"/>
                    <w:insideH w:val="nil" w:sz="0" w:color="FFFFFF"/>
                    <w:insideV w:val="nil" w:sz="0" w:color="FFFFFF"/>
                  </w:tcBorders>
                  <w:shd w:fill="1A5C38"/>
                  <w:tcMar>
                    <w:top w:w="90" w:type="dxa"/>
                    <w:start w:w="40" w:type="dxa"/>
                    <w:bottom w:w="40" w:type="dxa"/>
                    <w:end w:w="40" w:type="dxa"/>
                  </w:tcMar>
                  <w:vAlign w:val="center"/>
                </w:tcPr>
                <w:p>
                  <w:pPr>
                    <w:spacing w:after="0" w:before="0" w:line="252" w:lineRule="auto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9200" cy="2592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lam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9200" cy="259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568"/>
                  <w:tcBorders>
                    <w:top w:val="nil" w:sz="0" w:color="FFFFFF"/>
                    <w:left w:val="nil" w:sz="0" w:color="FFFFFF"/>
                    <w:bottom w:val="nil" w:sz="0" w:color="FFFFFF"/>
                    <w:right w:val="nil" w:sz="0" w:color="FFFFFF"/>
                    <w:insideH w:val="nil" w:sz="0" w:color="FFFFFF"/>
                    <w:insideV w:val="nil" w:sz="0" w:color="FFFFFF"/>
                  </w:tcBorders>
                  <w:shd w:fill="1A5C38"/>
                  <w:tcMar>
                    <w:top w:w="90" w:type="dxa"/>
                    <w:start w:w="40" w:type="dxa"/>
                    <w:bottom w:w="40" w:type="dxa"/>
                    <w:end w:w="40" w:type="dxa"/>
                  </w:tcMar>
                  <w:vAlign w:val="center"/>
                </w:tcPr>
                <w:p>
                  <w:pPr>
                    <w:spacing w:after="40" w:before="0" w:line="252" w:lineRule="auto"/>
                  </w:pPr>
                  <w:r>
                    <w:rPr>
                      <w:rFonts w:ascii="Hind" w:hAnsi="Hind" w:cs="Hind"/>
                      <w:b/>
                      <w:i w:val="0"/>
                      <w:color w:val="FFFFFF"/>
                      <w:sz w:val="22"/>
                    </w:rPr>
                    <w:t>अपना पहला BAM Bag drop करने के लिए ready?</w:t>
                  </w:r>
                </w:p>
                <w:p>
                  <w:pPr>
                    <w:spacing w:after="0" w:before="0" w:line="252" w:lineRule="auto"/>
                  </w:pPr>
                  <w:r>
                    <w:rPr>
                      <w:rFonts w:ascii="Hind" w:hAnsi="Hind" w:cs="Hind"/>
                      <w:b w:val="0"/>
                      <w:i w:val="0"/>
                      <w:color w:val="E8F4E8"/>
                      <w:sz w:val="16"/>
                    </w:rPr>
                    <w:t>gozaika.in/for-restaurants  |  partners@gozaika.in</w:t>
                  </w:r>
                </w:p>
              </w:tc>
              <w:tc>
                <w:tcPr>
                  <w:tcW w:type="dxa" w:w="2040"/>
                  <w:tcBorders>
                    <w:top w:val="nil" w:sz="0" w:color="FFFFFF"/>
                    <w:left w:val="nil" w:sz="0" w:color="FFFFFF"/>
                    <w:bottom w:val="nil" w:sz="0" w:color="FFFFFF"/>
                    <w:right w:val="nil" w:sz="0" w:color="FFFFFF"/>
                    <w:insideH w:val="nil" w:sz="0" w:color="FFFFFF"/>
                    <w:insideV w:val="nil" w:sz="0" w:color="FFFFFF"/>
                  </w:tcBorders>
                  <w:shd w:fill="1A5C38"/>
                  <w:tcMar>
                    <w:top w:w="90" w:type="dxa"/>
                    <w:start w:w="40" w:type="dxa"/>
                    <w:bottom w:w="40" w:type="dxa"/>
                    <w:end w:w="40" w:type="dxa"/>
                  </w:tcMar>
                  <w:vAlign w:val="center"/>
                </w:tcPr>
                <w:p>
                  <w:pPr>
                    <w:spacing w:after="0" w:before="0" w:line="252" w:lineRule="auto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0000" cy="6300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-placeholder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000" cy="63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sectPr w:rsidR="00FC693F" w:rsidRPr="0006063C" w:rsidSect="00034616">
      <w:pgSz w:w="11906" w:h="16838"/>
      <w:pgMar w:top="510" w:right="510" w:bottom="510" w:left="51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nd" w:hAnsi="Hin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