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AHP Yöntemi ile Skor Ağırlıklandırması</w:t>
      </w:r>
    </w:p>
    <w:p>
      <w:r>
        <w:t>MahalleScore projesinde mahallelerin yaşanabilirlik düzeyini değerlendirmek için sağlık, eğitim, ulaşım, yeşil alan ve sosyal imkânlar olmak üzere beş ana kriter kullanılmıştır. Bu kriterlerden elde edilen skorların daha sistematik ve savunulabilir biçimde birleştirilebilmesi amacıyla Analitik Hiyerarşi Süreci (AHP) yöntemi uygulanmıştır.</w:t>
      </w:r>
    </w:p>
    <w:p>
      <w:r>
        <w:t>AHP, çok kriterli karar verme problemlerinde kriterlerin göreli önemini ikili karşılaştırmalar aracılığıyla belirleyen bir yöntemdir. Bu çalışmada AHP, hem ana kategori ağırlıklarını hem de kategori içindeki alt faktör ağırlıklarını belirlemek için kullanılmıştır. Böylece skor modelindeki ağırlıklar doğrudan keyfi olarak atanmak yerine, tutarlı bir karşılaştırma matrisi üzerinden hesaplanmıştır.</w:t>
      </w:r>
    </w:p>
    <w:p>
      <w:pPr>
        <w:pStyle w:val="Heading1"/>
      </w:pPr>
      <w:r>
        <w:t>Ana Kategori Ağırlıkları</w:t>
      </w:r>
    </w:p>
    <w:p>
      <w:r>
        <w:t>Mahalle yaşanabilirliği açısından temel hizmetlere erişim önceliklendirilmiştir. Bu nedenle sağlık ve eğitim kriterleri en yüksek ağırlığa sahip olacak şekilde değerlendirilmiştir. Ulaşım günlük yaşam ve şehirle bağlantı açısından üçüncü öncelikli kriter olarak ele alınmıştır. Yeşil alan ve sosyal imkânlar ise yaşam kalitesini destekleyen kriterler olarak modele dâhil edilmiştir.</w:t>
      </w:r>
    </w:p>
    <w:p>
      <w:pPr>
        <w:ind w:left="720"/>
      </w:pPr>
      <w:r>
        <w:t>• Sağlık: %30</w:t>
      </w:r>
    </w:p>
    <w:p>
      <w:pPr>
        <w:ind w:left="720"/>
      </w:pPr>
      <w:r>
        <w:t>• Eğitim: %25</w:t>
      </w:r>
    </w:p>
    <w:p>
      <w:pPr>
        <w:ind w:left="720"/>
      </w:pPr>
      <w:r>
        <w:t>• Ulaşım: %20</w:t>
      </w:r>
    </w:p>
    <w:p>
      <w:pPr>
        <w:ind w:left="720"/>
      </w:pPr>
      <w:r>
        <w:t>• Yeşil alan: %15</w:t>
      </w:r>
    </w:p>
    <w:p>
      <w:pPr>
        <w:ind w:left="720"/>
      </w:pPr>
      <w:r>
        <w:t>• Sosyal imkânlar: %10</w:t>
      </w:r>
    </w:p>
    <w:p>
      <w:r>
        <w:t>Bu ağırlıklandırma sonucunda toplam mahalle skoru, kategori skorlarının düz ortalaması yerine AHP ile belirlenen önem katsayıları kullanılarak hesaplanmaktadır.</w:t>
      </w:r>
    </w:p>
    <w:p>
      <w:pPr>
        <w:pStyle w:val="Heading1"/>
      </w:pPr>
      <w:r>
        <w:t>Alt Faktör Ağırlıkları</w:t>
      </w:r>
    </w:p>
    <w:p>
      <w:r>
        <w:t>Her kategori kendi içinde üç alt faktör ile değerlendirilmektedir: yakınlık, çeşitlilik ve yoğunluk. Yakınlık faktörü, mahalle ölçeğinde erişilebilirliği doğrudan temsil ettiği için en yüksek ağırlığa sahiptir. Çeşitlilik, farklı ihtiyaç türlerinin karşılanabilmesini ifade ettiği için ikinci sırada yer alır. Yoğunluk ise alternatif seçenek sayısını gösterdiğinden destekleyici bir faktör olarak değerlendirilmiştir.</w:t>
      </w:r>
    </w:p>
    <w:p>
      <w:pPr>
        <w:ind w:left="720"/>
      </w:pPr>
      <w:r>
        <w:t>• Yakınlık: yaklaşık %54</w:t>
      </w:r>
    </w:p>
    <w:p>
      <w:pPr>
        <w:ind w:left="720"/>
      </w:pPr>
      <w:r>
        <w:t>• Çeşitlilik: yaklaşık %29,7</w:t>
      </w:r>
    </w:p>
    <w:p>
      <w:pPr>
        <w:ind w:left="720"/>
      </w:pPr>
      <w:r>
        <w:t>• Yoğunluk: yaklaşık %16,3</w:t>
      </w:r>
    </w:p>
    <w:p>
      <w:r>
        <w:t>Kategori skoru şu şekilde hesaplanmaktadır: kategori skoru = yakınlık skoru x 0,540 + çeşitlilik skoru x 0,297 + yoğunluk skoru x 0,163.</w:t>
      </w:r>
    </w:p>
    <w:p>
      <w:pPr>
        <w:pStyle w:val="Heading1"/>
      </w:pPr>
      <w:r>
        <w:t>Tutarlılık Kontrolü</w:t>
      </w:r>
    </w:p>
    <w:p>
      <w:r>
        <w:t>AHP yönteminde ikili karşılaştırmaların tutarlı olup olmadığını değerlendirmek için tutarlılık oranı (Consistency Ratio - CR) hesaplanır. Genel kabul gören yaklaşıma göre CR değerinin 0,10'dan küçük olması karşılaştırma matrisinin tutarlı olduğunu gösterir. Bu çalışmada ana kategori matrisi için CR değeri 0,00; alt faktör matrisi için CR değeri yaklaşık 0,0079 olarak hesaplanmıştır. Bu değerler, kullanılan karşılaştırmaların kabul edilebilir düzeyde tutarlı olduğunu göstermektedir.</w:t>
      </w:r>
    </w:p>
    <w:p>
      <w:pPr>
        <w:pStyle w:val="Heading1"/>
      </w:pPr>
      <w:r>
        <w:t>Skorun Yorumlanması</w:t>
      </w:r>
    </w:p>
    <w:p>
      <w:r>
        <w:t>Elde edilen toplam skor, mahallenin mutlak yaşam kalitesini gösteren kesin bir ölçü olarak değil, OpenStreetMap verilerine dayalı tesis erişilebilirliği açısından karşılaştırmalı bir karar destek puanı olarak yorumlanmalıdır. Model; tesislerin mahalle merkezine uzaklığını, farklı tesis türlerinin çeşitliliğini ve yakın çevredeki tesis yoğunluğunu dikkate alır. Bu nedenle skor, özellikle mahallelerin temel hizmetlere erişim açısından karşılaştırılmasında açıklanabilir ve savunulabilir bir ölçüt sunmaktadır.</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pPr>
      <w:spacing w:after="160" w:line="276" w:lineRule="auto"/>
    </w:pPr>
  </w:style>
  <w:style w:type="paragraph" w:styleId="Title">
    <w:name w:val="Title"/>
    <w:rPr>
      <w:b/>
      <w:sz w:val="32"/>
    </w:rPr>
    <w:pPr>
      <w:spacing w:after="240"/>
    </w:pPr>
  </w:style>
  <w:style w:type="paragraph" w:styleId="Heading1">
    <w:name w:val="heading 1"/>
    <w:rPr>
      <w:b/>
      <w:sz w:val="26"/>
    </w:rPr>
    <w:pPr>
      <w:spacing w:before="240" w:after="120"/>
    </w:pPr>
  </w:style>
</w:styles>
</file>

<file path=word/_rels/document.xml.rels><?xml version="1.0" encoding="UTF-8" standalone="yes"?>
<Relationships xmlns="http://schemas.openxmlformats.org/package/2006/relationships"/>

</file>