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Manuel Doğrulama Tablosu</w:t>
      </w:r>
    </w:p>
    <w:p>
      <w:r>
        <w:t>Bu tablo, MahalleScore modelinin ürettiği skorların seçilen örnek mahalleler üzerinde manuel gözlem ve beklenen seviye ile karşılaştırılması amacıyla hazırlanmıştır. Amaç, modelin verdiği sonuçların saha bilgisi ve genel mahalle profili ile tutarlı olup olmadığını nitel olarak değerlendirmektir.</w:t>
      </w:r>
    </w:p>
    <w:p>
      <w:pPr>
        <w:pStyle w:val="Heading1"/>
      </w:pPr>
      <w:r>
        <w:t>Uygulama Yöntemi</w:t>
      </w:r>
    </w:p>
    <w:p>
      <w:r>
        <w:t>Öncelikle farklı veri kalitesi durumlarını temsil eden mahalleler seçilmiştir. Bu seçimde idari sınırdan veri çekilen mahalleler, yaklaşık yarıçap kullanılan mahalleler ve OSM tesis verisi düşük görünen mahalleler birlikte ele alınmıştır. Her mahalle için model skoru, veri kaynağı, beklenen seviye, manuel gözlem ve modelle uyum durumu tabloya işlenmelidir.</w:t>
      </w:r>
    </w:p>
    <w:p>
      <w:r>
        <w:t>Model skoru ve veri kaynağı alanları uygulamadan alınmalıdır. Uyum alanı; model skoru ile manuel beklenen seviye birbirini destekliyorsa 'Evet', kısmen destekliyorsa 'Kısmen', açık bir uyumsuzluk varsa 'Hayır' olarak doldurulabilir.</w:t>
      </w:r>
    </w:p>
    <w:p>
      <w:pPr>
        <w:pStyle w:val="Heading1"/>
      </w:pPr>
      <w:r>
        <w:t>Doğrulama Tablosu</w:t>
      </w:r>
    </w:p>
    <w:tbl>
      <w:tblPr>
        <w:tblW w:w="0" w:type="auto"/>
        <w:tblBorders>
          <w:top w:val="single" w:sz="4" w:color="D9E5DD"/>
          <w:left w:val="single" w:sz="4" w:color="D9E5DD"/>
          <w:bottom w:val="single" w:sz="4" w:color="D9E5DD"/>
          <w:right w:val="single" w:sz="4" w:color="D9E5DD"/>
          <w:insideH w:val="single" w:sz="4" w:color="D9E5DD"/>
          <w:insideV w:val="single" w:sz="4" w:color="D9E5DD"/>
        </w:tblBorders>
      </w:tblPr>
      <w:tr>
        <w:tc>
          <w:tcPr>
            <w:tcW w:w="1800" w:type="dxa"/>
            <w:shd w:fill="EAF3EF"/>
          </w:tcPr>
          <w:p>
            <w:r>
              <w:rPr>
                <w:b/>
              </w:rPr>
              <w:t>İl</w:t>
            </w:r>
          </w:p>
        </w:tc>
        <w:tc>
          <w:tcPr>
            <w:tcW w:w="1800" w:type="dxa"/>
            <w:shd w:fill="EAF3EF"/>
          </w:tcPr>
          <w:p>
            <w:r>
              <w:rPr>
                <w:b/>
              </w:rPr>
              <w:t>İlçe</w:t>
            </w:r>
          </w:p>
        </w:tc>
        <w:tc>
          <w:tcPr>
            <w:tcW w:w="1800" w:type="dxa"/>
            <w:shd w:fill="EAF3EF"/>
          </w:tcPr>
          <w:p>
            <w:r>
              <w:rPr>
                <w:b/>
              </w:rPr>
              <w:t>Mahalle</w:t>
            </w:r>
          </w:p>
        </w:tc>
        <w:tc>
          <w:tcPr>
            <w:tcW w:w="1800" w:type="dxa"/>
            <w:shd w:fill="EAF3EF"/>
          </w:tcPr>
          <w:p>
            <w:r>
              <w:rPr>
                <w:b/>
              </w:rPr>
              <w:t>Model Skoru</w:t>
            </w:r>
          </w:p>
        </w:tc>
        <w:tc>
          <w:tcPr>
            <w:tcW w:w="1800" w:type="dxa"/>
            <w:shd w:fill="EAF3EF"/>
          </w:tcPr>
          <w:p>
            <w:r>
              <w:rPr>
                <w:b/>
              </w:rPr>
              <w:t>Veri Kaynağı</w:t>
            </w:r>
          </w:p>
        </w:tc>
        <w:tc>
          <w:tcPr>
            <w:tcW w:w="1800" w:type="dxa"/>
            <w:shd w:fill="EAF3EF"/>
          </w:tcPr>
          <w:p>
            <w:r>
              <w:rPr>
                <w:b/>
              </w:rPr>
              <w:t>Beklenen Seviye</w:t>
            </w:r>
          </w:p>
        </w:tc>
        <w:tc>
          <w:tcPr>
            <w:tcW w:w="1800" w:type="dxa"/>
            <w:shd w:fill="EAF3EF"/>
          </w:tcPr>
          <w:p>
            <w:r>
              <w:rPr>
                <w:b/>
              </w:rPr>
              <w:t>Manuel Gözlem</w:t>
            </w:r>
          </w:p>
        </w:tc>
        <w:tc>
          <w:tcPr>
            <w:tcW w:w="1800" w:type="dxa"/>
            <w:shd w:fill="EAF3EF"/>
          </w:tcPr>
          <w:p>
            <w:r>
              <w:rPr>
                <w:b/>
              </w:rPr>
              <w:t>Uyum</w:t>
            </w:r>
          </w:p>
        </w:tc>
      </w:tr>
      <w:tr>
        <w:tc>
          <w:tcPr>
            <w:tcW w:w="1800" w:type="dxa"/>
          </w:tcPr>
          <w:p>
            <w:r>
              <w:rPr/>
              <w:t>Gaziantep</w:t>
            </w:r>
          </w:p>
        </w:tc>
        <w:tc>
          <w:tcPr>
            <w:tcW w:w="1800" w:type="dxa"/>
          </w:tcPr>
          <w:p>
            <w:r>
              <w:rPr/>
              <w:t>Şahinbey</w:t>
            </w:r>
          </w:p>
        </w:tc>
        <w:tc>
          <w:tcPr>
            <w:tcW w:w="1800" w:type="dxa"/>
          </w:tcPr>
          <w:p>
            <w:r>
              <w:rPr/>
              <w:t>Karataş Mahallesi</w:t>
            </w:r>
          </w:p>
        </w:tc>
        <w:tc>
          <w:tcPr>
            <w:tcW w:w="1800" w:type="dxa"/>
          </w:tcPr>
          <w:p>
            <w:r>
              <w:rPr/>
              <w:t/>
            </w:r>
          </w:p>
        </w:tc>
        <w:tc>
          <w:tcPr>
            <w:tcW w:w="1800" w:type="dxa"/>
          </w:tcPr>
          <w:p>
            <w:r>
              <w:rPr/>
              <w:t/>
            </w:r>
          </w:p>
        </w:tc>
        <w:tc>
          <w:tcPr>
            <w:tcW w:w="1800" w:type="dxa"/>
          </w:tcPr>
          <w:p>
            <w:r>
              <w:rPr/>
              <w:t>Yüksek</w:t>
            </w:r>
          </w:p>
        </w:tc>
        <w:tc>
          <w:tcPr>
            <w:tcW w:w="1800" w:type="dxa"/>
          </w:tcPr>
          <w:p>
            <w:r>
              <w:rPr/>
              <w:t>Sağlık, eğitim, yeşil alan ve ulaşım tesisleri yoğun görülüyor.</w:t>
            </w:r>
          </w:p>
        </w:tc>
        <w:tc>
          <w:tcPr>
            <w:tcW w:w="1800" w:type="dxa"/>
          </w:tcPr>
          <w:p>
            <w:r>
              <w:rPr/>
              <w:t/>
            </w:r>
          </w:p>
        </w:tc>
      </w:tr>
      <w:tr>
        <w:tc>
          <w:tcPr>
            <w:tcW w:w="1800" w:type="dxa"/>
          </w:tcPr>
          <w:p>
            <w:r>
              <w:rPr/>
              <w:t>Gaziantep</w:t>
            </w:r>
          </w:p>
        </w:tc>
        <w:tc>
          <w:tcPr>
            <w:tcW w:w="1800" w:type="dxa"/>
          </w:tcPr>
          <w:p>
            <w:r>
              <w:rPr/>
              <w:t>Şahinbey</w:t>
            </w:r>
          </w:p>
        </w:tc>
        <w:tc>
          <w:tcPr>
            <w:tcW w:w="1800" w:type="dxa"/>
          </w:tcPr>
          <w:p>
            <w:r>
              <w:rPr/>
              <w:t>Hoşgör Mahallesi</w:t>
            </w:r>
          </w:p>
        </w:tc>
        <w:tc>
          <w:tcPr>
            <w:tcW w:w="1800" w:type="dxa"/>
          </w:tcPr>
          <w:p>
            <w:r>
              <w:rPr/>
              <w:t/>
            </w:r>
          </w:p>
        </w:tc>
        <w:tc>
          <w:tcPr>
            <w:tcW w:w="1800" w:type="dxa"/>
          </w:tcPr>
          <w:p>
            <w:r>
              <w:rPr/>
              <w:t/>
            </w:r>
          </w:p>
        </w:tc>
        <w:tc>
          <w:tcPr>
            <w:tcW w:w="1800" w:type="dxa"/>
          </w:tcPr>
          <w:p>
            <w:r>
              <w:rPr/>
              <w:t>Orta</w:t>
            </w:r>
          </w:p>
        </w:tc>
        <w:tc>
          <w:tcPr>
            <w:tcW w:w="1800" w:type="dxa"/>
          </w:tcPr>
          <w:p>
            <w:r>
              <w:rPr/>
              <w:t>Temel tesisler mevcut ancak Karataş kadar yoğun bir hizmet dağılımı beklenmez.</w:t>
            </w:r>
          </w:p>
        </w:tc>
        <w:tc>
          <w:tcPr>
            <w:tcW w:w="1800" w:type="dxa"/>
          </w:tcPr>
          <w:p>
            <w:r>
              <w:rPr/>
              <w:t/>
            </w:r>
          </w:p>
        </w:tc>
      </w:tr>
      <w:tr>
        <w:tc>
          <w:tcPr>
            <w:tcW w:w="1800" w:type="dxa"/>
          </w:tcPr>
          <w:p>
            <w:r>
              <w:rPr/>
              <w:t>Balıkesir</w:t>
            </w:r>
          </w:p>
        </w:tc>
        <w:tc>
          <w:tcPr>
            <w:tcW w:w="1800" w:type="dxa"/>
          </w:tcPr>
          <w:p>
            <w:r>
              <w:rPr/>
              <w:t>Bandırma</w:t>
            </w:r>
          </w:p>
        </w:tc>
        <w:tc>
          <w:tcPr>
            <w:tcW w:w="1800" w:type="dxa"/>
          </w:tcPr>
          <w:p>
            <w:r>
              <w:rPr/>
              <w:t>Paşakent Mahallesi</w:t>
            </w:r>
          </w:p>
        </w:tc>
        <w:tc>
          <w:tcPr>
            <w:tcW w:w="1800" w:type="dxa"/>
          </w:tcPr>
          <w:p>
            <w:r>
              <w:rPr/>
              <w:t/>
            </w:r>
          </w:p>
        </w:tc>
        <w:tc>
          <w:tcPr>
            <w:tcW w:w="1800" w:type="dxa"/>
          </w:tcPr>
          <w:p>
            <w:r>
              <w:rPr/>
              <w:t/>
            </w:r>
          </w:p>
        </w:tc>
        <w:tc>
          <w:tcPr>
            <w:tcW w:w="1800" w:type="dxa"/>
          </w:tcPr>
          <w:p>
            <w:r>
              <w:rPr/>
              <w:t>Yüksek</w:t>
            </w:r>
          </w:p>
        </w:tc>
        <w:tc>
          <w:tcPr>
            <w:tcW w:w="1800" w:type="dxa"/>
          </w:tcPr>
          <w:p>
            <w:r>
              <w:rPr/>
              <w:t>Sosyal imkân, ulaşım ve yeşil alan sayısının yüksek olması beklenir.</w:t>
            </w:r>
          </w:p>
        </w:tc>
        <w:tc>
          <w:tcPr>
            <w:tcW w:w="1800" w:type="dxa"/>
          </w:tcPr>
          <w:p>
            <w:r>
              <w:rPr/>
              <w:t/>
            </w:r>
          </w:p>
        </w:tc>
      </w:tr>
      <w:tr>
        <w:tc>
          <w:tcPr>
            <w:tcW w:w="1800" w:type="dxa"/>
          </w:tcPr>
          <w:p>
            <w:r>
              <w:rPr/>
              <w:t>Balıkesir</w:t>
            </w:r>
          </w:p>
        </w:tc>
        <w:tc>
          <w:tcPr>
            <w:tcW w:w="1800" w:type="dxa"/>
          </w:tcPr>
          <w:p>
            <w:r>
              <w:rPr/>
              <w:t>Bandırma</w:t>
            </w:r>
          </w:p>
        </w:tc>
        <w:tc>
          <w:tcPr>
            <w:tcW w:w="1800" w:type="dxa"/>
          </w:tcPr>
          <w:p>
            <w:r>
              <w:rPr/>
              <w:t>Yeni Mahallesi</w:t>
            </w:r>
          </w:p>
        </w:tc>
        <w:tc>
          <w:tcPr>
            <w:tcW w:w="1800" w:type="dxa"/>
          </w:tcPr>
          <w:p>
            <w:r>
              <w:rPr/>
              <w:t/>
            </w:r>
          </w:p>
        </w:tc>
        <w:tc>
          <w:tcPr>
            <w:tcW w:w="1800" w:type="dxa"/>
          </w:tcPr>
          <w:p>
            <w:r>
              <w:rPr/>
              <w:t/>
            </w:r>
          </w:p>
        </w:tc>
        <w:tc>
          <w:tcPr>
            <w:tcW w:w="1800" w:type="dxa"/>
          </w:tcPr>
          <w:p>
            <w:r>
              <w:rPr/>
              <w:t>Orta-Yüksek</w:t>
            </w:r>
          </w:p>
        </w:tc>
        <w:tc>
          <w:tcPr>
            <w:tcW w:w="1800" w:type="dxa"/>
          </w:tcPr>
          <w:p>
            <w:r>
              <w:rPr/>
              <w:t>Merkezi hizmetlere erişim ve ulaşım olanakları beklenen seviyededir.</w:t>
            </w:r>
          </w:p>
        </w:tc>
        <w:tc>
          <w:tcPr>
            <w:tcW w:w="1800" w:type="dxa"/>
          </w:tcPr>
          <w:p>
            <w:r>
              <w:rPr/>
              <w:t/>
            </w:r>
          </w:p>
        </w:tc>
      </w:tr>
      <w:tr>
        <w:tc>
          <w:tcPr>
            <w:tcW w:w="1800" w:type="dxa"/>
          </w:tcPr>
          <w:p>
            <w:r>
              <w:rPr/>
              <w:t>Bursa</w:t>
            </w:r>
          </w:p>
        </w:tc>
        <w:tc>
          <w:tcPr>
            <w:tcW w:w="1800" w:type="dxa"/>
          </w:tcPr>
          <w:p>
            <w:r>
              <w:rPr/>
              <w:t>Mustafakemalpaşa</w:t>
            </w:r>
          </w:p>
        </w:tc>
        <w:tc>
          <w:tcPr>
            <w:tcW w:w="1800" w:type="dxa"/>
          </w:tcPr>
          <w:p>
            <w:r>
              <w:rPr/>
              <w:t>Barış Mahallesi</w:t>
            </w:r>
          </w:p>
        </w:tc>
        <w:tc>
          <w:tcPr>
            <w:tcW w:w="1800" w:type="dxa"/>
          </w:tcPr>
          <w:p>
            <w:r>
              <w:rPr/>
              <w:t/>
            </w:r>
          </w:p>
        </w:tc>
        <w:tc>
          <w:tcPr>
            <w:tcW w:w="1800" w:type="dxa"/>
          </w:tcPr>
          <w:p>
            <w:r>
              <w:rPr/>
              <w:t/>
            </w:r>
          </w:p>
        </w:tc>
        <w:tc>
          <w:tcPr>
            <w:tcW w:w="1800" w:type="dxa"/>
          </w:tcPr>
          <w:p>
            <w:r>
              <w:rPr/>
              <w:t>Orta</w:t>
            </w:r>
          </w:p>
        </w:tc>
        <w:tc>
          <w:tcPr>
            <w:tcW w:w="1800" w:type="dxa"/>
          </w:tcPr>
          <w:p>
            <w:r>
              <w:rPr/>
              <w:t>OSM sınırı bulunamadığı için yaklaşık alan sonuçları dikkatli yorumlanmalıdır.</w:t>
            </w:r>
          </w:p>
        </w:tc>
        <w:tc>
          <w:tcPr>
            <w:tcW w:w="1800" w:type="dxa"/>
          </w:tcPr>
          <w:p>
            <w:r>
              <w:rPr/>
              <w:t/>
            </w:r>
          </w:p>
        </w:tc>
      </w:tr>
      <w:tr>
        <w:tc>
          <w:tcPr>
            <w:tcW w:w="1800" w:type="dxa"/>
          </w:tcPr>
          <w:p>
            <w:r>
              <w:rPr/>
              <w:t>Bursa</w:t>
            </w:r>
          </w:p>
        </w:tc>
        <w:tc>
          <w:tcPr>
            <w:tcW w:w="1800" w:type="dxa"/>
          </w:tcPr>
          <w:p>
            <w:r>
              <w:rPr/>
              <w:t>Mustafakemalpaşa</w:t>
            </w:r>
          </w:p>
        </w:tc>
        <w:tc>
          <w:tcPr>
            <w:tcW w:w="1800" w:type="dxa"/>
          </w:tcPr>
          <w:p>
            <w:r>
              <w:rPr/>
              <w:t>Lalaşahin Mahallesi</w:t>
            </w:r>
          </w:p>
        </w:tc>
        <w:tc>
          <w:tcPr>
            <w:tcW w:w="1800" w:type="dxa"/>
          </w:tcPr>
          <w:p>
            <w:r>
              <w:rPr/>
              <w:t/>
            </w:r>
          </w:p>
        </w:tc>
        <w:tc>
          <w:tcPr>
            <w:tcW w:w="1800" w:type="dxa"/>
          </w:tcPr>
          <w:p>
            <w:r>
              <w:rPr/>
              <w:t/>
            </w:r>
          </w:p>
        </w:tc>
        <w:tc>
          <w:tcPr>
            <w:tcW w:w="1800" w:type="dxa"/>
          </w:tcPr>
          <w:p>
            <w:r>
              <w:rPr/>
              <w:t>Orta</w:t>
            </w:r>
          </w:p>
        </w:tc>
        <w:tc>
          <w:tcPr>
            <w:tcW w:w="1800" w:type="dxa"/>
          </w:tcPr>
          <w:p>
            <w:r>
              <w:rPr/>
              <w:t>OSM sınırı bulunamadığı için yaklaşık alan sonuçları dikkatli yorumlanmalıdır.</w:t>
            </w:r>
          </w:p>
        </w:tc>
        <w:tc>
          <w:tcPr>
            <w:tcW w:w="1800" w:type="dxa"/>
          </w:tcPr>
          <w:p>
            <w:r>
              <w:rPr/>
              <w:t/>
            </w:r>
          </w:p>
        </w:tc>
      </w:tr>
      <w:tr>
        <w:tc>
          <w:tcPr>
            <w:tcW w:w="1800" w:type="dxa"/>
          </w:tcPr>
          <w:p>
            <w:r>
              <w:rPr/>
              <w:t>Düzce</w:t>
            </w:r>
          </w:p>
        </w:tc>
        <w:tc>
          <w:tcPr>
            <w:tcW w:w="1800" w:type="dxa"/>
          </w:tcPr>
          <w:p>
            <w:r>
              <w:rPr/>
              <w:t>Merkez</w:t>
            </w:r>
          </w:p>
        </w:tc>
        <w:tc>
          <w:tcPr>
            <w:tcW w:w="1800" w:type="dxa"/>
          </w:tcPr>
          <w:p>
            <w:r>
              <w:rPr/>
              <w:t>Çayırtarla Mahallesi</w:t>
            </w:r>
          </w:p>
        </w:tc>
        <w:tc>
          <w:tcPr>
            <w:tcW w:w="1800" w:type="dxa"/>
          </w:tcPr>
          <w:p>
            <w:r>
              <w:rPr/>
              <w:t/>
            </w:r>
          </w:p>
        </w:tc>
        <w:tc>
          <w:tcPr>
            <w:tcW w:w="1800" w:type="dxa"/>
          </w:tcPr>
          <w:p>
            <w:r>
              <w:rPr/>
              <w:t/>
            </w:r>
          </w:p>
        </w:tc>
        <w:tc>
          <w:tcPr>
            <w:tcW w:w="1800" w:type="dxa"/>
          </w:tcPr>
          <w:p>
            <w:r>
              <w:rPr/>
              <w:t>Düşük-Orta</w:t>
            </w:r>
          </w:p>
        </w:tc>
        <w:tc>
          <w:tcPr>
            <w:tcW w:w="1800" w:type="dxa"/>
          </w:tcPr>
          <w:p>
            <w:r>
              <w:rPr/>
              <w:t>Yaklaşık geniş yarıçap kullanıldığından komşu alan etkisi olabilir.</w:t>
            </w:r>
          </w:p>
        </w:tc>
        <w:tc>
          <w:tcPr>
            <w:tcW w:w="1800" w:type="dxa"/>
          </w:tcPr>
          <w:p>
            <w:r>
              <w:rPr/>
              <w:t/>
            </w:r>
          </w:p>
        </w:tc>
      </w:tr>
      <w:tr>
        <w:tc>
          <w:tcPr>
            <w:tcW w:w="1800" w:type="dxa"/>
          </w:tcPr>
          <w:p>
            <w:r>
              <w:rPr/>
              <w:t>Sinop</w:t>
            </w:r>
          </w:p>
        </w:tc>
        <w:tc>
          <w:tcPr>
            <w:tcW w:w="1800" w:type="dxa"/>
          </w:tcPr>
          <w:p>
            <w:r>
              <w:rPr/>
              <w:t>Erfelek</w:t>
            </w:r>
          </w:p>
        </w:tc>
        <w:tc>
          <w:tcPr>
            <w:tcW w:w="1800" w:type="dxa"/>
          </w:tcPr>
          <w:p>
            <w:r>
              <w:rPr/>
              <w:t>Salavat Mahallesi</w:t>
            </w:r>
          </w:p>
        </w:tc>
        <w:tc>
          <w:tcPr>
            <w:tcW w:w="1800" w:type="dxa"/>
          </w:tcPr>
          <w:p>
            <w:r>
              <w:rPr/>
              <w:t/>
            </w:r>
          </w:p>
        </w:tc>
        <w:tc>
          <w:tcPr>
            <w:tcW w:w="1800" w:type="dxa"/>
          </w:tcPr>
          <w:p>
            <w:r>
              <w:rPr/>
              <w:t/>
            </w:r>
          </w:p>
        </w:tc>
        <w:tc>
          <w:tcPr>
            <w:tcW w:w="1800" w:type="dxa"/>
          </w:tcPr>
          <w:p>
            <w:r>
              <w:rPr/>
              <w:t>Düşük</w:t>
            </w:r>
          </w:p>
        </w:tc>
        <w:tc>
          <w:tcPr>
            <w:tcW w:w="1800" w:type="dxa"/>
          </w:tcPr>
          <w:p>
            <w:r>
              <w:rPr/>
              <w:t>İdari sınır bulunmasına rağmen OSM tesis verisi çok az veya boş olabilir.</w:t>
            </w:r>
          </w:p>
        </w:tc>
        <w:tc>
          <w:tcPr>
            <w:tcW w:w="1800" w:type="dxa"/>
          </w:tcPr>
          <w:p>
            <w:r>
              <w:rPr/>
              <w:t/>
            </w:r>
          </w:p>
        </w:tc>
      </w:tr>
    </w:tbl>
    <w:p>
      <w:pPr>
        <w:pStyle w:val="Heading1"/>
      </w:pPr>
      <w:r>
        <w:t>Not</w:t>
      </w:r>
    </w:p>
    <w:p>
      <w:r>
        <w:t>Bu doğrulama, istatistiksel genelleme amacı taşımaz; modelin açıklanabilirliğini ve örnek mahalleler üzerindeki tutarlılığını raporlamak için kullanılan nitel bir kontrol adımıdır.</w:t>
      </w:r>
    </w:p>
    <w:sectPr>
      <w:pgSz w:w="16838" w:h="11906" w:orient="landscape"/>
      <w:pgMar w:top="720" w:right="720" w:bottom="720" w:left="720"/>
    </w:sectPr>
  </w:body>
</w:document>
</file>

<file path=word/styles.xml><?xml version="1.0" encoding="utf-8"?>
<w:styles xmlns:w="http://schemas.openxmlformats.org/wordprocessingml/2006/main">
  <w:style w:type="paragraph" w:default="1" w:styleId="Normal">
    <w:name w:val="Normal"/>
    <w:rPr>
      <w:sz w:val="20"/>
      <w:szCs w:val="20"/>
    </w:rPr>
    <w:pPr>
      <w:spacing w:after="140" w:line="260" w:lineRule="auto"/>
    </w:pPr>
  </w:style>
  <w:style w:type="paragraph" w:styleId="Title">
    <w:name w:val="Title"/>
    <w:rPr>
      <w:b/>
      <w:sz w:val="30"/>
    </w:rPr>
    <w:pPr>
      <w:spacing w:after="220"/>
    </w:pPr>
  </w:style>
  <w:style w:type="paragraph" w:styleId="Heading1">
    <w:name w:val="heading 1"/>
    <w:rPr>
      <w:b/>
      <w:sz w:val="24"/>
    </w:rPr>
    <w:pPr>
      <w:spacing w:before="180" w:after="100"/>
    </w:pPr>
  </w:style>
</w:styles>
</file>

<file path=word/_rels/document.xml.rels><?xml version="1.0" encoding="UTF-8" standalone="yes"?>
<Relationships xmlns="http://schemas.openxmlformats.org/package/2006/relationships"/>

</file>