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AstraPay Capstone: Executive Problem Framing</w:t>
      </w:r>
    </w:p>
    <w:p>
      <w:pPr>
        <w:jc w:val="center"/>
      </w:pPr>
      <w:r>
        <w:rPr>
          <w:i/>
        </w:rPr>
        <w:t>SMART problem statement, MECE hypotheses, KPIs, scope and decisions</w:t>
      </w:r>
    </w:p>
    <w:p>
      <w:pPr>
        <w:pStyle w:val="Heading1"/>
      </w:pPr>
      <w:r>
        <w:t>SMART problem statement</w:t>
      </w:r>
    </w:p>
    <w:p>
      <w:r>
        <w:t>AstraPay must explain why contribution profit per successful transaction fell from $0.105 in Jan–Mar 2026 to $-0.107 in Apr–Jun 2026 while attempted payment volume increased from 29,591 to 45,409. The five-day diagnostic will separate true business deterioration from data-quality artefacts, identify the most credible commercial, operational and risk drivers, and recommend actions management can execute in the next 60 days.</w:t>
      </w:r>
    </w:p>
    <w:p>
      <w:pPr>
        <w:pStyle w:val="Heading1"/>
      </w:pPr>
      <w:r>
        <w:t>Executive KPI and supporting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KPI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Date basis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Executive KPI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Contribution profit USD / successful transaction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transaction.created_at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Measures unit economics after converting currencies and deducting transaction-level variable costs.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Attempted volume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Count of unique payment attempts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transaction.created_at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Shows demand; not the same as successful or settled payments.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 rate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Successful transactions / attempts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transaction.created_at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Separates demand growth from conversion failure.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Gross payment value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Successful amount converted to USD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transaction.created_at + SPOT FX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Measures processed value without mixing currencies.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Processing cost rate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Processing cost / successful GPV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transaction.created_at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Tests routing/provider-cost hypothesis.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Chargeback rate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Chargeback transactions / successful transactions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chargeback.opened_at for operations; txn cohort for economics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Measures risk cost and post-payment disputes.</w:t>
            </w:r>
          </w:p>
        </w:tc>
      </w:tr>
    </w:tbl>
    <w:p>
      <w:pPr>
        <w:pStyle w:val="Heading1"/>
      </w:pPr>
      <w:r>
        <w:t>Scope, exclusions and assumptions</w:t>
      </w:r>
    </w:p>
    <w:p>
      <w:r>
        <w:t>Scope: India, Singapore and UAE transactions from Jan 1 to Jun 30, 2026; transaction, merchant, customer, event, fraud, settlement, FX, route-cost and chargeback data. Exclusions: fixed corporate overhead, long-term product roadmap, legal/regulatory changes not represented in the data. Assumptions: SPOT FX is used for operating economics; settlement fees and chargebacks are attributed back to transaction_id after pre-aggregation; negative/zero amounts are flagged rather than blindly removed.</w:t>
      </w:r>
    </w:p>
    <w:p>
      <w:pPr>
        <w:pStyle w:val="Heading1"/>
      </w:pPr>
      <w:r>
        <w:t>MECE hypothesis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Hypothesis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Evidence that confirms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Evidence that rejects/weakens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H1: Merchant pricing/mix is the main issue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Lower-fee pricing plans or SME/promotional merchants explain most CP/txn decline; mix decomposition shows large mix effect.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CP/txn falls even inside unchanged pricing cohorts, or provider costs explain more deterioration.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H2: Routing and processing cost caused the fall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Operational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Higher share of transactions moves to expensive routes/providers; processing cost/GPV rises and aligns with decline timing.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Provider cost rates stay flat or route mix does not align with deterioration.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H3: Latency and technical failures reduced profitability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Operational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P95 latency spike on route/period coincides with lower success rate and higher failed transactions.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Latency worsens without success-rate/profitability deterioration.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H4: Fraud controls caused false declines and lost revenue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Decline rate rises after model_version v2.0; high fraud declines in low-chargeback cohorts.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Fraud declines do not rise materially or riskier cohorts also have higher chargebacks.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H5: Reporting artefacts create false deterioration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One-to-many joins, FX rate duplication or settlement mismatch materially change KPI values.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Validated transaction-grain model reconciles and still shows deterioration.</w:t>
            </w:r>
          </w:p>
        </w:tc>
      </w:tr>
    </w:tbl>
    <w:p>
      <w:pPr>
        <w:pStyle w:val="Heading1"/>
      </w:pPr>
      <w:r>
        <w:t>Decisions enabled</w:t>
      </w:r>
    </w:p>
    <w:p>
      <w:r>
        <w:t>The analysis should allow management to decide whether to reprice affected merchants, change routing rules, fix a provider/latency issue, recalibrate fraud controls, improve settlement/FX controls, or delay executive action until data trust issues are remediated.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