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Trusted Profitability Model</w:t>
      </w:r>
    </w:p>
    <w:p>
      <w:pPr>
        <w:jc w:val="center"/>
      </w:pPr>
      <w:r>
        <w:rPr>
          <w:i/>
        </w:rPr>
        <w:t>Logical model, grain statements, metric definitions and transformation logic</w:t>
      </w:r>
    </w:p>
    <w:p>
      <w:pPr>
        <w:pStyle w:val="Heading1"/>
      </w:pPr>
      <w:r>
        <w:t>Model design</w:t>
      </w:r>
    </w:p>
    <w:p>
      <w:r>
        <w:t>The governed analytical model is built at transaction grain: one row equals one unique payment attempt. One-to-many sources such as payment events, settlements, chargebacks and monthly merchant-risk snapshots are aggregated or temporally filtered before they touch transaction-level amounts.</w:t>
      </w:r>
    </w:p>
    <w:p>
      <w:pPr>
        <w:pStyle w:val="Heading1"/>
      </w:pPr>
      <w:r>
        <w:t>Logical/star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Object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Grain</w:t>
            </w:r>
          </w:p>
        </w:tc>
        <w:tc>
          <w:tcPr>
            <w:tcW w:type="dxa" w:w="2628"/>
            <w:vAlign w:val="center"/>
            <w:shd w:fill="1F4E79"/>
          </w:tcPr>
          <w:p>
            <w:r>
              <w:rPr>
                <w:b/>
                <w:sz w:val="17"/>
              </w:rPr>
              <w:t>Join logic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fact_transaction_profitability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Central governed fact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transaction_id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Created from transaction after deduplication and enriched with pre-aggregated costs/flags.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dim_customer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Customer context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customer_id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customer_id, many transactions to one customer.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dim_merchant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Merchant/category/pricing context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merchant_id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merchant_id, many transactions to one merchant.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dim_route_cost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Daily route economics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route/date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route_id + transaction date.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agg_payment_event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Operational event metrics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transaction_id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P95/maximum processing_ms and late-ingestion flags.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agg_settlement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Settlement fees/reconciliation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transaction_id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SUM fees and counts per transaction before joining.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agg_chargeback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Chargeback economics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transaction_id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SUM chargeback amount/cost per transaction before joining.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dim_fx_spot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Operating FX conversion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 row per currency/date after rate_type filter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rate_type = SPOT and rate_date = transaction/settlement date.</w:t>
            </w:r>
          </w:p>
        </w:tc>
      </w:tr>
    </w:tbl>
    <w:p>
      <w:pPr>
        <w:pStyle w:val="Heading1"/>
      </w:pPr>
      <w:r>
        <w:t>Contribution economics formula</w:t>
      </w:r>
    </w:p>
    <w:p>
      <w:r>
        <w:t>Contribution profit USD = merchant fee USD − processing cost USD − settlement fee USD − chargeback cost USD − fraud-control cost USD + FX impact USD. The executive KPI is contribution profit USD divided by count of successful transactions.</w:t>
      </w:r>
    </w:p>
    <w:p>
      <w:pPr>
        <w:pStyle w:val="Heading1"/>
      </w:pPr>
      <w:r>
        <w:t>Metric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F4E79"/>
          </w:tcPr>
          <w:p>
            <w:r>
              <w:rPr>
                <w:b/>
                <w:sz w:val="17"/>
              </w:rPr>
              <w:t>Metric</w:t>
            </w:r>
          </w:p>
        </w:tc>
        <w:tc>
          <w:tcPr>
            <w:tcW w:type="dxa" w:w="2102"/>
            <w:vAlign w:val="center"/>
            <w:shd w:fill="1F4E79"/>
          </w:tcPr>
          <w:p>
            <w:r>
              <w:rPr>
                <w:b/>
                <w:sz w:val="17"/>
              </w:rPr>
              <w:t>Numerator</w:t>
            </w:r>
          </w:p>
        </w:tc>
        <w:tc>
          <w:tcPr>
            <w:tcW w:type="dxa" w:w="2102"/>
            <w:vAlign w:val="center"/>
            <w:shd w:fill="1F4E79"/>
          </w:tcPr>
          <w:p>
            <w:r>
              <w:rPr>
                <w:b/>
                <w:sz w:val="17"/>
              </w:rPr>
              <w:t>Denominator</w:t>
            </w:r>
          </w:p>
        </w:tc>
        <w:tc>
          <w:tcPr>
            <w:tcW w:type="dxa" w:w="2102"/>
            <w:vAlign w:val="center"/>
            <w:shd w:fill="1F4E79"/>
          </w:tcPr>
          <w:p>
            <w:r>
              <w:rPr>
                <w:b/>
                <w:sz w:val="17"/>
              </w:rPr>
              <w:t>Date basis</w:t>
            </w:r>
          </w:p>
        </w:tc>
        <w:tc>
          <w:tcPr>
            <w:tcW w:type="dxa" w:w="2102"/>
            <w:vAlign w:val="center"/>
            <w:shd w:fill="1F4E79"/>
          </w:tcPr>
          <w:p>
            <w:r>
              <w:rPr>
                <w:b/>
                <w:sz w:val="17"/>
              </w:rPr>
              <w:t>Exclusion/flag logic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Attempted volume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Unique transaction_id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Duplicate transaction_id rows excluded from trusted model.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Successful volume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status = SUCCESS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Missing settlement does not remove a successful transaction.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Success rate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Successful transactions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Attempted transactions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All valid attempts included.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Gross payment value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Successful amount converted to USD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created_at + SPOT FX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Zero/negative records retained with flags.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Processing cost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fixed_fee + abs(amount_usd) * variable_fee_pct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Route/date matched.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Settlement fee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Aggregated fee_amount converted to USD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settlement_date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Pre-aggregated by transaction_id.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Chargeback cost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Aggregated chargeback amount converted to USD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original transaction cohort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Pre-aggregated by transaction_id.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7"/>
              </w:rPr>
              <w:t>Contribution profit/success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Contribution profit USD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Successful transactions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7"/>
              </w:rPr>
              <w:t>Only transaction-grain fact used.</w:t>
            </w:r>
          </w:p>
        </w:tc>
      </w:tr>
    </w:tbl>
    <w:p>
      <w:pPr>
        <w:pStyle w:val="Heading1"/>
      </w:pPr>
      <w:r>
        <w:t>Headline model result</w:t>
      </w:r>
    </w:p>
    <w:p>
      <w:r>
        <w:t>The validated synthetic model shows contribution profit per successful transaction falling by -0.212 USD, from $0.105 to $-0.107, while attempt volume rose by 53.5%. Success rate fell from 88.5% to 84.5%.</w:t>
      </w:r>
    </w:p>
    <w:p>
      <w:r>
        <w:t>Interpretation: deterioration is not just a counting artefact. The strongest drivers are a mix shift toward lower-margin SME/promotional merchants, higher use and higher cost of expensive routes/providers, and a concentrated latency issue that weakens success rate. Chargebacks and fraud controls add pressure but do not fully explain the total change.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