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BI Executive View: Design &amp; Metric Notes</w:t>
      </w:r>
    </w:p>
    <w:p>
      <w:pPr>
        <w:jc w:val="center"/>
      </w:pPr>
      <w:r>
        <w:rPr>
          <w:i/>
        </w:rPr>
        <w:t>Concise dashboard plan and step-by-step build guidance</w:t>
      </w:r>
    </w:p>
    <w:p>
      <w:pPr>
        <w:pStyle w:val="Heading1"/>
      </w:pPr>
      <w:r>
        <w:t>Dashboard objective</w:t>
      </w:r>
    </w:p>
    <w:p>
      <w:r>
        <w:t>The dashboard should let an executive move from overall profitability deterioration to the affected route/segment without misleading aggregations. Use the governed transaction-level profitability model as the main source, not raw multi-table joins.</w:t>
      </w:r>
    </w:p>
    <w:p>
      <w:pPr>
        <w:pStyle w:val="Heading1"/>
      </w:pPr>
      <w:r>
        <w:t>Recommended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r>
              <w:rPr>
                <w:b/>
                <w:sz w:val="17"/>
              </w:rPr>
              <w:t>Visual</w:t>
            </w:r>
          </w:p>
        </w:tc>
        <w:tc>
          <w:tcPr>
            <w:tcW w:type="dxa" w:w="3504"/>
            <w:vAlign w:val="center"/>
            <w:shd w:fill="1F4E79"/>
          </w:tcPr>
          <w:p>
            <w:r>
              <w:rPr>
                <w:b/>
                <w:sz w:val="17"/>
              </w:rPr>
              <w:t>Fields</w:t>
            </w:r>
          </w:p>
        </w:tc>
        <w:tc>
          <w:tcPr>
            <w:tcW w:type="dxa" w:w="3504"/>
            <w:vAlign w:val="center"/>
            <w:shd w:fill="1F4E79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KPI cards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Attempted volume, success rate, contribution profit, contribution profit per successful transaction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Immediate executive readout.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Monthly trend line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Month vs contribution profit per successful transaction; optional success rate secondary view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Shows when deterioration started.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Deterioration contribution bar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Route/provider or merchant segment vs deterioration_contribution_usd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Shows where the economic loss is concentrated.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Mix vs within-segment view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merchant_segment, mix_effect_per_txn, within_effect_per_txn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Separates portfolio-mix shift from true performance deterioration.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Action matrix/table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Action, owner, expected impact, risk, success metric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Converts diagnosis into 60-day decisions.</w:t>
            </w:r>
          </w:p>
        </w:tc>
      </w:tr>
    </w:tbl>
    <w:p>
      <w:pPr>
        <w:pStyle w:val="Heading1"/>
      </w:pPr>
      <w:r>
        <w:t>Step-by-step Power BI build</w:t>
      </w:r>
    </w:p>
    <w:p>
      <w:pPr>
        <w:pStyle w:val="ListNumber"/>
      </w:pPr>
      <w:r>
        <w:t>Open Power BI Desktop.</w:t>
      </w:r>
    </w:p>
    <w:p>
      <w:pPr>
        <w:pStyle w:val="ListNumber"/>
      </w:pPr>
      <w:r>
        <w:t>Get Data → Text/CSV → select 05_profitability_model/transaction_profitability_model.csv.</w:t>
      </w:r>
    </w:p>
    <w:p>
      <w:pPr>
        <w:pStyle w:val="ListNumber"/>
      </w:pPr>
      <w:r>
        <w:t>Load validation/monthly_kpi_summary.csv, validation/root_cause_by_route_id.csv and validation/mix_decomposition_merchant_segment.csv.</w:t>
      </w:r>
    </w:p>
    <w:p>
      <w:pPr>
        <w:pStyle w:val="ListNumber"/>
      </w:pPr>
      <w:r>
        <w:t>In Model view, keep transaction_profitability_model as the governed fact. Avoid direct raw table joins.</w:t>
      </w:r>
    </w:p>
    <w:p>
      <w:pPr>
        <w:pStyle w:val="ListNumber"/>
      </w:pPr>
      <w:r>
        <w:t>Create measures: Attempted = DISTINCTCOUNT(transaction_id); Successful = SUM(successful_txn); Success Rate = DIVIDE([Successful],[Attempted]); Contribution Profit = SUM(contribution_profit_usd); CP per Success = DIVIDE([Contribution Profit],[Successful]).</w:t>
      </w:r>
    </w:p>
    <w:p>
      <w:pPr>
        <w:pStyle w:val="ListNumber"/>
      </w:pPr>
      <w:r>
        <w:t>Create KPI cards for the five main measures.</w:t>
      </w:r>
    </w:p>
    <w:p>
      <w:pPr>
        <w:pStyle w:val="ListNumber"/>
      </w:pPr>
      <w:r>
        <w:t>Create the monthly line chart using month and cp_per_success_txn from monthly_kpi_summary.csv.</w:t>
      </w:r>
    </w:p>
    <w:p>
      <w:pPr>
        <w:pStyle w:val="ListNumber"/>
      </w:pPr>
      <w:r>
        <w:t>Create the route/provider deterioration bar using route_id/provider and deterioration_contribution_usd from the root-cause table.</w:t>
      </w:r>
    </w:p>
    <w:p>
      <w:pPr>
        <w:pStyle w:val="ListNumber"/>
      </w:pPr>
      <w:r>
        <w:t>Create a mix/within chart using mix_effect_per_txn and within_effect_per_txn from the mix decomposition table.</w:t>
      </w:r>
    </w:p>
    <w:p>
      <w:pPr>
        <w:pStyle w:val="ListNumber"/>
      </w:pPr>
      <w:r>
        <w:t>Add slicers for country, merchant_segment, provider/route_id, pricing_plan and period.</w:t>
      </w:r>
    </w:p>
    <w:p>
      <w:pPr>
        <w:pStyle w:val="ListNumber"/>
      </w:pPr>
      <w:r>
        <w:t>Use titles that state the insight, not just the metric name.</w:t>
      </w:r>
    </w:p>
    <w:p>
      <w:pPr>
        <w:pStyle w:val="ListNumber"/>
      </w:pPr>
      <w:r>
        <w:t>Save as 06_powerbi/astrapay_powerbi_dashboard.pbix.</w:t>
      </w:r>
    </w:p>
    <w:p>
      <w:pPr>
        <w:pStyle w:val="Heading1"/>
      </w:pPr>
      <w:r>
        <w:t>3-minute SCQA narrative</w:t>
      </w:r>
    </w:p>
    <w:p>
      <w:r>
        <w:t>Situation: payment volume is growing across AstraPay markets. Complication: contribution profit per successful transaction has fallen sharply. Question: what should management change in the next 60 days? Answer: act on a combined commercial and operational deterioration, not a single-cause story: protect pricing on lower-margin SME/promotional cohorts, reduce routing exposure to expensive providers, fix the May latency spike, and strengthen data controls so management does not confuse attempts, successes and settlements.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