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results"/>
    <w:p>
      <w:pPr>
        <w:pStyle w:val="Heading2"/>
      </w:pPr>
      <w:r>
        <w:t xml:space="preserve">Results</w:t>
      </w:r>
    </w:p>
    <w:bookmarkStart w:id="20" w:name="X8c402b73bff5b41f0a6d65fd6eec5847d08b2fa"/>
    <w:p>
      <w:pPr>
        <w:pStyle w:val="Heading3"/>
      </w:pPr>
      <w:r>
        <w:t xml:space="preserve">3.1 Analytic facility layers and SCD service-readiness profile</w:t>
      </w:r>
    </w:p>
    <w:p>
      <w:pPr>
        <w:pStyle w:val="FirstParagraph"/>
      </w:pPr>
      <w:r>
        <w:t xml:space="preserve">The updated analysis was based on two linked facility layers: an accepted geocoded newborn screening (NBS) spoke layer and a candidate sickle cell disease (SCD) care hub layer. The final spoke layer included 168 accepted geocoded NBS facilities, comprising 140 existing NBS spokes and 28 collocated candidate NBS spokes (Table 1). These facilities formed the screening-side denominator for all distance calculations, nearest-hub assignments, route-feasibility classifications, and spatial outputs. Records requiring manual coordinate review were retained in the geocoding audit trail but excluded from the provisional assigned network to ensure that all modelled routes originated from facilities with accepted coordinates.</w:t>
      </w:r>
    </w:p>
    <w:p>
      <w:pPr>
        <w:pStyle w:val="BodyText"/>
      </w:pPr>
      <w:r>
        <w:t xml:space="preserve">The candidate receiving-facility layer comprised 280 Health Centre IV-and-above facilities. These facilities represented the national higher-level service platform potentially capable of receiving screen-positive infants for SCD care. Because the essential-care hub attribute file did not include geographic coordinates, candidate hubs were linked to the master health facility file using facility identifiers. This produced a complete geocoded candidate hub layer for spatial modelling.</w:t>
      </w:r>
    </w:p>
    <w:p>
      <w:pPr>
        <w:pStyle w:val="BodyText"/>
      </w:pPr>
      <w:r>
        <w:t xml:space="preserve">Each candidate hub was assessed using four binary SCD service-readiness domains: specialised SCD clinic follow-up, hydroxyurea availability, newborn screening availability, and transfusion availability. These domains were summed into a composite service-readiness score ranging from 0 to 4. Under the primary eligibility rule, facilities with a service score of at least 2 were classified as eligible SCD care hubs. Facilities with scores of at least 3 were classified as strong hubs, and facilities with all four service domains were classified as full hubs.</w:t>
      </w:r>
    </w:p>
    <w:p>
      <w:pPr>
        <w:pStyle w:val="BodyText"/>
      </w:pPr>
      <w:r>
        <w:t xml:space="preserve">Of the 280 candidate hubs, 75 met the primary eligibility rule, 43 met the strong-hub threshold, and 23 met the full-hub definition (Table 1). The treatment-any and transfusion-ready service-specific scenarios identified 155 and 115 eligible facilities, respectively. This readiness gradient established the main access-readiness trade-off examined in the network analysis: broader eligibility rules increased the number of potential receiving facilities, while stricter readiness definitions reduced the hub set but improved the completeness of the receiving care package.</w:t>
      </w:r>
    </w:p>
    <w:p>
      <w:pPr>
        <w:pStyle w:val="BodyText"/>
      </w:pPr>
      <w:r>
        <w:t xml:space="preserve">Overall, the baseline facility layers showed that Uganda’s accepted geocoded NBS platform could be linked to a national candidate SCD care hub universe, but that service readiness varied substantially across the receiving platform. Only a minority of candidate hubs provided all four measured SCD care domains. This finding motivated the subsequent scenario-based distance analysis, nearest-hub assignment, route-feasibility classification, workload assessment, and facility-strengthening prioritisation.</w:t>
      </w:r>
    </w:p>
    <w:p>
      <w:pPr>
        <w:pStyle w:val="BodyText"/>
      </w:pPr>
      <w:r>
        <w:rPr>
          <w:b/>
          <w:bCs/>
        </w:rPr>
        <w:t xml:space="preserve">Table 1. Analytic facility layers and SCD service-readiness profile.</w:t>
      </w:r>
      <w:r>
        <w:br/>
      </w:r>
      <w:r>
        <w:t xml:space="preserve">Summary of the facility layers used in the updated SCD hub-and-spoke analysis. The NBS spoke layer includes accepted geocoded screening facilities only. Candidate hubs were Health Centre IV-and-above facilities classified using four SCD service-readiness domains: specialised SCD clinic follow-up, hydroxyurea, newborn screening, and transfusion. Primary hubs had service score ≥2, strong hubs had service score ≥3, and full hubs had service score =4. Treatment-any hubs were facilities with hydroxyurea, specialised follow-up clinic capacity, or transfusion. Transfusion-ready hubs were facilities with transfusion availability. Manual-review NBS records were retained in the geocoding audit file but excluded from the provisional assigned network.</w:t>
      </w:r>
    </w:p>
    <w:bookmarkEnd w:id="20"/>
    <w:bookmarkStart w:id="21" w:name="X022fbbc611168d84430923d386d61d661b5eb80"/>
    <w:p>
      <w:pPr>
        <w:pStyle w:val="Heading3"/>
      </w:pPr>
      <w:r>
        <w:t xml:space="preserve">3.2 Scenario-based spoke-to-hub distance structure</w:t>
      </w:r>
    </w:p>
    <w:p>
      <w:pPr>
        <w:pStyle w:val="FirstParagraph"/>
      </w:pPr>
      <w:r>
        <w:t xml:space="preserve">The accepted spoke layer and candidate hub layer were used to generate scenario-specific spoke-to-hub distance matrices. Across the full candidate hub universe, 168 accepted geocoded NBS spokes were paired with 280 candidate hubs, producing 47,040 possible spoke-to-hub links (Table 2). This all-candidate matrix represented the full geographic opportunity space before hub eligibility rules and nearest-hub assignment were applied. These links were therefore not interpreted as referral assignments, but as the complete set of potential spatial relationships between screening spokes and candidate receiving facilities.</w:t>
      </w:r>
    </w:p>
    <w:p>
      <w:pPr>
        <w:pStyle w:val="BodyText"/>
      </w:pPr>
      <w:r>
        <w:t xml:space="preserve">The all-candidate distance structure showed wide national dispersion. The median all-pair distance was 224.1 km, the mean distance was 240.0 km, and the maximum distance was 674.0 km. Most all-candidate links were geographically implausible as routine referral pathways: 39,919 of 47,040 links (84.9%) exceeded 100 km, while only 926 links (2.0%) were within 25 km and 1,576 links (3.4%) were between 25 and 50 km. These findings show why the all-pair matrix should not be interpreted as an operational referral network.</w:t>
      </w:r>
    </w:p>
    <w:p>
      <w:pPr>
        <w:pStyle w:val="BodyText"/>
      </w:pPr>
      <w:r>
        <w:t xml:space="preserve">Applying hub eligibility rules progressively reshaped the candidate linkage space. The primary scenario included 75 eligible hubs and 12,600 possible primary spoke-to-hub links. Within this scenario, the median candidate distance was 196.0 km, and 82.0% of candidate links still exceeded 100 km. More restrictive readiness definitions further reduced the eligible hub set: the strong-hub scenario included 43 hubs and 7,224 possible links, while the full-hub scenario included 23 hubs and 3,864 possible links (Table 2). These stricter scenarios represented more complete hub-readiness requirements but narrowed the geographic set of potential receiving facilities.</w:t>
      </w:r>
    </w:p>
    <w:p>
      <w:pPr>
        <w:pStyle w:val="BodyText"/>
      </w:pPr>
      <w:r>
        <w:t xml:space="preserve">The service-specific scenarios provided complementary views of the hub universe. The treatment-any scenario included 155 hubs and 26,040 possible links, making it the broadest service-based eligibility set. The transfusion-ready scenario included 115 hubs and 19,320 possible links. These scenarios identified facilities with selected SCD-relevant service assets, but they did not necessarily represent complete care hubs.</w:t>
      </w:r>
    </w:p>
    <w:p>
      <w:pPr>
        <w:pStyle w:val="BodyText"/>
      </w:pPr>
      <w:r>
        <w:t xml:space="preserve">Together, the scenario-specific matrices showed that the structure of the candidate referral space depended strongly on the hub eligibility definition. Broader definitions increased the number of potential receiving facilities, while stricter definitions reduced the hub set and concentrated potential linkages around fewer, more complete hubs. These matrices established the scenario-specific hub universes used for nearest eligible hub assignment.</w:t>
      </w:r>
    </w:p>
    <w:bookmarkEnd w:id="21"/>
    <w:bookmarkStart w:id="22" w:name="X71aa4e5a1aee8d9bb53a9048df9695fafd309c1"/>
    <w:p>
      <w:pPr>
        <w:pStyle w:val="Heading3"/>
      </w:pPr>
      <w:r>
        <w:t xml:space="preserve">3.3 Nearest-hub assignment under alternative eligibility scenarios</w:t>
      </w:r>
    </w:p>
    <w:p>
      <w:pPr>
        <w:pStyle w:val="FirstParagraph"/>
      </w:pPr>
      <w:r>
        <w:t xml:space="preserve">After scenario-specific candidate matrices were generated, each accepted geocoded NBS spoke was assigned to its nearest eligible hub within each readiness scenario. Under the primary eligibility rule, all 168 spokes were successfully assigned to eligible SCD care hubs, with no missing assigned hub identifiers or distances (Table 2). The primary assigned network used 62 of the 75 eligible hubs, indicating that most eligible primary hubs became the nearest receiving facility for at least one spoke.</w:t>
      </w:r>
    </w:p>
    <w:p>
      <w:pPr>
        <w:pStyle w:val="BodyText"/>
      </w:pPr>
      <w:r>
        <w:t xml:space="preserve">Nearest-hub assignment transformed the broad candidate distance space into a compact modelled referral network. Under the primary scenario, the median assigned distance was 14.4 km, the mean assigned distance was 17.2 km, and the maximum assigned distance was 73.9 km. Most assigned routes were geographically short: 111 of 168 routes (66.1%) were within 25 km, 161 routes (95.8%) were within 50 km, and all assigned routes were within 100 km. These results indicate that, under the primary readiness rule, the accepted geocoded screening platform can be linked to a geographically plausible national receiving-hub network.</w:t>
      </w:r>
    </w:p>
    <w:p>
      <w:pPr>
        <w:pStyle w:val="BodyText"/>
      </w:pPr>
      <w:r>
        <w:t xml:space="preserve">Assigned distances varied across eligibility scenarios. The treatment-any scenario produced the shortest assigned network, with a median assigned distance of 1.6 km and 152 routes (90.5%) within 25 km. This reflected the large number of eligible facilities in that scenario. The transfusion-ready scenario also retained relatively short assignments, with a median distance of 11.4 km and 119 routes (70.8%) within 25 km.</w:t>
      </w:r>
    </w:p>
    <w:p>
      <w:pPr>
        <w:pStyle w:val="BodyText"/>
      </w:pPr>
      <w:r>
        <w:t xml:space="preserve">Stricter readiness definitions increased assigned distances. Under the strong-hub scenario, all 168 spokes were assigned to 40 hubs, with a median assigned distance of 26.4 km. Under the full-hub scenario, all 168 spokes were assigned to 23 hubs, with a median assigned distance of 34.0 km. Only 40.5% of routes in the full-hub scenario were within 25 km, compared with 66.1% under the primary scenario. These findings show that hub eligibility is a programme-defining assumption rather than a technical detail. Broader definitions improved proximity but risked overstating functional readiness, while stricter definitions improved the clinical meaning of the receiving hub but increased distance for many spokes. The primary rule therefore represents a pragmatic starting network rather than an ideal endpoint for SCD care delivery.</w:t>
      </w:r>
    </w:p>
    <w:p>
      <w:pPr>
        <w:pStyle w:val="BodyText"/>
      </w:pPr>
      <w:r>
        <w:t xml:space="preserve">The mapped primary network illustrates this assignment structure at national scale (Figure 1). Many route links were local, especially in areas with denser eligible hub availability, while longer links remained visible in more sparsely served geographies. Hub symbol sizes show that assigned spoke burden was unevenly distributed, with most hubs receiving few spokes and a smaller number serving multiple spokes.</w:t>
      </w:r>
    </w:p>
    <w:p>
      <w:pPr>
        <w:pStyle w:val="BodyText"/>
      </w:pPr>
      <w:r>
        <w:rPr>
          <w:b/>
          <w:bCs/>
        </w:rPr>
        <w:t xml:space="preserve">Table 2. Scenario-level spoke-to-hub assignment and distance summary.</w:t>
      </w:r>
      <w:r>
        <w:br/>
      </w:r>
      <w:r>
        <w:t xml:space="preserve">Summary of nearest-hub assignment under alternative hub eligibility scenarios. Each scenario assigned all 168 accepted geocoded NBS spokes to the nearest eligible hub. Assigned distances represent straight-line planning distances and should not be interpreted as road-network travel distances. Scenarios include primary hubs with service score ≥2, strong hubs with service score ≥3, full hubs with service score =4, treatment-any hubs, and transfusion-ready hubs. Weak or long routes include partial, moderate partial, long, and very long route classes.</w:t>
      </w:r>
    </w:p>
    <w:p>
      <w:pPr>
        <w:pStyle w:val="BodyText"/>
      </w:pPr>
      <w:r>
        <w:rPr>
          <w:b/>
          <w:bCs/>
        </w:rPr>
        <w:t xml:space="preserve">Figure 1. Primary SCD hub-and-spoke network.</w:t>
      </w:r>
      <w:r>
        <w:br/>
      </w:r>
      <w:r>
        <w:t xml:space="preserve">Accepted geocoded NBS spokes linked to their nearest eligible SCD care hubs under the primary hub rule. Points distinguish existing NBS spokes from collocated candidate NBS spokes. Hub symbol size represents the number of linked spokes. Lines show straight-line planning links and should not be interpreted as road-network travel routes.</w:t>
      </w:r>
    </w:p>
    <w:bookmarkEnd w:id="22"/>
    <w:bookmarkStart w:id="23" w:name="Xd41fd52b0da900a6f03da1ad22cbe00fef7b54a"/>
    <w:p>
      <w:pPr>
        <w:pStyle w:val="Heading3"/>
      </w:pPr>
      <w:r>
        <w:t xml:space="preserve">3.4 Route feasibility in the primary assigned network</w:t>
      </w:r>
    </w:p>
    <w:p>
      <w:pPr>
        <w:pStyle w:val="FirstParagraph"/>
      </w:pPr>
      <w:r>
        <w:t xml:space="preserve">The primary assigned network was evaluated using a route-feasibility classification that combined assigned distance with receiving-hub service readiness. This classification distinguished short routes to stronger hubs from short routes to partial hubs and from routes constrained by distance.</w:t>
      </w:r>
    </w:p>
    <w:p>
      <w:pPr>
        <w:pStyle w:val="BodyText"/>
      </w:pPr>
      <w:r>
        <w:t xml:space="preserve">Of the 168 primary assigned routes, 66 (39.3%) were classified as functional and 24 (14.3%) as moderate functional (Table 3; Figure 2). Together, these 90 routes (53.6%) represented the stronger linkage group in the primary network. The remaining routes showed varying degrees of constraint: 45 routes (26.8%) were classified as partial, 26 (15.5%) as moderate partial, and 7 (4.2%) as long. No route was classified as very long. Overall, 78 routes (46.4%) were classified as weak or long.</w:t>
      </w:r>
    </w:p>
    <w:p>
      <w:pPr>
        <w:pStyle w:val="BodyText"/>
      </w:pPr>
      <w:r>
        <w:t xml:space="preserve">The route-feasibility results show that network weakness was driven primarily by receiving-hub readiness rather than distance alone. Only seven assigned routes exceeded 50 km, while 71 routes were classified as partial or moderate partial because the assigned hub had only partial SCD service readiness. Thus, the primary assigned network was geographically compact but functionally uneven. The weak-route burden was primarily a readiness problem embedded within geographically plausible pathways, rather than a problem of extreme spatial separation.</w:t>
      </w:r>
    </w:p>
    <w:p>
      <w:pPr>
        <w:pStyle w:val="BodyText"/>
      </w:pPr>
      <w:r>
        <w:t xml:space="preserve">The route-feasibility map reinforces this interpretation (Figure 2). Functional and moderate functional pathways appeared across multiple regions, while partial and moderate partial pathways were also widely distributed. Weak routes were not confined to the most geographically remote areas. In several locations, the limiting factor was not the absence of a nearby eligible hub but the incomplete readiness of the nearby assigned hub.</w:t>
      </w:r>
    </w:p>
    <w:p>
      <w:pPr>
        <w:pStyle w:val="BodyText"/>
      </w:pPr>
      <w:r>
        <w:t xml:space="preserve">The weak-route subset is shown separately in Figure 4. These 78 routes identify pathways requiring further review, hub strengthening, referral coordination, or validation of nearby candidate facilities. Because most weak routes were readiness-related, improving selected assigned hubs may strengthen the network more efficiently than reassigning spokes to more distant full hubs.</w:t>
      </w:r>
    </w:p>
    <w:p>
      <w:pPr>
        <w:pStyle w:val="BodyText"/>
      </w:pPr>
      <w:r>
        <w:rPr>
          <w:b/>
          <w:bCs/>
        </w:rPr>
        <w:t xml:space="preserve">Table 3. Route feasibility in the primary assigned network.</w:t>
      </w:r>
      <w:r>
        <w:br/>
      </w:r>
      <w:r>
        <w:t xml:space="preserve">Route-feasibility classification for the primary assigned network. Feasibility classes combine assigned distance and hub service-readiness score. Functional and moderate functional routes were classified as stronger linkages. Partial, moderate partial, long, and very long routes were classified as weak or long. Only seven routes exceeded 50 km, indicating that most weak-route burden in the primary scenario was driven by partial hub readiness rather than long distance alone.</w:t>
      </w:r>
    </w:p>
    <w:p>
      <w:pPr>
        <w:pStyle w:val="BodyText"/>
      </w:pPr>
      <w:r>
        <w:rPr>
          <w:b/>
          <w:bCs/>
        </w:rPr>
        <w:t xml:space="preserve">Figure 2. Route feasibility in the assigned SCD referral network.</w:t>
      </w:r>
      <w:r>
        <w:br/>
      </w:r>
      <w:r>
        <w:t xml:space="preserve">Assigned routes are classified using both distance and hub service readiness. Functional and moderate functional routes indicate stronger linkage profiles, while partial, moderate partial, and long routes identify pathways requiring strengthening or review.</w:t>
      </w:r>
    </w:p>
    <w:p>
      <w:pPr>
        <w:pStyle w:val="BodyText"/>
      </w:pPr>
      <w:r>
        <w:rPr>
          <w:b/>
          <w:bCs/>
        </w:rPr>
        <w:t xml:space="preserve">Figure 4. Weak or long assigned routes.</w:t>
      </w:r>
      <w:r>
        <w:br/>
      </w:r>
      <w:r>
        <w:t xml:space="preserve">Highlighted pathways indicate routes classified as partial, moderate partial, or long in the primary assigned network. These routes identify locations where linkage may require hub strengthening, pathway review, referral coordination, or validation of nearby candidate facilities.</w:t>
      </w:r>
    </w:p>
    <w:bookmarkEnd w:id="23"/>
    <w:bookmarkStart w:id="24" w:name="X7ec913c41c2935d86f6b0487328f52239ca0d0c"/>
    <w:p>
      <w:pPr>
        <w:pStyle w:val="Heading3"/>
      </w:pPr>
      <w:r>
        <w:t xml:space="preserve">3.5 Hub workload and route-risk concentration</w:t>
      </w:r>
    </w:p>
    <w:p>
      <w:pPr>
        <w:pStyle w:val="FirstParagraph"/>
      </w:pPr>
      <w:r>
        <w:t xml:space="preserve">The primary assigned network used 62 hubs to serve the 168 accepted geocoded NBS spokes (Table 4; Figure 3). Hub workload was uneven but generally low. The median number of linked spokes per assigned hub was 2, the mean was 2.7, and the maximum was 18. Most assigned hubs, 53 of 62 (85.5%), had fewer than five linked spokes. Seven hubs (11.3%) had moderate workload, and two hubs (3.2%) had high workload. No hub reached the very-high workload category.</w:t>
      </w:r>
    </w:p>
    <w:p>
      <w:pPr>
        <w:pStyle w:val="BodyText"/>
      </w:pPr>
      <w:r>
        <w:t xml:space="preserve">Route-risk classification showed that workload and readiness constraints were not evenly distributed. Of the 62 assigned hubs, 32 (51.6%) were classified as low route risk, 1 (1.6%) as moderate route risk, and 29 (46.8%) as high route risk (Table 4). High route risk was concentrated among partial-service hubs rather than among geographically isolated full-service hubs.</w:t>
      </w:r>
    </w:p>
    <w:p>
      <w:pPr>
        <w:pStyle w:val="BodyText"/>
      </w:pPr>
      <w:r>
        <w:t xml:space="preserve">The relationship between hub readiness and route risk was marked. Full hubs served 54 linked spokes and had only two weak or long routes. Strong hubs served 39 linked spokes and had only one weak or long route. In contrast, partial hubs served 75 linked spokes, and all 75 routes assigned to partial hubs were weak or long. This pattern confirms that partial hub readiness was the dominant driver of weak-route burden in the primary scenario.</w:t>
      </w:r>
    </w:p>
    <w:p>
      <w:pPr>
        <w:pStyle w:val="BodyText"/>
      </w:pPr>
      <w:r>
        <w:t xml:space="preserve">The workload map illustrates spatial concentration of assigned spoke burden (Figure 3). Most hubs served only one or two spokes, while a smaller number, particularly in parts of northern and eastern Uganda, carried larger linked-spoke workloads. However, workload did not always align with readiness risk. Some higher-workload hubs were full or strong hubs, while others combined high workload with partial readiness and weak-route burden.</w:t>
      </w:r>
    </w:p>
    <w:p>
      <w:pPr>
        <w:pStyle w:val="BodyText"/>
      </w:pPr>
      <w:r>
        <w:t xml:space="preserve">Alebtong HC IV was the most prominent workload and route-risk priority. It served 18 linked spokes, including 11 existing NBS spokes and 7 collocated candidate spokes. All 18 assigned routes were classified as weak or long, and the maximum assigned distance was 68.0 km. This combination of high linked-spoke burden, partial readiness, and distance exposure identifies Alebtong HC IV as a major near-term strengthening priority.</w:t>
      </w:r>
    </w:p>
    <w:p>
      <w:pPr>
        <w:pStyle w:val="BodyText"/>
      </w:pPr>
      <w:r>
        <w:t xml:space="preserve">Kitgum Hospital represented a contrasting hub profile. It served 10 linked spokes, making it the second highest workload hub, but it was a full hub with service score 4 and had only one weak or long route. These contrasting hubs show that linked-spoke workload and service-readiness risk identify different programme needs. High-workload full hubs may require operational protection, while high-workload partial hubs require service-domain strengthening because multiple pathways depend on incomplete care capacity.</w:t>
      </w:r>
    </w:p>
    <w:p>
      <w:pPr>
        <w:pStyle w:val="BodyText"/>
      </w:pPr>
      <w:r>
        <w:t xml:space="preserve">Other hubs with notable linked-spoke workloads included Iganga Hospital, Anaka Hospital, Aber Ngo Hospital, Dokolo HC IV, Serere HC IV, Kadami Hospital, and St. Francis Nsambya Hospital. Among these, Aber Ngo Hospital, Dokolo HC IV, and Serere HC IV were high route-risk partial hubs, while Iganga Hospital, Anaka Hospital, Kadami Hospital, and St. Francis Nsambya Hospital had stronger readiness profiles. This heterogeneity indicates that linked-spoke workload alone is insufficient for prioritisation; workload should be interpreted alongside readiness, route risk, and missing service domains.</w:t>
      </w:r>
    </w:p>
    <w:p>
      <w:pPr>
        <w:pStyle w:val="BodyText"/>
      </w:pPr>
      <w:r>
        <w:rPr>
          <w:b/>
          <w:bCs/>
        </w:rPr>
        <w:t xml:space="preserve">Table 4. Hub workload and route-risk profile in the primary network.</w:t>
      </w:r>
      <w:r>
        <w:br/>
      </w:r>
      <w:r>
        <w:t xml:space="preserve">Hub workload and route-risk profile among the 62 hubs used in the primary assigned network. Workload was measured as the number of accepted geocoded NBS spokes assigned to each hub. Route-risk categories combine linked-spoke workload, weak-route burden, distance exposure, and hub readiness. All 75 routes assigned to partial hubs were classified as weak or long, indicating that service-readiness limitations were the dominant driver of route-risk burden in the primary network.</w:t>
      </w:r>
    </w:p>
    <w:p>
      <w:pPr>
        <w:pStyle w:val="BodyText"/>
      </w:pPr>
      <w:r>
        <w:rPr>
          <w:b/>
          <w:bCs/>
        </w:rPr>
        <w:t xml:space="preserve">Figure 3. Hub workload in the primary SCD care network.</w:t>
      </w:r>
      <w:r>
        <w:br/>
      </w:r>
      <w:r>
        <w:t xml:space="preserve">Hub symbol size represents the number of linked NBS spokes assigned to each SCD care hub under the primary scenario. Workload categories distinguish low, moderate, and high spoke-load hubs, while route lines provide the assigned network context.</w:t>
      </w:r>
    </w:p>
    <w:p>
      <w:pPr>
        <w:pStyle w:val="BodyText"/>
      </w:pPr>
      <w:r>
        <w:rPr>
          <w:b/>
          <w:bCs/>
        </w:rPr>
        <w:t xml:space="preserve">Figure 5. Hub readiness among assigned SCD care hubs.</w:t>
      </w:r>
      <w:r>
        <w:br/>
      </w:r>
      <w:r>
        <w:t xml:space="preserve">Assigned hubs are mapped by readiness category, with symbol size representing linked-spoke workload. Existing NBS spokes and collocated candidate NBS spokes are shown to contextualise the distribution of full, strong, and partial hubs across the primary assigned network.</w:t>
      </w:r>
    </w:p>
    <w:bookmarkEnd w:id="24"/>
    <w:bookmarkStart w:id="25" w:name="Xb8b67858e59302ce9f90660690b9848b2fc615b"/>
    <w:p>
      <w:pPr>
        <w:pStyle w:val="Heading3"/>
      </w:pPr>
      <w:r>
        <w:t xml:space="preserve">3.6 Facilities prioritised for SCD service strengthening</w:t>
      </w:r>
    </w:p>
    <w:p>
      <w:pPr>
        <w:pStyle w:val="FirstParagraph"/>
      </w:pPr>
      <w:r>
        <w:t xml:space="preserve">The route-feasibility and hub workload outputs were translated into a facility-level strengthening analysis. In total, 158 facilities were identified for SCD service strengthening, review, validation, or monitoring, and all 158 had valid coordinates for mapping (Table 5; Figure 6). The strengthening set included 29 Tier 1 current hubs for strengthening, 5 Tier 1b current hubs for review, 93 Tier 2 candidate facilities near weak routes, and 31 monitoring or backup facilities.</w:t>
      </w:r>
    </w:p>
    <w:p>
      <w:pPr>
        <w:pStyle w:val="BodyText"/>
      </w:pPr>
      <w:r>
        <w:t xml:space="preserve">Tier 1 facilities represent the most immediate implementation priorities because they are current assigned hubs in the primary network. These facilities already receive one or more NBS spokes, so their service gaps can directly affect modelled referral pathways. Tier 1 designation was driven by partial readiness, high route risk, weak-route burden, linked-spoke workload, or missing service domains. Tier 1b facilities were also current assigned hubs but were classified for review rather than immediate strengthening because their risk profile suggested a need for monitoring, operational support, or further assessment.</w:t>
      </w:r>
    </w:p>
    <w:p>
      <w:pPr>
        <w:pStyle w:val="BodyText"/>
      </w:pPr>
      <w:r>
        <w:t xml:space="preserve">Tier 2 facilities had a different interpretation. These 93 facilities were located near spokes assigned through weak or long routes but were not treated as ready hubs in the primary network (Figure 9). Importantly, Tier 2 designation should not be interpreted as evidence of current hub readiness. These facilities were identified because of their spatial relationship to weak-route spokes, not because they met the primary eligibility rule. Their role is to define a validation and staged-upgrade pipeline.</w:t>
      </w:r>
    </w:p>
    <w:p>
      <w:pPr>
        <w:pStyle w:val="BodyText"/>
      </w:pPr>
      <w:r>
        <w:t xml:space="preserve">The spatial distribution of strengthening priorities was broad (Figure 6). Prioritised facilities appeared across northern, eastern, central, western, and southwestern Uganda. Some facilities were prioritised because they already received assigned spokes; others were included because they were near weak-route geographies and could support staged upgrading if validated. This national distribution indicates that SCD service strengthening is a network-wide issue rather than a single-region challenge.</w:t>
      </w:r>
    </w:p>
    <w:p>
      <w:pPr>
        <w:pStyle w:val="BodyText"/>
      </w:pPr>
      <w:r>
        <w:t xml:space="preserve">Several high-priority facilities were current assigned hubs with combined workload and readiness concerns. Alebtong HC IV was the clearest example, but Aber Ngo Hospital, Dokolo HC IV, Serere HC IV, and Abim Hospital were also prioritised because they combined current hub responsibility with weak-route exposure, partial readiness, or missing service domains. These facilities represent immediate candidates for targeted SCD service strengthening.</w:t>
      </w:r>
    </w:p>
    <w:p>
      <w:pPr>
        <w:pStyle w:val="BodyText"/>
      </w:pPr>
      <w:r>
        <w:t xml:space="preserve">The strengthening analysis therefore converted the spatial network into an implementation framework. Rather than producing a simple ranked list, it classified facilities by role in the modelled network: current hubs requiring strengthening, current hubs requiring review, candidate facilities requiring validation, and facilities requiring monitoring or backup planning. This role-based classification supports more precise programme action because the appropriate response differs across facility types.</w:t>
      </w:r>
    </w:p>
    <w:p>
      <w:pPr>
        <w:pStyle w:val="BodyText"/>
      </w:pPr>
      <w:r>
        <w:rPr>
          <w:b/>
          <w:bCs/>
        </w:rPr>
        <w:t xml:space="preserve">Table 5. Facilities prioritised for SCD service strengthening.</w:t>
      </w:r>
      <w:r>
        <w:br/>
      </w:r>
      <w:r>
        <w:t xml:space="preserve">Facilities identified for SCD service strengthening, review, validation, or monitoring. Tier 1 facilities were current assigned hubs requiring strengthening. Tier 1b facilities were current assigned hubs requiring review. Tier 2 facilities were candidate facilities near weak-route spokes and require field validation before being considered receiving hubs. Monitoring or backup facilities were retained because of their possible network role. Tier 2 facilities should not be interpreted as ready hubs.</w:t>
      </w:r>
    </w:p>
    <w:p>
      <w:pPr>
        <w:pStyle w:val="BodyText"/>
      </w:pPr>
      <w:r>
        <w:rPr>
          <w:b/>
          <w:bCs/>
        </w:rPr>
        <w:t xml:space="preserve">Figure 6. Facilities prioritised for SCD service strengthening.</w:t>
      </w:r>
      <w:r>
        <w:br/>
      </w:r>
      <w:r>
        <w:t xml:space="preserve">Facilities identified for strengthening, review, validation, or monitoring are mapped by strengthening tier and scaled by priority score. Assigned route lines and weak-route pathways provide spatial network context.</w:t>
      </w:r>
    </w:p>
    <w:p>
      <w:pPr>
        <w:pStyle w:val="BodyText"/>
      </w:pPr>
      <w:r>
        <w:rPr>
          <w:b/>
          <w:bCs/>
        </w:rPr>
        <w:t xml:space="preserve">Figure 9. Tiered SCD service strengthening facilities.</w:t>
      </w:r>
      <w:r>
        <w:br/>
      </w:r>
      <w:r>
        <w:t xml:space="preserve">Current assigned hubs requiring strengthening or review are distinguished from nearby candidate upgrade or validation facilities. Symbol size represents priority score. Tier 2 facilities identify spatially plausible validation sites and should not be interpreted as ready receiving hubs.</w:t>
      </w:r>
    </w:p>
    <w:bookmarkEnd w:id="25"/>
    <w:bookmarkStart w:id="26" w:name="X502198077210bf8e6b2e8c6ce19ebd801dfd96a"/>
    <w:p>
      <w:pPr>
        <w:pStyle w:val="Heading3"/>
      </w:pPr>
      <w:r>
        <w:t xml:space="preserve">3.7 Service-readiness gaps among strengthening facilities</w:t>
      </w:r>
    </w:p>
    <w:p>
      <w:pPr>
        <w:pStyle w:val="FirstParagraph"/>
      </w:pPr>
      <w:r>
        <w:t xml:space="preserve">Facilities identified for strengthening, review, validation, or monitoring had substantial service-readiness gaps across the four SCD care domains (Table 6). Hydroxyurea was the most frequently missing service domain, absent in 120 of 158 facilities (75.9%). Newborn screening was missing in 110 facilities (69.6%), specialised SCD clinic follow-up in 89 facilities (56.3%), and transfusion in 83 facilities (52.5%). These gaps were not mutually exclusive, and many facilities lacked more than one domain.</w:t>
      </w:r>
    </w:p>
    <w:p>
      <w:pPr>
        <w:pStyle w:val="BodyText"/>
      </w:pPr>
      <w:r>
        <w:t xml:space="preserve">The dominant service-gap classification identified specialised SCD clinic follow-up as the leading single gap. It was the dominant gap in 89 facilities (56.3%), followed by hydroxyurea in 31 facilities (19.6%), transfusion in 14 facilities (8.9%), and newborn screening in 3 facilities (1.9%). A further 21 facilities (13.3%) had no major dominant service gap but were retained because of their network role, workload, proximity to weak-route spokes, or monitoring function.</w:t>
      </w:r>
    </w:p>
    <w:p>
      <w:pPr>
        <w:pStyle w:val="BodyText"/>
      </w:pPr>
      <w:r>
        <w:t xml:space="preserve">The dominance of specialised follow-up gaps indicates that the main downstream constraint is continuity of care after identification. Newborn screening creates a pathway only if screen-positive infants can be enrolled, reviewed, monitored, retained, and linked to treatment and escalation services. Facilities lacking follow-up capacity may therefore be geographically plausible referral endpoints but incomplete care endpoints.</w:t>
      </w:r>
    </w:p>
    <w:p>
      <w:pPr>
        <w:pStyle w:val="BodyText"/>
      </w:pPr>
      <w:r>
        <w:t xml:space="preserve">The specialised follow-up gap map shows that these gaps were geographically widespread and involved both current assigned hubs and candidate facilities near weak routes (Figure 7). The dominant service-gap map further shows that strengthening needs differed across facilities (Figure 8). Some facilities require follow-up clinic development, others require hydroxyurea systems, transfusion readiness, newborn screening integration, or monitoring. These findings argue against a uniform upgrade package. Strengthening should be tailored to each facility’s network role and missing service domains.</w:t>
      </w:r>
    </w:p>
    <w:p>
      <w:pPr>
        <w:pStyle w:val="BodyText"/>
      </w:pPr>
      <w:r>
        <w:t xml:space="preserve">For Tier 1 current hubs, missing services represent immediate constraints in the assigned network because these facilities already receive linked spokes. For Tier 2 candidate facilities, missing services define what would need to be developed before those facilities could be considered reliable receiving hubs. In both groups, specialised follow-up, hydroxyurea, newborn screening, and transfusion should be interpreted as complementary components of a care pathway rather than interchangeable services.</w:t>
      </w:r>
    </w:p>
    <w:p>
      <w:pPr>
        <w:pStyle w:val="BodyText"/>
      </w:pPr>
      <w:r>
        <w:rPr>
          <w:b/>
          <w:bCs/>
        </w:rPr>
        <w:t xml:space="preserve">Table 6. Service-readiness gaps among strengthening facilities.</w:t>
      </w:r>
      <w:r>
        <w:br/>
      </w:r>
      <w:r>
        <w:t xml:space="preserve">Service-readiness gaps among the 158 facilities identified for strengthening, review, validation, or monitoring. Service gaps are not mutually exclusive because a facility could lack more than one SCD care domain. Dominant service-gap classification identifies the main service domain driving each facility’s strengthening profile. Specialised SCD follow-up clinic capacity was the most frequent dominant gap, indicating that continuity-of-care capacity is a central strengthening need after NBS identification.</w:t>
      </w:r>
    </w:p>
    <w:p>
      <w:pPr>
        <w:pStyle w:val="BodyText"/>
      </w:pPr>
      <w:r>
        <w:rPr>
          <w:b/>
          <w:bCs/>
        </w:rPr>
        <w:t xml:space="preserve">Figure 7. Specialised SCD clinic follow-up gaps.</w:t>
      </w:r>
      <w:r>
        <w:br/>
      </w:r>
      <w:r>
        <w:t xml:space="preserve">Facilities lacking specialised SCD follow-up clinic capacity among those identified for strengthening or validation. Points distinguish current assigned hubs from candidate facilities near weak-route spokes, with symbol size reflecting priority score.</w:t>
      </w:r>
    </w:p>
    <w:p>
      <w:pPr>
        <w:pStyle w:val="BodyText"/>
      </w:pPr>
      <w:r>
        <w:rPr>
          <w:b/>
          <w:bCs/>
        </w:rPr>
        <w:t xml:space="preserve">Figure 8. Dominant service gaps among strengthening facilities.</w:t>
      </w:r>
      <w:r>
        <w:br/>
      </w:r>
      <w:r>
        <w:t xml:space="preserve">Facilities are classified by their dominant service gap, including specialised SCD follow-up, hydroxyurea, transfusion, newborn screening, and no major dominant gap. Symbol size represents priority score.</w:t>
      </w:r>
    </w:p>
    <w:bookmarkEnd w:id="26"/>
    <w:bookmarkStart w:id="27" w:name="spatial-implementation-interpretation"/>
    <w:p>
      <w:pPr>
        <w:pStyle w:val="Heading3"/>
      </w:pPr>
      <w:r>
        <w:t xml:space="preserve">3.8 Spatial implementation interpretation</w:t>
      </w:r>
    </w:p>
    <w:p>
      <w:pPr>
        <w:pStyle w:val="FirstParagraph"/>
      </w:pPr>
      <w:r>
        <w:t xml:space="preserve">The spatial outputs provide an implementation-oriented interpretation of the updated hub-and-spoke model. The primary network, route-feasibility, hub workload, hub-readiness, weak-route, and strengthening maps show that the main constraint is not simply the absence of nearby facilities. Instead, many assigned linkages are geographically plausible but depend on hubs with incomplete SCD readiness (Figures 1 to 9). This is consistent with the tabular findings: most primary assigned routes were within 50 km, yet nearly half were weak or long because of partial hub readiness or distance constraints.</w:t>
      </w:r>
    </w:p>
    <w:p>
      <w:pPr>
        <w:pStyle w:val="BodyText"/>
      </w:pPr>
      <w:r>
        <w:t xml:space="preserve">The maps show that access and readiness are spatially uneven. Some areas had short assigned routes to strong or full hubs, while others depended on partial hubs or pathways requiring review. Weak routes should therefore be interpreted as priority corridors for programme attention, not as failed linkages. In many instances, the appropriate response may be to strengthen the assigned hub rather than reassign the spoke to a more distant full hub.</w:t>
      </w:r>
    </w:p>
    <w:p>
      <w:pPr>
        <w:pStyle w:val="BodyText"/>
      </w:pPr>
      <w:r>
        <w:t xml:space="preserve">The hub workload and strengthening maps identify where facility-level action could have the greatest network effect. High-workload current hubs are important because strengthening or failure at one facility could affect multiple linked spokes. However, workload alone was insufficient for prioritisation. The most actionable targets were facilities combining current hub responsibility, linked-spoke workload, route-risk exposure, and missing service domains.</w:t>
      </w:r>
    </w:p>
    <w:p>
      <w:pPr>
        <w:pStyle w:val="BodyText"/>
      </w:pPr>
      <w:r>
        <w:t xml:space="preserve">The tiered strengthening framework provides a practical interpretation of these spatial outputs. Tier 1 facilities are current assigned hubs, so strengthening them could directly improve existing modelled pathways. Tier 1b facilities are also current hubs and require review or operational support. Tier 2 facilities are geographically plausible candidate sites near weak-route spokes, but they should be treated as validation sites rather than immediate hubs. This distinction prevents overinterpreting proximity as readiness and preserves the difference between spatial opportunity and operational capacity.</w:t>
      </w:r>
    </w:p>
    <w:p>
      <w:pPr>
        <w:pStyle w:val="BodyText"/>
      </w:pPr>
      <w:r>
        <w:t xml:space="preserve">Taken together, the spatial results support a two-track implementation strategy. The first track is to strengthen current assigned hubs that already receive NBS spokes, especially those with partial readiness or weak-route burden. The second track is to validate nearby candidate facilities in weak-route geographies, particularly where staged upgrading could reduce reliance on partial or more distant assigned hubs. Overall, the updated results show that Uganda’s accepted geocoded NBS platform can be linked to eligible SCD care hubs, but the quality of that linkage depends on receiving-hub readiness. The immediate implementation task is therefore not only to formalise referral assignments, but to strengthen current hubs embedded in weak pathways, protect high-readiness referral anchors, and validate candidate facilities near weak-route geographies before staged upgrading.</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2026-06-02T07:42:06Z</dcterms:created>
  <dcterms:modified xsi:type="dcterms:W3CDTF">2026-06-02T07:42:06Z</dcterms:modified>
</cp:coreProperties>
</file>

<file path=docProps/custom.xml><?xml version="1.0" encoding="utf-8"?>
<Properties xmlns="http://schemas.openxmlformats.org/officeDocument/2006/custom-properties" xmlns:vt="http://schemas.openxmlformats.org/officeDocument/2006/docPropsVTypes"/>
</file>