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Supplementary Methods</w:t>
      </w:r>
    </w:p>
    <w:p>
      <w:pPr>
        <w:jc w:val="center"/>
      </w:pPr>
      <w:r>
        <w:rPr>
          <w:i/>
          <w:sz w:val="22"/>
        </w:rPr>
        <w:t>Newborn screening-to-sickle cell disease care hub-and-spoke network analysis</w:t>
      </w:r>
    </w:p>
    <w:p>
      <w:pPr>
        <w:spacing w:after="120" w:line="259" w:lineRule="auto"/>
      </w:pPr>
      <w:r>
        <w:t>This document provides the detailed technical methods and cross-references for the supplementary methods supporting the manuscript results. It is designed as an audit trail for facility-layer construction, service-readiness scoring, network assignment, route classification, workload interpretation, strengthening tiers, and service-gap assessment.</w:t>
      </w:r>
    </w:p>
    <w:p>
      <w:pPr>
        <w:pStyle w:val="Heading1"/>
        <w:spacing w:after="120" w:line="259" w:lineRule="auto"/>
      </w:pPr>
      <w:r>
        <w:t>Supplementary methods cross-reference map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rPr>
          <w:tblHeader w:val="true"/>
        </w:trPr>
        <w:tc>
          <w:tcPr>
            <w:tcW w:type="dxa" w:w="1440"/>
            <w:shd w:fill="D9EAF7"/>
          </w:tcPr>
          <w:p>
            <w:r/>
            <w:r>
              <w:rPr>
                <w:b/>
                <w:sz w:val="16"/>
              </w:rPr>
              <w:t>Supplementary methods section</w:t>
            </w:r>
          </w:p>
        </w:tc>
        <w:tc>
          <w:tcPr>
            <w:tcW w:type="dxa" w:w="3024"/>
            <w:shd w:fill="D9EAF7"/>
          </w:tcPr>
          <w:p>
            <w:r/>
            <w:r>
              <w:rPr>
                <w:b/>
                <w:sz w:val="16"/>
              </w:rPr>
              <w:t>Technical content</w:t>
            </w:r>
          </w:p>
        </w:tc>
        <w:tc>
          <w:tcPr>
            <w:tcW w:type="dxa" w:w="2592"/>
            <w:shd w:fill="D9EAF7"/>
          </w:tcPr>
          <w:p>
            <w:r/>
            <w:r>
              <w:rPr>
                <w:b/>
                <w:sz w:val="16"/>
              </w:rPr>
              <w:t>Primary manuscript cross-reference</w:t>
            </w:r>
          </w:p>
        </w:tc>
        <w:tc>
          <w:tcPr>
            <w:tcW w:type="dxa" w:w="4032"/>
            <w:shd w:fill="D9EAF7"/>
          </w:tcPr>
          <w:p>
            <w:r/>
            <w:r>
              <w:rPr>
                <w:b/>
                <w:sz w:val="16"/>
              </w:rPr>
              <w:t>How it supports the results</w:t>
            </w:r>
          </w:p>
        </w:tc>
      </w:tr>
      <w:tr>
        <w:tc>
          <w:tcPr>
            <w:tcW w:type="dxa" w:w="1440"/>
            <w:vAlign w:val="top"/>
          </w:tcPr>
          <w:p>
            <w:r/>
            <w:r>
              <w:rPr>
                <w:b w:val="0"/>
                <w:sz w:val="16"/>
              </w:rPr>
              <w:t>S1 to S3</w:t>
            </w:r>
          </w:p>
        </w:tc>
        <w:tc>
          <w:tcPr>
            <w:tcW w:type="dxa" w:w="3024"/>
            <w:vAlign w:val="top"/>
          </w:tcPr>
          <w:p>
            <w:r/>
            <w:r>
              <w:rPr>
                <w:b w:val="0"/>
                <w:sz w:val="16"/>
              </w:rPr>
              <w:t>Purpose, workflow, and input layers</w:t>
            </w:r>
          </w:p>
        </w:tc>
        <w:tc>
          <w:tcPr>
            <w:tcW w:type="dxa" w:w="2592"/>
            <w:vAlign w:val="top"/>
          </w:tcPr>
          <w:p>
            <w:r/>
            <w:r>
              <w:rPr>
                <w:b w:val="0"/>
                <w:sz w:val="16"/>
              </w:rPr>
              <w:t>Results 3.1 to 3.8</w:t>
            </w:r>
          </w:p>
        </w:tc>
        <w:tc>
          <w:tcPr>
            <w:tcW w:type="dxa" w:w="4032"/>
            <w:vAlign w:val="top"/>
          </w:tcPr>
          <w:p>
            <w:r/>
            <w:r>
              <w:rPr>
                <w:b w:val="0"/>
                <w:sz w:val="16"/>
              </w:rPr>
              <w:t>Provides the audit structure behind the full results sequence.</w:t>
            </w:r>
          </w:p>
        </w:tc>
      </w:tr>
      <w:tr>
        <w:tc>
          <w:tcPr>
            <w:tcW w:type="dxa" w:w="1440"/>
            <w:vAlign w:val="top"/>
          </w:tcPr>
          <w:p>
            <w:r/>
            <w:r>
              <w:rPr>
                <w:b w:val="0"/>
                <w:sz w:val="16"/>
              </w:rPr>
              <w:t>S4</w:t>
            </w:r>
          </w:p>
        </w:tc>
        <w:tc>
          <w:tcPr>
            <w:tcW w:type="dxa" w:w="3024"/>
            <w:vAlign w:val="top"/>
          </w:tcPr>
          <w:p>
            <w:r/>
            <w:r>
              <w:rPr>
                <w:b w:val="0"/>
                <w:sz w:val="16"/>
              </w:rPr>
              <w:t>Construction of NBS spoke layer</w:t>
            </w:r>
          </w:p>
        </w:tc>
        <w:tc>
          <w:tcPr>
            <w:tcW w:type="dxa" w:w="2592"/>
            <w:vAlign w:val="top"/>
          </w:tcPr>
          <w:p>
            <w:r/>
            <w:r>
              <w:rPr>
                <w:b w:val="0"/>
                <w:sz w:val="16"/>
              </w:rPr>
              <w:t>Results 3.1, Table 1</w:t>
            </w:r>
          </w:p>
        </w:tc>
        <w:tc>
          <w:tcPr>
            <w:tcW w:type="dxa" w:w="4032"/>
            <w:vAlign w:val="top"/>
          </w:tcPr>
          <w:p>
            <w:r/>
            <w:r>
              <w:rPr>
                <w:b w:val="0"/>
                <w:sz w:val="16"/>
              </w:rPr>
              <w:t>Supports the 168 accepted geocoded NBS spoke denominator and spoke-type interpretation.</w:t>
            </w:r>
          </w:p>
        </w:tc>
      </w:tr>
      <w:tr>
        <w:tc>
          <w:tcPr>
            <w:tcW w:type="dxa" w:w="1440"/>
            <w:vAlign w:val="top"/>
          </w:tcPr>
          <w:p>
            <w:r/>
            <w:r>
              <w:rPr>
                <w:b w:val="0"/>
                <w:sz w:val="16"/>
              </w:rPr>
              <w:t>S5 to S7</w:t>
            </w:r>
          </w:p>
        </w:tc>
        <w:tc>
          <w:tcPr>
            <w:tcW w:type="dxa" w:w="3024"/>
            <w:vAlign w:val="top"/>
          </w:tcPr>
          <w:p>
            <w:r/>
            <w:r>
              <w:rPr>
                <w:b w:val="0"/>
                <w:sz w:val="16"/>
              </w:rPr>
              <w:t>Candidate hub construction, harmonisation, and coordinates</w:t>
            </w:r>
          </w:p>
        </w:tc>
        <w:tc>
          <w:tcPr>
            <w:tcW w:type="dxa" w:w="2592"/>
            <w:vAlign w:val="top"/>
          </w:tcPr>
          <w:p>
            <w:r/>
            <w:r>
              <w:rPr>
                <w:b w:val="0"/>
                <w:sz w:val="16"/>
              </w:rPr>
              <w:t>Results 3.1, Table 1</w:t>
            </w:r>
          </w:p>
        </w:tc>
        <w:tc>
          <w:tcPr>
            <w:tcW w:type="dxa" w:w="4032"/>
            <w:vAlign w:val="top"/>
          </w:tcPr>
          <w:p>
            <w:r/>
            <w:r>
              <w:rPr>
                <w:b w:val="0"/>
                <w:sz w:val="16"/>
              </w:rPr>
              <w:t>Supports the 280 Health Centre IV-and-above candidate hub denominator and geocoding claims.</w:t>
            </w:r>
          </w:p>
        </w:tc>
      </w:tr>
      <w:tr>
        <w:tc>
          <w:tcPr>
            <w:tcW w:type="dxa" w:w="1440"/>
            <w:vAlign w:val="top"/>
          </w:tcPr>
          <w:p>
            <w:r/>
            <w:r>
              <w:rPr>
                <w:b w:val="0"/>
                <w:sz w:val="16"/>
              </w:rPr>
              <w:t>S8 to S14</w:t>
            </w:r>
          </w:p>
        </w:tc>
        <w:tc>
          <w:tcPr>
            <w:tcW w:type="dxa" w:w="3024"/>
            <w:vAlign w:val="top"/>
          </w:tcPr>
          <w:p>
            <w:r/>
            <w:r>
              <w:rPr>
                <w:b w:val="0"/>
                <w:sz w:val="16"/>
              </w:rPr>
              <w:t>Distance preparation, readiness scenarios, matrices, and assignment</w:t>
            </w:r>
          </w:p>
        </w:tc>
        <w:tc>
          <w:tcPr>
            <w:tcW w:type="dxa" w:w="2592"/>
            <w:vAlign w:val="top"/>
          </w:tcPr>
          <w:p>
            <w:r/>
            <w:r>
              <w:rPr>
                <w:b w:val="0"/>
                <w:sz w:val="16"/>
              </w:rPr>
              <w:t>Results 3.2 to 3.3, Table 2, Figure 1</w:t>
            </w:r>
          </w:p>
        </w:tc>
        <w:tc>
          <w:tcPr>
            <w:tcW w:type="dxa" w:w="4032"/>
            <w:vAlign w:val="top"/>
          </w:tcPr>
          <w:p>
            <w:r/>
            <w:r>
              <w:rPr>
                <w:b w:val="0"/>
                <w:sz w:val="16"/>
              </w:rPr>
              <w:t>Supports scenario-specific distance structures and nearest-hub assignment.</w:t>
            </w:r>
          </w:p>
        </w:tc>
      </w:tr>
      <w:tr>
        <w:tc>
          <w:tcPr>
            <w:tcW w:type="dxa" w:w="1440"/>
            <w:vAlign w:val="top"/>
          </w:tcPr>
          <w:p>
            <w:r/>
            <w:r>
              <w:rPr>
                <w:b w:val="0"/>
                <w:sz w:val="16"/>
              </w:rPr>
              <w:t>S15 to S16</w:t>
            </w:r>
          </w:p>
        </w:tc>
        <w:tc>
          <w:tcPr>
            <w:tcW w:type="dxa" w:w="3024"/>
            <w:vAlign w:val="top"/>
          </w:tcPr>
          <w:p>
            <w:r/>
            <w:r>
              <w:rPr>
                <w:b w:val="0"/>
                <w:sz w:val="16"/>
              </w:rPr>
              <w:t>Route feasibility and weak-route spokes</w:t>
            </w:r>
          </w:p>
        </w:tc>
        <w:tc>
          <w:tcPr>
            <w:tcW w:type="dxa" w:w="2592"/>
            <w:vAlign w:val="top"/>
          </w:tcPr>
          <w:p>
            <w:r/>
            <w:r>
              <w:rPr>
                <w:b w:val="0"/>
                <w:sz w:val="16"/>
              </w:rPr>
              <w:t>Results 3.4, Table 3, Figures 2 and 4</w:t>
            </w:r>
          </w:p>
        </w:tc>
        <w:tc>
          <w:tcPr>
            <w:tcW w:type="dxa" w:w="4032"/>
            <w:vAlign w:val="top"/>
          </w:tcPr>
          <w:p>
            <w:r/>
            <w:r>
              <w:rPr>
                <w:b w:val="0"/>
                <w:sz w:val="16"/>
              </w:rPr>
              <w:t>Supports route-feasibility classes and weak-or-long route interpretation.</w:t>
            </w:r>
          </w:p>
        </w:tc>
      </w:tr>
      <w:tr>
        <w:tc>
          <w:tcPr>
            <w:tcW w:type="dxa" w:w="1440"/>
            <w:vAlign w:val="top"/>
          </w:tcPr>
          <w:p>
            <w:r/>
            <w:r>
              <w:rPr>
                <w:b w:val="0"/>
                <w:sz w:val="16"/>
              </w:rPr>
              <w:t>S17 to S18</w:t>
            </w:r>
          </w:p>
        </w:tc>
        <w:tc>
          <w:tcPr>
            <w:tcW w:type="dxa" w:w="3024"/>
            <w:vAlign w:val="top"/>
          </w:tcPr>
          <w:p>
            <w:r/>
            <w:r>
              <w:rPr>
                <w:b w:val="0"/>
                <w:sz w:val="16"/>
              </w:rPr>
              <w:t>Hub workload and route risk</w:t>
            </w:r>
          </w:p>
        </w:tc>
        <w:tc>
          <w:tcPr>
            <w:tcW w:type="dxa" w:w="2592"/>
            <w:vAlign w:val="top"/>
          </w:tcPr>
          <w:p>
            <w:r/>
            <w:r>
              <w:rPr>
                <w:b w:val="0"/>
                <w:sz w:val="16"/>
              </w:rPr>
              <w:t>Results 3.5, Table 4, Figures 3 and 5</w:t>
            </w:r>
          </w:p>
        </w:tc>
        <w:tc>
          <w:tcPr>
            <w:tcW w:type="dxa" w:w="4032"/>
            <w:vAlign w:val="top"/>
          </w:tcPr>
          <w:p>
            <w:r/>
            <w:r>
              <w:rPr>
                <w:b w:val="0"/>
                <w:sz w:val="16"/>
              </w:rPr>
              <w:t>Supports workload, readiness-risk, and route-risk interpretation.</w:t>
            </w:r>
          </w:p>
        </w:tc>
      </w:tr>
      <w:tr>
        <w:tc>
          <w:tcPr>
            <w:tcW w:type="dxa" w:w="1440"/>
            <w:vAlign w:val="top"/>
          </w:tcPr>
          <w:p>
            <w:r/>
            <w:r>
              <w:rPr>
                <w:b w:val="0"/>
                <w:sz w:val="16"/>
              </w:rPr>
              <w:t>S19 to S22</w:t>
            </w:r>
          </w:p>
        </w:tc>
        <w:tc>
          <w:tcPr>
            <w:tcW w:type="dxa" w:w="3024"/>
            <w:vAlign w:val="top"/>
          </w:tcPr>
          <w:p>
            <w:r/>
            <w:r>
              <w:rPr>
                <w:b w:val="0"/>
                <w:sz w:val="16"/>
              </w:rPr>
              <w:t>Candidate proximity, strengthening tiers, priority score, and service gaps</w:t>
            </w:r>
          </w:p>
        </w:tc>
        <w:tc>
          <w:tcPr>
            <w:tcW w:type="dxa" w:w="2592"/>
            <w:vAlign w:val="top"/>
          </w:tcPr>
          <w:p>
            <w:r/>
            <w:r>
              <w:rPr>
                <w:b w:val="0"/>
                <w:sz w:val="16"/>
              </w:rPr>
              <w:t>Results 3.6 to 3.7, Tables 5 and 6, Figures 6 to 9</w:t>
            </w:r>
          </w:p>
        </w:tc>
        <w:tc>
          <w:tcPr>
            <w:tcW w:type="dxa" w:w="4032"/>
            <w:vAlign w:val="top"/>
          </w:tcPr>
          <w:p>
            <w:r/>
            <w:r>
              <w:rPr>
                <w:b w:val="0"/>
                <w:sz w:val="16"/>
              </w:rPr>
              <w:t>Supports strengthening categories, Tier 2 validation logic, and missing service-domain interpretation.</w:t>
            </w:r>
          </w:p>
        </w:tc>
      </w:tr>
      <w:tr>
        <w:tc>
          <w:tcPr>
            <w:tcW w:type="dxa" w:w="1440"/>
            <w:vAlign w:val="top"/>
          </w:tcPr>
          <w:p>
            <w:r/>
            <w:r>
              <w:rPr>
                <w:b w:val="0"/>
                <w:sz w:val="16"/>
              </w:rPr>
              <w:t>S23 to S31</w:t>
            </w:r>
          </w:p>
        </w:tc>
        <w:tc>
          <w:tcPr>
            <w:tcW w:type="dxa" w:w="3024"/>
            <w:vAlign w:val="top"/>
          </w:tcPr>
          <w:p>
            <w:r/>
            <w:r>
              <w:rPr>
                <w:b w:val="0"/>
                <w:sz w:val="16"/>
              </w:rPr>
              <w:t>Spatial outputs, maps, checks, reproducibility, and limitations</w:t>
            </w:r>
          </w:p>
        </w:tc>
        <w:tc>
          <w:tcPr>
            <w:tcW w:type="dxa" w:w="2592"/>
            <w:vAlign w:val="top"/>
          </w:tcPr>
          <w:p>
            <w:r/>
            <w:r>
              <w:rPr>
                <w:b w:val="0"/>
                <w:sz w:val="16"/>
              </w:rPr>
              <w:t>Results 3.8 and supplementary outputs</w:t>
            </w:r>
          </w:p>
        </w:tc>
        <w:tc>
          <w:tcPr>
            <w:tcW w:type="dxa" w:w="4032"/>
            <w:vAlign w:val="top"/>
          </w:tcPr>
          <w:p>
            <w:r/>
            <w:r>
              <w:rPr>
                <w:b w:val="0"/>
                <w:sz w:val="16"/>
              </w:rPr>
              <w:t>Supports map interpretation, internal consistency, reproducibility, and limitations.</w:t>
            </w:r>
          </w:p>
        </w:tc>
      </w:tr>
    </w:tbl>
    <w:p>
      <w:pPr>
        <w:pStyle w:val="Heading1"/>
        <w:spacing w:after="120" w:line="259" w:lineRule="auto"/>
      </w:pPr>
      <w:r>
        <w:t>S1. Purpose and scope of the supplementary methods</w:t>
      </w:r>
    </w:p>
    <w:p>
      <w:pPr>
        <w:spacing w:after="120" w:line="259" w:lineRule="auto"/>
      </w:pPr>
      <w:r>
        <w:t>This supplementary methods section provides the technical audit trail for the newborn screening-to-sickle cell disease (SCD) care network analysis. The main manuscript describes the conceptual framework, primary analytical approach, and headline results. The supplementary methods provide additional detail on facility-layer construction, record harmonisation, coordinate validation, SCD service-readiness scoring, hub eligibility scenarios, distance matrix construction, nearest-hub assignment, route-feasibility classification, hub workload measurement, route-risk interpretation, facility-strengthening logic, service-gap assessment, spatial output generation, and internal consistency checks.</w:t>
      </w:r>
    </w:p>
    <w:p>
      <w:pPr>
        <w:spacing w:after="120" w:line="259" w:lineRule="auto"/>
      </w:pPr>
      <w:r>
        <w:t>The analysis was designed as an implementation-planning model rather than a measurement of observed patient referral behaviour. It estimated potential screening-to-care linkage by combining facility location, receiving-hub readiness, and nearest eligible hub assignment. Straight-line distances were used as first-pass planning distances because complete road-network or travel-time data were not available for all spoke-to-hub pairs. Route lines in maps and spatial outputs therefore represent modelled planning linkages, not actual roads, transport routes, travel times, referral completion, or observed patient movement.</w:t>
      </w:r>
    </w:p>
    <w:p>
      <w:pPr>
        <w:spacing w:before="40" w:after="160"/>
        <w:ind w:left="360"/>
      </w:pPr>
      <w:r>
        <w:rPr>
          <w:b/>
          <w:i/>
          <w:sz w:val="18"/>
        </w:rPr>
        <w:t xml:space="preserve">Cross-reference to manuscript: </w:t>
      </w:r>
      <w:r>
        <w:rPr>
          <w:i/>
          <w:sz w:val="18"/>
        </w:rPr>
        <w:t>Applies to the full Results section, especially the interpretive caution in Results 3.2, 3.3, 3.4, and 3.8 that route lines represent modelled planning links rather than observed referral movement.</w:t>
      </w:r>
    </w:p>
    <w:p>
      <w:pPr>
        <w:pStyle w:val="Heading1"/>
        <w:spacing w:after="120" w:line="259" w:lineRule="auto"/>
      </w:pPr>
      <w:r>
        <w:t>S2. Analytical workflow</w:t>
      </w:r>
    </w:p>
    <w:p>
      <w:pPr>
        <w:spacing w:after="120" w:line="259" w:lineRule="auto"/>
      </w:pPr>
      <w:r>
        <w:t>The supplementary analytical workflow followed eight sequential steps. First, NBS facilities were harmonised and geocoded to construct the accepted screening spoke layer. Second, Health Centre IV-and-above facilities were harmonised and geocoded to construct the candidate SCD care hub universe. Third, candidate hubs were scored across four measured SCD service-readiness domains: specialised SCD clinic follow-up, hydroxyurea availability, newborn screening availability, and transfusion availability. Fourth, hub eligibility scenarios were defined using these service-readiness domains. Fifth, spoke-to-hub Euclidean distance matrices were generated for the full candidate hub universe and for each eligibility scenario. Sixth, each accepted geocoded NBS spoke was assigned to its nearest eligible hub under each scenario. Seventh, the primary assigned network was evaluated using route-feasibility, hub workload, and route-risk classifications. Eighth, route and hub outputs were translated into facility-strengthening, review, validation, monitoring, and service-gap layers.</w:t>
      </w:r>
    </w:p>
    <w:p>
      <w:pPr>
        <w:spacing w:after="120" w:line="259" w:lineRule="auto"/>
      </w:pPr>
      <w:r>
        <w:t>This workflow was designed to preserve transparency at each analytical stage. The all-candidate matrix represented the full geographic opportunity space. Scenario-specific matrices represented alternative assumptions about receiving-hub eligibility. Nearest-hub assignment represented modelled referral pathways. Route-feasibility classification evaluated the strength of these pathways using both distance and readiness. Strengthening tiers converted network findings into implementation-relevant facility categories.</w:t>
      </w:r>
    </w:p>
    <w:p>
      <w:pPr>
        <w:spacing w:before="40" w:after="160"/>
        <w:ind w:left="360"/>
      </w:pPr>
      <w:r>
        <w:rPr>
          <w:b/>
          <w:i/>
          <w:sz w:val="18"/>
        </w:rPr>
        <w:t xml:space="preserve">Cross-reference to manuscript: </w:t>
      </w:r>
      <w:r>
        <w:rPr>
          <w:i/>
          <w:sz w:val="18"/>
        </w:rPr>
        <w:t>Provides the methodological sequence underlying Results 3.1 to 3.8 and explains how Tables 1 to 6 and Figures 1 to 9 are connected.</w:t>
      </w:r>
    </w:p>
    <w:p>
      <w:pPr>
        <w:pStyle w:val="Heading1"/>
        <w:spacing w:after="120" w:line="259" w:lineRule="auto"/>
      </w:pPr>
      <w:r>
        <w:t>S3. Input data layers</w:t>
      </w:r>
    </w:p>
    <w:p>
      <w:pPr>
        <w:spacing w:after="120" w:line="259" w:lineRule="auto"/>
      </w:pPr>
      <w:r>
        <w:t>The analysis used five groups of input data. The first group was the NBS facility layer, including existing NBS facilities and collocated candidate NBS facilities. These represented the screening-side platform and were interpreted as sites where sample collection, result return, caregiver notification, counselling, and referral initiation could occur.</w:t>
      </w:r>
    </w:p>
    <w:p>
      <w:pPr>
        <w:spacing w:after="120" w:line="259" w:lineRule="auto"/>
      </w:pPr>
      <w:r>
        <w:t>The second group was the essential SCD care prioritisation dataset, which included Health Centre IV-and-above facilities and represented the higher-level facility platform potentially capable of receiving screen-positive infants for SCD care. Facility-level attributes included facility identifier, facility name, facility level, ownership, subregion, catchment population, recorded SCD admissions, recorded SCD deaths, mean HbS, mean Plasmodium falciparum parasite prevalence among children aged 2 to 10 years, and the four measured SCD service-readiness domains.</w:t>
      </w:r>
    </w:p>
    <w:p>
      <w:pPr>
        <w:spacing w:after="120" w:line="259" w:lineRule="auto"/>
      </w:pPr>
      <w:r>
        <w:t>The third group was the national master health facility file, used to verify and harmonise facility identifiers, names, administrative fields, facility levels, and point coordinates where available. The fourth group was health-facility catchment layers, used as coordinate-support layers when point coordinates were unavailable or could not be matched. Catchment centroids were used only as flagged fallback coordinates. The fifth group was cartographic context layers, including Uganda’s national boundary, water-area polygons, and regional reference layers. These were used for mapping and contextual interpretation only.</w:t>
      </w:r>
    </w:p>
    <w:p>
      <w:pPr>
        <w:spacing w:before="40" w:after="160"/>
        <w:ind w:left="360"/>
      </w:pPr>
      <w:r>
        <w:rPr>
          <w:b/>
          <w:i/>
          <w:sz w:val="18"/>
        </w:rPr>
        <w:t xml:space="preserve">Cross-reference to manuscript: </w:t>
      </w:r>
      <w:r>
        <w:rPr>
          <w:i/>
          <w:sz w:val="18"/>
        </w:rPr>
        <w:t>Supports Results 3.1 by defining the input layers used to construct the accepted spoke denominator and candidate hub universe. Also supports Results 3.8 by clarifying which layers were used for mapping only.</w:t>
      </w:r>
    </w:p>
    <w:p>
      <w:pPr>
        <w:pStyle w:val="Heading1"/>
        <w:spacing w:after="120" w:line="259" w:lineRule="auto"/>
      </w:pPr>
      <w:r>
        <w:t>S4. Construction of the NBS spoke layer</w:t>
      </w:r>
    </w:p>
    <w:p>
      <w:pPr>
        <w:spacing w:after="120" w:line="259" w:lineRule="auto"/>
      </w:pPr>
      <w:r>
        <w:t>The NBS spoke layer represented the screening-side platform in the modelled screening-to-care network. It was constructed from two facility groups: existing NBS facilities and collocated candidate NBS facilities. Existing NBS facilities represented sites already involved in newborn screening activities. Collocated candidate NBS facilities represented facilities identified through the preceding newborn screening prioritisation analysis as potential locations for phased screening expansion, particularly where candidate screening locations were colocated with or near health facilities that could support implementation.</w:t>
      </w:r>
    </w:p>
    <w:p>
      <w:pPr>
        <w:spacing w:after="120" w:line="259" w:lineRule="auto"/>
      </w:pPr>
      <w:r>
        <w:t>The potential spoke layer was defined as the union of existing NBS facilities and collocated candidate NBS facilities. Facilities appearing in both groups were deduplicated before route modelling. Facility identifiers were used as the preferred deduplication key because they provide the most stable linkage across datasets. Where identifiers were missing, inconsistent, duplicated, or not comparable across sources, deduplication used cleaned facility names, facility level, district, subregion, and other administrative fields.</w:t>
      </w:r>
    </w:p>
    <w:p>
      <w:pPr>
        <w:spacing w:after="120" w:line="259" w:lineRule="auto"/>
      </w:pPr>
      <w:r>
        <w:t>Name cleaning included converting text to uppercase, removing punctuation, trimming leading and trailing spaces, and collapsing repeated spaces. Potential duplicates were reviewed to avoid retaining the same facility twice under slightly different spellings. Each retained spoke record included facility identifier, facility name, facility level, administrative location, existing NBS status, collocated candidate NBS status, candidate rank where available, coordinate source, geocoding status, and implementation category.</w:t>
      </w:r>
    </w:p>
    <w:p>
      <w:pPr>
        <w:spacing w:after="120" w:line="259" w:lineRule="auto"/>
      </w:pPr>
      <w:r>
        <w:t>The final analytic spoke layer included accepted geocoded NBS facilities only. Accepted coordinates were those that passed coordinate validation and could be used as point origins for distance-based assignment. Facilities requiring unresolved manual coordinate review were retained in the geocoding audit trail but excluded from provisional route assignment. This conservative rule ensured that every modelled screening-to-care route originated from a facility with a usable spatial location.</w:t>
      </w:r>
    </w:p>
    <w:p>
      <w:pPr>
        <w:spacing w:after="120" w:line="259" w:lineRule="auto"/>
      </w:pPr>
      <w:r>
        <w:t>The spoke layer was interpreted as the modelled entry platform for newborn screening. It did not imply that each spoke had equivalent staffing, laboratory linkage, result-return performance, caregiver notification capacity, or counselling capacity. These operational attributes require field validation.</w:t>
      </w:r>
    </w:p>
    <w:p>
      <w:pPr>
        <w:spacing w:before="40" w:after="160"/>
        <w:ind w:left="360"/>
      </w:pPr>
      <w:r>
        <w:rPr>
          <w:b/>
          <w:i/>
          <w:sz w:val="18"/>
        </w:rPr>
        <w:t xml:space="preserve">Cross-reference to manuscript: </w:t>
      </w:r>
      <w:r>
        <w:rPr>
          <w:i/>
          <w:sz w:val="18"/>
        </w:rPr>
        <w:t>Directly supports Results 3.1 and Table 1, which report 168 accepted geocoded NBS spokes, including existing NBS spokes and collocated candidate NBS spokes. It also supports Results 3.3 to 3.4 because this spoke layer is the denominator for nearest-hub assignments and route-feasibility classes.</w:t>
      </w:r>
    </w:p>
    <w:p>
      <w:pPr>
        <w:pStyle w:val="Heading1"/>
        <w:spacing w:after="120" w:line="259" w:lineRule="auto"/>
      </w:pPr>
      <w:r>
        <w:t>S5. Construction of the candidate SCD care hub layer</w:t>
      </w:r>
    </w:p>
    <w:p>
      <w:pPr>
        <w:spacing w:after="120" w:line="259" w:lineRule="auto"/>
      </w:pPr>
      <w:r>
        <w:t>The candidate SCD care hub layer represented the potential receiving platform for infants identified through newborn screening. It was constructed from Health Centre IV-and-above facilities in the essential SCD care prioritisation dataset. Facility levels included Health Centre IV facilities, general hospitals, regional referral hospitals, and national referral hospitals. These levels were selected because they represent the higher-level service platform most likely to support confirmatory assessment, specialised SCD follow-up, hydroxyurea initiation or monitoring, transfusion support or escalation planning, complication management, referral coordination, and clinical mentorship.</w:t>
      </w:r>
    </w:p>
    <w:p>
      <w:pPr>
        <w:spacing w:after="120" w:line="259" w:lineRule="auto"/>
      </w:pPr>
      <w:r>
        <w:t>Candidate hub status did not automatically imply readiness to receive screen-positive infants. All Health Centre IV-and-above facilities were retained in the candidate hub universe because they were relevant for scenario testing, service-gap assessment, route-risk interpretation, proximity analysis, and strengthening classification. Eligibility for route assignment was determined later using explicit SCD service-readiness criteria.</w:t>
      </w:r>
    </w:p>
    <w:p>
      <w:pPr>
        <w:spacing w:after="120" w:line="259" w:lineRule="auto"/>
      </w:pPr>
      <w:r>
        <w:t>The essential SCD care facility attribute file did not contain complete point coordinates for all facilities. Candidate hubs were therefore linked to the national master health facility file using facility identifiers as the primary linkage key. Where facility identifiers were missing, inconsistent, or could not be matched, cleaned facility names and administrative fields were used to support matching. Administrative fields included district, subregion, facility level, ownership, and other available location descriptors.</w:t>
      </w:r>
    </w:p>
    <w:p>
      <w:pPr>
        <w:spacing w:after="120" w:line="259" w:lineRule="auto"/>
      </w:pPr>
      <w:r>
        <w:t>Facilities without usable point coordinates after master facility linkage were linked to health-facility catchment centroids where possible. These centroid-derived coordinates were treated as fallback coordinates and flagged in the analytic dataset. Facilities with unresolved or implausible coordinates were retained in the audit trail but excluded from distance-based assignment until validation.</w:t>
      </w:r>
    </w:p>
    <w:p>
      <w:pPr>
        <w:spacing w:before="40" w:after="160"/>
        <w:ind w:left="360"/>
      </w:pPr>
      <w:r>
        <w:rPr>
          <w:b/>
          <w:i/>
          <w:sz w:val="18"/>
        </w:rPr>
        <w:t xml:space="preserve">Cross-reference to manuscript: </w:t>
      </w:r>
      <w:r>
        <w:rPr>
          <w:i/>
          <w:sz w:val="18"/>
        </w:rPr>
        <w:t>Directly supports Results 3.1 and Table 1, which report 280 Health Centre IV-and-above candidate hubs and describe them as the national higher-level receiving platform. It also explains the distinction between candidate hubs and eligible hubs used in Results 3.2 and 3.3.</w:t>
      </w:r>
    </w:p>
    <w:p>
      <w:pPr>
        <w:pStyle w:val="Heading1"/>
        <w:spacing w:after="120" w:line="259" w:lineRule="auto"/>
      </w:pPr>
      <w:r>
        <w:t>S6. Facility harmonisation</w:t>
      </w:r>
    </w:p>
    <w:p>
      <w:pPr>
        <w:spacing w:after="120" w:line="259" w:lineRule="auto"/>
      </w:pPr>
      <w:r>
        <w:t>Facility harmonisation was conducted before deduplication, merging, coordinate linkage, readiness scoring, and spatial modelling. Harmonisation was necessary because facility names, identifiers, levels, administrative fields, and service indicators came from multiple facility-related datasets and could differ in spelling, formatting, completeness, and coding.</w:t>
      </w:r>
    </w:p>
    <w:p>
      <w:pPr>
        <w:spacing w:after="120" w:line="259" w:lineRule="auto"/>
      </w:pPr>
      <w:r>
        <w:t>Facility names were standardised by converting text to uppercase, removing punctuation, trimming leading and trailing whitespace, collapsing repeated internal spaces, and harmonising common naming variants. Facility levels were normalised so that equivalent health-system levels were represented consistently across records. Facility identifiers were preserved throughout the workflow and used preferentially for linkage, deduplication, and output traceability.</w:t>
      </w:r>
    </w:p>
    <w:p>
      <w:pPr>
        <w:spacing w:after="120" w:line="259" w:lineRule="auto"/>
      </w:pPr>
      <w:r>
        <w:t>Where a facility identifier was available and reliable, it overrode name-based matching. Where identifiers were absent or inconsistent, administrative fields were used to support record linkage. Name-only matching was avoided where possible because different facilities may share similar names across districts or subregions.</w:t>
      </w:r>
    </w:p>
    <w:p>
      <w:pPr>
        <w:spacing w:after="120" w:line="259" w:lineRule="auto"/>
      </w:pPr>
      <w:r>
        <w:t>Service indicators were converted to binary variables. Positive service documentation was coded as available. Negative, missing, or absent documentation was coded as not available unless the source data provided evidence to the contrary. This conservative coding rule prevented missing service documentation from being interpreted as readiness.</w:t>
      </w:r>
    </w:p>
    <w:p>
      <w:pPr>
        <w:spacing w:after="120" w:line="259" w:lineRule="auto"/>
      </w:pPr>
      <w:r>
        <w:t>Harmonised facility datasets were checked for duplicate identifiers, duplicate names within the same district, inconsistent facility levels, implausible administrative assignments, missing service variables, and duplicated coordinates. Records that could not be resolved automatically were flagged for manual review or retained in the audit trail for future validation.</w:t>
      </w:r>
    </w:p>
    <w:p>
      <w:pPr>
        <w:spacing w:before="40" w:after="160"/>
        <w:ind w:left="360"/>
      </w:pPr>
      <w:r>
        <w:rPr>
          <w:b/>
          <w:i/>
          <w:sz w:val="18"/>
        </w:rPr>
        <w:t xml:space="preserve">Cross-reference to manuscript: </w:t>
      </w:r>
      <w:r>
        <w:rPr>
          <w:i/>
          <w:sz w:val="18"/>
        </w:rPr>
        <w:t>Supports Results 3.1 by explaining how facility records were harmonised before the accepted spoke and candidate hub counts were generated. It also supports the reproducibility of Tables 1 to 6 because all downstream outputs depend on stable facility identifiers and harmonised service indicators.</w:t>
      </w:r>
    </w:p>
    <w:p>
      <w:pPr>
        <w:pStyle w:val="Heading1"/>
        <w:spacing w:after="120" w:line="259" w:lineRule="auto"/>
      </w:pPr>
      <w:r>
        <w:t>S7. Coordinate assignment and validation</w:t>
      </w:r>
    </w:p>
    <w:p>
      <w:pPr>
        <w:spacing w:after="120" w:line="259" w:lineRule="auto"/>
      </w:pPr>
      <w:r>
        <w:t>Coordinate assignment followed a hierarchical procedure designed to maximise spatial completeness while retaining transparency about coordinate quality. Verified facility point coordinates from the national master health facility file were used first. Where verified point coordinates were not available, matched health-facility catchment centroids were used as fallback coordinates. Candidate-site coordinates were used only when neither verified point coordinates nor catchment support coordinates were available.</w:t>
      </w:r>
    </w:p>
    <w:p>
      <w:pPr>
        <w:spacing w:after="120" w:line="259" w:lineRule="auto"/>
      </w:pPr>
      <w:r>
        <w:t>Coordinate validation included checks for missing longitude or latitude values, implausible coordinate ranges, locations outside expected national boundaries, duplicate coordinates shared by multiple facilities, facility identity mismatches, and locations inconsistent with administrative fields. Coordinates were checked against Uganda’s national boundary to identify facilities falling outside the expected spatial extent.</w:t>
      </w:r>
    </w:p>
    <w:p>
      <w:pPr>
        <w:spacing w:after="120" w:line="259" w:lineRule="auto"/>
      </w:pPr>
      <w:r>
        <w:t>Duplicate coordinates were not automatically treated as errors because multiple facilities may be colocated or reported at the same compound. However, unresolved duplicate coordinates were reviewed when they involved facilities with different names, levels, or administrative locations. The coordinate-source flag was retained for interpretation.</w:t>
      </w:r>
    </w:p>
    <w:p>
      <w:pPr>
        <w:spacing w:after="120" w:line="259" w:lineRule="auto"/>
      </w:pPr>
      <w:r>
        <w:t>Facilities with unresolved or implausible coordinates were excluded from provisional route construction. This exclusion avoided generating artificial distances from uncertain locations. Excluded facilities were retained in the audit trail and should be prioritised for coordinate validation in future network updates.</w:t>
      </w:r>
    </w:p>
    <w:p>
      <w:pPr>
        <w:spacing w:after="120" w:line="259" w:lineRule="auto"/>
      </w:pPr>
      <w:r>
        <w:t>All final modelling layers retained coordinate-source and coordinate-quality variables. This allows future sensitivity analyses to compare routes based on verified facility point coordinates with routes relying on fallback centroids.</w:t>
      </w:r>
    </w:p>
    <w:p>
      <w:pPr>
        <w:spacing w:before="40" w:after="160"/>
        <w:ind w:left="360"/>
      </w:pPr>
      <w:r>
        <w:rPr>
          <w:b/>
          <w:i/>
          <w:sz w:val="18"/>
        </w:rPr>
        <w:t xml:space="preserve">Cross-reference to manuscript: </w:t>
      </w:r>
      <w:r>
        <w:rPr>
          <w:i/>
          <w:sz w:val="18"/>
        </w:rPr>
        <w:t>Supports Results 3.1, which states that records requiring manual coordinate review were excluded from the provisional assigned network. It also supports Results 3.2 to 3.4 because all distance matrices and assigned routes depend on accepted coordinates.</w:t>
      </w:r>
    </w:p>
    <w:p>
      <w:pPr>
        <w:pStyle w:val="Heading1"/>
        <w:spacing w:after="120" w:line="259" w:lineRule="auto"/>
      </w:pPr>
      <w:r>
        <w:t>S8. Spatial reference system and distance calculation preparation</w:t>
      </w:r>
    </w:p>
    <w:p>
      <w:pPr>
        <w:spacing w:after="120" w:line="259" w:lineRule="auto"/>
      </w:pPr>
      <w:r>
        <w:t>All spatial layers used for distance calculation were transformed to UTM Zone 36S before distance calculations. This projected coordinate reference system was selected because Uganda falls within the relevant UTM zone and because projected coordinates permit distance calculations in metres. Distances were subsequently converted to kilometres for interpretation and reporting.</w:t>
      </w:r>
    </w:p>
    <w:p>
      <w:pPr>
        <w:spacing w:after="120" w:line="259" w:lineRule="auto"/>
      </w:pPr>
      <w:r>
        <w:t>Distance calculations were performed between point geometries. For facilities with verified point coordinates, the facility point represented the modelled location. For facilities using catchment centroids, the centroid represented a provisional modelling point. Centroid-derived distances were interpreted cautiously because they may not correspond to the true facility location.</w:t>
      </w:r>
    </w:p>
    <w:p>
      <w:pPr>
        <w:spacing w:after="120" w:line="259" w:lineRule="auto"/>
      </w:pPr>
      <w:r>
        <w:t>Euclidean distance was used as the first-pass spatial metric. This choice allowed complete national pairwise distance matrices to be generated across all accepted spokes and eligible hubs. However, Euclidean distance does not account for road-network structure, road quality, terrain, wetlands, water crossings, seasonality, transport availability, travel cost, safety, caregiver preferences, district referral norms, or facility bypassing.</w:t>
      </w:r>
    </w:p>
    <w:p>
      <w:pPr>
        <w:spacing w:after="120" w:line="259" w:lineRule="auto"/>
      </w:pPr>
      <w:r>
        <w:t>Distance bands were defined as 25 km or less, greater than 25 to 50 km, greater than 50 to 100 km, and greater than 100 km. These thresholds were planning categories intended to distinguish short, moderate, long, and very long potential linkages. They were not intended as definitive referral standards.</w:t>
      </w:r>
    </w:p>
    <w:p>
      <w:pPr>
        <w:spacing w:before="40" w:after="160"/>
        <w:ind w:left="360"/>
      </w:pPr>
      <w:r>
        <w:rPr>
          <w:b/>
          <w:i/>
          <w:sz w:val="18"/>
        </w:rPr>
        <w:t xml:space="preserve">Cross-reference to manuscript: </w:t>
      </w:r>
      <w:r>
        <w:rPr>
          <w:i/>
          <w:sz w:val="18"/>
        </w:rPr>
        <w:t>Supports Results 3.2 and 3.3, including the reported median, mean, maximum, and distance-band summaries for all-candidate matrices and assigned networks. It also supports all figure captions stating that route lines are straight-line planning links.</w:t>
      </w:r>
    </w:p>
    <w:p>
      <w:pPr>
        <w:pStyle w:val="Heading1"/>
        <w:spacing w:after="120" w:line="259" w:lineRule="auto"/>
      </w:pPr>
      <w:r>
        <w:t>S9. SCD service-readiness domains</w:t>
      </w:r>
    </w:p>
    <w:p>
      <w:pPr>
        <w:spacing w:after="120" w:line="259" w:lineRule="auto"/>
      </w:pPr>
      <w:r>
        <w:t>Candidate SCD care hubs were evaluated using four measured service-readiness domains: specialised SCD clinic follow-up, hydroxyurea availability, newborn screening availability, and transfusion availability. These domains were selected because they represent complementary functions in the screening-to-care pathway.</w:t>
      </w:r>
    </w:p>
    <w:p>
      <w:pPr>
        <w:spacing w:after="120" w:line="259" w:lineRule="auto"/>
      </w:pPr>
      <w:r>
        <w:t>Specialised SCD clinic follow-up represented the continuity-of-care function of the receiving hub. It captured whether a facility reported organised SCD follow-up or specialised review capacity. In programme terms, this domain relates to confirmatory assessment, clinical enrolment, caregiver counselling, routine review, complication surveillance, patient tracking, referral coordination, and longitudinal care.</w:t>
      </w:r>
    </w:p>
    <w:p>
      <w:pPr>
        <w:spacing w:after="120" w:line="259" w:lineRule="auto"/>
      </w:pPr>
      <w:r>
        <w:t>Hydroxyurea availability represented disease-modifying treatment capacity. It indicated whether hydroxyurea was reported as available at the facility according to the source data. It did not measure prescribing capacity, dose escalation, laboratory monitoring, adverse-event review, stock reliability, patient adherence, or treatment continuity.</w:t>
      </w:r>
    </w:p>
    <w:p>
      <w:pPr>
        <w:spacing w:after="120" w:line="259" w:lineRule="auto"/>
      </w:pPr>
      <w:r>
        <w:t>Newborn screening availability represented early-identification capacity at the facility. Although NBS availability alone does not establish receiving-hub readiness, it indicates facility participation in screening or early diagnostic activities and was retained as a measured pathway domain.</w:t>
      </w:r>
    </w:p>
    <w:p>
      <w:pPr>
        <w:spacing w:after="120" w:line="259" w:lineRule="auto"/>
      </w:pPr>
      <w:r>
        <w:t>Transfusion availability represented acute complication support or escalation-readiness capacity. It indicated whether transfusion services were reported as available. It did not measure blood supply reliability, blood safety, emergency response capacity, laboratory turnaround time, or whether blood was available at the time of clinical need.</w:t>
      </w:r>
    </w:p>
    <w:p>
      <w:pPr>
        <w:spacing w:after="120" w:line="259" w:lineRule="auto"/>
      </w:pPr>
      <w:r>
        <w:t>Each domain was coded as binary. The domains were not treated as interchangeable. Both the composite readiness score and the pattern of missing domains were retained for interpretation.</w:t>
      </w:r>
    </w:p>
    <w:p>
      <w:pPr>
        <w:spacing w:before="40" w:after="160"/>
        <w:ind w:left="360"/>
      </w:pPr>
      <w:r>
        <w:rPr>
          <w:b/>
          <w:i/>
          <w:sz w:val="18"/>
        </w:rPr>
        <w:t xml:space="preserve">Cross-reference to manuscript: </w:t>
      </w:r>
      <w:r>
        <w:rPr>
          <w:i/>
          <w:sz w:val="18"/>
        </w:rPr>
        <w:t>Supports Results 3.1, which defines the four binary SCD service-readiness domains used for hub classification. It also supports Results 3.7 and Table 6, where missing service domains and dominant service gaps are interpreted.</w:t>
      </w:r>
    </w:p>
    <w:p>
      <w:pPr>
        <w:pStyle w:val="Heading1"/>
        <w:spacing w:after="120" w:line="259" w:lineRule="auto"/>
      </w:pPr>
      <w:r>
        <w:t>S10. Composite service-readiness score</w:t>
      </w:r>
    </w:p>
    <w:p>
      <w:pPr>
        <w:spacing w:after="120" w:line="259" w:lineRule="auto"/>
      </w:pPr>
      <w:r>
        <w:t>A composite service-readiness score was calculated for each candidate hub using the four measured SCD service domains. For candidate hub j, readiness was defined as Rj = CLj + HUj + NBSj + TRj, where CLj, HUj, NBSj, and TRj are binary indicators for specialised SCD clinic follow-up, hydroxyurea availability, newborn screening availability, and transfusion availability, respectively. The readiness score Rj ranged from 0 to 4.</w:t>
      </w:r>
    </w:p>
    <w:p>
      <w:pPr>
        <w:spacing w:after="120" w:line="259" w:lineRule="auto"/>
      </w:pPr>
      <w:r>
        <w:t>A service-deficit score was calculated as Dj = 1 - (Rj / 4), where Dj ranged from 0 to 1. Higher values indicated greater deficit across the measured domains. The deficit score was used for descriptive and prioritisation interpretation, while the readiness score was used for hub classification and scenario eligibility.</w:t>
      </w:r>
    </w:p>
    <w:p>
      <w:pPr>
        <w:spacing w:after="120" w:line="259" w:lineRule="auto"/>
      </w:pPr>
      <w:r>
        <w:t>Candidate hubs were classified into five readiness categories: full hub for Rj = 4, strong hub for Rj = 3, partial hub for Rj = 2, weak hub for Rj = 1, and not ready for Rj = 0. Full hubs were interpreted as facilities with all four measured service domains. Strong hubs had three domains. Partial hubs had two domains and met the primary minimum-readiness threshold but lacked one or more important domains. Weak and not-ready hubs were retained in the candidate universe but excluded from the primary eligible hub set.</w:t>
      </w:r>
    </w:p>
    <w:p>
      <w:pPr>
        <w:spacing w:after="120" w:line="259" w:lineRule="auto"/>
      </w:pPr>
      <w:r>
        <w:t>The composite score was used as a structured planning measure rather than a definitive measure of clinical quality. Equal weighting was used because the analysis assessed measured service availability rather than estimated clinical effectiveness.</w:t>
      </w:r>
    </w:p>
    <w:p>
      <w:pPr>
        <w:spacing w:before="40" w:after="160"/>
        <w:ind w:left="360"/>
      </w:pPr>
      <w:r>
        <w:rPr>
          <w:b/>
          <w:i/>
          <w:sz w:val="18"/>
        </w:rPr>
        <w:t xml:space="preserve">Cross-reference to manuscript: </w:t>
      </w:r>
      <w:r>
        <w:rPr>
          <w:i/>
          <w:sz w:val="18"/>
        </w:rPr>
        <w:t>Directly supports Results 3.1 and Table 1, including the classification of 75 primary eligible hubs, 43 hubs meeting the strong threshold, and 23 full hubs. It also supports Results 3.4 to 3.5 because route feasibility and route risk use receiving-hub readiness.</w:t>
      </w:r>
    </w:p>
    <w:p>
      <w:pPr>
        <w:pStyle w:val="Heading1"/>
        <w:spacing w:after="120" w:line="259" w:lineRule="auto"/>
      </w:pPr>
      <w:r>
        <w:t>S11. Primary and alternative hub eligibility scenarios</w:t>
      </w:r>
    </w:p>
    <w:p>
      <w:pPr>
        <w:spacing w:after="120" w:line="259" w:lineRule="auto"/>
      </w:pPr>
      <w:r>
        <w:t>Hub eligibility scenarios were defined to evaluate how different assumptions about receiving-hub readiness affected the structure of the screening-to-care network. These scenarios allowed the analysis to compare broader geographic reach with stricter readiness requirements.</w:t>
      </w:r>
    </w:p>
    <w:p>
      <w:pPr>
        <w:spacing w:after="120" w:line="259" w:lineRule="auto"/>
      </w:pPr>
      <w:r>
        <w:t>The primary eligible hub definition was Rj equal to or greater than 2. This threshold required at least two measured SCD service domains and included partial, strong, and full hubs. It was selected as a pragmatic minimum-readiness rule because it excluded facilities with minimal or absent measured SCD readiness while retaining sufficient geographic coverage to construct a national assigned network.</w:t>
      </w:r>
    </w:p>
    <w:p>
      <w:pPr>
        <w:spacing w:after="120" w:line="259" w:lineRule="auto"/>
      </w:pPr>
      <w:r>
        <w:t>The strong-hub scenario included facilities with Rj equal to or greater than 3. This scenario represented a stricter readiness standard and assessed what happens when the receiving hub set is restricted to facilities with broader measured SCD service capacity. The full-hub scenario included facilities with Rj = 4 and represented the most stringent measured readiness standard.</w:t>
      </w:r>
    </w:p>
    <w:p>
      <w:pPr>
        <w:spacing w:after="120" w:line="259" w:lineRule="auto"/>
      </w:pPr>
      <w:r>
        <w:t>The treatment-any scenario included facilities with at least one of hydroxyurea availability, specialised SCD clinic follow-up, or transfusion availability. The transfusion-ready scenario included facilities with transfusion availability. Alternative scenarios were interpreted as planning lenses rather than competing final programme networks.</w:t>
      </w:r>
    </w:p>
    <w:p>
      <w:pPr>
        <w:spacing w:before="40" w:after="160"/>
        <w:ind w:left="360"/>
      </w:pPr>
      <w:r>
        <w:rPr>
          <w:b/>
          <w:i/>
          <w:sz w:val="18"/>
        </w:rPr>
        <w:t xml:space="preserve">Cross-reference to manuscript: </w:t>
      </w:r>
      <w:r>
        <w:rPr>
          <w:i/>
          <w:sz w:val="18"/>
        </w:rPr>
        <w:t>Supports Results 3.1 to 3.3 and Table 2 by defining the primary, strong, full, treatment-any, and transfusion-ready hub sets used in scenario-based distance matrices and nearest-hub assignments.</w:t>
      </w:r>
    </w:p>
    <w:p>
      <w:pPr>
        <w:pStyle w:val="Heading1"/>
        <w:spacing w:after="120" w:line="259" w:lineRule="auto"/>
      </w:pPr>
      <w:r>
        <w:t>S12. Distance matrix construction</w:t>
      </w:r>
    </w:p>
    <w:p>
      <w:pPr>
        <w:spacing w:after="120" w:line="259" w:lineRule="auto"/>
      </w:pPr>
      <w:r>
        <w:t>Distance matrices were generated to describe the geographic opportunity space between accepted geocoded NBS spokes and candidate or eligible SCD care hubs. For each eligibility scenario, all possible spoke-to-hub pairs were generated between the accepted spoke layer and the eligible hub set for that scenario.</w:t>
      </w:r>
    </w:p>
    <w:p>
      <w:pPr>
        <w:spacing w:after="120" w:line="259" w:lineRule="auto"/>
      </w:pPr>
      <w:r>
        <w:t>The all-candidate matrix paired every accepted geocoded NBS spoke with every candidate Health Centre IV-and-above facility, regardless of service readiness. This matrix represented the full national spatial opportunity space. It was useful for understanding the overall distribution of potential facility proximity but was not interpreted as an operational referral network.</w:t>
      </w:r>
    </w:p>
    <w:p>
      <w:pPr>
        <w:spacing w:after="120" w:line="259" w:lineRule="auto"/>
      </w:pPr>
      <w:r>
        <w:t>Scenario-specific matrices paired the accepted spoke layer with the eligible hub set defined by each readiness scenario. Distances were calculated in kilometres using projected point geometries. Each matrix retained spoke identifiers, hub identifiers, hub readiness attributes, eligibility scenario, and calculated Euclidean distance.</w:t>
      </w:r>
    </w:p>
    <w:p>
      <w:pPr>
        <w:spacing w:after="120" w:line="259" w:lineRule="auto"/>
      </w:pPr>
      <w:r>
        <w:t>Matrix-level summaries included the number of spokes, number of eligible hubs, number of possible spoke-to-hub links, median distance, mean distance, maximum distance, and distribution of links across distance bands. These summaries allowed comparison across hub eligibility assumptions and established the candidate linkage space used for nearest-hub assignment.</w:t>
      </w:r>
    </w:p>
    <w:p>
      <w:pPr>
        <w:spacing w:before="40" w:after="160"/>
        <w:ind w:left="360"/>
      </w:pPr>
      <w:r>
        <w:rPr>
          <w:b/>
          <w:i/>
          <w:sz w:val="18"/>
        </w:rPr>
        <w:t xml:space="preserve">Cross-reference to manuscript: </w:t>
      </w:r>
      <w:r>
        <w:rPr>
          <w:i/>
          <w:sz w:val="18"/>
        </w:rPr>
        <w:t>Directly supports Results 3.2 and Table 2, including the all-candidate matrix, scenario-specific link counts, median all-pair distances, and interpretation that all-pair matrices are not operational referral networks.</w:t>
      </w:r>
    </w:p>
    <w:p>
      <w:pPr>
        <w:pStyle w:val="Heading1"/>
        <w:spacing w:after="120" w:line="259" w:lineRule="auto"/>
      </w:pPr>
      <w:r>
        <w:t>S13. Nearest eligible hub assignment</w:t>
      </w:r>
    </w:p>
    <w:p>
      <w:pPr>
        <w:spacing w:after="120" w:line="259" w:lineRule="auto"/>
      </w:pPr>
      <w:r>
        <w:t>Nearest-hub assignment was conducted separately for each eligibility scenario. For every accepted geocoded NBS spoke, the nearest eligible hub was identified using Euclidean distance. For spoke i, the assigned hub was defined as a(i) = arg min j in H dij, where a(i) is the assigned hub for spoke i, H is the eligible hub set for the scenario, and dij is the Euclidean distance from spoke i to hub j.</w:t>
      </w:r>
    </w:p>
    <w:p>
      <w:pPr>
        <w:spacing w:after="120" w:line="259" w:lineRule="auto"/>
      </w:pPr>
      <w:r>
        <w:t>The assignment procedure was repeated for the primary, strong, full, treatment-any, and transfusion-ready scenarios. The primary scenario was retained as the main implementation-planning network because it balanced minimum measured readiness with national geographic reach.</w:t>
      </w:r>
    </w:p>
    <w:p>
      <w:pPr>
        <w:spacing w:after="120" w:line="259" w:lineRule="auto"/>
      </w:pPr>
      <w:r>
        <w:t>For each assigned route, the output retained spoke identifier, spoke name, spoke type, existing NBS status, collocated candidate status, assigned hub identifier, assigned hub name, assigned hub facility level, hub readiness score, hub readiness category, assigned distance, distance band, route-feasibility class, and weak-or-long route indicator.</w:t>
      </w:r>
    </w:p>
    <w:p>
      <w:pPr>
        <w:spacing w:after="120" w:line="259" w:lineRule="auto"/>
      </w:pPr>
      <w:r>
        <w:t>If more than one hub had the same minimum distance, ties were resolved deterministically using facility identifier order to ensure reproducibility. Assignment completeness was checked by confirming that every accepted geocoded NBS spoke had an assigned hub identifier and assigned distance under each scenario.</w:t>
      </w:r>
    </w:p>
    <w:p>
      <w:pPr>
        <w:spacing w:after="120" w:line="259" w:lineRule="auto"/>
      </w:pPr>
      <w:r>
        <w:t>The assignment model did not incorporate district boundaries, referral norms, facility preference, service reputation, road access, caregiver choice, or capacity constraints. It therefore represents nearest eligible hub assignment, not observed or final referral behaviour.</w:t>
      </w:r>
    </w:p>
    <w:p>
      <w:pPr>
        <w:spacing w:before="40" w:after="160"/>
        <w:ind w:left="360"/>
      </w:pPr>
      <w:r>
        <w:rPr>
          <w:b/>
          <w:i/>
          <w:sz w:val="18"/>
        </w:rPr>
        <w:t xml:space="preserve">Cross-reference to manuscript: </w:t>
      </w:r>
      <w:r>
        <w:rPr>
          <w:i/>
          <w:sz w:val="18"/>
        </w:rPr>
        <w:t>Directly supports Results 3.3 and Table 2, including the claim that all 168 accepted geocoded NBS spokes were assigned to the nearest eligible hub in each scenario and that the primary assigned network used 62 of 75 eligible hubs.</w:t>
      </w:r>
    </w:p>
    <w:p>
      <w:pPr>
        <w:pStyle w:val="Heading1"/>
        <w:spacing w:after="120" w:line="259" w:lineRule="auto"/>
      </w:pPr>
      <w:r>
        <w:t>S14. Interpretation of all-candidate matrices versus assigned networks</w:t>
      </w:r>
    </w:p>
    <w:p>
      <w:pPr>
        <w:spacing w:after="120" w:line="259" w:lineRule="auto"/>
      </w:pPr>
      <w:r>
        <w:t>The all-candidate matrices and assigned networks served different methodological purposes. All-candidate matrices described the full geographic opportunity space between accepted NBS spokes and candidate or eligible hubs. They were useful for understanding how many potential links existed and how distance distributions changed under different hub eligibility assumptions.</w:t>
      </w:r>
    </w:p>
    <w:p>
      <w:pPr>
        <w:spacing w:after="120" w:line="259" w:lineRule="auto"/>
      </w:pPr>
      <w:r>
        <w:t>Assigned networks converted the scenario-specific distance matrices into modelled referral structures by selecting the nearest eligible hub for each spoke. The assigned routes were then used for route-feasibility classification, workload summaries, route-risk interpretation, weak-route identification, and strengthening tiers.</w:t>
      </w:r>
    </w:p>
    <w:p>
      <w:pPr>
        <w:spacing w:after="120" w:line="259" w:lineRule="auto"/>
      </w:pPr>
      <w:r>
        <w:t>This distinction was retained throughout the analysis to avoid overinterpreting all-pair proximity as referral linkage. A facility may appear close to many spokes in an all-candidate matrix but may not be assigned to any spoke if a nearer eligible hub exists. Conversely, a hub may be assigned several spokes even if it is not highly ranked in an all-pair distance summary.</w:t>
      </w:r>
    </w:p>
    <w:p>
      <w:pPr>
        <w:spacing w:after="120" w:line="259" w:lineRule="auto"/>
      </w:pPr>
      <w:r>
        <w:t>The all-candidate matrices were interpreted as planning opportunity spaces. Assigned networks were interpreted as modelled screening-to-care pathways. Neither should be interpreted as observed patient movement.</w:t>
      </w:r>
    </w:p>
    <w:p>
      <w:pPr>
        <w:spacing w:before="40" w:after="160"/>
        <w:ind w:left="360"/>
      </w:pPr>
      <w:r>
        <w:rPr>
          <w:b/>
          <w:i/>
          <w:sz w:val="18"/>
        </w:rPr>
        <w:t xml:space="preserve">Cross-reference to manuscript: </w:t>
      </w:r>
      <w:r>
        <w:rPr>
          <w:i/>
          <w:sz w:val="18"/>
        </w:rPr>
        <w:t>Supports Results 3.2 and 3.3 by explaining why the all-candidate distance matrix is discussed separately from the primary assigned network and why only assigned routes are used for route feasibility, workload, and strengthening interpretation.</w:t>
      </w:r>
    </w:p>
    <w:p>
      <w:pPr>
        <w:pStyle w:val="Heading1"/>
        <w:spacing w:after="120" w:line="259" w:lineRule="auto"/>
      </w:pPr>
      <w:r>
        <w:t>S15. Route-feasibility classification</w:t>
      </w:r>
    </w:p>
    <w:p>
      <w:pPr>
        <w:spacing w:after="120" w:line="259" w:lineRule="auto"/>
      </w:pPr>
      <w:r>
        <w:t>Route feasibility was classified in the primary assigned network using both assigned distance and receiving-hub readiness. This combined classification was used because geographic proximity alone does not establish functional access to SCD care. A short route to a partially ready hub may remain weak if key SCD service domains are absent. A longer route to a strong or full hub may be clinically more appropriate but operationally harder for families.</w:t>
      </w:r>
    </w:p>
    <w:p>
      <w:pPr>
        <w:spacing w:after="120" w:line="259" w:lineRule="auto"/>
      </w:pPr>
      <w:r>
        <w:t>Routes were classified as functional when the assigned hub was strong or full and the assigned distance was 25 km or less. Routes were classified as moderate functional when the assigned hub was strong or full and the assigned distance was greater than 25 to 50 km. Routes were classified as partial when the assigned hub was partial and the assigned distance was 25 km or less. Routes were classified as moderate partial when the assigned hub was partial and the assigned distance was greater than 25 to 50 km. Routes were classified as long when distance was greater than 50 to 100 km regardless of hub readiness, and very long when distance was greater than 100 km regardless of hub readiness.</w:t>
      </w:r>
    </w:p>
    <w:p>
      <w:pPr>
        <w:spacing w:after="120" w:line="259" w:lineRule="auto"/>
      </w:pPr>
      <w:r>
        <w:t>The classification was hierarchical in interpretation. Distance greater than 50 km overrode readiness category because longer routes were considered geographically exposed even when the assigned hub was strong or full. For routes 50 km or less, hub readiness distinguished stronger linkages from readiness-constrained linkages.</w:t>
      </w:r>
    </w:p>
    <w:p>
      <w:pPr>
        <w:spacing w:after="120" w:line="259" w:lineRule="auto"/>
      </w:pPr>
      <w:r>
        <w:t>A weak-or-long route indicator was assigned to routes classified as partial, moderate partial, long, or very long. This binary indicator captured service-readiness fragility, geographic fragility, or both. Routes classified as functional or moderate functional were interpreted as stronger linkages, although still requiring operational validation.</w:t>
      </w:r>
    </w:p>
    <w:p>
      <w:pPr>
        <w:spacing w:after="120" w:line="259" w:lineRule="auto"/>
      </w:pPr>
      <w:r>
        <w:t>Route-feasibility classes were not intended as definitive referral standards. They were planning categories used to identify where validation, strengthening, referral review, or further analysis should be prioritised.</w:t>
      </w:r>
    </w:p>
    <w:p>
      <w:pPr>
        <w:spacing w:before="40" w:after="160"/>
        <w:ind w:left="360"/>
      </w:pPr>
      <w:r>
        <w:rPr>
          <w:b/>
          <w:i/>
          <w:sz w:val="18"/>
        </w:rPr>
        <w:t xml:space="preserve">Cross-reference to manuscript: </w:t>
      </w:r>
      <w:r>
        <w:rPr>
          <w:i/>
          <w:sz w:val="18"/>
        </w:rPr>
        <w:t>Directly supports Results 3.4, Table 3, Figure 2, and Figure 4, including the classification of functional, moderate functional, partial, moderate partial, long, and very long routes and the definition of weak-or-long routes.</w:t>
      </w:r>
    </w:p>
    <w:p>
      <w:pPr>
        <w:pStyle w:val="Heading1"/>
        <w:spacing w:after="120" w:line="259" w:lineRule="auto"/>
      </w:pPr>
      <w:r>
        <w:t>S16. Weak-route spoke layer</w:t>
      </w:r>
    </w:p>
    <w:p>
      <w:pPr>
        <w:spacing w:after="120" w:line="259" w:lineRule="auto"/>
      </w:pPr>
      <w:r>
        <w:t>Weak-route spokes were defined as accepted geocoded NBS spokes whose assigned route in the primary network was classified as partial, moderate partial, long, or very long. This layer represented screening facilities whose modelled linkage to care was potentially fragile because of partial hub readiness, distance exposure, or both.</w:t>
      </w:r>
    </w:p>
    <w:p>
      <w:pPr>
        <w:spacing w:after="120" w:line="259" w:lineRule="auto"/>
      </w:pPr>
      <w:r>
        <w:t>The weak-route spoke layer was retained as a spatial output for programme interpretation. It was used to identify weak-route geographies and to support proximity analysis for candidate facilities. Spokes in this layer were not interpreted as unserved. Many weak-route spokes were assigned to nearby hubs but remained weak because the receiving hub lacked full or strong readiness.</w:t>
      </w:r>
    </w:p>
    <w:p>
      <w:pPr>
        <w:spacing w:after="120" w:line="259" w:lineRule="auto"/>
      </w:pPr>
      <w:r>
        <w:t>Weak-route spokes were also used to identify where local validation should begin. Programme teams should review whether the assigned hub is the most appropriate receiving facility, whether another nearby facility could be strengthened, whether district referral relationships support the modelled route, and whether service gaps at the assigned hub can be corrected.</w:t>
      </w:r>
    </w:p>
    <w:p>
      <w:pPr>
        <w:spacing w:before="40" w:after="160"/>
        <w:ind w:left="360"/>
      </w:pPr>
      <w:r>
        <w:rPr>
          <w:b/>
          <w:i/>
          <w:sz w:val="18"/>
        </w:rPr>
        <w:t xml:space="preserve">Cross-reference to manuscript: </w:t>
      </w:r>
      <w:r>
        <w:rPr>
          <w:i/>
          <w:sz w:val="18"/>
        </w:rPr>
        <w:t>Supports Results 3.4 and Figure 4 by defining the weak-route subset and explaining why these routes represent priority corridors for strengthening or validation rather than failed linkages.</w:t>
      </w:r>
    </w:p>
    <w:p>
      <w:pPr>
        <w:pStyle w:val="Heading1"/>
        <w:spacing w:after="120" w:line="259" w:lineRule="auto"/>
      </w:pPr>
      <w:r>
        <w:t>S17. Hub workload calculation</w:t>
      </w:r>
    </w:p>
    <w:p>
      <w:pPr>
        <w:spacing w:after="120" w:line="259" w:lineRule="auto"/>
      </w:pPr>
      <w:r>
        <w:t>Hub workload was calculated among hubs used in the primary assigned network. Workload was defined as the number of accepted geocoded NBS spokes assigned to each hub. This measure captured linked-spoke burden, not patient volume.</w:t>
      </w:r>
    </w:p>
    <w:p>
      <w:pPr>
        <w:spacing w:after="120" w:line="259" w:lineRule="auto"/>
      </w:pPr>
      <w:r>
        <w:t>For each assigned hub, workload summaries included total linked spokes, linked existing NBS spokes, linked collocated candidate NBS spokes, mean assigned distance, median assigned distance, maximum assigned distance, number and percentage of linked spokes within 25 km, number and percentage within 50 km, number and percentage within 100 km, number of weak-or-long linked routes, and percentage of weak-or-long linked routes.</w:t>
      </w:r>
    </w:p>
    <w:p>
      <w:pPr>
        <w:spacing w:after="120" w:line="259" w:lineRule="auto"/>
      </w:pPr>
      <w:r>
        <w:t>Workload categories were defined as low workload for fewer than 5 linked spokes, moderate workload for 5 to 9 linked spokes, high workload for 10 to 19 linked spokes, and very high workload for 20 or more linked spokes.</w:t>
      </w:r>
    </w:p>
    <w:p>
      <w:pPr>
        <w:spacing w:after="120" w:line="259" w:lineRule="auto"/>
      </w:pPr>
      <w:r>
        <w:t>These categories were intended to support planning interpretation. A high-workload full or strong hub may require operational support, staffing, appointment systems, laboratory coordination, referral feedback, and commodity planning. A high-workload partial hub may require both operational support and service-domain strengthening. A low-workload partial hub may still be important if it serves a weak-route geography with few alternative options.</w:t>
      </w:r>
    </w:p>
    <w:p>
      <w:pPr>
        <w:spacing w:after="120" w:line="259" w:lineRule="auto"/>
      </w:pPr>
      <w:r>
        <w:t>Workload did not incorporate number of births, number of infants screened, expected SCD cases, referral completion, first clinic attendance, retention, treatment demand, transfusion need, or patient outcomes. Future network reruns should incorporate these measures when data become available.</w:t>
      </w:r>
    </w:p>
    <w:p>
      <w:pPr>
        <w:spacing w:before="40" w:after="160"/>
        <w:ind w:left="360"/>
      </w:pPr>
      <w:r>
        <w:rPr>
          <w:b/>
          <w:i/>
          <w:sz w:val="18"/>
        </w:rPr>
        <w:t xml:space="preserve">Cross-reference to manuscript: </w:t>
      </w:r>
      <w:r>
        <w:rPr>
          <w:i/>
          <w:sz w:val="18"/>
        </w:rPr>
        <w:t>Directly supports Results 3.5, Table 4, and Figure 3, including the hub workload categories, the median linked-spoke count, and interpretation of high-workload hubs such as Alebtong HC IV and Kitgum Hospital.</w:t>
      </w:r>
    </w:p>
    <w:p>
      <w:pPr>
        <w:pStyle w:val="Heading1"/>
        <w:spacing w:after="120" w:line="259" w:lineRule="auto"/>
      </w:pPr>
      <w:r>
        <w:t>S18. Hub route-risk classification</w:t>
      </w:r>
    </w:p>
    <w:p>
      <w:pPr>
        <w:spacing w:after="120" w:line="259" w:lineRule="auto"/>
      </w:pPr>
      <w:r>
        <w:t>Hub route-risk classification was used to summarise the implementation vulnerability of assigned hubs. Route risk incorporated hub readiness category, weak-or-long route burden, distance exposure, and linked-spoke workload.</w:t>
      </w:r>
    </w:p>
    <w:p>
      <w:pPr>
        <w:spacing w:after="120" w:line="259" w:lineRule="auto"/>
      </w:pPr>
      <w:r>
        <w:t>Hubs were classified as higher route risk when they had partial readiness affecting assigned spokes, substantial weak-or-long route burden, high linked-spoke workload with readiness gaps, or long-distance exposure. Hubs with strong or full readiness and few or no weak-or-long routes were interpreted as lower route-risk hubs. Hubs with intermediate patterns were interpreted as requiring review, especially where workload was increasing or where specific service gaps could affect continuity of care.</w:t>
      </w:r>
    </w:p>
    <w:p>
      <w:pPr>
        <w:spacing w:after="120" w:line="259" w:lineRule="auto"/>
      </w:pPr>
      <w:r>
        <w:t>The purpose of route-risk classification was to distinguish implementation responses. A full or strong hub with higher workload may not need the same service-domain strengthening as a partial hub, but it may need operational support and monitoring to prevent overload. A partial hub with several linked spokes may require direct strengthening of missing domains, particularly specialised follow-up, hydroxyurea systems, transfusion readiness, or referral coordination.</w:t>
      </w:r>
    </w:p>
    <w:p>
      <w:pPr>
        <w:spacing w:after="120" w:line="259" w:lineRule="auto"/>
      </w:pPr>
      <w:r>
        <w:t>Route risk was therefore not a simple severity ranking. It was a planning interpretation combining role, readiness, distance, and workload. The classification helped determine whether a facility should be prioritised for strengthening, review, validation, monitoring, or referral-anchor support.</w:t>
      </w:r>
    </w:p>
    <w:p>
      <w:pPr>
        <w:spacing w:before="40" w:after="160"/>
        <w:ind w:left="360"/>
      </w:pPr>
      <w:r>
        <w:rPr>
          <w:b/>
          <w:i/>
          <w:sz w:val="18"/>
        </w:rPr>
        <w:t xml:space="preserve">Cross-reference to manuscript: </w:t>
      </w:r>
      <w:r>
        <w:rPr>
          <w:i/>
          <w:sz w:val="18"/>
        </w:rPr>
        <w:t>Directly supports Results 3.5, Table 4, and Figure 5 by explaining the low, moderate, and high route-risk categories and the interpretation that partial hubs drove most route-risk burden in the primary network.</w:t>
      </w:r>
    </w:p>
    <w:p>
      <w:pPr>
        <w:pStyle w:val="Heading1"/>
        <w:spacing w:after="120" w:line="259" w:lineRule="auto"/>
      </w:pPr>
      <w:r>
        <w:t>S19. Candidate facility proximity to weak-route spokes</w:t>
      </w:r>
    </w:p>
    <w:p>
      <w:pPr>
        <w:spacing w:after="120" w:line="259" w:lineRule="auto"/>
      </w:pPr>
      <w:r>
        <w:t>The full candidate hub universe was assessed for proximity to weak-route spokes to identify facilities that could potentially reduce weak linkage if validated and strengthened. Candidate facilities located within 50 km of one or more weak-route spokes were flagged as possible validation or staged-upgrade sites.</w:t>
      </w:r>
    </w:p>
    <w:p>
      <w:pPr>
        <w:spacing w:after="120" w:line="259" w:lineRule="auto"/>
      </w:pPr>
      <w:r>
        <w:t>The 50 km threshold was selected as a pragmatic planning threshold to identify facilities that might plausibly reduce weak-route burden. It was not interpreted as proof of accessibility, readiness, or community acceptability. A facility within 50 km of a weak-route spoke may still be difficult to reach because of road conditions, terrain, transport availability, district referral patterns, or caregiver costs. Conversely, a facility outside 50 km may still be operationally important if road access and referral relationships are favourable.</w:t>
      </w:r>
    </w:p>
    <w:p>
      <w:pPr>
        <w:spacing w:after="120" w:line="259" w:lineRule="auto"/>
      </w:pPr>
      <w:r>
        <w:t>This proximity analysis was used primarily to identify Tier 2 candidate facilities. These facilities were interpreted as spatial opportunities requiring validation. They were not designated as receiving hubs unless they met eligibility criteria and were validated through programme assessment.</w:t>
      </w:r>
    </w:p>
    <w:p>
      <w:pPr>
        <w:spacing w:after="120" w:line="259" w:lineRule="auto"/>
      </w:pPr>
      <w:r>
        <w:t>Validation should assess staffing, clinic organisation, commodity systems, hydroxyurea prescribing and monitoring, transfusion or escalation arrangements, referral relationships, leadership readiness, and feasibility of sustaining SCD follow-up.</w:t>
      </w:r>
    </w:p>
    <w:p>
      <w:pPr>
        <w:spacing w:before="40" w:after="160"/>
        <w:ind w:left="360"/>
      </w:pPr>
      <w:r>
        <w:rPr>
          <w:b/>
          <w:i/>
          <w:sz w:val="18"/>
        </w:rPr>
        <w:t xml:space="preserve">Cross-reference to manuscript: </w:t>
      </w:r>
      <w:r>
        <w:rPr>
          <w:i/>
          <w:sz w:val="18"/>
        </w:rPr>
        <w:t>Supports Results 3.6, Table 5, and Figure 9 by explaining the logic behind Tier 2 candidate facilities near weak-route spokes and why they are validation candidates rather than ready receiving hubs.</w:t>
      </w:r>
    </w:p>
    <w:p>
      <w:pPr>
        <w:pStyle w:val="Heading1"/>
        <w:spacing w:after="120" w:line="259" w:lineRule="auto"/>
      </w:pPr>
      <w:r>
        <w:t>S20. Facility-strengthening framework</w:t>
      </w:r>
    </w:p>
    <w:p>
      <w:pPr>
        <w:spacing w:after="120" w:line="259" w:lineRule="auto"/>
      </w:pPr>
      <w:r>
        <w:t>The facility-strengthening framework translated route and hub outputs into mutually exclusive implementation categories. Facilities were classified using current network role, assigned-hub status, readiness score, weak-route burden, linked-spoke workload, proximity to weak-route spokes, route-risk classification, and missing service domains.</w:t>
      </w:r>
    </w:p>
    <w:p>
      <w:pPr>
        <w:spacing w:after="120" w:line="259" w:lineRule="auto"/>
      </w:pPr>
      <w:r>
        <w:t>Tier 1 current hub strengthening included current assigned hubs requiring service-domain strengthening because of partial readiness, weak-route burden, linked-spoke workload, high route risk, or missing key services. These facilities were prioritised because strengthening them could directly improve existing modelled screening-to-care pathways.</w:t>
      </w:r>
    </w:p>
    <w:p>
      <w:pPr>
        <w:spacing w:after="120" w:line="259" w:lineRule="auto"/>
      </w:pPr>
      <w:r>
        <w:t>Tier 1b current hub review included current assigned hubs requiring operational review, workload monitoring, referral coordination, or further readiness verification. These facilities had network relevance because they were assigned hubs, but they did not have the same immediate service-domain strengthening profile as Tier 1 facilities.</w:t>
      </w:r>
    </w:p>
    <w:p>
      <w:pPr>
        <w:spacing w:after="120" w:line="259" w:lineRule="auto"/>
      </w:pPr>
      <w:r>
        <w:t>Tier 2 candidate near weak route included candidate facilities located near weak-route spokes that could potentially reduce weak-route burden if validated and upgraded. These facilities were not interpreted as ready hubs. They represent a validation pipeline for staged strengthening.</w:t>
      </w:r>
    </w:p>
    <w:p>
      <w:pPr>
        <w:spacing w:after="120" w:line="259" w:lineRule="auto"/>
      </w:pPr>
      <w:r>
        <w:t>Monitor or backup included facilities retained because of possible future network role, resilience value, backup potential, or need for monitoring. Where a facility met criteria for multiple categories, the highest relevant priority category was retained. Duplicate records were removed so that each facility appeared once in the strengthening output.</w:t>
      </w:r>
    </w:p>
    <w:p>
      <w:pPr>
        <w:spacing w:after="120" w:line="259" w:lineRule="auto"/>
      </w:pPr>
      <w:r>
        <w:t>The strengthening framework was intended to support implementation sequencing. It did not replace field assessment, costing, district planning, stakeholder review, or final investment decisions.</w:t>
      </w:r>
    </w:p>
    <w:p>
      <w:pPr>
        <w:spacing w:before="40" w:after="160"/>
        <w:ind w:left="360"/>
      </w:pPr>
      <w:r>
        <w:rPr>
          <w:b/>
          <w:i/>
          <w:sz w:val="18"/>
        </w:rPr>
        <w:t xml:space="preserve">Cross-reference to manuscript: </w:t>
      </w:r>
      <w:r>
        <w:rPr>
          <w:i/>
          <w:sz w:val="18"/>
        </w:rPr>
        <w:t>Directly supports Results 3.6, Table 5, Figure 6, and Figure 9, including the counts and interpretation of Tier 1, Tier 1b, Tier 2, and monitoring or backup facilities.</w:t>
      </w:r>
    </w:p>
    <w:p>
      <w:pPr>
        <w:pStyle w:val="Heading1"/>
        <w:spacing w:after="120" w:line="259" w:lineRule="auto"/>
      </w:pPr>
      <w:r>
        <w:t>S21. Priority score and strengthening interpretation</w:t>
      </w:r>
    </w:p>
    <w:p>
      <w:pPr>
        <w:spacing w:after="120" w:line="259" w:lineRule="auto"/>
      </w:pPr>
      <w:r>
        <w:t>A priority score was used to support mapping and ranking of strengthening facilities. The score summarised implementation relevance using network role, route-risk burden, linked-spoke workload, proximity to weak-route spokes, and service-readiness gaps.</w:t>
      </w:r>
    </w:p>
    <w:p>
      <w:pPr>
        <w:spacing w:after="120" w:line="259" w:lineRule="auto"/>
      </w:pPr>
      <w:r>
        <w:t>The priority score was interpreted as a planning aid rather than a definitive investment ranking. Facilities with higher scores were considered more relevant for near-term review or strengthening, but final decisions require field validation, service-quality assessment, resource review, costing, district input, and stakeholder consultation.</w:t>
      </w:r>
    </w:p>
    <w:p>
      <w:pPr>
        <w:spacing w:after="120" w:line="259" w:lineRule="auto"/>
      </w:pPr>
      <w:r>
        <w:t>Priority interpretation differed by tier. A high-priority Tier 1 facility indicates a current assigned hub where strengthening may directly improve assigned screening-to-care pathways. A high-priority Tier 1b facility may indicate a current hub requiring review, workload protection, referral coordination, or operational support. A high-priority Tier 2 facility indicates a candidate validation site near weak-route geographies, not a facility that is already ready for referral designation. Monitoring or backup facilities should be interpreted as potential future network assets rather than immediate strengthening targets.</w:t>
      </w:r>
    </w:p>
    <w:p>
      <w:pPr>
        <w:spacing w:after="120" w:line="259" w:lineRule="auto"/>
      </w:pPr>
      <w:r>
        <w:t>This distinction was important because the same numerical score may imply different actions depending on facility role. A high-scoring current hub may require immediate service strengthening, whereas a high-scoring candidate facility may require validation before any upgrade decision.</w:t>
      </w:r>
    </w:p>
    <w:p>
      <w:pPr>
        <w:spacing w:before="40" w:after="160"/>
        <w:ind w:left="360"/>
      </w:pPr>
      <w:r>
        <w:rPr>
          <w:b/>
          <w:i/>
          <w:sz w:val="18"/>
        </w:rPr>
        <w:t xml:space="preserve">Cross-reference to manuscript: </w:t>
      </w:r>
      <w:r>
        <w:rPr>
          <w:i/>
          <w:sz w:val="18"/>
        </w:rPr>
        <w:t>Supports Results 3.6 and Figures 6 and 9, where symbol size represents priority score and where strengthening priorities are interpreted by tier rather than as a simple investment ranking.</w:t>
      </w:r>
    </w:p>
    <w:p>
      <w:pPr>
        <w:pStyle w:val="Heading1"/>
        <w:spacing w:after="120" w:line="259" w:lineRule="auto"/>
      </w:pPr>
      <w:r>
        <w:t>S22. Service-gap assessment</w:t>
      </w:r>
    </w:p>
    <w:p>
      <w:pPr>
        <w:spacing w:after="120" w:line="259" w:lineRule="auto"/>
      </w:pPr>
      <w:r>
        <w:t>Service-readiness gaps were assessed among all facilities identified for strengthening, review, validation, or monitoring. For each facility, missing domains were recorded for specialised SCD clinic follow-up, hydroxyurea availability, newborn screening availability, and transfusion availability.</w:t>
      </w:r>
    </w:p>
    <w:p>
      <w:pPr>
        <w:spacing w:after="120" w:line="259" w:lineRule="auto"/>
      </w:pPr>
      <w:r>
        <w:t>Because facilities could lack more than one domain, service gaps were not mutually exclusive. A facility could simultaneously lack hydroxyurea, transfusion, and specialised follow-up. Counts and percentages were calculated using the strengthening-facility denominator.</w:t>
      </w:r>
    </w:p>
    <w:p>
      <w:pPr>
        <w:spacing w:after="120" w:line="259" w:lineRule="auto"/>
      </w:pPr>
      <w:r>
        <w:t>A dominant service-gap category was assigned to identify the main missing domain driving a facility’s strengthening profile. Dominant gaps were classified as specialised SCD clinic follow-up, hydroxyurea, transfusion, newborn screening, or no major dominant service gap. The dominant gap classification was used for mapping and programme interpretation, but it did not imply that other missing domains were unimportant.</w:t>
      </w:r>
    </w:p>
    <w:p>
      <w:pPr>
        <w:spacing w:after="120" w:line="259" w:lineRule="auto"/>
      </w:pPr>
      <w:r>
        <w:t>Specialised SCD clinic follow-up gaps were interpreted as continuity-of-care gaps affecting enrolment, routine review, caregiver counselling, complication monitoring, missed-visit tracking, and long-term care. Hydroxyurea gaps were interpreted as disease-modifying treatment gaps. Transfusion gaps were interpreted as acute complication support or escalation-readiness gaps. Newborn screening gaps were interpreted as screening-platform gaps.</w:t>
      </w:r>
    </w:p>
    <w:p>
      <w:pPr>
        <w:spacing w:after="120" w:line="259" w:lineRule="auto"/>
      </w:pPr>
      <w:r>
        <w:t>Service-gap outputs were used to identify which strengthening actions were most relevant for each facility and for the network as a whole. They were interpreted as planning indicators and require field validation to confirm service quality, staffing, commodity reliability, and operational feasibility.</w:t>
      </w:r>
    </w:p>
    <w:p>
      <w:pPr>
        <w:spacing w:before="40" w:after="160"/>
        <w:ind w:left="360"/>
      </w:pPr>
      <w:r>
        <w:rPr>
          <w:b/>
          <w:i/>
          <w:sz w:val="18"/>
        </w:rPr>
        <w:t xml:space="preserve">Cross-reference to manuscript: </w:t>
      </w:r>
      <w:r>
        <w:rPr>
          <w:i/>
          <w:sz w:val="18"/>
        </w:rPr>
        <w:t>Directly supports Results 3.7, Table 6, Figure 7, and Figure 8, including missing service-domain counts, dominant service-gap categories, and interpretation that specialised follow-up is a major continuity-of-care constraint.</w:t>
      </w:r>
    </w:p>
    <w:p>
      <w:pPr>
        <w:pStyle w:val="Heading1"/>
        <w:spacing w:after="120" w:line="259" w:lineRule="auto"/>
      </w:pPr>
      <w:r>
        <w:t>S23. Spatial output generation</w:t>
      </w:r>
    </w:p>
    <w:p>
      <w:pPr>
        <w:spacing w:after="120" w:line="259" w:lineRule="auto"/>
      </w:pPr>
      <w:r>
        <w:t>Spatial outputs were generated for programme interpretation, visualisation, and reproducibility. Outputs included accepted geocoded NBS spokes, candidate SCD care hubs, scenario-specific eligible hubs, assigned route lines for each scenario, primary assigned route lines, weak-or-long route lines, assigned hub workload points, hub readiness points, strengthening-priority facilities, specialised follow-up gap facilities, dominant service-gap facilities, tiered strengthening facilities, Uganda national boundary, water-area polygons, and regional reference layers.</w:t>
      </w:r>
    </w:p>
    <w:p>
      <w:pPr>
        <w:spacing w:after="120" w:line="259" w:lineRule="auto"/>
      </w:pPr>
      <w:r>
        <w:t>All spatial outputs were exported as GeoPackage layers. GeoPackage format was used because it supports multiple spatial layers in a single file and can be used in standard geographic information system software.</w:t>
      </w:r>
    </w:p>
    <w:p>
      <w:pPr>
        <w:spacing w:before="40" w:after="160"/>
        <w:ind w:left="360"/>
      </w:pPr>
      <w:r>
        <w:rPr>
          <w:b/>
          <w:i/>
          <w:sz w:val="18"/>
        </w:rPr>
        <w:t xml:space="preserve">Cross-reference to manuscript: </w:t>
      </w:r>
      <w:r>
        <w:rPr>
          <w:i/>
          <w:sz w:val="18"/>
        </w:rPr>
        <w:t>Supports Figures 1 to 9 and Results 3.8 by defining the spatial layers used to generate network, feasibility, workload, readiness, weak-route, strengthening, and service-gap maps.</w:t>
      </w:r>
    </w:p>
    <w:p>
      <w:pPr>
        <w:pStyle w:val="Heading1"/>
        <w:spacing w:after="120" w:line="259" w:lineRule="auto"/>
      </w:pPr>
      <w:r>
        <w:t>S24. Map production</w:t>
      </w:r>
    </w:p>
    <w:p>
      <w:pPr>
        <w:spacing w:after="120" w:line="259" w:lineRule="auto"/>
      </w:pPr>
      <w:r>
        <w:t>Maps were generated to support interpretation of the screening-to-care network and strengthening priorities. The main map outputs included the primary SCD hub-and-spoke network, route feasibility in the assigned network, hub workload in the primary network, weak or long assigned routes, hub readiness among assigned hubs, facilities prioritised for SCD service strengthening, specialised SCD clinic follow-up gaps, dominant service gaps among strengthening facilities, and tiered strengthening facilities.</w:t>
      </w:r>
    </w:p>
    <w:p>
      <w:pPr>
        <w:spacing w:after="120" w:line="259" w:lineRule="auto"/>
      </w:pPr>
      <w:r>
        <w:t>Route lines were displayed as straight-line planning links. Hub symbol size represented linked-spoke workload where applicable. Facility symbols distinguished existing NBS spokes, collocated candidate NBS spokes, assigned hubs, strengthening tiers, and service-gap categories. Maps were intended to support programme interpretation and were not used to infer actual travel routes, patient flows, referral completion, or service quality.</w:t>
      </w:r>
    </w:p>
    <w:p>
      <w:pPr>
        <w:spacing w:before="40" w:after="160"/>
        <w:ind w:left="360"/>
      </w:pPr>
      <w:r>
        <w:rPr>
          <w:b/>
          <w:i/>
          <w:sz w:val="18"/>
        </w:rPr>
        <w:t xml:space="preserve">Cross-reference to manuscript: </w:t>
      </w:r>
      <w:r>
        <w:rPr>
          <w:i/>
          <w:sz w:val="18"/>
        </w:rPr>
        <w:t>Supports Figure captions 1 to 9 and Results 3.8 by documenting the map symbology and the limits of spatial interpretation.</w:t>
      </w:r>
    </w:p>
    <w:p>
      <w:pPr>
        <w:pStyle w:val="Heading1"/>
        <w:spacing w:after="120" w:line="259" w:lineRule="auto"/>
      </w:pPr>
      <w:r>
        <w:t>S25. Internal consistency checks</w:t>
      </w:r>
    </w:p>
    <w:p>
      <w:pPr>
        <w:spacing w:after="120" w:line="259" w:lineRule="auto"/>
      </w:pPr>
      <w:r>
        <w:t>Internal consistency checks were performed before finalising outputs. The spoke layer was checked to confirm that all accepted NBS spokes had valid coordinates. The candidate hub layer was checked to confirm that all candidate hubs had valid coordinates. Scenario-specific hub counts were checked against eligibility definitions. Distance matrix route counts were checked against expected spoke-by-hub totals. Assignment outputs were checked to confirm that all accepted spokes had assigned hubs and assigned distances under each scenario.</w:t>
      </w:r>
    </w:p>
    <w:p>
      <w:pPr>
        <w:spacing w:after="120" w:line="259" w:lineRule="auto"/>
      </w:pPr>
      <w:r>
        <w:t>Route-feasibility classes were checked to confirm that class counts summed to the total number of primary assigned routes. Hub workload summaries were checked to confirm that linked-spoke counts summed to the accepted spoke denominator. Route-risk summaries were checked against weak-or-long route counts. Strengthening tiers were checked to confirm that facility counts summed to the total strengthening facility count. Service-gap tables were checked against the strengthening facility denominator.</w:t>
      </w:r>
    </w:p>
    <w:p>
      <w:pPr>
        <w:spacing w:after="120" w:line="259" w:lineRule="auto"/>
      </w:pPr>
      <w:r>
        <w:t>Spatial outputs were checked to confirm that assigned routes, hub points, spoke points, weak-route layers, strengthening layers, and service-gap layers were internally consistent with the tabular outputs.</w:t>
      </w:r>
    </w:p>
    <w:p>
      <w:pPr>
        <w:spacing w:before="40" w:after="160"/>
        <w:ind w:left="360"/>
      </w:pPr>
      <w:r>
        <w:rPr>
          <w:b/>
          <w:i/>
          <w:sz w:val="18"/>
        </w:rPr>
        <w:t xml:space="preserve">Cross-reference to manuscript: </w:t>
      </w:r>
      <w:r>
        <w:rPr>
          <w:i/>
          <w:sz w:val="18"/>
        </w:rPr>
        <w:t>Supports the numerical consistency of Results 3.1 to 3.7 and the agreement between Tables 1 to 6 and Figures 1 to 9.</w:t>
      </w:r>
    </w:p>
    <w:p>
      <w:pPr>
        <w:pStyle w:val="Heading1"/>
        <w:spacing w:after="120" w:line="259" w:lineRule="auto"/>
      </w:pPr>
      <w:r>
        <w:t>S26. Supplementary tables</w:t>
      </w:r>
    </w:p>
    <w:p>
      <w:pPr>
        <w:spacing w:after="120" w:line="259" w:lineRule="auto"/>
      </w:pPr>
      <w:r>
        <w:t>Supplementary tables were generated to provide a detailed audit trail for the main manuscript results. These included facility-layer construction summaries, candidate hub readiness summaries, scenario-specific distance matrices, nearest-hub assignment summaries, route-feasibility tables, hub workload tables, route-risk tables, strengthening-priority facility tables, service-readiness gap tables, and spatial output inventory tables.</w:t>
      </w:r>
    </w:p>
    <w:p>
      <w:pPr>
        <w:spacing w:after="120" w:line="259" w:lineRule="auto"/>
      </w:pPr>
      <w:r>
        <w:t>These supplementary tables support reproducibility and allow readers to trace how the final network outputs were constructed from the input facility layers.</w:t>
      </w:r>
    </w:p>
    <w:p>
      <w:pPr>
        <w:spacing w:before="40" w:after="160"/>
        <w:ind w:left="360"/>
      </w:pPr>
      <w:r>
        <w:rPr>
          <w:b/>
          <w:i/>
          <w:sz w:val="18"/>
        </w:rPr>
        <w:t xml:space="preserve">Cross-reference to manuscript: </w:t>
      </w:r>
      <w:r>
        <w:rPr>
          <w:i/>
          <w:sz w:val="18"/>
        </w:rPr>
        <w:t>Supports the supplementary tables document and provides the audit trail for Results 3.1 to 3.8.</w:t>
      </w:r>
    </w:p>
    <w:p>
      <w:pPr>
        <w:pStyle w:val="Heading1"/>
        <w:spacing w:after="120" w:line="259" w:lineRule="auto"/>
      </w:pPr>
      <w:r>
        <w:t>S27. Supplementary figures</w:t>
      </w:r>
    </w:p>
    <w:p>
      <w:pPr>
        <w:spacing w:after="120" w:line="259" w:lineRule="auto"/>
      </w:pPr>
      <w:r>
        <w:t>Supplementary figures provided additional spatial detail beyond the main manuscript maps. These figures included maps of accepted spokes, candidate hubs, scenario-specific hub eligibility, assigned routes, weak routes, workload, hub readiness, strengthening tiers, service gaps, and dominant missing service domains.</w:t>
      </w:r>
    </w:p>
    <w:p>
      <w:pPr>
        <w:spacing w:after="120" w:line="259" w:lineRule="auto"/>
      </w:pPr>
      <w:r>
        <w:t>The supplementary figures were intended to document the spatial logic of the analysis and provide programme teams with interpretable layers for validation and planning.</w:t>
      </w:r>
    </w:p>
    <w:p>
      <w:pPr>
        <w:spacing w:before="40" w:after="160"/>
        <w:ind w:left="360"/>
      </w:pPr>
      <w:r>
        <w:rPr>
          <w:b/>
          <w:i/>
          <w:sz w:val="18"/>
        </w:rPr>
        <w:t xml:space="preserve">Cross-reference to manuscript: </w:t>
      </w:r>
      <w:r>
        <w:rPr>
          <w:i/>
          <w:sz w:val="18"/>
        </w:rPr>
        <w:t>Supports supplementary figure outputs and expands the spatial detail behind the main manuscript Figures 1 to 9.</w:t>
      </w:r>
    </w:p>
    <w:p>
      <w:pPr>
        <w:pStyle w:val="Heading1"/>
        <w:spacing w:after="120" w:line="259" w:lineRule="auto"/>
      </w:pPr>
      <w:r>
        <w:t>S28. Interpretation of strengthening outputs</w:t>
      </w:r>
    </w:p>
    <w:p>
      <w:pPr>
        <w:spacing w:after="120" w:line="259" w:lineRule="auto"/>
      </w:pPr>
      <w:r>
        <w:t>Strengthening outputs should be interpreted as planning categories, not final implementation decisions. Tier 1 facilities are current assigned hubs and therefore have immediate pathway relevance, but field validation is still required to confirm the type and feasibility of strengthening needed. Tier 1b facilities require operational review or monitoring because they are current hubs with network relevance. Tier 2 facilities identify spatial opportunities near weak-route geographies but require validation before being treated as receiving hubs. Monitoring or backup facilities may become relevant as screening expands, services change, or additional data become available.</w:t>
      </w:r>
    </w:p>
    <w:p>
      <w:pPr>
        <w:spacing w:after="120" w:line="259" w:lineRule="auto"/>
      </w:pPr>
      <w:r>
        <w:t>The strengthening framework is intended to help programme teams sequence action. It does not replace clinical assessment, district-level planning, facility readiness validation, stakeholder consultation, costing, or resource prioritisation.</w:t>
      </w:r>
    </w:p>
    <w:p>
      <w:pPr>
        <w:spacing w:before="40" w:after="160"/>
        <w:ind w:left="360"/>
      </w:pPr>
      <w:r>
        <w:rPr>
          <w:b/>
          <w:i/>
          <w:sz w:val="18"/>
        </w:rPr>
        <w:t xml:space="preserve">Cross-reference to manuscript: </w:t>
      </w:r>
      <w:r>
        <w:rPr>
          <w:i/>
          <w:sz w:val="18"/>
        </w:rPr>
        <w:t>Supports Results 3.6 and 3.8 by clarifying that the strengthening tiers are implementation-planning categories rather than final investment decisions.</w:t>
      </w:r>
    </w:p>
    <w:p>
      <w:pPr>
        <w:pStyle w:val="Heading1"/>
        <w:spacing w:after="120" w:line="259" w:lineRule="auto"/>
      </w:pPr>
      <w:r>
        <w:t>S29. Interpretation of service-readiness indicators</w:t>
      </w:r>
    </w:p>
    <w:p>
      <w:pPr>
        <w:spacing w:after="120" w:line="259" w:lineRule="auto"/>
      </w:pPr>
      <w:r>
        <w:t>The four service-readiness domains were used as measured indicators of SCD care capacity, but they do not capture all aspects of readiness. Binary indicators do not measure service quality, service frequency, staffing, staff competence, stock reliability, laboratory capacity, blood availability, affordability, patient volume, or continuity of care. A facility coded as having hydroxyurea may still differ in prescribing capacity and monitoring systems. A facility coded as having transfusion may still differ in blood supply reliability and emergency response capacity.</w:t>
      </w:r>
    </w:p>
    <w:p>
      <w:pPr>
        <w:spacing w:after="120" w:line="259" w:lineRule="auto"/>
      </w:pPr>
      <w:r>
        <w:t>For this reason, readiness scores should be interpreted as structured planning indicators rather than definitive measures of clinical quality. Facility-level validation is required before final referral designation or service investment.</w:t>
      </w:r>
    </w:p>
    <w:p>
      <w:pPr>
        <w:spacing w:before="40" w:after="160"/>
        <w:ind w:left="360"/>
      </w:pPr>
      <w:r>
        <w:rPr>
          <w:b/>
          <w:i/>
          <w:sz w:val="18"/>
        </w:rPr>
        <w:t xml:space="preserve">Cross-reference to manuscript: </w:t>
      </w:r>
      <w:r>
        <w:rPr>
          <w:i/>
          <w:sz w:val="18"/>
        </w:rPr>
        <w:t>Supports interpretive caution in Results 3.4, 3.5, 3.7, and 3.8, especially statements that receiving-hub readiness must be validated and should not be treated as quality of care.</w:t>
      </w:r>
    </w:p>
    <w:p>
      <w:pPr>
        <w:pStyle w:val="Heading1"/>
        <w:spacing w:after="120" w:line="259" w:lineRule="auto"/>
      </w:pPr>
      <w:r>
        <w:t>S30. Reproducibility and future reruns</w:t>
      </w:r>
    </w:p>
    <w:p>
      <w:pPr>
        <w:spacing w:after="120" w:line="259" w:lineRule="auto"/>
      </w:pPr>
      <w:r>
        <w:t>The analysis was designed to be reproducible and updateable. The same workflow can be rerun when additional NBS facility coordinates are validated, when candidate hub service readiness changes, when Tier 2 facilities are field-validated, when service gaps are closed, or when travel-time, referral, demand, and outcome data become available.</w:t>
      </w:r>
    </w:p>
    <w:p>
      <w:pPr>
        <w:spacing w:after="120" w:line="259" w:lineRule="auto"/>
      </w:pPr>
      <w:r>
        <w:t>Future reruns may update the spoke denominator, eligible hub sets, assigned routes, weak-route burden, hub workload, route-risk classification, strengthening tiers, and service-gap profiles. This updateability is important because the screening-to-care network should evolve as the programme strengthens SCD services.</w:t>
      </w:r>
    </w:p>
    <w:p>
      <w:pPr>
        <w:spacing w:before="40" w:after="160"/>
        <w:ind w:left="360"/>
      </w:pPr>
      <w:r>
        <w:rPr>
          <w:b/>
          <w:i/>
          <w:sz w:val="18"/>
        </w:rPr>
        <w:t xml:space="preserve">Cross-reference to manuscript: </w:t>
      </w:r>
      <w:r>
        <w:rPr>
          <w:i/>
          <w:sz w:val="18"/>
        </w:rPr>
        <w:t>Supports the implementation interpretation in Results 3.8 and the manuscript discussion recommendation that the network should be updated as readiness, travel-time, referral, and outcome data improve.</w:t>
      </w:r>
    </w:p>
    <w:p>
      <w:pPr>
        <w:pStyle w:val="Heading1"/>
        <w:spacing w:after="120" w:line="259" w:lineRule="auto"/>
      </w:pPr>
      <w:r>
        <w:t>S31. Supplementary methodological limitations</w:t>
      </w:r>
    </w:p>
    <w:p>
      <w:pPr>
        <w:spacing w:after="120" w:line="259" w:lineRule="auto"/>
      </w:pPr>
      <w:r>
        <w:t>The supplementary workflow shares the limitations of the main analysis. It estimates potential linkage rather than realised referral behaviour. It uses straight-line planning distances rather than road-network or travel-time measures. It relies on binary service indicators rather than validated service-quality assessments. It measures workload using linked-spoke counts rather than expected patient burden. It identifies Tier 2 facilities as validation candidates rather than ready hubs. It excludes NBS records requiring unresolved coordinate review from the provisional assigned network.</w:t>
      </w:r>
    </w:p>
    <w:p>
      <w:pPr>
        <w:spacing w:after="120" w:line="259" w:lineRule="auto"/>
      </w:pPr>
      <w:r>
        <w:t>These limitations mean that the outputs should be interpreted as a baseline implementation-planning model. The model should guide validation, field assessment, staged strengthening, referral pathway review, and future network refinement rather than serve as a final operational referral system.</w:t>
      </w:r>
    </w:p>
    <w:p>
      <w:pPr>
        <w:spacing w:before="40" w:after="160"/>
        <w:ind w:left="360"/>
      </w:pPr>
      <w:r>
        <w:rPr>
          <w:b/>
          <w:i/>
          <w:sz w:val="18"/>
        </w:rPr>
        <w:t xml:space="preserve">Cross-reference to manuscript: </w:t>
      </w:r>
      <w:r>
        <w:rPr>
          <w:i/>
          <w:sz w:val="18"/>
        </w:rPr>
        <w:t>Supports the limitations and cautious interpretation across Results 3.2 to 3.8 and should be cross-referenced in the manuscript discussion when interpreting distance, readiness, workload, and Tier 2 outputs.</w:t>
      </w:r>
    </w:p>
    <w:p>
      <w:pPr>
        <w:pStyle w:val="Heading1"/>
        <w:spacing w:after="120" w:line="259" w:lineRule="auto"/>
      </w:pPr>
      <w:r>
        <w:t>Appendix A. Key operational definitions used in supplementary methods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rPr>
          <w:tblHeader w:val="true"/>
        </w:trPr>
        <w:tc>
          <w:tcPr>
            <w:tcW w:type="dxa" w:w="2880"/>
            <w:shd w:fill="D9EAF7"/>
          </w:tcPr>
          <w:p>
            <w:r/>
            <w:r>
              <w:rPr>
                <w:b/>
                <w:sz w:val="16"/>
              </w:rPr>
              <w:t>Term</w:t>
            </w:r>
          </w:p>
        </w:tc>
        <w:tc>
          <w:tcPr>
            <w:tcW w:type="dxa" w:w="7920"/>
            <w:shd w:fill="D9EAF7"/>
          </w:tcPr>
          <w:p>
            <w:r/>
            <w:r>
              <w:rPr>
                <w:b/>
                <w:sz w:val="16"/>
              </w:rPr>
              <w:t>Definition</w:t>
            </w:r>
          </w:p>
        </w:tc>
      </w:tr>
      <w:tr>
        <w:tc>
          <w:tcPr>
            <w:tcW w:type="dxa" w:w="2880"/>
            <w:vAlign w:val="top"/>
          </w:tcPr>
          <w:p>
            <w:r/>
            <w:r>
              <w:rPr>
                <w:b w:val="0"/>
                <w:sz w:val="16"/>
              </w:rPr>
              <w:t>Accepted geocoded NBS spoke</w:t>
            </w:r>
          </w:p>
        </w:tc>
        <w:tc>
          <w:tcPr>
            <w:tcW w:type="dxa" w:w="7920"/>
            <w:vAlign w:val="top"/>
          </w:tcPr>
          <w:p>
            <w:r/>
            <w:r>
              <w:rPr>
                <w:b w:val="0"/>
                <w:sz w:val="16"/>
              </w:rPr>
              <w:t>An NBS facility with an accepted coordinate used as the origin for modelled screening-to-care route assignment.</w:t>
            </w:r>
          </w:p>
        </w:tc>
      </w:tr>
      <w:tr>
        <w:tc>
          <w:tcPr>
            <w:tcW w:type="dxa" w:w="2880"/>
            <w:vAlign w:val="top"/>
          </w:tcPr>
          <w:p>
            <w:r/>
            <w:r>
              <w:rPr>
                <w:b w:val="0"/>
                <w:sz w:val="16"/>
              </w:rPr>
              <w:t>Candidate SCD care hub</w:t>
            </w:r>
          </w:p>
        </w:tc>
        <w:tc>
          <w:tcPr>
            <w:tcW w:type="dxa" w:w="7920"/>
            <w:vAlign w:val="top"/>
          </w:tcPr>
          <w:p>
            <w:r/>
            <w:r>
              <w:rPr>
                <w:b w:val="0"/>
                <w:sz w:val="16"/>
              </w:rPr>
              <w:t>A Health Centre IV-and-above facility retained in the receiving-facility universe before eligibility rules were applied.</w:t>
            </w:r>
          </w:p>
        </w:tc>
      </w:tr>
      <w:tr>
        <w:tc>
          <w:tcPr>
            <w:tcW w:type="dxa" w:w="2880"/>
            <w:vAlign w:val="top"/>
          </w:tcPr>
          <w:p>
            <w:r/>
            <w:r>
              <w:rPr>
                <w:b w:val="0"/>
                <w:sz w:val="16"/>
              </w:rPr>
              <w:t>Primary eligible hub</w:t>
            </w:r>
          </w:p>
        </w:tc>
        <w:tc>
          <w:tcPr>
            <w:tcW w:type="dxa" w:w="7920"/>
            <w:vAlign w:val="top"/>
          </w:tcPr>
          <w:p>
            <w:r/>
            <w:r>
              <w:rPr>
                <w:b w:val="0"/>
                <w:sz w:val="16"/>
              </w:rPr>
              <w:t>A candidate hub with a composite SCD service-readiness score of at least 2.</w:t>
            </w:r>
          </w:p>
        </w:tc>
      </w:tr>
      <w:tr>
        <w:tc>
          <w:tcPr>
            <w:tcW w:type="dxa" w:w="2880"/>
            <w:vAlign w:val="top"/>
          </w:tcPr>
          <w:p>
            <w:r/>
            <w:r>
              <w:rPr>
                <w:b w:val="0"/>
                <w:sz w:val="16"/>
              </w:rPr>
              <w:t>Full hub</w:t>
            </w:r>
          </w:p>
        </w:tc>
        <w:tc>
          <w:tcPr>
            <w:tcW w:type="dxa" w:w="7920"/>
            <w:vAlign w:val="top"/>
          </w:tcPr>
          <w:p>
            <w:r/>
            <w:r>
              <w:rPr>
                <w:b w:val="0"/>
                <w:sz w:val="16"/>
              </w:rPr>
              <w:t>A candidate hub with all four measured domains: specialised SCD follow-up, hydroxyurea, NBS, and transfusion.</w:t>
            </w:r>
          </w:p>
        </w:tc>
      </w:tr>
      <w:tr>
        <w:tc>
          <w:tcPr>
            <w:tcW w:type="dxa" w:w="2880"/>
            <w:vAlign w:val="top"/>
          </w:tcPr>
          <w:p>
            <w:r/>
            <w:r>
              <w:rPr>
                <w:b w:val="0"/>
                <w:sz w:val="16"/>
              </w:rPr>
              <w:t>Strong hub</w:t>
            </w:r>
          </w:p>
        </w:tc>
        <w:tc>
          <w:tcPr>
            <w:tcW w:type="dxa" w:w="7920"/>
            <w:vAlign w:val="top"/>
          </w:tcPr>
          <w:p>
            <w:r/>
            <w:r>
              <w:rPr>
                <w:b w:val="0"/>
                <w:sz w:val="16"/>
              </w:rPr>
              <w:t>A candidate hub with three measured service domains. The strong-hub threshold includes strong and full hubs when defined as score 3 or higher.</w:t>
            </w:r>
          </w:p>
        </w:tc>
      </w:tr>
      <w:tr>
        <w:tc>
          <w:tcPr>
            <w:tcW w:type="dxa" w:w="2880"/>
            <w:vAlign w:val="top"/>
          </w:tcPr>
          <w:p>
            <w:r/>
            <w:r>
              <w:rPr>
                <w:b w:val="0"/>
                <w:sz w:val="16"/>
              </w:rPr>
              <w:t>Partial hub</w:t>
            </w:r>
          </w:p>
        </w:tc>
        <w:tc>
          <w:tcPr>
            <w:tcW w:type="dxa" w:w="7920"/>
            <w:vAlign w:val="top"/>
          </w:tcPr>
          <w:p>
            <w:r/>
            <w:r>
              <w:rPr>
                <w:b w:val="0"/>
                <w:sz w:val="16"/>
              </w:rPr>
              <w:t>A candidate hub with two measured service domains, meeting the primary minimum threshold but missing one or more key domains.</w:t>
            </w:r>
          </w:p>
        </w:tc>
      </w:tr>
      <w:tr>
        <w:tc>
          <w:tcPr>
            <w:tcW w:type="dxa" w:w="2880"/>
            <w:vAlign w:val="top"/>
          </w:tcPr>
          <w:p>
            <w:r/>
            <w:r>
              <w:rPr>
                <w:b w:val="0"/>
                <w:sz w:val="16"/>
              </w:rPr>
              <w:t>Weak-or-long route</w:t>
            </w:r>
          </w:p>
        </w:tc>
        <w:tc>
          <w:tcPr>
            <w:tcW w:type="dxa" w:w="7920"/>
            <w:vAlign w:val="top"/>
          </w:tcPr>
          <w:p>
            <w:r/>
            <w:r>
              <w:rPr>
                <w:b w:val="0"/>
                <w:sz w:val="16"/>
              </w:rPr>
              <w:t>A route classified as partial, moderate partial, long, or very long because of partial hub readiness, distance exposure, or both.</w:t>
            </w:r>
          </w:p>
        </w:tc>
      </w:tr>
      <w:tr>
        <w:tc>
          <w:tcPr>
            <w:tcW w:type="dxa" w:w="2880"/>
            <w:vAlign w:val="top"/>
          </w:tcPr>
          <w:p>
            <w:r/>
            <w:r>
              <w:rPr>
                <w:b w:val="0"/>
                <w:sz w:val="16"/>
              </w:rPr>
              <w:t>Hub workload</w:t>
            </w:r>
          </w:p>
        </w:tc>
        <w:tc>
          <w:tcPr>
            <w:tcW w:type="dxa" w:w="7920"/>
            <w:vAlign w:val="top"/>
          </w:tcPr>
          <w:p>
            <w:r/>
            <w:r>
              <w:rPr>
                <w:b w:val="0"/>
                <w:sz w:val="16"/>
              </w:rPr>
              <w:t>The number of accepted geocoded NBS spokes assigned to a receiving hub. This is not a patient-volume measure.</w:t>
            </w:r>
          </w:p>
        </w:tc>
      </w:tr>
      <w:tr>
        <w:tc>
          <w:tcPr>
            <w:tcW w:type="dxa" w:w="2880"/>
            <w:vAlign w:val="top"/>
          </w:tcPr>
          <w:p>
            <w:r/>
            <w:r>
              <w:rPr>
                <w:b w:val="0"/>
                <w:sz w:val="16"/>
              </w:rPr>
              <w:t>Tier 1 facility</w:t>
            </w:r>
          </w:p>
        </w:tc>
        <w:tc>
          <w:tcPr>
            <w:tcW w:type="dxa" w:w="7920"/>
            <w:vAlign w:val="top"/>
          </w:tcPr>
          <w:p>
            <w:r/>
            <w:r>
              <w:rPr>
                <w:b w:val="0"/>
                <w:sz w:val="16"/>
              </w:rPr>
              <w:t>A current assigned hub requiring strengthening because of readiness gaps, route-risk burden, workload, or missing service domains.</w:t>
            </w:r>
          </w:p>
        </w:tc>
      </w:tr>
      <w:tr>
        <w:tc>
          <w:tcPr>
            <w:tcW w:type="dxa" w:w="2880"/>
            <w:vAlign w:val="top"/>
          </w:tcPr>
          <w:p>
            <w:r/>
            <w:r>
              <w:rPr>
                <w:b w:val="0"/>
                <w:sz w:val="16"/>
              </w:rPr>
              <w:t>Tier 1b facility</w:t>
            </w:r>
          </w:p>
        </w:tc>
        <w:tc>
          <w:tcPr>
            <w:tcW w:type="dxa" w:w="7920"/>
            <w:vAlign w:val="top"/>
          </w:tcPr>
          <w:p>
            <w:r/>
            <w:r>
              <w:rPr>
                <w:b w:val="0"/>
                <w:sz w:val="16"/>
              </w:rPr>
              <w:t>A current assigned hub requiring review, monitoring, referral coordination, or operational support.</w:t>
            </w:r>
          </w:p>
        </w:tc>
      </w:tr>
      <w:tr>
        <w:tc>
          <w:tcPr>
            <w:tcW w:type="dxa" w:w="2880"/>
            <w:vAlign w:val="top"/>
          </w:tcPr>
          <w:p>
            <w:r/>
            <w:r>
              <w:rPr>
                <w:b w:val="0"/>
                <w:sz w:val="16"/>
              </w:rPr>
              <w:t>Tier 2 facility</w:t>
            </w:r>
          </w:p>
        </w:tc>
        <w:tc>
          <w:tcPr>
            <w:tcW w:type="dxa" w:w="7920"/>
            <w:vAlign w:val="top"/>
          </w:tcPr>
          <w:p>
            <w:r/>
            <w:r>
              <w:rPr>
                <w:b w:val="0"/>
                <w:sz w:val="16"/>
              </w:rPr>
              <w:t>A candidate facility near weak-route spokes requiring validation before possible staged upgrade.</w:t>
            </w:r>
          </w:p>
        </w:tc>
      </w:tr>
    </w:tbl>
    <w:p>
      <w:pPr>
        <w:spacing w:before="40" w:after="160"/>
        <w:ind w:left="360"/>
      </w:pPr>
      <w:r>
        <w:rPr>
          <w:b/>
          <w:i/>
          <w:sz w:val="18"/>
        </w:rPr>
        <w:t xml:space="preserve">Cross-reference to manuscript: </w:t>
      </w:r>
      <w:r>
        <w:rPr>
          <w:i/>
          <w:sz w:val="18"/>
        </w:rPr>
        <w:t>This appendix supports interpretation of Results Tables 1 to 6 and Figures 1 to 9 by standardising the terms used throughout the supplementary methods and results narrative.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Supplementary Methods: SCD hub-and-spoke network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