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A2610" w14:textId="77777777" w:rsidR="001F25C9" w:rsidRDefault="001F25C9" w:rsidP="00575546">
      <w:pPr>
        <w:spacing w:after="0" w:line="240" w:lineRule="auto"/>
        <w:jc w:val="both"/>
        <w:rPr>
          <w:rFonts w:asciiTheme="minorHAnsi" w:hAnsiTheme="minorHAnsi" w:cstheme="minorHAnsi"/>
          <w:sz w:val="18"/>
          <w:szCs w:val="18"/>
        </w:rPr>
      </w:pPr>
      <w:r w:rsidRPr="00CB2D61">
        <w:rPr>
          <w:b/>
          <w:bCs/>
          <w:noProof/>
          <w:sz w:val="20"/>
          <w:szCs w:val="20"/>
        </w:rPr>
        <w:drawing>
          <wp:anchor distT="0" distB="0" distL="114300" distR="114300" simplePos="0" relativeHeight="251658752" behindDoc="0" locked="0" layoutInCell="1" allowOverlap="1" wp14:anchorId="050C09B3" wp14:editId="39DCDD1D">
            <wp:simplePos x="0" y="0"/>
            <wp:positionH relativeFrom="column">
              <wp:posOffset>3676650</wp:posOffset>
            </wp:positionH>
            <wp:positionV relativeFrom="paragraph">
              <wp:posOffset>-289560</wp:posOffset>
            </wp:positionV>
            <wp:extent cx="2084630" cy="540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it logo final 2.png"/>
                    <pic:cNvPicPr/>
                  </pic:nvPicPr>
                  <pic:blipFill rotWithShape="1">
                    <a:blip r:embed="rId7" cstate="print">
                      <a:extLst>
                        <a:ext uri="{28A0092B-C50C-407E-A947-70E740481C1C}">
                          <a14:useLocalDpi xmlns:a14="http://schemas.microsoft.com/office/drawing/2010/main" val="0"/>
                        </a:ext>
                      </a:extLst>
                    </a:blip>
                    <a:srcRect t="33810" b="46764"/>
                    <a:stretch/>
                  </pic:blipFill>
                  <pic:spPr bwMode="auto">
                    <a:xfrm>
                      <a:off x="0" y="0"/>
                      <a:ext cx="2084630" cy="54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C2E976" w14:textId="77777777" w:rsidR="001F25C9" w:rsidRDefault="001F25C9" w:rsidP="00575546">
      <w:pPr>
        <w:spacing w:after="0" w:line="240" w:lineRule="auto"/>
        <w:jc w:val="both"/>
        <w:rPr>
          <w:rFonts w:asciiTheme="minorHAnsi" w:hAnsiTheme="minorHAnsi" w:cstheme="minorHAnsi"/>
          <w:sz w:val="18"/>
          <w:szCs w:val="18"/>
        </w:rPr>
      </w:pPr>
    </w:p>
    <w:p w14:paraId="77832FCD" w14:textId="77777777" w:rsidR="001F25C9" w:rsidRDefault="001F25C9" w:rsidP="00575546">
      <w:pPr>
        <w:spacing w:after="0" w:line="240" w:lineRule="auto"/>
        <w:jc w:val="both"/>
        <w:rPr>
          <w:rFonts w:asciiTheme="minorHAnsi" w:hAnsiTheme="minorHAnsi" w:cstheme="minorHAnsi"/>
          <w:sz w:val="18"/>
          <w:szCs w:val="18"/>
        </w:rPr>
      </w:pPr>
    </w:p>
    <w:p w14:paraId="7ECDC6CD" w14:textId="77777777" w:rsidR="001F25C9" w:rsidRDefault="001F25C9" w:rsidP="00575546">
      <w:pPr>
        <w:spacing w:after="0" w:line="240" w:lineRule="auto"/>
        <w:jc w:val="both"/>
        <w:rPr>
          <w:rFonts w:asciiTheme="minorHAnsi" w:hAnsiTheme="minorHAnsi" w:cstheme="minorHAnsi"/>
          <w:sz w:val="18"/>
          <w:szCs w:val="18"/>
        </w:rPr>
      </w:pPr>
    </w:p>
    <w:p w14:paraId="3750A614" w14:textId="77777777" w:rsidR="001F25C9" w:rsidRDefault="001F25C9" w:rsidP="00575546">
      <w:pPr>
        <w:spacing w:after="0" w:line="240" w:lineRule="auto"/>
        <w:jc w:val="both"/>
        <w:rPr>
          <w:rFonts w:asciiTheme="minorHAnsi" w:hAnsiTheme="minorHAnsi" w:cstheme="minorHAnsi"/>
          <w:sz w:val="18"/>
          <w:szCs w:val="18"/>
        </w:rPr>
      </w:pPr>
    </w:p>
    <w:p w14:paraId="2C000DA1" w14:textId="77777777" w:rsidR="001F25C9" w:rsidRDefault="001F25C9" w:rsidP="00575546">
      <w:pPr>
        <w:spacing w:after="0" w:line="240" w:lineRule="auto"/>
        <w:jc w:val="both"/>
        <w:rPr>
          <w:rFonts w:asciiTheme="minorHAnsi" w:hAnsiTheme="minorHAnsi" w:cstheme="minorHAnsi"/>
          <w:sz w:val="18"/>
          <w:szCs w:val="18"/>
        </w:rPr>
      </w:pPr>
    </w:p>
    <w:p w14:paraId="1917B474" w14:textId="77777777" w:rsidR="007B2F84" w:rsidRDefault="007B2F84" w:rsidP="00575546">
      <w:pPr>
        <w:spacing w:after="0" w:line="240" w:lineRule="auto"/>
        <w:jc w:val="both"/>
        <w:rPr>
          <w:rFonts w:ascii="Times New Roman" w:hAnsi="Times New Roman" w:cs="Times New Roman"/>
          <w:sz w:val="36"/>
          <w:szCs w:val="36"/>
        </w:rPr>
      </w:pPr>
    </w:p>
    <w:p w14:paraId="3D728D40" w14:textId="77777777" w:rsidR="007B2F84" w:rsidRDefault="007B2F84" w:rsidP="00575546">
      <w:pPr>
        <w:spacing w:after="0" w:line="240" w:lineRule="auto"/>
        <w:jc w:val="both"/>
        <w:rPr>
          <w:rFonts w:ascii="Times New Roman" w:hAnsi="Times New Roman" w:cs="Times New Roman"/>
          <w:sz w:val="36"/>
          <w:szCs w:val="36"/>
        </w:rPr>
      </w:pPr>
    </w:p>
    <w:p w14:paraId="6EA1922F" w14:textId="77777777" w:rsidR="007B2F84" w:rsidRDefault="007B2F84" w:rsidP="00575546">
      <w:pPr>
        <w:spacing w:after="0" w:line="240" w:lineRule="auto"/>
        <w:jc w:val="both"/>
        <w:rPr>
          <w:rFonts w:ascii="Times New Roman" w:hAnsi="Times New Roman" w:cs="Times New Roman"/>
          <w:sz w:val="36"/>
          <w:szCs w:val="36"/>
        </w:rPr>
      </w:pPr>
    </w:p>
    <w:p w14:paraId="47720F48" w14:textId="77777777" w:rsidR="00AE45AB" w:rsidRDefault="00AE45AB" w:rsidP="00575546">
      <w:pPr>
        <w:spacing w:after="0" w:line="240" w:lineRule="auto"/>
        <w:jc w:val="both"/>
        <w:rPr>
          <w:rFonts w:ascii="Times New Roman" w:hAnsi="Times New Roman" w:cs="Times New Roman"/>
          <w:sz w:val="36"/>
          <w:szCs w:val="36"/>
        </w:rPr>
      </w:pPr>
    </w:p>
    <w:p w14:paraId="7DC120E2" w14:textId="77777777" w:rsidR="001F25C9" w:rsidRPr="007B2F84" w:rsidRDefault="001F25C9" w:rsidP="00DD2214">
      <w:pPr>
        <w:spacing w:after="0" w:line="240" w:lineRule="auto"/>
        <w:jc w:val="center"/>
        <w:rPr>
          <w:rFonts w:ascii="Times New Roman" w:hAnsi="Times New Roman" w:cs="Times New Roman"/>
          <w:sz w:val="72"/>
          <w:szCs w:val="72"/>
        </w:rPr>
      </w:pPr>
      <w:r w:rsidRPr="007B2F84">
        <w:rPr>
          <w:rFonts w:ascii="Times New Roman" w:hAnsi="Times New Roman" w:cs="Times New Roman"/>
          <w:sz w:val="72"/>
          <w:szCs w:val="72"/>
        </w:rPr>
        <w:t>TRANSIT</w:t>
      </w:r>
    </w:p>
    <w:p w14:paraId="7517753C" w14:textId="77777777" w:rsidR="001F25C9" w:rsidRDefault="001F25C9" w:rsidP="00DD2214">
      <w:pPr>
        <w:spacing w:after="0" w:line="240" w:lineRule="auto"/>
        <w:jc w:val="center"/>
        <w:rPr>
          <w:rFonts w:ascii="Times New Roman" w:hAnsi="Times New Roman" w:cs="Times New Roman"/>
          <w:sz w:val="36"/>
          <w:szCs w:val="36"/>
        </w:rPr>
      </w:pPr>
    </w:p>
    <w:p w14:paraId="1FF977CF" w14:textId="77777777" w:rsidR="00AE45AB" w:rsidRDefault="00AE45AB" w:rsidP="00DD2214">
      <w:pPr>
        <w:spacing w:after="0" w:line="240" w:lineRule="auto"/>
        <w:jc w:val="center"/>
        <w:rPr>
          <w:rFonts w:ascii="Times New Roman" w:hAnsi="Times New Roman" w:cs="Times New Roman"/>
          <w:sz w:val="36"/>
          <w:szCs w:val="36"/>
        </w:rPr>
      </w:pPr>
    </w:p>
    <w:p w14:paraId="4076012A" w14:textId="77777777" w:rsidR="00AE45AB" w:rsidRPr="007B2F84" w:rsidRDefault="00AE45AB" w:rsidP="00DD2214">
      <w:pPr>
        <w:spacing w:after="0" w:line="240" w:lineRule="auto"/>
        <w:jc w:val="center"/>
        <w:rPr>
          <w:rFonts w:ascii="Times New Roman" w:hAnsi="Times New Roman" w:cs="Times New Roman"/>
          <w:sz w:val="36"/>
          <w:szCs w:val="36"/>
        </w:rPr>
      </w:pPr>
    </w:p>
    <w:p w14:paraId="0A176E3F" w14:textId="5B37B01B" w:rsidR="007B2F84" w:rsidRDefault="001F25C9" w:rsidP="00DD2214">
      <w:pPr>
        <w:spacing w:after="0" w:line="240" w:lineRule="auto"/>
        <w:jc w:val="center"/>
        <w:rPr>
          <w:rFonts w:ascii="Times New Roman" w:hAnsi="Times New Roman" w:cs="Times New Roman"/>
          <w:b/>
          <w:bCs/>
          <w:sz w:val="52"/>
          <w:szCs w:val="52"/>
        </w:rPr>
      </w:pPr>
      <w:r w:rsidRPr="007B2F84">
        <w:rPr>
          <w:rFonts w:ascii="Times New Roman" w:hAnsi="Times New Roman" w:cs="Times New Roman"/>
          <w:b/>
          <w:bCs/>
          <w:sz w:val="52"/>
          <w:szCs w:val="52"/>
        </w:rPr>
        <w:t>Deliverable D</w:t>
      </w:r>
      <w:r w:rsidR="00491716">
        <w:rPr>
          <w:rFonts w:ascii="Times New Roman" w:hAnsi="Times New Roman" w:cs="Times New Roman"/>
          <w:b/>
          <w:bCs/>
          <w:sz w:val="52"/>
          <w:szCs w:val="52"/>
        </w:rPr>
        <w:t>10.</w:t>
      </w:r>
      <w:r w:rsidR="008556A8">
        <w:rPr>
          <w:rFonts w:ascii="Times New Roman" w:hAnsi="Times New Roman" w:cs="Times New Roman"/>
          <w:b/>
          <w:bCs/>
          <w:sz w:val="52"/>
          <w:szCs w:val="52"/>
        </w:rPr>
        <w:t>3</w:t>
      </w:r>
    </w:p>
    <w:p w14:paraId="0E2FBB34" w14:textId="77777777" w:rsidR="00491716" w:rsidRPr="007B2F84" w:rsidRDefault="00491716" w:rsidP="00DD2214">
      <w:pPr>
        <w:spacing w:after="0" w:line="240" w:lineRule="auto"/>
        <w:jc w:val="center"/>
        <w:rPr>
          <w:rFonts w:ascii="Times New Roman" w:hAnsi="Times New Roman" w:cs="Times New Roman"/>
          <w:b/>
          <w:bCs/>
          <w:sz w:val="52"/>
          <w:szCs w:val="52"/>
        </w:rPr>
      </w:pPr>
    </w:p>
    <w:p w14:paraId="64840164" w14:textId="395BA397" w:rsidR="00491716" w:rsidRDefault="008556A8" w:rsidP="00DD2214">
      <w:pPr>
        <w:spacing w:after="0" w:line="240" w:lineRule="auto"/>
        <w:jc w:val="center"/>
        <w:rPr>
          <w:rFonts w:ascii="Times New Roman" w:hAnsi="Times New Roman" w:cs="Times New Roman"/>
          <w:sz w:val="36"/>
          <w:szCs w:val="36"/>
        </w:rPr>
      </w:pPr>
      <w:r w:rsidRPr="008556A8">
        <w:rPr>
          <w:rFonts w:ascii="Times New Roman" w:hAnsi="Times New Roman" w:cs="Times New Roman"/>
          <w:sz w:val="36"/>
          <w:szCs w:val="36"/>
        </w:rPr>
        <w:t>Report on QMRA to estimate impact of the decontamination treatments on reduction of disease burden and food spoilage</w:t>
      </w:r>
    </w:p>
    <w:p w14:paraId="095C80BC" w14:textId="77777777" w:rsidR="008556A8" w:rsidRPr="007B2F84" w:rsidRDefault="008556A8" w:rsidP="00DD2214">
      <w:pPr>
        <w:spacing w:after="0" w:line="240" w:lineRule="auto"/>
        <w:jc w:val="center"/>
        <w:rPr>
          <w:rFonts w:ascii="Times New Roman" w:hAnsi="Times New Roman" w:cs="Times New Roman"/>
          <w:sz w:val="36"/>
          <w:szCs w:val="36"/>
        </w:rPr>
      </w:pPr>
    </w:p>
    <w:p w14:paraId="1DFEA354" w14:textId="09C97B82" w:rsidR="00EB11EE" w:rsidRPr="007B2F84" w:rsidRDefault="00EB11EE" w:rsidP="00DD2214">
      <w:pPr>
        <w:spacing w:after="0" w:line="240" w:lineRule="auto"/>
        <w:jc w:val="center"/>
        <w:rPr>
          <w:rFonts w:ascii="Times New Roman" w:hAnsi="Times New Roman" w:cs="Times New Roman"/>
          <w:sz w:val="36"/>
          <w:szCs w:val="36"/>
        </w:rPr>
      </w:pPr>
      <w:r w:rsidRPr="007B2F84">
        <w:rPr>
          <w:rFonts w:ascii="Times New Roman" w:hAnsi="Times New Roman" w:cs="Times New Roman"/>
          <w:sz w:val="36"/>
          <w:szCs w:val="36"/>
        </w:rPr>
        <w:t xml:space="preserve">Work package </w:t>
      </w:r>
      <w:r w:rsidR="00491716">
        <w:rPr>
          <w:rFonts w:ascii="Times New Roman" w:hAnsi="Times New Roman" w:cs="Times New Roman"/>
          <w:sz w:val="36"/>
          <w:szCs w:val="36"/>
        </w:rPr>
        <w:t>10</w:t>
      </w:r>
    </w:p>
    <w:p w14:paraId="4CCC7FF1" w14:textId="77777777" w:rsidR="001F25C9" w:rsidRPr="007B2F84" w:rsidRDefault="001F25C9" w:rsidP="00DD2214">
      <w:pPr>
        <w:spacing w:after="0" w:line="240" w:lineRule="auto"/>
        <w:jc w:val="center"/>
        <w:rPr>
          <w:rFonts w:ascii="Times New Roman" w:hAnsi="Times New Roman" w:cs="Times New Roman"/>
          <w:sz w:val="36"/>
          <w:szCs w:val="36"/>
        </w:rPr>
      </w:pPr>
    </w:p>
    <w:p w14:paraId="5C5523C1" w14:textId="77777777" w:rsidR="001F25C9" w:rsidRPr="007B2F84" w:rsidRDefault="001F25C9" w:rsidP="00DD2214">
      <w:pPr>
        <w:spacing w:after="0" w:line="240" w:lineRule="auto"/>
        <w:jc w:val="center"/>
        <w:rPr>
          <w:rFonts w:ascii="Times New Roman" w:hAnsi="Times New Roman" w:cs="Times New Roman"/>
          <w:sz w:val="36"/>
          <w:szCs w:val="36"/>
        </w:rPr>
      </w:pPr>
    </w:p>
    <w:p w14:paraId="49498FD6" w14:textId="77777777" w:rsidR="001F25C9" w:rsidRPr="007B2F84" w:rsidRDefault="001F25C9" w:rsidP="00DD2214">
      <w:pPr>
        <w:spacing w:after="0" w:line="240" w:lineRule="auto"/>
        <w:jc w:val="center"/>
        <w:rPr>
          <w:rFonts w:ascii="Times New Roman" w:hAnsi="Times New Roman" w:cs="Times New Roman"/>
          <w:sz w:val="36"/>
          <w:szCs w:val="36"/>
        </w:rPr>
      </w:pPr>
    </w:p>
    <w:p w14:paraId="261FCDB9" w14:textId="77777777" w:rsidR="001F25C9" w:rsidRDefault="001F25C9" w:rsidP="00DD2214">
      <w:pPr>
        <w:spacing w:after="0" w:line="240" w:lineRule="auto"/>
        <w:jc w:val="center"/>
        <w:rPr>
          <w:rFonts w:asciiTheme="minorHAnsi" w:hAnsiTheme="minorHAnsi" w:cstheme="minorHAnsi"/>
          <w:sz w:val="18"/>
          <w:szCs w:val="18"/>
        </w:rPr>
      </w:pPr>
    </w:p>
    <w:p w14:paraId="056D7EE4" w14:textId="77777777" w:rsidR="001F25C9" w:rsidRDefault="001F25C9" w:rsidP="00DD2214">
      <w:pPr>
        <w:spacing w:after="0" w:line="240" w:lineRule="auto"/>
        <w:jc w:val="center"/>
        <w:rPr>
          <w:rFonts w:asciiTheme="minorHAnsi" w:hAnsiTheme="minorHAnsi" w:cstheme="minorHAnsi"/>
          <w:sz w:val="18"/>
          <w:szCs w:val="18"/>
        </w:rPr>
      </w:pPr>
    </w:p>
    <w:p w14:paraId="0CB7A300" w14:textId="77777777" w:rsidR="001F25C9" w:rsidRDefault="001F25C9" w:rsidP="00DD2214">
      <w:pPr>
        <w:spacing w:after="0" w:line="240" w:lineRule="auto"/>
        <w:jc w:val="center"/>
        <w:rPr>
          <w:rFonts w:asciiTheme="minorHAnsi" w:hAnsiTheme="minorHAnsi" w:cstheme="minorHAnsi"/>
          <w:sz w:val="18"/>
          <w:szCs w:val="18"/>
        </w:rPr>
      </w:pPr>
    </w:p>
    <w:p w14:paraId="7BF4F20A" w14:textId="77777777" w:rsidR="001F25C9" w:rsidRDefault="001F25C9" w:rsidP="00DD2214">
      <w:pPr>
        <w:spacing w:after="0" w:line="240" w:lineRule="auto"/>
        <w:jc w:val="center"/>
        <w:rPr>
          <w:rFonts w:asciiTheme="minorHAnsi" w:hAnsiTheme="minorHAnsi" w:cstheme="minorHAnsi"/>
          <w:sz w:val="18"/>
          <w:szCs w:val="18"/>
        </w:rPr>
      </w:pPr>
    </w:p>
    <w:p w14:paraId="7EF66EED" w14:textId="77777777" w:rsidR="001F25C9" w:rsidRDefault="001F25C9" w:rsidP="00DD2214">
      <w:pPr>
        <w:spacing w:after="0" w:line="240" w:lineRule="auto"/>
        <w:jc w:val="center"/>
        <w:rPr>
          <w:rFonts w:asciiTheme="minorHAnsi" w:hAnsiTheme="minorHAnsi" w:cstheme="minorHAnsi"/>
          <w:sz w:val="18"/>
          <w:szCs w:val="18"/>
        </w:rPr>
      </w:pPr>
    </w:p>
    <w:p w14:paraId="4F0A7FB2" w14:textId="77777777" w:rsidR="001F25C9" w:rsidRDefault="001F25C9" w:rsidP="00DD2214">
      <w:pPr>
        <w:spacing w:after="0" w:line="240" w:lineRule="auto"/>
        <w:jc w:val="center"/>
        <w:rPr>
          <w:rFonts w:asciiTheme="minorHAnsi" w:hAnsiTheme="minorHAnsi" w:cstheme="minorHAnsi"/>
          <w:sz w:val="18"/>
          <w:szCs w:val="18"/>
        </w:rPr>
      </w:pPr>
    </w:p>
    <w:p w14:paraId="60D1A468" w14:textId="77777777" w:rsidR="001F25C9" w:rsidRDefault="001F25C9" w:rsidP="00DD2214">
      <w:pPr>
        <w:spacing w:after="0" w:line="240" w:lineRule="auto"/>
        <w:jc w:val="center"/>
        <w:rPr>
          <w:rFonts w:asciiTheme="minorHAnsi" w:hAnsiTheme="minorHAnsi" w:cstheme="minorHAnsi"/>
          <w:sz w:val="18"/>
          <w:szCs w:val="18"/>
        </w:rPr>
      </w:pPr>
    </w:p>
    <w:p w14:paraId="659D1454" w14:textId="77777777" w:rsidR="001F25C9" w:rsidRDefault="001F25C9" w:rsidP="00DD2214">
      <w:pPr>
        <w:spacing w:after="0" w:line="240" w:lineRule="auto"/>
        <w:jc w:val="center"/>
        <w:rPr>
          <w:rFonts w:asciiTheme="minorHAnsi" w:hAnsiTheme="minorHAnsi" w:cstheme="minorHAnsi"/>
          <w:sz w:val="18"/>
          <w:szCs w:val="18"/>
        </w:rPr>
      </w:pPr>
    </w:p>
    <w:p w14:paraId="5621BF98" w14:textId="77777777" w:rsidR="001F25C9" w:rsidRDefault="001F25C9" w:rsidP="00DD2214">
      <w:pPr>
        <w:spacing w:after="0" w:line="240" w:lineRule="auto"/>
        <w:jc w:val="center"/>
        <w:rPr>
          <w:rFonts w:asciiTheme="minorHAnsi" w:hAnsiTheme="minorHAnsi" w:cstheme="minorHAnsi"/>
          <w:sz w:val="18"/>
          <w:szCs w:val="18"/>
        </w:rPr>
      </w:pPr>
    </w:p>
    <w:p w14:paraId="67C00554" w14:textId="77777777" w:rsidR="001F25C9" w:rsidRDefault="001F25C9" w:rsidP="00DD2214">
      <w:pPr>
        <w:spacing w:after="0" w:line="240" w:lineRule="auto"/>
        <w:jc w:val="center"/>
        <w:rPr>
          <w:rFonts w:asciiTheme="minorHAnsi" w:hAnsiTheme="minorHAnsi" w:cstheme="minorHAnsi"/>
          <w:sz w:val="18"/>
          <w:szCs w:val="18"/>
        </w:rPr>
      </w:pPr>
    </w:p>
    <w:p w14:paraId="4C9962EC" w14:textId="77777777" w:rsidR="001F25C9" w:rsidRDefault="001F25C9" w:rsidP="00DD2214">
      <w:pPr>
        <w:spacing w:after="0" w:line="240" w:lineRule="auto"/>
        <w:jc w:val="center"/>
        <w:rPr>
          <w:rFonts w:asciiTheme="minorHAnsi" w:hAnsiTheme="minorHAnsi" w:cstheme="minorHAnsi"/>
          <w:sz w:val="18"/>
          <w:szCs w:val="18"/>
        </w:rPr>
      </w:pPr>
    </w:p>
    <w:p w14:paraId="3374D7CB" w14:textId="77777777" w:rsidR="001F25C9" w:rsidRDefault="001F25C9" w:rsidP="00DD2214">
      <w:pPr>
        <w:spacing w:after="0" w:line="240" w:lineRule="auto"/>
        <w:jc w:val="center"/>
        <w:rPr>
          <w:rFonts w:asciiTheme="minorHAnsi" w:hAnsiTheme="minorHAnsi" w:cstheme="minorHAnsi"/>
          <w:sz w:val="18"/>
          <w:szCs w:val="18"/>
        </w:rPr>
      </w:pPr>
    </w:p>
    <w:p w14:paraId="24875B58" w14:textId="77777777" w:rsidR="001F25C9" w:rsidRDefault="001F25C9" w:rsidP="00DD2214">
      <w:pPr>
        <w:spacing w:after="0" w:line="240" w:lineRule="auto"/>
        <w:jc w:val="center"/>
        <w:rPr>
          <w:rFonts w:asciiTheme="minorHAnsi" w:hAnsiTheme="minorHAnsi" w:cstheme="minorHAnsi"/>
          <w:sz w:val="18"/>
          <w:szCs w:val="18"/>
        </w:rPr>
      </w:pPr>
    </w:p>
    <w:p w14:paraId="0E6EE70F" w14:textId="77777777" w:rsidR="00691C84" w:rsidRDefault="00691C84" w:rsidP="00DD2214">
      <w:pPr>
        <w:spacing w:after="0" w:line="240" w:lineRule="auto"/>
        <w:jc w:val="center"/>
        <w:rPr>
          <w:rFonts w:asciiTheme="minorHAnsi" w:hAnsiTheme="minorHAnsi" w:cstheme="minorHAnsi"/>
          <w:sz w:val="18"/>
          <w:szCs w:val="18"/>
        </w:rPr>
      </w:pPr>
    </w:p>
    <w:p w14:paraId="77C7F537" w14:textId="77777777" w:rsidR="001F25C9" w:rsidRDefault="001F25C9" w:rsidP="00DD2214">
      <w:pPr>
        <w:spacing w:after="0" w:line="240" w:lineRule="auto"/>
        <w:jc w:val="center"/>
        <w:rPr>
          <w:rFonts w:asciiTheme="minorHAnsi" w:hAnsiTheme="minorHAnsi" w:cstheme="minorHAnsi"/>
          <w:sz w:val="18"/>
          <w:szCs w:val="18"/>
        </w:rPr>
      </w:pPr>
    </w:p>
    <w:p w14:paraId="4D172C4D" w14:textId="77777777" w:rsidR="001F25C9" w:rsidRDefault="001F25C9" w:rsidP="00DD2214">
      <w:pPr>
        <w:spacing w:after="0" w:line="240" w:lineRule="auto"/>
        <w:jc w:val="center"/>
        <w:rPr>
          <w:rFonts w:asciiTheme="minorHAnsi" w:hAnsiTheme="minorHAnsi" w:cstheme="minorHAnsi"/>
          <w:sz w:val="18"/>
          <w:szCs w:val="18"/>
        </w:rPr>
      </w:pPr>
    </w:p>
    <w:p w14:paraId="0D0B606A" w14:textId="77777777" w:rsidR="001F25C9" w:rsidRDefault="001F25C9" w:rsidP="00DD2214">
      <w:pPr>
        <w:spacing w:after="0" w:line="240" w:lineRule="auto"/>
        <w:jc w:val="center"/>
        <w:rPr>
          <w:rFonts w:asciiTheme="minorHAnsi" w:hAnsiTheme="minorHAnsi" w:cstheme="minorHAnsi"/>
          <w:sz w:val="18"/>
          <w:szCs w:val="18"/>
        </w:rPr>
      </w:pPr>
    </w:p>
    <w:p w14:paraId="087E7F34" w14:textId="77777777" w:rsidR="001F25C9" w:rsidRPr="00941A9E" w:rsidRDefault="001F25C9" w:rsidP="00DD2214">
      <w:pPr>
        <w:spacing w:after="0" w:line="240" w:lineRule="auto"/>
        <w:jc w:val="center"/>
        <w:rPr>
          <w:rFonts w:asciiTheme="minorHAnsi" w:hAnsiTheme="minorHAnsi" w:cstheme="minorHAnsi"/>
          <w:sz w:val="24"/>
          <w:szCs w:val="24"/>
          <w:lang w:val="en-US" w:eastAsia="nl-NL"/>
        </w:rPr>
      </w:pPr>
      <w:r w:rsidRPr="00941A9E">
        <w:rPr>
          <w:rFonts w:asciiTheme="minorHAnsi" w:hAnsiTheme="minorHAnsi" w:cstheme="minorHAnsi"/>
          <w:sz w:val="18"/>
          <w:szCs w:val="18"/>
        </w:rPr>
        <w:t xml:space="preserve">This project has received funding from the European Union’s Horizon 2020 research and innovation programme under the Marie </w:t>
      </w:r>
      <w:proofErr w:type="spellStart"/>
      <w:r w:rsidRPr="00941A9E">
        <w:rPr>
          <w:rFonts w:asciiTheme="minorHAnsi" w:hAnsiTheme="minorHAnsi" w:cstheme="minorHAnsi"/>
          <w:sz w:val="18"/>
          <w:szCs w:val="18"/>
        </w:rPr>
        <w:t>Skłodowska</w:t>
      </w:r>
      <w:proofErr w:type="spellEnd"/>
      <w:r w:rsidRPr="00941A9E">
        <w:rPr>
          <w:rFonts w:asciiTheme="minorHAnsi" w:hAnsiTheme="minorHAnsi" w:cstheme="minorHAnsi"/>
          <w:sz w:val="18"/>
          <w:szCs w:val="18"/>
        </w:rPr>
        <w:t>-Curie grant agreement TRANSIT No 955431</w:t>
      </w:r>
    </w:p>
    <w:p w14:paraId="77E2A64F" w14:textId="77777777" w:rsidR="004E3D08" w:rsidRDefault="001F25C9" w:rsidP="00DD2214">
      <w:pPr>
        <w:jc w:val="center"/>
        <w:rPr>
          <w:lang w:val="en-US"/>
        </w:rPr>
      </w:pPr>
      <w:r>
        <w:rPr>
          <w:noProof/>
        </w:rPr>
        <w:drawing>
          <wp:inline distT="0" distB="0" distL="0" distR="0" wp14:anchorId="691B6724" wp14:editId="5B50C677">
            <wp:extent cx="462280" cy="420370"/>
            <wp:effectExtent l="0" t="0" r="0" b="0"/>
            <wp:docPr id="7" name="Grafik 7" descr="Flag of Europe logo">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7" name="Grafik 7" descr="Flag of Europe logo">
                      <a:hlinkClick r:id="rId8"/>
                    </pic:cNvPr>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2280" cy="420370"/>
                    </a:xfrm>
                    <a:prstGeom prst="rect">
                      <a:avLst/>
                    </a:prstGeom>
                    <a:noFill/>
                    <a:ln>
                      <a:noFill/>
                    </a:ln>
                  </pic:spPr>
                </pic:pic>
              </a:graphicData>
            </a:graphic>
          </wp:inline>
        </w:drawing>
      </w:r>
    </w:p>
    <w:p w14:paraId="4D131C49" w14:textId="77777777" w:rsidR="001F25C9" w:rsidRPr="007B2F84" w:rsidRDefault="001F25C9" w:rsidP="00575546">
      <w:pPr>
        <w:jc w:val="both"/>
        <w:rPr>
          <w:rFonts w:ascii="Times New Roman" w:hAnsi="Times New Roman" w:cs="Times New Roman"/>
          <w:sz w:val="22"/>
          <w:lang w:val="en-US"/>
        </w:rPr>
      </w:pPr>
      <w:r w:rsidRPr="007B2F84">
        <w:rPr>
          <w:rFonts w:ascii="Times New Roman" w:hAnsi="Times New Roman" w:cs="Times New Roman"/>
          <w:sz w:val="22"/>
          <w:lang w:val="en-US"/>
        </w:rPr>
        <w:lastRenderedPageBreak/>
        <w:t>Project Acronym:</w:t>
      </w:r>
      <w:r w:rsidRPr="007B2F84">
        <w:rPr>
          <w:rFonts w:ascii="Times New Roman" w:hAnsi="Times New Roman" w:cs="Times New Roman"/>
          <w:sz w:val="22"/>
          <w:lang w:val="en-US"/>
        </w:rPr>
        <w:tab/>
        <w:t>TRANSIT</w:t>
      </w:r>
    </w:p>
    <w:p w14:paraId="7130F276" w14:textId="77777777" w:rsidR="001F25C9" w:rsidRPr="007B2F84" w:rsidRDefault="001F25C9" w:rsidP="00575546">
      <w:pPr>
        <w:jc w:val="both"/>
        <w:rPr>
          <w:rFonts w:ascii="Times New Roman" w:hAnsi="Times New Roman" w:cs="Times New Roman"/>
          <w:sz w:val="22"/>
          <w:lang w:val="en-US"/>
        </w:rPr>
      </w:pPr>
      <w:r w:rsidRPr="007B2F84">
        <w:rPr>
          <w:rFonts w:ascii="Times New Roman" w:hAnsi="Times New Roman" w:cs="Times New Roman"/>
          <w:sz w:val="22"/>
          <w:lang w:val="en-US"/>
        </w:rPr>
        <w:t>Project full title:</w:t>
      </w:r>
      <w:r w:rsidRPr="007B2F84">
        <w:rPr>
          <w:rFonts w:ascii="Times New Roman" w:hAnsi="Times New Roman" w:cs="Times New Roman"/>
          <w:sz w:val="22"/>
          <w:lang w:val="en-US"/>
        </w:rPr>
        <w:tab/>
      </w:r>
      <w:r w:rsidR="00EB11EE" w:rsidRPr="007B2F84">
        <w:rPr>
          <w:rFonts w:ascii="Times New Roman" w:hAnsi="Times New Roman" w:cs="Times New Roman"/>
          <w:sz w:val="22"/>
          <w:lang w:val="en-US"/>
        </w:rPr>
        <w:t>Training Network Sustainable Technologies</w:t>
      </w:r>
    </w:p>
    <w:p w14:paraId="7DD27FD1" w14:textId="77777777" w:rsidR="001F25C9" w:rsidRPr="007B2F84" w:rsidRDefault="001F25C9" w:rsidP="00575546">
      <w:pPr>
        <w:jc w:val="both"/>
        <w:rPr>
          <w:rFonts w:ascii="Times New Roman" w:hAnsi="Times New Roman" w:cs="Times New Roman"/>
          <w:sz w:val="22"/>
          <w:lang w:val="en-US"/>
        </w:rPr>
      </w:pPr>
      <w:r w:rsidRPr="007B2F84">
        <w:rPr>
          <w:rFonts w:ascii="Times New Roman" w:hAnsi="Times New Roman" w:cs="Times New Roman"/>
          <w:sz w:val="22"/>
          <w:lang w:val="en-US"/>
        </w:rPr>
        <w:t>Call:</w:t>
      </w:r>
      <w:r w:rsidR="00EB11EE" w:rsidRPr="007B2F84">
        <w:rPr>
          <w:rFonts w:ascii="Times New Roman" w:hAnsi="Times New Roman" w:cs="Times New Roman"/>
          <w:sz w:val="22"/>
          <w:lang w:val="en-US"/>
        </w:rPr>
        <w:tab/>
      </w:r>
      <w:r w:rsidR="00EB11EE" w:rsidRPr="007B2F84">
        <w:rPr>
          <w:rFonts w:ascii="Times New Roman" w:hAnsi="Times New Roman" w:cs="Times New Roman"/>
          <w:sz w:val="22"/>
          <w:lang w:val="en-US"/>
        </w:rPr>
        <w:tab/>
      </w:r>
      <w:r w:rsidR="00EB11EE" w:rsidRPr="007B2F84">
        <w:rPr>
          <w:rFonts w:ascii="Times New Roman" w:hAnsi="Times New Roman" w:cs="Times New Roman"/>
          <w:sz w:val="22"/>
          <w:lang w:val="en-US"/>
        </w:rPr>
        <w:tab/>
        <w:t>H2020-MSCA-ITN-2020</w:t>
      </w:r>
    </w:p>
    <w:p w14:paraId="0F7E64F2" w14:textId="77777777" w:rsidR="001F25C9" w:rsidRPr="007B2F84" w:rsidRDefault="001F25C9" w:rsidP="00575546">
      <w:pPr>
        <w:jc w:val="both"/>
        <w:rPr>
          <w:rFonts w:ascii="Times New Roman" w:hAnsi="Times New Roman" w:cs="Times New Roman"/>
          <w:sz w:val="22"/>
          <w:lang w:val="en-US"/>
        </w:rPr>
      </w:pPr>
      <w:r w:rsidRPr="007B2F84">
        <w:rPr>
          <w:rFonts w:ascii="Times New Roman" w:hAnsi="Times New Roman" w:cs="Times New Roman"/>
          <w:sz w:val="22"/>
          <w:lang w:val="en-US"/>
        </w:rPr>
        <w:t>Type of Action:</w:t>
      </w:r>
      <w:r w:rsidR="00EB11EE" w:rsidRPr="007B2F84">
        <w:rPr>
          <w:rFonts w:ascii="Times New Roman" w:hAnsi="Times New Roman" w:cs="Times New Roman"/>
          <w:sz w:val="22"/>
          <w:lang w:val="en-US"/>
        </w:rPr>
        <w:tab/>
      </w:r>
      <w:r w:rsidR="00EB11EE" w:rsidRPr="007B2F84">
        <w:rPr>
          <w:rFonts w:ascii="Times New Roman" w:hAnsi="Times New Roman" w:cs="Times New Roman"/>
          <w:sz w:val="22"/>
          <w:lang w:val="en-US"/>
        </w:rPr>
        <w:tab/>
        <w:t>MSCA-ITN-ETN – European Training Network</w:t>
      </w:r>
    </w:p>
    <w:p w14:paraId="7EF360AA" w14:textId="77777777" w:rsidR="001F25C9" w:rsidRPr="007B2F84" w:rsidRDefault="001F25C9" w:rsidP="00575546">
      <w:pPr>
        <w:jc w:val="both"/>
        <w:rPr>
          <w:rFonts w:ascii="Times New Roman" w:hAnsi="Times New Roman" w:cs="Times New Roman"/>
          <w:sz w:val="22"/>
          <w:lang w:val="en-US"/>
        </w:rPr>
      </w:pPr>
      <w:r w:rsidRPr="007B2F84">
        <w:rPr>
          <w:rFonts w:ascii="Times New Roman" w:hAnsi="Times New Roman" w:cs="Times New Roman"/>
          <w:sz w:val="22"/>
          <w:lang w:val="en-US"/>
        </w:rPr>
        <w:t>Grant Number:</w:t>
      </w:r>
      <w:r w:rsidR="00EB11EE" w:rsidRPr="007B2F84">
        <w:rPr>
          <w:rFonts w:ascii="Times New Roman" w:hAnsi="Times New Roman" w:cs="Times New Roman"/>
          <w:sz w:val="22"/>
          <w:lang w:val="en-US"/>
        </w:rPr>
        <w:tab/>
      </w:r>
      <w:r w:rsidR="00EB11EE" w:rsidRPr="007B2F84">
        <w:rPr>
          <w:rFonts w:ascii="Times New Roman" w:hAnsi="Times New Roman" w:cs="Times New Roman"/>
          <w:sz w:val="22"/>
          <w:lang w:val="en-US"/>
        </w:rPr>
        <w:tab/>
        <w:t>955431</w:t>
      </w:r>
    </w:p>
    <w:p w14:paraId="59D06845" w14:textId="77777777" w:rsidR="001F25C9" w:rsidRPr="007B2F84" w:rsidRDefault="001F25C9" w:rsidP="00575546">
      <w:pPr>
        <w:jc w:val="both"/>
        <w:rPr>
          <w:rFonts w:ascii="Times New Roman" w:hAnsi="Times New Roman" w:cs="Times New Roman"/>
          <w:sz w:val="22"/>
          <w:lang w:val="en-US"/>
        </w:rPr>
      </w:pPr>
      <w:r w:rsidRPr="007B2F84">
        <w:rPr>
          <w:rFonts w:ascii="Times New Roman" w:hAnsi="Times New Roman" w:cs="Times New Roman"/>
          <w:sz w:val="22"/>
          <w:lang w:val="en-US"/>
        </w:rPr>
        <w:t>Project website:</w:t>
      </w:r>
      <w:r w:rsidR="00EB11EE" w:rsidRPr="007B2F84">
        <w:rPr>
          <w:rFonts w:ascii="Times New Roman" w:hAnsi="Times New Roman" w:cs="Times New Roman"/>
          <w:sz w:val="22"/>
          <w:lang w:val="en-US"/>
        </w:rPr>
        <w:tab/>
      </w:r>
      <w:r w:rsidR="00EB11EE" w:rsidRPr="007B2F84">
        <w:rPr>
          <w:rFonts w:ascii="Times New Roman" w:hAnsi="Times New Roman" w:cs="Times New Roman"/>
          <w:sz w:val="22"/>
          <w:lang w:val="en-US"/>
        </w:rPr>
        <w:tab/>
        <w:t>www.transit-itn.com</w:t>
      </w:r>
    </w:p>
    <w:p w14:paraId="2B3D0B7D" w14:textId="77777777" w:rsidR="001F25C9" w:rsidRPr="007B2F84" w:rsidRDefault="001F25C9" w:rsidP="00575546">
      <w:pPr>
        <w:jc w:val="both"/>
        <w:rPr>
          <w:rFonts w:ascii="Times New Roman" w:hAnsi="Times New Roman" w:cs="Times New Roman"/>
          <w:sz w:val="22"/>
          <w:lang w:val="en-US"/>
        </w:rPr>
      </w:pPr>
    </w:p>
    <w:tbl>
      <w:tblPr>
        <w:tblStyle w:val="TableGrid"/>
        <w:tblW w:w="0" w:type="auto"/>
        <w:tblLook w:val="04A0" w:firstRow="1" w:lastRow="0" w:firstColumn="1" w:lastColumn="0" w:noHBand="0" w:noVBand="1"/>
      </w:tblPr>
      <w:tblGrid>
        <w:gridCol w:w="2830"/>
        <w:gridCol w:w="6232"/>
      </w:tblGrid>
      <w:tr w:rsidR="00EB11EE" w:rsidRPr="007B2F84" w14:paraId="09F90A6C" w14:textId="77777777" w:rsidTr="007B2F84">
        <w:tc>
          <w:tcPr>
            <w:tcW w:w="2830" w:type="dxa"/>
          </w:tcPr>
          <w:p w14:paraId="5FEE8DE1" w14:textId="77777777" w:rsidR="00EB11EE" w:rsidRPr="007B2F84" w:rsidRDefault="00EB11EE" w:rsidP="00575546">
            <w:pPr>
              <w:jc w:val="both"/>
              <w:rPr>
                <w:rFonts w:ascii="Times New Roman" w:hAnsi="Times New Roman" w:cs="Times New Roman"/>
                <w:sz w:val="22"/>
                <w:lang w:val="en-US"/>
              </w:rPr>
            </w:pPr>
            <w:r w:rsidRPr="007B2F84">
              <w:rPr>
                <w:rFonts w:ascii="Times New Roman" w:hAnsi="Times New Roman" w:cs="Times New Roman"/>
                <w:sz w:val="22"/>
                <w:lang w:val="en-US"/>
              </w:rPr>
              <w:t>Deliverable number</w:t>
            </w:r>
          </w:p>
        </w:tc>
        <w:tc>
          <w:tcPr>
            <w:tcW w:w="6232" w:type="dxa"/>
          </w:tcPr>
          <w:p w14:paraId="5DC5D7EA" w14:textId="2F4674B4" w:rsidR="00EB11EE" w:rsidRPr="007B2F84" w:rsidRDefault="00491716" w:rsidP="00575546">
            <w:pPr>
              <w:jc w:val="both"/>
              <w:rPr>
                <w:rFonts w:ascii="Times New Roman" w:hAnsi="Times New Roman" w:cs="Times New Roman"/>
                <w:sz w:val="22"/>
                <w:lang w:val="en-US"/>
              </w:rPr>
            </w:pPr>
            <w:r>
              <w:rPr>
                <w:rFonts w:ascii="Times New Roman" w:hAnsi="Times New Roman" w:cs="Times New Roman"/>
                <w:sz w:val="22"/>
                <w:lang w:val="en-US"/>
              </w:rPr>
              <w:t>D10.</w:t>
            </w:r>
            <w:r w:rsidR="008556A8">
              <w:rPr>
                <w:rFonts w:ascii="Times New Roman" w:hAnsi="Times New Roman" w:cs="Times New Roman"/>
                <w:sz w:val="22"/>
                <w:lang w:val="en-US"/>
              </w:rPr>
              <w:t>3</w:t>
            </w:r>
          </w:p>
        </w:tc>
      </w:tr>
      <w:tr w:rsidR="00EB11EE" w:rsidRPr="007B2F84" w14:paraId="5BA5FD35" w14:textId="77777777" w:rsidTr="007B2F84">
        <w:tc>
          <w:tcPr>
            <w:tcW w:w="2830" w:type="dxa"/>
          </w:tcPr>
          <w:p w14:paraId="32117F9E" w14:textId="77777777" w:rsidR="00EB11EE" w:rsidRPr="007B2F84" w:rsidRDefault="00EB11EE" w:rsidP="00575546">
            <w:pPr>
              <w:jc w:val="both"/>
              <w:rPr>
                <w:rFonts w:ascii="Times New Roman" w:hAnsi="Times New Roman" w:cs="Times New Roman"/>
                <w:sz w:val="22"/>
                <w:lang w:val="en-US"/>
              </w:rPr>
            </w:pPr>
            <w:r w:rsidRPr="007B2F84">
              <w:rPr>
                <w:rFonts w:ascii="Times New Roman" w:hAnsi="Times New Roman" w:cs="Times New Roman"/>
                <w:sz w:val="22"/>
                <w:lang w:val="en-US"/>
              </w:rPr>
              <w:t>Deliverable title:</w:t>
            </w:r>
          </w:p>
        </w:tc>
        <w:tc>
          <w:tcPr>
            <w:tcW w:w="6232" w:type="dxa"/>
          </w:tcPr>
          <w:p w14:paraId="64599495" w14:textId="73C40D86" w:rsidR="00EB11EE" w:rsidRPr="007B2F84" w:rsidRDefault="008556A8" w:rsidP="00575546">
            <w:pPr>
              <w:jc w:val="both"/>
              <w:rPr>
                <w:rFonts w:ascii="Times New Roman" w:hAnsi="Times New Roman" w:cs="Times New Roman"/>
                <w:sz w:val="22"/>
                <w:lang w:val="en-US"/>
              </w:rPr>
            </w:pPr>
            <w:r w:rsidRPr="008556A8">
              <w:rPr>
                <w:rFonts w:ascii="Times New Roman" w:hAnsi="Times New Roman" w:cs="Times New Roman"/>
                <w:sz w:val="22"/>
                <w:lang w:val="en-US"/>
              </w:rPr>
              <w:t>Report on QMRA to estimate impact of the decontamination treatments on reduction of disease burden and food spoilage</w:t>
            </w:r>
          </w:p>
        </w:tc>
      </w:tr>
      <w:tr w:rsidR="00EB11EE" w:rsidRPr="007B2F84" w14:paraId="4393B3DC" w14:textId="77777777" w:rsidTr="007B2F84">
        <w:tc>
          <w:tcPr>
            <w:tcW w:w="2830" w:type="dxa"/>
          </w:tcPr>
          <w:p w14:paraId="09EFB55F" w14:textId="77777777" w:rsidR="00EB11EE" w:rsidRPr="007B2F84" w:rsidRDefault="00EB11EE" w:rsidP="00575546">
            <w:pPr>
              <w:jc w:val="both"/>
              <w:rPr>
                <w:rFonts w:ascii="Times New Roman" w:hAnsi="Times New Roman" w:cs="Times New Roman"/>
                <w:sz w:val="22"/>
                <w:lang w:val="en-US"/>
              </w:rPr>
            </w:pPr>
            <w:r w:rsidRPr="007B2F84">
              <w:rPr>
                <w:rFonts w:ascii="Times New Roman" w:hAnsi="Times New Roman" w:cs="Times New Roman"/>
                <w:sz w:val="22"/>
                <w:lang w:val="en-US"/>
              </w:rPr>
              <w:t>Deliverable description:</w:t>
            </w:r>
          </w:p>
        </w:tc>
        <w:tc>
          <w:tcPr>
            <w:tcW w:w="6232" w:type="dxa"/>
          </w:tcPr>
          <w:p w14:paraId="4C0DAC31" w14:textId="14DF8A3D" w:rsidR="00EB11EE" w:rsidRPr="007B2F84" w:rsidRDefault="008556A8" w:rsidP="00575546">
            <w:pPr>
              <w:jc w:val="both"/>
              <w:rPr>
                <w:rFonts w:ascii="Times New Roman" w:hAnsi="Times New Roman" w:cs="Times New Roman"/>
                <w:sz w:val="22"/>
                <w:lang w:val="en-US"/>
              </w:rPr>
            </w:pPr>
            <w:r w:rsidRPr="008556A8">
              <w:rPr>
                <w:rFonts w:ascii="Times New Roman" w:hAnsi="Times New Roman" w:cs="Times New Roman"/>
                <w:sz w:val="22"/>
                <w:lang w:val="en-US"/>
              </w:rPr>
              <w:t>Report on QMRA to estimate impact of the decontamination treatments of HHP, PEF, US, NTP on reduction of disease burden and food spoilage</w:t>
            </w:r>
          </w:p>
        </w:tc>
      </w:tr>
      <w:tr w:rsidR="00EB11EE" w:rsidRPr="007B2F84" w14:paraId="67A1C0A1" w14:textId="77777777" w:rsidTr="007B2F84">
        <w:tc>
          <w:tcPr>
            <w:tcW w:w="2830" w:type="dxa"/>
          </w:tcPr>
          <w:p w14:paraId="1467D385" w14:textId="77777777" w:rsidR="00EB11EE" w:rsidRPr="007B2F84" w:rsidRDefault="00EB11EE" w:rsidP="00575546">
            <w:pPr>
              <w:jc w:val="both"/>
              <w:rPr>
                <w:rFonts w:ascii="Times New Roman" w:hAnsi="Times New Roman" w:cs="Times New Roman"/>
                <w:sz w:val="22"/>
                <w:lang w:val="en-US"/>
              </w:rPr>
            </w:pPr>
            <w:r w:rsidRPr="007B2F84">
              <w:rPr>
                <w:rFonts w:ascii="Times New Roman" w:hAnsi="Times New Roman" w:cs="Times New Roman"/>
                <w:sz w:val="22"/>
                <w:lang w:val="en-US"/>
              </w:rPr>
              <w:t>Deliverable nature:</w:t>
            </w:r>
          </w:p>
        </w:tc>
        <w:tc>
          <w:tcPr>
            <w:tcW w:w="6232" w:type="dxa"/>
          </w:tcPr>
          <w:p w14:paraId="6E2A4B90" w14:textId="05ED6C80" w:rsidR="00EB11EE" w:rsidRPr="007B2F84" w:rsidRDefault="00DC19F6" w:rsidP="00575546">
            <w:pPr>
              <w:jc w:val="both"/>
              <w:rPr>
                <w:rFonts w:ascii="Times New Roman" w:hAnsi="Times New Roman" w:cs="Times New Roman"/>
                <w:sz w:val="22"/>
                <w:lang w:val="en-US"/>
              </w:rPr>
            </w:pPr>
            <w:r>
              <w:rPr>
                <w:rFonts w:ascii="Times New Roman" w:hAnsi="Times New Roman" w:cs="Times New Roman"/>
                <w:sz w:val="22"/>
                <w:lang w:val="en-US"/>
              </w:rPr>
              <w:t>Report</w:t>
            </w:r>
          </w:p>
        </w:tc>
      </w:tr>
      <w:tr w:rsidR="00EB11EE" w:rsidRPr="007B2F84" w14:paraId="7E88F3F8" w14:textId="77777777" w:rsidTr="007B2F84">
        <w:tc>
          <w:tcPr>
            <w:tcW w:w="2830" w:type="dxa"/>
          </w:tcPr>
          <w:p w14:paraId="4367E14A" w14:textId="77777777" w:rsidR="00EB11EE" w:rsidRPr="007B2F84" w:rsidRDefault="00EB11EE" w:rsidP="00575546">
            <w:pPr>
              <w:jc w:val="both"/>
              <w:rPr>
                <w:rFonts w:ascii="Times New Roman" w:hAnsi="Times New Roman" w:cs="Times New Roman"/>
                <w:sz w:val="22"/>
                <w:lang w:val="en-US"/>
              </w:rPr>
            </w:pPr>
            <w:r w:rsidRPr="007B2F84">
              <w:rPr>
                <w:rFonts w:ascii="Times New Roman" w:hAnsi="Times New Roman" w:cs="Times New Roman"/>
                <w:sz w:val="22"/>
                <w:lang w:val="en-US"/>
              </w:rPr>
              <w:t>Dissemination level:</w:t>
            </w:r>
          </w:p>
        </w:tc>
        <w:tc>
          <w:tcPr>
            <w:tcW w:w="6232" w:type="dxa"/>
          </w:tcPr>
          <w:p w14:paraId="033AB6F1" w14:textId="21933FDE" w:rsidR="00EB11EE" w:rsidRPr="007B2F84" w:rsidRDefault="0074240B" w:rsidP="00575546">
            <w:pPr>
              <w:jc w:val="both"/>
              <w:rPr>
                <w:rFonts w:ascii="Times New Roman" w:hAnsi="Times New Roman" w:cs="Times New Roman"/>
                <w:sz w:val="22"/>
                <w:lang w:val="en-US"/>
              </w:rPr>
            </w:pPr>
            <w:r>
              <w:rPr>
                <w:rFonts w:ascii="Times New Roman" w:hAnsi="Times New Roman" w:cs="Times New Roman"/>
                <w:sz w:val="22"/>
                <w:lang w:val="en-US"/>
              </w:rPr>
              <w:t>Public</w:t>
            </w:r>
          </w:p>
        </w:tc>
      </w:tr>
      <w:tr w:rsidR="007B2F84" w:rsidRPr="007B2F84" w14:paraId="7D7E6449" w14:textId="77777777" w:rsidTr="007B2F84">
        <w:tc>
          <w:tcPr>
            <w:tcW w:w="2830" w:type="dxa"/>
          </w:tcPr>
          <w:p w14:paraId="670468AE" w14:textId="77777777" w:rsidR="007B2F84" w:rsidRPr="007B2F84" w:rsidRDefault="007B2F84" w:rsidP="00575546">
            <w:pPr>
              <w:jc w:val="both"/>
              <w:rPr>
                <w:rFonts w:ascii="Times New Roman" w:hAnsi="Times New Roman" w:cs="Times New Roman"/>
                <w:sz w:val="22"/>
                <w:lang w:val="en-US"/>
              </w:rPr>
            </w:pPr>
            <w:r>
              <w:rPr>
                <w:rFonts w:ascii="Times New Roman" w:hAnsi="Times New Roman" w:cs="Times New Roman"/>
                <w:sz w:val="22"/>
                <w:lang w:val="en-US"/>
              </w:rPr>
              <w:t>Work package</w:t>
            </w:r>
          </w:p>
        </w:tc>
        <w:tc>
          <w:tcPr>
            <w:tcW w:w="6232" w:type="dxa"/>
          </w:tcPr>
          <w:p w14:paraId="2F30C83C" w14:textId="6CA51818" w:rsidR="007B2F84" w:rsidRPr="007B2F84" w:rsidRDefault="007B2F84" w:rsidP="00575546">
            <w:pPr>
              <w:jc w:val="both"/>
              <w:rPr>
                <w:rFonts w:ascii="Times New Roman" w:hAnsi="Times New Roman" w:cs="Times New Roman"/>
                <w:sz w:val="22"/>
                <w:lang w:val="nl-NL"/>
              </w:rPr>
            </w:pPr>
            <w:r>
              <w:rPr>
                <w:rFonts w:ascii="Times New Roman" w:hAnsi="Times New Roman" w:cs="Times New Roman"/>
                <w:sz w:val="22"/>
                <w:lang w:val="nl-NL"/>
              </w:rPr>
              <w:t>WP</w:t>
            </w:r>
            <w:r w:rsidR="003413DA">
              <w:rPr>
                <w:rFonts w:ascii="Times New Roman" w:hAnsi="Times New Roman" w:cs="Times New Roman"/>
                <w:sz w:val="22"/>
                <w:lang w:val="nl-NL"/>
              </w:rPr>
              <w:t>10</w:t>
            </w:r>
          </w:p>
        </w:tc>
      </w:tr>
      <w:tr w:rsidR="00EB11EE" w:rsidRPr="00724BC5" w14:paraId="40EA97B8" w14:textId="77777777" w:rsidTr="007B2F84">
        <w:tc>
          <w:tcPr>
            <w:tcW w:w="2830" w:type="dxa"/>
          </w:tcPr>
          <w:p w14:paraId="74DA3116" w14:textId="77777777" w:rsidR="00EB11EE" w:rsidRPr="007B2F84" w:rsidRDefault="00EB11EE" w:rsidP="00575546">
            <w:pPr>
              <w:jc w:val="both"/>
              <w:rPr>
                <w:rFonts w:ascii="Times New Roman" w:hAnsi="Times New Roman" w:cs="Times New Roman"/>
                <w:sz w:val="22"/>
                <w:lang w:val="en-US"/>
              </w:rPr>
            </w:pPr>
            <w:r w:rsidRPr="007B2F84">
              <w:rPr>
                <w:rFonts w:ascii="Times New Roman" w:hAnsi="Times New Roman" w:cs="Times New Roman"/>
                <w:sz w:val="22"/>
                <w:lang w:val="en-US"/>
              </w:rPr>
              <w:t>Author:</w:t>
            </w:r>
          </w:p>
        </w:tc>
        <w:tc>
          <w:tcPr>
            <w:tcW w:w="6232" w:type="dxa"/>
          </w:tcPr>
          <w:p w14:paraId="719A20D6" w14:textId="4385AC46" w:rsidR="00EB11EE" w:rsidRPr="007B2F84" w:rsidRDefault="00623405" w:rsidP="00575546">
            <w:pPr>
              <w:jc w:val="both"/>
              <w:rPr>
                <w:rFonts w:ascii="Times New Roman" w:hAnsi="Times New Roman" w:cs="Times New Roman"/>
                <w:sz w:val="22"/>
                <w:lang w:val="nl-NL"/>
              </w:rPr>
            </w:pPr>
            <w:r>
              <w:rPr>
                <w:rFonts w:ascii="Times New Roman" w:hAnsi="Times New Roman" w:cs="Times New Roman"/>
                <w:sz w:val="22"/>
                <w:lang w:val="nl-NL"/>
              </w:rPr>
              <w:t>George Pampoukis</w:t>
            </w:r>
            <w:r w:rsidR="00DC19F6">
              <w:rPr>
                <w:rFonts w:ascii="Times New Roman" w:hAnsi="Times New Roman" w:cs="Times New Roman"/>
                <w:sz w:val="22"/>
                <w:lang w:val="nl-NL"/>
              </w:rPr>
              <w:t xml:space="preserve"> </w:t>
            </w:r>
            <w:r w:rsidR="00EB11EE" w:rsidRPr="007B2F84">
              <w:rPr>
                <w:rFonts w:ascii="Times New Roman" w:hAnsi="Times New Roman" w:cs="Times New Roman"/>
                <w:sz w:val="22"/>
                <w:lang w:val="nl-NL"/>
              </w:rPr>
              <w:t xml:space="preserve">– </w:t>
            </w:r>
            <w:r w:rsidR="003413DA">
              <w:rPr>
                <w:rFonts w:ascii="Times New Roman" w:hAnsi="Times New Roman" w:cs="Times New Roman"/>
                <w:sz w:val="22"/>
                <w:lang w:val="nl-NL"/>
              </w:rPr>
              <w:t>WU</w:t>
            </w:r>
          </w:p>
        </w:tc>
      </w:tr>
      <w:tr w:rsidR="00EB11EE" w:rsidRPr="007B2F84" w14:paraId="642E8840" w14:textId="77777777" w:rsidTr="007B2F84">
        <w:tc>
          <w:tcPr>
            <w:tcW w:w="2830" w:type="dxa"/>
          </w:tcPr>
          <w:p w14:paraId="02CB4FEE" w14:textId="77777777" w:rsidR="00EB11EE" w:rsidRPr="007B2F84" w:rsidRDefault="00EB11EE" w:rsidP="00575546">
            <w:pPr>
              <w:jc w:val="both"/>
              <w:rPr>
                <w:rFonts w:ascii="Times New Roman" w:hAnsi="Times New Roman" w:cs="Times New Roman"/>
                <w:sz w:val="22"/>
                <w:lang w:val="en-US"/>
              </w:rPr>
            </w:pPr>
            <w:r w:rsidRPr="007B2F84">
              <w:rPr>
                <w:rFonts w:ascii="Times New Roman" w:hAnsi="Times New Roman" w:cs="Times New Roman"/>
                <w:sz w:val="22"/>
                <w:lang w:val="en-US"/>
              </w:rPr>
              <w:t>Lead Beneficiary:</w:t>
            </w:r>
          </w:p>
        </w:tc>
        <w:tc>
          <w:tcPr>
            <w:tcW w:w="6232" w:type="dxa"/>
          </w:tcPr>
          <w:p w14:paraId="4CC60805" w14:textId="2D9161E8" w:rsidR="00EB11EE" w:rsidRPr="007B2F84" w:rsidRDefault="003413DA" w:rsidP="00575546">
            <w:pPr>
              <w:jc w:val="both"/>
              <w:rPr>
                <w:rFonts w:ascii="Times New Roman" w:hAnsi="Times New Roman" w:cs="Times New Roman"/>
                <w:sz w:val="22"/>
                <w:lang w:val="en-US"/>
              </w:rPr>
            </w:pPr>
            <w:r>
              <w:rPr>
                <w:rFonts w:ascii="Times New Roman" w:hAnsi="Times New Roman" w:cs="Times New Roman"/>
                <w:sz w:val="22"/>
                <w:lang w:val="nl-NL"/>
              </w:rPr>
              <w:t>WU</w:t>
            </w:r>
          </w:p>
        </w:tc>
      </w:tr>
      <w:tr w:rsidR="00EB11EE" w:rsidRPr="007B2F84" w14:paraId="3E859229" w14:textId="77777777" w:rsidTr="007B2F84">
        <w:tc>
          <w:tcPr>
            <w:tcW w:w="2830" w:type="dxa"/>
          </w:tcPr>
          <w:p w14:paraId="682DE753" w14:textId="77777777" w:rsidR="00EB11EE" w:rsidRPr="007B2F84" w:rsidRDefault="00EB11EE" w:rsidP="00575546">
            <w:pPr>
              <w:jc w:val="both"/>
              <w:rPr>
                <w:rFonts w:ascii="Times New Roman" w:hAnsi="Times New Roman" w:cs="Times New Roman"/>
                <w:sz w:val="22"/>
                <w:lang w:val="en-US"/>
              </w:rPr>
            </w:pPr>
            <w:r w:rsidRPr="007B2F84">
              <w:rPr>
                <w:rFonts w:ascii="Times New Roman" w:hAnsi="Times New Roman" w:cs="Times New Roman"/>
                <w:sz w:val="22"/>
                <w:lang w:val="en-US"/>
              </w:rPr>
              <w:t>Contract Delivery date:</w:t>
            </w:r>
          </w:p>
        </w:tc>
        <w:tc>
          <w:tcPr>
            <w:tcW w:w="6232" w:type="dxa"/>
          </w:tcPr>
          <w:p w14:paraId="44104075" w14:textId="24CD95CB" w:rsidR="00EB11EE" w:rsidRPr="007B2F84" w:rsidRDefault="00691C84" w:rsidP="00575546">
            <w:pPr>
              <w:jc w:val="both"/>
              <w:rPr>
                <w:rFonts w:ascii="Times New Roman" w:hAnsi="Times New Roman" w:cs="Times New Roman"/>
                <w:sz w:val="22"/>
                <w:lang w:val="en-US"/>
              </w:rPr>
            </w:pPr>
            <w:r>
              <w:rPr>
                <w:rFonts w:ascii="Times New Roman" w:hAnsi="Times New Roman" w:cs="Times New Roman"/>
                <w:sz w:val="22"/>
                <w:lang w:val="en-US"/>
              </w:rPr>
              <w:t>31</w:t>
            </w:r>
            <w:r w:rsidR="00EB11EE" w:rsidRPr="007B2F84">
              <w:rPr>
                <w:rFonts w:ascii="Times New Roman" w:hAnsi="Times New Roman" w:cs="Times New Roman"/>
                <w:sz w:val="22"/>
                <w:lang w:val="en-US"/>
              </w:rPr>
              <w:t xml:space="preserve"> </w:t>
            </w:r>
            <w:r>
              <w:rPr>
                <w:rFonts w:ascii="Times New Roman" w:hAnsi="Times New Roman" w:cs="Times New Roman"/>
                <w:sz w:val="22"/>
                <w:lang w:val="en-US"/>
              </w:rPr>
              <w:t>August</w:t>
            </w:r>
            <w:r w:rsidR="00EB11EE" w:rsidRPr="007B2F84">
              <w:rPr>
                <w:rFonts w:ascii="Times New Roman" w:hAnsi="Times New Roman" w:cs="Times New Roman"/>
                <w:sz w:val="22"/>
                <w:lang w:val="en-US"/>
              </w:rPr>
              <w:t xml:space="preserve"> 202</w:t>
            </w:r>
            <w:r>
              <w:rPr>
                <w:rFonts w:ascii="Times New Roman" w:hAnsi="Times New Roman" w:cs="Times New Roman"/>
                <w:sz w:val="22"/>
                <w:lang w:val="en-US"/>
              </w:rPr>
              <w:t>4</w:t>
            </w:r>
          </w:p>
        </w:tc>
      </w:tr>
      <w:tr w:rsidR="00EB11EE" w:rsidRPr="007B2F84" w14:paraId="1BC27B86" w14:textId="77777777" w:rsidTr="007B2F84">
        <w:tc>
          <w:tcPr>
            <w:tcW w:w="2830" w:type="dxa"/>
          </w:tcPr>
          <w:p w14:paraId="2544F794" w14:textId="77777777" w:rsidR="00EB11EE" w:rsidRPr="00AE45AB" w:rsidRDefault="00EB11EE" w:rsidP="00575546">
            <w:pPr>
              <w:jc w:val="both"/>
              <w:rPr>
                <w:rFonts w:ascii="Times New Roman" w:hAnsi="Times New Roman" w:cs="Times New Roman"/>
                <w:color w:val="000000" w:themeColor="text1"/>
                <w:sz w:val="22"/>
                <w:lang w:val="en-US"/>
              </w:rPr>
            </w:pPr>
            <w:r w:rsidRPr="00AE45AB">
              <w:rPr>
                <w:rFonts w:ascii="Times New Roman" w:hAnsi="Times New Roman" w:cs="Times New Roman"/>
                <w:color w:val="000000" w:themeColor="text1"/>
                <w:sz w:val="22"/>
                <w:lang w:val="en-US"/>
              </w:rPr>
              <w:t>Number of pages:</w:t>
            </w:r>
          </w:p>
        </w:tc>
        <w:tc>
          <w:tcPr>
            <w:tcW w:w="6232" w:type="dxa"/>
          </w:tcPr>
          <w:p w14:paraId="61DAA395" w14:textId="7AA5AEB8" w:rsidR="00EB11EE" w:rsidRPr="00AE45AB" w:rsidRDefault="006B5C85" w:rsidP="00575546">
            <w:pPr>
              <w:jc w:val="both"/>
              <w:rPr>
                <w:rFonts w:ascii="Times New Roman" w:hAnsi="Times New Roman" w:cs="Times New Roman"/>
                <w:color w:val="000000" w:themeColor="text1"/>
                <w:sz w:val="22"/>
                <w:lang w:val="en-US"/>
              </w:rPr>
            </w:pPr>
            <w:r>
              <w:rPr>
                <w:rFonts w:ascii="Times New Roman" w:hAnsi="Times New Roman" w:cs="Times New Roman"/>
                <w:color w:val="000000" w:themeColor="text1"/>
                <w:sz w:val="22"/>
                <w:lang w:val="en-US"/>
              </w:rPr>
              <w:t>10</w:t>
            </w:r>
          </w:p>
        </w:tc>
      </w:tr>
      <w:tr w:rsidR="00EB11EE" w:rsidRPr="00FD56BC" w14:paraId="78FD4179" w14:textId="77777777" w:rsidTr="007B2F84">
        <w:tc>
          <w:tcPr>
            <w:tcW w:w="2830" w:type="dxa"/>
          </w:tcPr>
          <w:p w14:paraId="0F0988D8" w14:textId="77777777" w:rsidR="00EB11EE" w:rsidRPr="007B2F84" w:rsidRDefault="00EB11EE" w:rsidP="00575546">
            <w:pPr>
              <w:jc w:val="both"/>
              <w:rPr>
                <w:rFonts w:ascii="Times New Roman" w:hAnsi="Times New Roman" w:cs="Times New Roman"/>
                <w:sz w:val="22"/>
                <w:lang w:val="en-US"/>
              </w:rPr>
            </w:pPr>
            <w:r w:rsidRPr="007B2F84">
              <w:rPr>
                <w:rFonts w:ascii="Times New Roman" w:hAnsi="Times New Roman" w:cs="Times New Roman"/>
                <w:sz w:val="22"/>
                <w:lang w:val="en-US"/>
              </w:rPr>
              <w:t>Peer review:</w:t>
            </w:r>
          </w:p>
        </w:tc>
        <w:tc>
          <w:tcPr>
            <w:tcW w:w="6232" w:type="dxa"/>
          </w:tcPr>
          <w:p w14:paraId="7BD36CAE" w14:textId="0CD3792B" w:rsidR="00EB11EE" w:rsidRPr="00147D4B" w:rsidRDefault="00147D4B" w:rsidP="00575546">
            <w:pPr>
              <w:jc w:val="both"/>
              <w:rPr>
                <w:rFonts w:ascii="Times New Roman" w:hAnsi="Times New Roman" w:cs="Times New Roman"/>
                <w:sz w:val="22"/>
                <w:lang w:val="nl-NL"/>
              </w:rPr>
            </w:pPr>
            <w:r w:rsidRPr="00686009">
              <w:rPr>
                <w:rFonts w:ascii="Times New Roman" w:hAnsi="Times New Roman" w:cs="Times New Roman"/>
                <w:sz w:val="22"/>
                <w:lang w:val="nl-NL"/>
              </w:rPr>
              <w:t>Prof</w:t>
            </w:r>
            <w:r>
              <w:rPr>
                <w:rFonts w:ascii="Times New Roman" w:hAnsi="Times New Roman" w:cs="Times New Roman"/>
                <w:sz w:val="22"/>
                <w:lang w:val="nl-NL"/>
              </w:rPr>
              <w:t>.</w:t>
            </w:r>
            <w:r w:rsidRPr="00686009">
              <w:rPr>
                <w:rFonts w:ascii="Times New Roman" w:hAnsi="Times New Roman" w:cs="Times New Roman"/>
                <w:sz w:val="22"/>
                <w:lang w:val="nl-NL"/>
              </w:rPr>
              <w:t xml:space="preserve"> Heidy M.W. den Besten</w:t>
            </w:r>
            <w:r>
              <w:rPr>
                <w:rFonts w:ascii="Times New Roman" w:hAnsi="Times New Roman" w:cs="Times New Roman"/>
                <w:sz w:val="22"/>
                <w:lang w:val="nl-NL"/>
              </w:rPr>
              <w:t>, Prof. Marcel H. Zwietering</w:t>
            </w:r>
          </w:p>
        </w:tc>
      </w:tr>
    </w:tbl>
    <w:p w14:paraId="26C5BF50" w14:textId="77777777" w:rsidR="007B2F84" w:rsidRPr="00147D4B" w:rsidRDefault="007B2F84" w:rsidP="00575546">
      <w:pPr>
        <w:jc w:val="both"/>
        <w:rPr>
          <w:sz w:val="20"/>
          <w:szCs w:val="20"/>
          <w:lang w:val="nl-NL"/>
        </w:rPr>
      </w:pPr>
    </w:p>
    <w:p w14:paraId="0E5F9CB8" w14:textId="50D34A80" w:rsidR="001F25C9" w:rsidRDefault="001F25C9" w:rsidP="00575546">
      <w:pPr>
        <w:jc w:val="both"/>
        <w:rPr>
          <w:sz w:val="20"/>
          <w:szCs w:val="20"/>
          <w:lang w:val="nl-NL"/>
        </w:rPr>
      </w:pPr>
    </w:p>
    <w:p w14:paraId="34A0E301" w14:textId="77777777" w:rsidR="00DE2A25" w:rsidRDefault="00DE2A25" w:rsidP="00575546">
      <w:pPr>
        <w:jc w:val="both"/>
        <w:rPr>
          <w:sz w:val="20"/>
          <w:szCs w:val="20"/>
          <w:lang w:val="nl-NL"/>
        </w:rPr>
      </w:pPr>
    </w:p>
    <w:p w14:paraId="5263A6D2" w14:textId="77777777" w:rsidR="00DE2A25" w:rsidRDefault="00DE2A25" w:rsidP="00575546">
      <w:pPr>
        <w:jc w:val="both"/>
        <w:rPr>
          <w:sz w:val="20"/>
          <w:szCs w:val="20"/>
          <w:lang w:val="nl-NL"/>
        </w:rPr>
      </w:pPr>
    </w:p>
    <w:p w14:paraId="2DF437B1" w14:textId="77777777" w:rsidR="00DE2A25" w:rsidRDefault="00DE2A25" w:rsidP="00575546">
      <w:pPr>
        <w:jc w:val="both"/>
        <w:rPr>
          <w:sz w:val="20"/>
          <w:szCs w:val="20"/>
          <w:lang w:val="nl-NL"/>
        </w:rPr>
      </w:pPr>
    </w:p>
    <w:p w14:paraId="37E6A930" w14:textId="77777777" w:rsidR="00DE2A25" w:rsidRDefault="00DE2A25" w:rsidP="00575546">
      <w:pPr>
        <w:jc w:val="both"/>
        <w:rPr>
          <w:sz w:val="20"/>
          <w:szCs w:val="20"/>
          <w:lang w:val="nl-NL"/>
        </w:rPr>
      </w:pPr>
    </w:p>
    <w:p w14:paraId="2D8E4BBF" w14:textId="77777777" w:rsidR="00DE2A25" w:rsidRDefault="00DE2A25" w:rsidP="00575546">
      <w:pPr>
        <w:jc w:val="both"/>
        <w:rPr>
          <w:sz w:val="20"/>
          <w:szCs w:val="20"/>
          <w:lang w:val="nl-NL"/>
        </w:rPr>
      </w:pPr>
    </w:p>
    <w:p w14:paraId="66F828F7" w14:textId="77777777" w:rsidR="00DE2A25" w:rsidRDefault="00DE2A25" w:rsidP="00575546">
      <w:pPr>
        <w:jc w:val="both"/>
        <w:rPr>
          <w:sz w:val="20"/>
          <w:szCs w:val="20"/>
          <w:lang w:val="nl-NL"/>
        </w:rPr>
      </w:pPr>
    </w:p>
    <w:p w14:paraId="4E0DAE6E" w14:textId="77777777" w:rsidR="00DE2A25" w:rsidRDefault="00DE2A25" w:rsidP="00575546">
      <w:pPr>
        <w:jc w:val="both"/>
        <w:rPr>
          <w:sz w:val="20"/>
          <w:szCs w:val="20"/>
          <w:lang w:val="nl-NL"/>
        </w:rPr>
      </w:pPr>
    </w:p>
    <w:p w14:paraId="02185AFF" w14:textId="77777777" w:rsidR="00DE2A25" w:rsidRDefault="00DE2A25" w:rsidP="00575546">
      <w:pPr>
        <w:jc w:val="both"/>
        <w:rPr>
          <w:sz w:val="20"/>
          <w:szCs w:val="20"/>
          <w:lang w:val="nl-NL"/>
        </w:rPr>
      </w:pPr>
    </w:p>
    <w:p w14:paraId="1D26F636" w14:textId="685B0C54" w:rsidR="009E0B84" w:rsidRDefault="009E0B84">
      <w:pPr>
        <w:rPr>
          <w:sz w:val="20"/>
          <w:szCs w:val="20"/>
          <w:lang w:val="nl-NL"/>
        </w:rPr>
      </w:pPr>
      <w:bookmarkStart w:id="0" w:name="background"/>
      <w:r>
        <w:rPr>
          <w:sz w:val="20"/>
          <w:szCs w:val="20"/>
          <w:lang w:val="nl-NL"/>
        </w:rPr>
        <w:br w:type="page"/>
      </w:r>
    </w:p>
    <w:p w14:paraId="7DC78740" w14:textId="79CBDE95" w:rsidR="004732D2" w:rsidRPr="004732D2" w:rsidRDefault="004732D2" w:rsidP="00575546">
      <w:pPr>
        <w:jc w:val="both"/>
        <w:rPr>
          <w:b/>
          <w:bCs/>
          <w:sz w:val="20"/>
          <w:szCs w:val="20"/>
          <w:lang w:val="en-US"/>
        </w:rPr>
      </w:pPr>
      <w:r w:rsidRPr="004732D2">
        <w:rPr>
          <w:b/>
          <w:bCs/>
          <w:sz w:val="20"/>
          <w:szCs w:val="20"/>
          <w:lang w:val="en-US"/>
        </w:rPr>
        <w:lastRenderedPageBreak/>
        <w:t>1. Background</w:t>
      </w:r>
    </w:p>
    <w:p w14:paraId="6A9CAAFE" w14:textId="755EDAB3" w:rsidR="004732D2" w:rsidRPr="004732D2" w:rsidRDefault="00DD0CB1" w:rsidP="00575546">
      <w:pPr>
        <w:jc w:val="both"/>
        <w:rPr>
          <w:sz w:val="20"/>
          <w:szCs w:val="20"/>
          <w:lang w:val="en-US"/>
        </w:rPr>
      </w:pPr>
      <w:r>
        <w:rPr>
          <w:sz w:val="20"/>
          <w:szCs w:val="20"/>
          <w:lang w:val="en-US"/>
        </w:rPr>
        <w:t>As explained in detail in deliverable 10.2, n</w:t>
      </w:r>
      <w:r w:rsidR="004732D2" w:rsidRPr="004732D2">
        <w:rPr>
          <w:sz w:val="20"/>
          <w:szCs w:val="20"/>
          <w:lang w:val="en-US"/>
        </w:rPr>
        <w:t xml:space="preserve">on-thermal food processing technologies could enhance food safety, </w:t>
      </w:r>
      <w:r w:rsidR="00952A93">
        <w:rPr>
          <w:sz w:val="20"/>
          <w:szCs w:val="20"/>
          <w:lang w:val="en-US"/>
        </w:rPr>
        <w:t xml:space="preserve">control food quality, </w:t>
      </w:r>
      <w:r w:rsidR="004732D2" w:rsidRPr="004732D2">
        <w:rPr>
          <w:sz w:val="20"/>
          <w:szCs w:val="20"/>
          <w:lang w:val="en-US"/>
        </w:rPr>
        <w:t xml:space="preserve">maintain nutritional value, and potentially reduce energy use compared to conventional pasteurization methods. Additionally, depending on the application, they can be added as an extra processing step in the food supply chain to reduce the risk of foodborne disease, extend the shelf life of food products, and thereby reduce food waste. For a more accurate estimation of the aforementioned properties, a quantitative approach needs to be implemented. Therefore, the quantitative models that were developed, as explained in deliverable 10.2, were incorporated into a quantitative microbial risk assessment (QMRA) scenario to provide valuable insights for regulatory authorities and industry stakeholders considering the implementation of non-thermal processing methods. In this scenario, apple juice was chosen as a representative for a broad range of similar liquid food products (high-acidic fruit juice with pH ≤ 4.6), and </w:t>
      </w:r>
      <w:r w:rsidR="004732D2" w:rsidRPr="004732D2">
        <w:rPr>
          <w:i/>
          <w:iCs/>
          <w:sz w:val="20"/>
          <w:szCs w:val="20"/>
          <w:lang w:val="en-US"/>
        </w:rPr>
        <w:t>E. coli</w:t>
      </w:r>
      <w:r w:rsidR="004732D2" w:rsidRPr="004732D2">
        <w:rPr>
          <w:sz w:val="20"/>
          <w:szCs w:val="20"/>
          <w:lang w:val="en-US"/>
        </w:rPr>
        <w:t xml:space="preserve"> was selected as the microorganism of interest due to its prevalence in the food processing environment as a hygiene indicator and its inclusion of pathogenic serotypes. From 1980 to 2012,</w:t>
      </w:r>
      <w:r w:rsidR="000309A6">
        <w:rPr>
          <w:sz w:val="20"/>
          <w:szCs w:val="20"/>
          <w:lang w:val="en-US"/>
        </w:rPr>
        <w:t xml:space="preserve"> pathogenic</w:t>
      </w:r>
      <w:r w:rsidR="004732D2" w:rsidRPr="004732D2">
        <w:rPr>
          <w:sz w:val="20"/>
          <w:szCs w:val="20"/>
          <w:lang w:val="en-US"/>
        </w:rPr>
        <w:t xml:space="preserve"> </w:t>
      </w:r>
      <w:r w:rsidR="004732D2" w:rsidRPr="004732D2">
        <w:rPr>
          <w:i/>
          <w:iCs/>
          <w:sz w:val="20"/>
          <w:szCs w:val="20"/>
          <w:lang w:val="en-US"/>
        </w:rPr>
        <w:t>E. coli</w:t>
      </w:r>
      <w:r w:rsidR="004732D2" w:rsidRPr="004732D2">
        <w:rPr>
          <w:sz w:val="20"/>
          <w:szCs w:val="20"/>
          <w:lang w:val="en-US"/>
        </w:rPr>
        <w:t xml:space="preserve"> has been implicated in 16 outbreaks which were associated with the consumption of high-acidic fruit juices or ciders in Canada, the United States, and India (Martínez-</w:t>
      </w:r>
      <w:proofErr w:type="spellStart"/>
      <w:r w:rsidR="004732D2" w:rsidRPr="004732D2">
        <w:rPr>
          <w:sz w:val="20"/>
          <w:szCs w:val="20"/>
          <w:lang w:val="en-US"/>
        </w:rPr>
        <w:t>Gonzáles</w:t>
      </w:r>
      <w:proofErr w:type="spellEnd"/>
      <w:r w:rsidR="004732D2" w:rsidRPr="004732D2">
        <w:rPr>
          <w:sz w:val="20"/>
          <w:szCs w:val="20"/>
          <w:lang w:val="en-US"/>
        </w:rPr>
        <w:t xml:space="preserve"> &amp; Castillo, 2016). The scope of this QMRA is to evaluate </w:t>
      </w:r>
      <w:r w:rsidR="00512AD8">
        <w:rPr>
          <w:sz w:val="20"/>
          <w:szCs w:val="20"/>
          <w:lang w:val="en-US"/>
        </w:rPr>
        <w:t xml:space="preserve">the </w:t>
      </w:r>
      <w:r w:rsidR="00822557">
        <w:rPr>
          <w:sz w:val="20"/>
          <w:szCs w:val="20"/>
          <w:lang w:val="en-US"/>
        </w:rPr>
        <w:t xml:space="preserve">impact of non-thermal processing </w:t>
      </w:r>
      <w:r w:rsidR="004732D2" w:rsidRPr="004732D2">
        <w:rPr>
          <w:sz w:val="20"/>
          <w:szCs w:val="20"/>
          <w:lang w:val="en-US"/>
        </w:rPr>
        <w:t xml:space="preserve">on the microbial concentration of </w:t>
      </w:r>
      <w:r w:rsidR="001E460A">
        <w:rPr>
          <w:sz w:val="20"/>
          <w:szCs w:val="20"/>
          <w:lang w:val="en-US"/>
        </w:rPr>
        <w:t xml:space="preserve">pathogenic </w:t>
      </w:r>
      <w:r w:rsidR="004732D2" w:rsidRPr="004732D2">
        <w:rPr>
          <w:i/>
          <w:iCs/>
          <w:sz w:val="20"/>
          <w:szCs w:val="20"/>
          <w:lang w:val="en-US"/>
        </w:rPr>
        <w:t>E. coli</w:t>
      </w:r>
      <w:r w:rsidR="004732D2" w:rsidRPr="004732D2">
        <w:rPr>
          <w:sz w:val="20"/>
          <w:szCs w:val="20"/>
          <w:lang w:val="en-US"/>
        </w:rPr>
        <w:t xml:space="preserve"> </w:t>
      </w:r>
      <w:r w:rsidR="00112DAB">
        <w:rPr>
          <w:sz w:val="20"/>
          <w:szCs w:val="20"/>
          <w:lang w:val="en-US"/>
        </w:rPr>
        <w:t xml:space="preserve">(i.e. STEC) </w:t>
      </w:r>
      <w:r w:rsidR="004732D2" w:rsidRPr="004732D2">
        <w:rPr>
          <w:sz w:val="20"/>
          <w:szCs w:val="20"/>
          <w:lang w:val="en-US"/>
        </w:rPr>
        <w:t>in apple juice</w:t>
      </w:r>
      <w:r w:rsidR="007F16A4">
        <w:rPr>
          <w:sz w:val="20"/>
          <w:szCs w:val="20"/>
          <w:lang w:val="en-US"/>
        </w:rPr>
        <w:t xml:space="preserve"> </w:t>
      </w:r>
      <w:r w:rsidR="00766CF3">
        <w:rPr>
          <w:sz w:val="20"/>
          <w:szCs w:val="20"/>
          <w:lang w:val="en-US"/>
        </w:rPr>
        <w:t xml:space="preserve">as </w:t>
      </w:r>
      <w:r w:rsidR="00D861E3">
        <w:rPr>
          <w:sz w:val="20"/>
          <w:szCs w:val="20"/>
          <w:lang w:val="en-US"/>
        </w:rPr>
        <w:t xml:space="preserve">a </w:t>
      </w:r>
      <w:r w:rsidR="00766CF3">
        <w:rPr>
          <w:sz w:val="20"/>
          <w:szCs w:val="20"/>
          <w:lang w:val="en-US"/>
        </w:rPr>
        <w:t>model case</w:t>
      </w:r>
      <w:r w:rsidR="006E1FDC" w:rsidRPr="006E1FDC">
        <w:rPr>
          <w:sz w:val="20"/>
          <w:szCs w:val="20"/>
          <w:lang w:val="en-US"/>
        </w:rPr>
        <w:t xml:space="preserve"> </w:t>
      </w:r>
      <w:r w:rsidR="00406812">
        <w:rPr>
          <w:sz w:val="20"/>
          <w:szCs w:val="20"/>
          <w:lang w:val="en-US"/>
        </w:rPr>
        <w:t>and compare this to</w:t>
      </w:r>
      <w:r w:rsidR="006E1FDC">
        <w:rPr>
          <w:sz w:val="20"/>
          <w:szCs w:val="20"/>
          <w:lang w:val="en-US"/>
        </w:rPr>
        <w:t xml:space="preserve"> conventional thermal processing</w:t>
      </w:r>
      <w:r w:rsidR="004732D2" w:rsidRPr="004732D2">
        <w:rPr>
          <w:sz w:val="20"/>
          <w:szCs w:val="20"/>
          <w:lang w:val="en-US"/>
        </w:rPr>
        <w:t>,</w:t>
      </w:r>
      <w:r w:rsidR="00512AD8">
        <w:rPr>
          <w:sz w:val="20"/>
          <w:szCs w:val="20"/>
          <w:lang w:val="en-US"/>
        </w:rPr>
        <w:t xml:space="preserve"> and assess </w:t>
      </w:r>
      <w:r w:rsidR="00766CF3">
        <w:rPr>
          <w:sz w:val="20"/>
          <w:szCs w:val="20"/>
          <w:lang w:val="en-US"/>
        </w:rPr>
        <w:t>the reduction of disease burden</w:t>
      </w:r>
      <w:r w:rsidR="007A55E3">
        <w:rPr>
          <w:sz w:val="20"/>
          <w:szCs w:val="20"/>
          <w:lang w:val="en-US"/>
        </w:rPr>
        <w:t xml:space="preserve"> </w:t>
      </w:r>
      <w:r w:rsidR="00AF3A04">
        <w:rPr>
          <w:sz w:val="20"/>
          <w:szCs w:val="20"/>
          <w:lang w:val="en-US"/>
        </w:rPr>
        <w:t xml:space="preserve">and energy usage </w:t>
      </w:r>
      <w:r w:rsidR="00C23379">
        <w:rPr>
          <w:sz w:val="20"/>
          <w:szCs w:val="20"/>
          <w:lang w:val="en-US"/>
        </w:rPr>
        <w:t>upon applying</w:t>
      </w:r>
      <w:r w:rsidR="007A55E3">
        <w:rPr>
          <w:sz w:val="20"/>
          <w:szCs w:val="20"/>
          <w:lang w:val="en-US"/>
        </w:rPr>
        <w:t xml:space="preserve"> the different food processing technologies</w:t>
      </w:r>
      <w:r w:rsidR="00766CF3">
        <w:rPr>
          <w:sz w:val="20"/>
          <w:szCs w:val="20"/>
          <w:lang w:val="en-US"/>
        </w:rPr>
        <w:t>.</w:t>
      </w:r>
    </w:p>
    <w:bookmarkEnd w:id="0"/>
    <w:p w14:paraId="1758BF26" w14:textId="77777777" w:rsidR="004732D2" w:rsidRPr="004732D2" w:rsidRDefault="004732D2" w:rsidP="00575546">
      <w:pPr>
        <w:jc w:val="both"/>
        <w:rPr>
          <w:b/>
          <w:bCs/>
          <w:sz w:val="20"/>
          <w:szCs w:val="20"/>
          <w:lang w:val="en-US"/>
        </w:rPr>
      </w:pPr>
      <w:r w:rsidRPr="004732D2">
        <w:rPr>
          <w:b/>
          <w:bCs/>
          <w:sz w:val="20"/>
          <w:szCs w:val="20"/>
          <w:lang w:val="en-US"/>
        </w:rPr>
        <w:t>2. Materials and methods</w:t>
      </w:r>
    </w:p>
    <w:p w14:paraId="42A9C55C" w14:textId="77777777" w:rsidR="004732D2" w:rsidRPr="004732D2" w:rsidRDefault="004732D2" w:rsidP="00575546">
      <w:pPr>
        <w:jc w:val="both"/>
        <w:rPr>
          <w:b/>
          <w:bCs/>
          <w:sz w:val="20"/>
          <w:szCs w:val="20"/>
          <w:lang w:val="en-US"/>
        </w:rPr>
      </w:pPr>
      <w:r w:rsidRPr="004732D2">
        <w:rPr>
          <w:b/>
          <w:bCs/>
          <w:sz w:val="20"/>
          <w:szCs w:val="20"/>
          <w:lang w:val="en-US"/>
        </w:rPr>
        <w:t>2.1 Initial contamination</w:t>
      </w:r>
    </w:p>
    <w:p w14:paraId="060528E0" w14:textId="77777777" w:rsidR="004732D2" w:rsidRPr="004732D2" w:rsidRDefault="004732D2" w:rsidP="00575546">
      <w:pPr>
        <w:jc w:val="both"/>
        <w:rPr>
          <w:sz w:val="20"/>
          <w:szCs w:val="20"/>
          <w:lang w:val="en-US"/>
        </w:rPr>
      </w:pPr>
      <w:r w:rsidRPr="004732D2">
        <w:rPr>
          <w:sz w:val="20"/>
          <w:szCs w:val="20"/>
          <w:lang w:val="en-US"/>
        </w:rPr>
        <w:t xml:space="preserve">According to EFSA (2011), out of 5910 vegetable and fruit samples tested during the years 2004-2009, only 11 samples were (0.19%) found positive for STEC, with none of these cases found in fruit (n=2774) or juice (n=317) samples. Based on this data, the initial contamination will be defined as the concentration of </w:t>
      </w:r>
      <w:r w:rsidRPr="004732D2">
        <w:rPr>
          <w:i/>
          <w:iCs/>
          <w:sz w:val="20"/>
          <w:szCs w:val="20"/>
          <w:lang w:val="en-US"/>
        </w:rPr>
        <w:t>E. coli</w:t>
      </w:r>
      <w:r w:rsidRPr="004732D2">
        <w:rPr>
          <w:sz w:val="20"/>
          <w:szCs w:val="20"/>
          <w:lang w:val="en-US"/>
        </w:rPr>
        <w:t xml:space="preserve"> in the fruit juice tank after the juice is extracted from the fruit. According to </w:t>
      </w:r>
      <w:proofErr w:type="spellStart"/>
      <w:r w:rsidRPr="004732D2">
        <w:rPr>
          <w:sz w:val="20"/>
          <w:szCs w:val="20"/>
          <w:lang w:val="en-US"/>
        </w:rPr>
        <w:t>Gayán</w:t>
      </w:r>
      <w:proofErr w:type="spellEnd"/>
      <w:r w:rsidRPr="004732D2">
        <w:rPr>
          <w:sz w:val="20"/>
          <w:szCs w:val="20"/>
          <w:lang w:val="en-US"/>
        </w:rPr>
        <w:t xml:space="preserve"> et al. (2014), the performance objective (PO) for enteric pathogens suggests that the contamination of </w:t>
      </w:r>
      <w:r w:rsidRPr="00362807">
        <w:rPr>
          <w:i/>
          <w:iCs/>
          <w:sz w:val="20"/>
          <w:szCs w:val="20"/>
          <w:lang w:val="en-US"/>
        </w:rPr>
        <w:t>E. coli</w:t>
      </w:r>
      <w:r w:rsidRPr="004732D2">
        <w:rPr>
          <w:sz w:val="20"/>
          <w:szCs w:val="20"/>
          <w:lang w:val="en-US"/>
        </w:rPr>
        <w:t xml:space="preserve"> O157:H7 in freshly pressed apple juice before pasteurization must not exceed 10 CFU/ml. Therefore, we assume that the initial concentration is 10 CFU/ml.</w:t>
      </w:r>
    </w:p>
    <w:p w14:paraId="0EFDD3AC" w14:textId="77777777" w:rsidR="004732D2" w:rsidRPr="004732D2" w:rsidRDefault="004732D2" w:rsidP="00575546">
      <w:pPr>
        <w:jc w:val="both"/>
        <w:rPr>
          <w:b/>
          <w:bCs/>
          <w:sz w:val="20"/>
          <w:szCs w:val="20"/>
          <w:lang w:val="en-US"/>
        </w:rPr>
      </w:pPr>
      <w:bookmarkStart w:id="1" w:name="initial-contamination"/>
      <w:bookmarkStart w:id="2" w:name="Xf04e26cf1d38b35c57681be9facb74b029e8adf"/>
      <w:bookmarkEnd w:id="1"/>
      <w:r w:rsidRPr="004732D2">
        <w:rPr>
          <w:b/>
          <w:bCs/>
          <w:sz w:val="20"/>
          <w:szCs w:val="20"/>
          <w:lang w:val="en-US"/>
        </w:rPr>
        <w:t>2.2 Inactivation using different processing technologies</w:t>
      </w:r>
    </w:p>
    <w:p w14:paraId="3AAE2D19" w14:textId="532638D1" w:rsidR="004732D2" w:rsidRPr="004732D2" w:rsidRDefault="004732D2" w:rsidP="00575546">
      <w:pPr>
        <w:jc w:val="both"/>
        <w:rPr>
          <w:sz w:val="20"/>
          <w:szCs w:val="20"/>
          <w:lang w:val="en-US"/>
        </w:rPr>
      </w:pPr>
      <w:r w:rsidRPr="004732D2">
        <w:rPr>
          <w:sz w:val="20"/>
          <w:szCs w:val="20"/>
          <w:lang w:val="en-US"/>
        </w:rPr>
        <w:t>The meta-analysis (meta-regression) approach was used for all cases to quantitatively integrate the findings from numerous individual studies (</w:t>
      </w:r>
      <w:r w:rsidR="00BC6AEA">
        <w:rPr>
          <w:sz w:val="20"/>
          <w:szCs w:val="20"/>
          <w:lang w:val="en-US"/>
        </w:rPr>
        <w:t>D</w:t>
      </w:r>
      <w:r w:rsidRPr="004732D2">
        <w:rPr>
          <w:sz w:val="20"/>
          <w:szCs w:val="20"/>
          <w:lang w:val="en-US"/>
        </w:rPr>
        <w:t>en Besten &amp; Zwietering, 2012) for estimating the inactivation achieved by the different food processing technologies i.e., thermal pasteurization (TP), high-pressure processing (HPP), pulsed electric fields (PEF), ultrasound (US), and non-thermal plasma (NTP). For NTP, the plasma device was assumed to be a dielectric-barrier discharge (DBD) device, because, as explained in the deliverable 10.2,</w:t>
      </w:r>
      <w:r w:rsidR="00365F83">
        <w:rPr>
          <w:sz w:val="20"/>
          <w:szCs w:val="20"/>
          <w:lang w:val="en-US"/>
        </w:rPr>
        <w:t xml:space="preserve"> it</w:t>
      </w:r>
      <w:r w:rsidRPr="004732D2">
        <w:rPr>
          <w:sz w:val="20"/>
          <w:szCs w:val="20"/>
          <w:lang w:val="en-US"/>
        </w:rPr>
        <w:t xml:space="preserve"> is the most commonly used device in the existing literature. Consequently, the inactivation models used to assess the microbial population after processing were based on a log-linear primary inactivation model (</w:t>
      </w:r>
      <w:hyperlink r:id="rId10" w:anchor="eq-primary" w:history="1">
        <w:r w:rsidRPr="004732D2">
          <w:rPr>
            <w:rStyle w:val="Hyperlink"/>
            <w:sz w:val="20"/>
            <w:szCs w:val="20"/>
            <w:lang w:val="en-US"/>
          </w:rPr>
          <w:t>Equation 1</w:t>
        </w:r>
      </w:hyperlink>
      <w:r w:rsidRPr="004732D2">
        <w:rPr>
          <w:sz w:val="20"/>
          <w:szCs w:val="20"/>
          <w:lang w:val="en-US"/>
        </w:rPr>
        <w:t>).</w:t>
      </w:r>
    </w:p>
    <w:p w14:paraId="4704FA17" w14:textId="4AFF5335" w:rsidR="004732D2" w:rsidRPr="004732D2" w:rsidRDefault="00000000" w:rsidP="00575546">
      <w:pPr>
        <w:jc w:val="both"/>
        <w:rPr>
          <w:sz w:val="20"/>
          <w:szCs w:val="20"/>
          <w:lang w:val="en-US"/>
        </w:rPr>
      </w:pPr>
      <m:oMathPara>
        <m:oMathParaPr>
          <m:jc m:val="center"/>
        </m:oMathParaPr>
        <m:oMath>
          <m:sSub>
            <m:sSubPr>
              <m:ctrlPr>
                <w:rPr>
                  <w:rFonts w:ascii="Cambria Math" w:hAnsi="Cambria Math"/>
                  <w:sz w:val="20"/>
                  <w:szCs w:val="20"/>
                  <w:lang w:val="en-US"/>
                </w:rPr>
              </m:ctrlPr>
            </m:sSubPr>
            <m:e>
              <m:r>
                <m:rPr>
                  <m:sty m:val="p"/>
                </m:rPr>
                <w:rPr>
                  <w:rFonts w:ascii="Cambria Math" w:hAnsi="Cambria Math"/>
                  <w:sz w:val="20"/>
                  <w:szCs w:val="20"/>
                  <w:lang w:val="en-US"/>
                </w:rPr>
                <m:t>log</m:t>
              </m:r>
            </m:e>
            <m:sub>
              <m:r>
                <w:rPr>
                  <w:rFonts w:ascii="Cambria Math" w:hAnsi="Cambria Math"/>
                  <w:sz w:val="20"/>
                  <w:szCs w:val="20"/>
                  <w:lang w:val="en-US"/>
                </w:rPr>
                <m:t>10</m:t>
              </m:r>
            </m:sub>
          </m:sSub>
          <m:r>
            <w:rPr>
              <w:rFonts w:ascii="Cambria Math" w:hAnsi="Cambria Math"/>
              <w:sz w:val="20"/>
              <w:szCs w:val="20"/>
              <w:lang w:val="en-US"/>
            </w:rPr>
            <m:t>N</m:t>
          </m:r>
          <m:r>
            <m:rPr>
              <m:sty m:val="p"/>
            </m:rPr>
            <w:rPr>
              <w:rFonts w:ascii="Cambria Math" w:hAnsi="Cambria Math"/>
              <w:sz w:val="20"/>
              <w:szCs w:val="20"/>
              <w:lang w:val="en-US"/>
            </w:rPr>
            <m:t>=</m:t>
          </m:r>
          <m:sSub>
            <m:sSubPr>
              <m:ctrlPr>
                <w:rPr>
                  <w:rFonts w:ascii="Cambria Math" w:hAnsi="Cambria Math"/>
                  <w:sz w:val="20"/>
                  <w:szCs w:val="20"/>
                  <w:lang w:val="en-US"/>
                </w:rPr>
              </m:ctrlPr>
            </m:sSubPr>
            <m:e>
              <m:r>
                <m:rPr>
                  <m:sty m:val="p"/>
                </m:rPr>
                <w:rPr>
                  <w:rFonts w:ascii="Cambria Math" w:hAnsi="Cambria Math"/>
                  <w:sz w:val="20"/>
                  <w:szCs w:val="20"/>
                  <w:lang w:val="en-US"/>
                </w:rPr>
                <m:t>log</m:t>
              </m:r>
            </m:e>
            <m:sub>
              <m:r>
                <w:rPr>
                  <w:rFonts w:ascii="Cambria Math" w:hAnsi="Cambria Math"/>
                  <w:sz w:val="20"/>
                  <w:szCs w:val="20"/>
                  <w:lang w:val="en-US"/>
                </w:rPr>
                <m:t>10</m:t>
              </m:r>
            </m:sub>
          </m:sSub>
          <m:sSub>
            <m:sSubPr>
              <m:ctrlPr>
                <w:rPr>
                  <w:rFonts w:ascii="Cambria Math" w:hAnsi="Cambria Math"/>
                  <w:sz w:val="20"/>
                  <w:szCs w:val="20"/>
                  <w:lang w:val="en-US"/>
                </w:rPr>
              </m:ctrlPr>
            </m:sSubPr>
            <m:e>
              <m:r>
                <w:rPr>
                  <w:rFonts w:ascii="Cambria Math" w:hAnsi="Cambria Math"/>
                  <w:sz w:val="20"/>
                  <w:szCs w:val="20"/>
                  <w:lang w:val="en-US"/>
                </w:rPr>
                <m:t>N</m:t>
              </m:r>
            </m:e>
            <m:sub>
              <m:r>
                <w:rPr>
                  <w:rFonts w:ascii="Cambria Math" w:hAnsi="Cambria Math"/>
                  <w:sz w:val="20"/>
                  <w:szCs w:val="20"/>
                  <w:lang w:val="en-US"/>
                </w:rPr>
                <m:t>0</m:t>
              </m:r>
            </m:sub>
          </m:sSub>
          <m:r>
            <m:rPr>
              <m:sty m:val="p"/>
            </m:rPr>
            <w:rPr>
              <w:rFonts w:ascii="Cambria Math" w:hAnsi="Cambria Math"/>
              <w:sz w:val="20"/>
              <w:szCs w:val="20"/>
              <w:lang w:val="en-US"/>
            </w:rPr>
            <m:t>-</m:t>
          </m:r>
          <m:f>
            <m:fPr>
              <m:ctrlPr>
                <w:rPr>
                  <w:rFonts w:ascii="Cambria Math" w:hAnsi="Cambria Math"/>
                  <w:sz w:val="20"/>
                  <w:szCs w:val="20"/>
                  <w:lang w:val="en-US"/>
                </w:rPr>
              </m:ctrlPr>
            </m:fPr>
            <m:num>
              <m:r>
                <w:rPr>
                  <w:rFonts w:ascii="Cambria Math" w:hAnsi="Cambria Math"/>
                  <w:sz w:val="20"/>
                  <w:szCs w:val="20"/>
                  <w:lang w:val="en-US"/>
                </w:rPr>
                <m:t> t</m:t>
              </m:r>
            </m:num>
            <m:den>
              <m:r>
                <w:rPr>
                  <w:rFonts w:ascii="Cambria Math" w:hAnsi="Cambria Math"/>
                  <w:sz w:val="20"/>
                  <w:szCs w:val="20"/>
                  <w:lang w:val="en-US"/>
                </w:rPr>
                <m:t> D</m:t>
              </m:r>
            </m:den>
          </m:f>
          <m:r>
            <w:rPr>
              <w:rFonts w:ascii="Cambria Math" w:hAnsi="Cambria Math"/>
              <w:sz w:val="20"/>
              <w:szCs w:val="20"/>
              <w:lang w:val="en-US"/>
            </w:rPr>
            <m:t>  </m:t>
          </m:r>
          <m:d>
            <m:dPr>
              <m:ctrlPr>
                <w:rPr>
                  <w:rFonts w:ascii="Cambria Math" w:hAnsi="Cambria Math"/>
                  <w:sz w:val="20"/>
                  <w:szCs w:val="20"/>
                  <w:lang w:val="en-US"/>
                </w:rPr>
              </m:ctrlPr>
            </m:dPr>
            <m:e>
              <m:r>
                <w:rPr>
                  <w:rFonts w:ascii="Cambria Math" w:hAnsi="Cambria Math"/>
                  <w:sz w:val="20"/>
                  <w:szCs w:val="20"/>
                  <w:lang w:val="en-US"/>
                </w:rPr>
                <m:t>1</m:t>
              </m:r>
            </m:e>
          </m:d>
        </m:oMath>
      </m:oMathPara>
      <w:bookmarkStart w:id="3" w:name="eq-primary"/>
      <w:bookmarkEnd w:id="3"/>
    </w:p>
    <w:p w14:paraId="24FB0E50" w14:textId="350FF736" w:rsidR="004732D2" w:rsidRPr="004732D2" w:rsidRDefault="004732D2" w:rsidP="00575546">
      <w:pPr>
        <w:jc w:val="both"/>
        <w:rPr>
          <w:sz w:val="20"/>
          <w:szCs w:val="20"/>
          <w:lang w:val="en-US"/>
        </w:rPr>
      </w:pPr>
      <w:r w:rsidRPr="004732D2">
        <w:rPr>
          <w:sz w:val="20"/>
          <w:szCs w:val="20"/>
          <w:lang w:val="en-US"/>
        </w:rPr>
        <w:t xml:space="preserve">where </w:t>
      </w:r>
      <m:oMath>
        <m:r>
          <w:rPr>
            <w:rFonts w:ascii="Cambria Math" w:hAnsi="Cambria Math"/>
            <w:sz w:val="20"/>
            <w:szCs w:val="20"/>
            <w:lang w:val="en-US"/>
          </w:rPr>
          <m:t>lo</m:t>
        </m:r>
        <m:sSub>
          <m:sSubPr>
            <m:ctrlPr>
              <w:rPr>
                <w:rFonts w:ascii="Cambria Math" w:hAnsi="Cambria Math"/>
                <w:sz w:val="20"/>
                <w:szCs w:val="20"/>
                <w:lang w:val="en-US"/>
              </w:rPr>
            </m:ctrlPr>
          </m:sSubPr>
          <m:e>
            <m:r>
              <w:rPr>
                <w:rFonts w:ascii="Cambria Math" w:hAnsi="Cambria Math"/>
                <w:sz w:val="20"/>
                <w:szCs w:val="20"/>
                <w:lang w:val="en-US"/>
              </w:rPr>
              <m:t>g</m:t>
            </m:r>
          </m:e>
          <m:sub>
            <m:r>
              <w:rPr>
                <w:rFonts w:ascii="Cambria Math" w:hAnsi="Cambria Math"/>
                <w:sz w:val="20"/>
                <w:szCs w:val="20"/>
                <w:lang w:val="en-US"/>
              </w:rPr>
              <m:t>10</m:t>
            </m:r>
          </m:sub>
        </m:sSub>
        <m:sSub>
          <m:sSubPr>
            <m:ctrlPr>
              <w:rPr>
                <w:rFonts w:ascii="Cambria Math" w:hAnsi="Cambria Math"/>
                <w:sz w:val="20"/>
                <w:szCs w:val="20"/>
                <w:lang w:val="en-US"/>
              </w:rPr>
            </m:ctrlPr>
          </m:sSubPr>
          <m:e>
            <m:r>
              <w:rPr>
                <w:rFonts w:ascii="Cambria Math" w:hAnsi="Cambria Math"/>
                <w:sz w:val="20"/>
                <w:szCs w:val="20"/>
                <w:lang w:val="en-US"/>
              </w:rPr>
              <m:t>N</m:t>
            </m:r>
          </m:e>
          <m:sub>
            <m:r>
              <w:rPr>
                <w:rFonts w:ascii="Cambria Math" w:hAnsi="Cambria Math"/>
                <w:sz w:val="20"/>
                <w:szCs w:val="20"/>
                <w:lang w:val="en-US"/>
              </w:rPr>
              <m:t>0</m:t>
            </m:r>
          </m:sub>
        </m:sSub>
      </m:oMath>
      <w:r w:rsidRPr="004732D2">
        <w:rPr>
          <w:sz w:val="20"/>
          <w:szCs w:val="20"/>
          <w:lang w:val="en-US"/>
        </w:rPr>
        <w:t xml:space="preserve"> is the initial microbial log</w:t>
      </w:r>
      <w:r w:rsidRPr="004732D2">
        <w:rPr>
          <w:sz w:val="20"/>
          <w:szCs w:val="20"/>
          <w:vertAlign w:val="subscript"/>
          <w:lang w:val="en-US"/>
        </w:rPr>
        <w:t>10</w:t>
      </w:r>
      <w:r w:rsidRPr="004732D2">
        <w:rPr>
          <w:sz w:val="20"/>
          <w:szCs w:val="20"/>
          <w:lang w:val="en-US"/>
        </w:rPr>
        <w:t xml:space="preserve"> counts, </w:t>
      </w:r>
      <m:oMath>
        <m:r>
          <w:rPr>
            <w:rFonts w:ascii="Cambria Math" w:hAnsi="Cambria Math"/>
            <w:sz w:val="20"/>
            <w:szCs w:val="20"/>
            <w:lang w:val="en-US"/>
          </w:rPr>
          <m:t>lo</m:t>
        </m:r>
        <m:sSub>
          <m:sSubPr>
            <m:ctrlPr>
              <w:rPr>
                <w:rFonts w:ascii="Cambria Math" w:hAnsi="Cambria Math"/>
                <w:sz w:val="20"/>
                <w:szCs w:val="20"/>
                <w:lang w:val="en-US"/>
              </w:rPr>
            </m:ctrlPr>
          </m:sSubPr>
          <m:e>
            <m:r>
              <w:rPr>
                <w:rFonts w:ascii="Cambria Math" w:hAnsi="Cambria Math"/>
                <w:sz w:val="20"/>
                <w:szCs w:val="20"/>
                <w:lang w:val="en-US"/>
              </w:rPr>
              <m:t>g</m:t>
            </m:r>
          </m:e>
          <m:sub>
            <m:r>
              <w:rPr>
                <w:rFonts w:ascii="Cambria Math" w:hAnsi="Cambria Math"/>
                <w:sz w:val="20"/>
                <w:szCs w:val="20"/>
                <w:lang w:val="en-US"/>
              </w:rPr>
              <m:t>10</m:t>
            </m:r>
          </m:sub>
        </m:sSub>
        <m:r>
          <w:rPr>
            <w:rFonts w:ascii="Cambria Math" w:hAnsi="Cambria Math"/>
            <w:sz w:val="20"/>
            <w:szCs w:val="20"/>
            <w:lang w:val="en-US"/>
          </w:rPr>
          <m:t>N</m:t>
        </m:r>
      </m:oMath>
      <w:r w:rsidRPr="004732D2">
        <w:rPr>
          <w:sz w:val="20"/>
          <w:szCs w:val="20"/>
          <w:lang w:val="en-US"/>
        </w:rPr>
        <w:t xml:space="preserve"> is the microbial log</w:t>
      </w:r>
      <w:r w:rsidRPr="004732D2">
        <w:rPr>
          <w:sz w:val="20"/>
          <w:szCs w:val="20"/>
          <w:vertAlign w:val="subscript"/>
          <w:lang w:val="en-US"/>
        </w:rPr>
        <w:t>10</w:t>
      </w:r>
      <w:r w:rsidRPr="004732D2">
        <w:rPr>
          <w:sz w:val="20"/>
          <w:szCs w:val="20"/>
          <w:lang w:val="en-US"/>
        </w:rPr>
        <w:t xml:space="preserve"> counts after treatment, </w:t>
      </w:r>
      <m:oMath>
        <m:r>
          <w:rPr>
            <w:rFonts w:ascii="Cambria Math" w:hAnsi="Cambria Math"/>
            <w:sz w:val="20"/>
            <w:szCs w:val="20"/>
            <w:lang w:val="en-US"/>
          </w:rPr>
          <m:t>t</m:t>
        </m:r>
      </m:oMath>
      <w:r w:rsidRPr="004732D2">
        <w:rPr>
          <w:sz w:val="20"/>
          <w:szCs w:val="20"/>
          <w:lang w:val="en-US"/>
        </w:rPr>
        <w:t xml:space="preserve"> is the treatment time (s), and </w:t>
      </w:r>
      <m:oMath>
        <m:r>
          <w:rPr>
            <w:rFonts w:ascii="Cambria Math" w:hAnsi="Cambria Math"/>
            <w:sz w:val="20"/>
            <w:szCs w:val="20"/>
            <w:lang w:val="en-US"/>
          </w:rPr>
          <m:t>D</m:t>
        </m:r>
      </m:oMath>
      <w:r w:rsidRPr="004732D2">
        <w:rPr>
          <w:sz w:val="20"/>
          <w:szCs w:val="20"/>
          <w:lang w:val="en-US"/>
        </w:rPr>
        <w:t xml:space="preserve"> the time (s) needed for 1 log</w:t>
      </w:r>
      <w:r w:rsidRPr="004732D2">
        <w:rPr>
          <w:sz w:val="20"/>
          <w:szCs w:val="20"/>
          <w:vertAlign w:val="subscript"/>
          <w:lang w:val="en-US"/>
        </w:rPr>
        <w:t>10</w:t>
      </w:r>
      <w:r w:rsidRPr="004732D2">
        <w:rPr>
          <w:sz w:val="20"/>
          <w:szCs w:val="20"/>
          <w:lang w:val="en-US"/>
        </w:rPr>
        <w:t xml:space="preserve"> reduction of the microbial population.</w:t>
      </w:r>
    </w:p>
    <w:p w14:paraId="4E60D141" w14:textId="77777777" w:rsidR="004732D2" w:rsidRPr="004732D2" w:rsidRDefault="004732D2" w:rsidP="00575546">
      <w:pPr>
        <w:jc w:val="both"/>
        <w:rPr>
          <w:sz w:val="20"/>
          <w:szCs w:val="20"/>
          <w:lang w:val="en-US"/>
        </w:rPr>
      </w:pPr>
      <w:r w:rsidRPr="004732D2">
        <w:rPr>
          <w:sz w:val="20"/>
          <w:szCs w:val="20"/>
          <w:lang w:val="en-US"/>
        </w:rPr>
        <w:t xml:space="preserve">In order to more accurately describe the processing conditions and assess the effect of a numerical parameter of interest on the </w:t>
      </w:r>
      <w:r w:rsidRPr="004732D2">
        <w:rPr>
          <w:i/>
          <w:iCs/>
          <w:sz w:val="20"/>
          <w:szCs w:val="20"/>
          <w:lang w:val="en-US"/>
        </w:rPr>
        <w:t>D</w:t>
      </w:r>
      <w:r w:rsidRPr="004732D2">
        <w:rPr>
          <w:sz w:val="20"/>
          <w:szCs w:val="20"/>
          <w:lang w:val="en-US"/>
        </w:rPr>
        <w:t xml:space="preserve">-value, a log-linear secondary model was also used. For example for TP, the effect of the temperature on the inactivation was described from </w:t>
      </w:r>
      <w:hyperlink r:id="rId11" w:anchor="eq-secondary" w:history="1">
        <w:r w:rsidRPr="004732D2">
          <w:rPr>
            <w:rStyle w:val="Hyperlink"/>
            <w:sz w:val="20"/>
            <w:szCs w:val="20"/>
            <w:lang w:val="en-US"/>
          </w:rPr>
          <w:t>Equation 2</w:t>
        </w:r>
      </w:hyperlink>
      <w:r w:rsidRPr="004732D2">
        <w:rPr>
          <w:sz w:val="20"/>
          <w:szCs w:val="20"/>
          <w:lang w:val="en-US"/>
        </w:rPr>
        <w:t>.</w:t>
      </w:r>
    </w:p>
    <w:p w14:paraId="73487B4F" w14:textId="72E8D8CB" w:rsidR="004732D2" w:rsidRPr="004732D2" w:rsidRDefault="00000000" w:rsidP="00575546">
      <w:pPr>
        <w:jc w:val="both"/>
        <w:rPr>
          <w:sz w:val="20"/>
          <w:szCs w:val="20"/>
          <w:lang w:val="en-US"/>
        </w:rPr>
      </w:pPr>
      <m:oMathPara>
        <m:oMathParaPr>
          <m:jc m:val="center"/>
        </m:oMathParaPr>
        <m:oMath>
          <m:sSub>
            <m:sSubPr>
              <m:ctrlPr>
                <w:rPr>
                  <w:rFonts w:ascii="Cambria Math" w:hAnsi="Cambria Math"/>
                  <w:sz w:val="20"/>
                  <w:szCs w:val="20"/>
                  <w:lang w:val="en-US"/>
                </w:rPr>
              </m:ctrlPr>
            </m:sSubPr>
            <m:e>
              <m:r>
                <m:rPr>
                  <m:sty m:val="p"/>
                </m:rPr>
                <w:rPr>
                  <w:rFonts w:ascii="Cambria Math" w:hAnsi="Cambria Math"/>
                  <w:sz w:val="20"/>
                  <w:szCs w:val="20"/>
                  <w:lang w:val="en-US"/>
                </w:rPr>
                <m:t>log</m:t>
              </m:r>
            </m:e>
            <m:sub>
              <m:r>
                <w:rPr>
                  <w:rFonts w:ascii="Cambria Math" w:hAnsi="Cambria Math"/>
                  <w:sz w:val="20"/>
                  <w:szCs w:val="20"/>
                  <w:lang w:val="en-US"/>
                </w:rPr>
                <m:t>10</m:t>
              </m:r>
            </m:sub>
          </m:sSub>
          <m:r>
            <w:rPr>
              <w:rFonts w:ascii="Cambria Math" w:hAnsi="Cambria Math"/>
              <w:sz w:val="20"/>
              <w:szCs w:val="20"/>
              <w:lang w:val="en-US"/>
            </w:rPr>
            <m:t>D</m:t>
          </m:r>
          <m:r>
            <m:rPr>
              <m:sty m:val="p"/>
            </m:rPr>
            <w:rPr>
              <w:rFonts w:ascii="Cambria Math" w:hAnsi="Cambria Math"/>
              <w:sz w:val="20"/>
              <w:szCs w:val="20"/>
              <w:lang w:val="en-US"/>
            </w:rPr>
            <m:t>=</m:t>
          </m:r>
          <m:sSub>
            <m:sSubPr>
              <m:ctrlPr>
                <w:rPr>
                  <w:rFonts w:ascii="Cambria Math" w:hAnsi="Cambria Math"/>
                  <w:sz w:val="20"/>
                  <w:szCs w:val="20"/>
                  <w:lang w:val="en-US"/>
                </w:rPr>
              </m:ctrlPr>
            </m:sSubPr>
            <m:e>
              <m:r>
                <m:rPr>
                  <m:sty m:val="p"/>
                </m:rPr>
                <w:rPr>
                  <w:rFonts w:ascii="Cambria Math" w:hAnsi="Cambria Math"/>
                  <w:sz w:val="20"/>
                  <w:szCs w:val="20"/>
                  <w:lang w:val="en-US"/>
                </w:rPr>
                <m:t>log</m:t>
              </m:r>
            </m:e>
            <m:sub>
              <m:r>
                <w:rPr>
                  <w:rFonts w:ascii="Cambria Math" w:hAnsi="Cambria Math"/>
                  <w:sz w:val="20"/>
                  <w:szCs w:val="20"/>
                  <w:lang w:val="en-US"/>
                </w:rPr>
                <m:t>10</m:t>
              </m:r>
            </m:sub>
          </m:sSub>
          <m:sSub>
            <m:sSubPr>
              <m:ctrlPr>
                <w:rPr>
                  <w:rFonts w:ascii="Cambria Math" w:hAnsi="Cambria Math"/>
                  <w:i/>
                  <w:sz w:val="20"/>
                  <w:szCs w:val="20"/>
                  <w:lang w:val="en-US"/>
                </w:rPr>
              </m:ctrlPr>
            </m:sSubPr>
            <m:e>
              <m:r>
                <w:rPr>
                  <w:rFonts w:ascii="Cambria Math" w:hAnsi="Cambria Math"/>
                  <w:sz w:val="20"/>
                  <w:szCs w:val="20"/>
                  <w:lang w:val="en-US"/>
                </w:rPr>
                <m:t>D</m:t>
              </m:r>
            </m:e>
            <m:sub>
              <m:r>
                <w:rPr>
                  <w:rFonts w:ascii="Cambria Math" w:hAnsi="Cambria Math"/>
                  <w:sz w:val="20"/>
                  <w:szCs w:val="20"/>
                  <w:lang w:val="en-US"/>
                </w:rPr>
                <m:t>ref</m:t>
              </m:r>
            </m:sub>
          </m:sSub>
          <m:r>
            <m:rPr>
              <m:sty m:val="p"/>
            </m:rPr>
            <w:rPr>
              <w:rFonts w:ascii="Cambria Math" w:hAnsi="Cambria Math"/>
              <w:sz w:val="20"/>
              <w:szCs w:val="20"/>
              <w:lang w:val="en-US"/>
            </w:rPr>
            <m:t>+</m:t>
          </m:r>
          <m:f>
            <m:fPr>
              <m:ctrlPr>
                <w:rPr>
                  <w:rFonts w:ascii="Cambria Math" w:hAnsi="Cambria Math"/>
                  <w:sz w:val="20"/>
                  <w:szCs w:val="20"/>
                  <w:lang w:val="en-US"/>
                </w:rPr>
              </m:ctrlPr>
            </m:fPr>
            <m:num>
              <m:d>
                <m:dPr>
                  <m:ctrlPr>
                    <w:rPr>
                      <w:rFonts w:ascii="Cambria Math" w:hAnsi="Cambria Math"/>
                      <w:sz w:val="20"/>
                      <w:szCs w:val="20"/>
                      <w:lang w:val="en-US"/>
                    </w:rPr>
                  </m:ctrlPr>
                </m:dPr>
                <m:e>
                  <m:sSub>
                    <m:sSubPr>
                      <m:ctrlPr>
                        <w:rPr>
                          <w:rFonts w:ascii="Cambria Math" w:hAnsi="Cambria Math"/>
                          <w:sz w:val="20"/>
                          <w:szCs w:val="20"/>
                          <w:lang w:val="en-US"/>
                        </w:rPr>
                      </m:ctrlPr>
                    </m:sSubPr>
                    <m:e>
                      <m:r>
                        <w:rPr>
                          <w:rFonts w:ascii="Cambria Math" w:hAnsi="Cambria Math"/>
                          <w:sz w:val="20"/>
                          <w:szCs w:val="20"/>
                          <w:lang w:val="en-US"/>
                        </w:rPr>
                        <m:t>T</m:t>
                      </m:r>
                    </m:e>
                    <m:sub>
                      <m:r>
                        <w:rPr>
                          <w:rFonts w:ascii="Cambria Math" w:hAnsi="Cambria Math"/>
                          <w:sz w:val="20"/>
                          <w:szCs w:val="20"/>
                          <w:lang w:val="en-US"/>
                        </w:rPr>
                        <m:t>ref</m:t>
                      </m:r>
                    </m:sub>
                  </m:sSub>
                  <m:r>
                    <m:rPr>
                      <m:sty m:val="p"/>
                    </m:rPr>
                    <w:rPr>
                      <w:rFonts w:ascii="Cambria Math" w:hAnsi="Cambria Math"/>
                      <w:sz w:val="20"/>
                      <w:szCs w:val="20"/>
                      <w:lang w:val="en-US"/>
                    </w:rPr>
                    <m:t>-</m:t>
                  </m:r>
                  <m:r>
                    <w:rPr>
                      <w:rFonts w:ascii="Cambria Math" w:hAnsi="Cambria Math"/>
                      <w:sz w:val="20"/>
                      <w:szCs w:val="20"/>
                      <w:lang w:val="en-US"/>
                    </w:rPr>
                    <m:t>T</m:t>
                  </m:r>
                </m:e>
              </m:d>
            </m:num>
            <m:den>
              <m:r>
                <w:rPr>
                  <w:rFonts w:ascii="Cambria Math" w:hAnsi="Cambria Math"/>
                  <w:sz w:val="20"/>
                  <w:szCs w:val="20"/>
                  <w:lang w:val="en-US"/>
                </w:rPr>
                <m:t>z</m:t>
              </m:r>
            </m:den>
          </m:f>
          <m:r>
            <w:rPr>
              <w:rFonts w:ascii="Cambria Math" w:hAnsi="Cambria Math"/>
              <w:sz w:val="20"/>
              <w:szCs w:val="20"/>
              <w:lang w:val="en-US"/>
            </w:rPr>
            <m:t>  </m:t>
          </m:r>
          <m:d>
            <m:dPr>
              <m:ctrlPr>
                <w:rPr>
                  <w:rFonts w:ascii="Cambria Math" w:hAnsi="Cambria Math"/>
                  <w:sz w:val="20"/>
                  <w:szCs w:val="20"/>
                  <w:lang w:val="en-US"/>
                </w:rPr>
              </m:ctrlPr>
            </m:dPr>
            <m:e>
              <m:r>
                <w:rPr>
                  <w:rFonts w:ascii="Cambria Math" w:hAnsi="Cambria Math"/>
                  <w:sz w:val="20"/>
                  <w:szCs w:val="20"/>
                  <w:lang w:val="en-US"/>
                </w:rPr>
                <m:t>2</m:t>
              </m:r>
            </m:e>
          </m:d>
        </m:oMath>
      </m:oMathPara>
      <w:bookmarkStart w:id="4" w:name="eq-secondary"/>
      <w:bookmarkEnd w:id="4"/>
    </w:p>
    <w:p w14:paraId="3EAF7797" w14:textId="2F7EE2C8" w:rsidR="004732D2" w:rsidRPr="004732D2" w:rsidRDefault="004732D2" w:rsidP="00575546">
      <w:pPr>
        <w:jc w:val="both"/>
        <w:rPr>
          <w:sz w:val="20"/>
          <w:szCs w:val="20"/>
          <w:lang w:val="en-US"/>
        </w:rPr>
      </w:pPr>
      <w:r w:rsidRPr="004732D2">
        <w:rPr>
          <w:sz w:val="20"/>
          <w:szCs w:val="20"/>
          <w:lang w:val="en-US"/>
        </w:rPr>
        <w:t xml:space="preserve">where </w:t>
      </w:r>
      <m:oMath>
        <m:sSub>
          <m:sSubPr>
            <m:ctrlPr>
              <w:rPr>
                <w:rFonts w:ascii="Cambria Math" w:hAnsi="Cambria Math"/>
                <w:sz w:val="20"/>
                <w:szCs w:val="20"/>
                <w:lang w:val="en-US"/>
              </w:rPr>
            </m:ctrlPr>
          </m:sSubPr>
          <m:e>
            <m:r>
              <w:rPr>
                <w:rFonts w:ascii="Cambria Math" w:hAnsi="Cambria Math"/>
                <w:sz w:val="20"/>
                <w:szCs w:val="20"/>
                <w:lang w:val="en-US"/>
              </w:rPr>
              <m:t>D</m:t>
            </m:r>
          </m:e>
          <m:sub>
            <m:r>
              <w:rPr>
                <w:rFonts w:ascii="Cambria Math" w:hAnsi="Cambria Math"/>
                <w:sz w:val="20"/>
                <w:szCs w:val="20"/>
                <w:lang w:val="en-US"/>
              </w:rPr>
              <m:t>ref</m:t>
            </m:r>
          </m:sub>
        </m:sSub>
      </m:oMath>
      <w:r w:rsidRPr="004732D2">
        <w:rPr>
          <w:sz w:val="20"/>
          <w:szCs w:val="20"/>
          <w:lang w:val="en-US"/>
        </w:rPr>
        <w:t xml:space="preserve"> is the </w:t>
      </w:r>
      <m:oMath>
        <m:r>
          <w:rPr>
            <w:rFonts w:ascii="Cambria Math" w:hAnsi="Cambria Math"/>
            <w:sz w:val="20"/>
            <w:szCs w:val="20"/>
            <w:lang w:val="en-US"/>
          </w:rPr>
          <m:t>D</m:t>
        </m:r>
      </m:oMath>
      <w:r w:rsidRPr="004732D2">
        <w:rPr>
          <w:sz w:val="20"/>
          <w:szCs w:val="20"/>
          <w:lang w:val="en-US"/>
        </w:rPr>
        <w:t xml:space="preserve"> at a reference temperature </w:t>
      </w:r>
      <m:oMath>
        <m:sSub>
          <m:sSubPr>
            <m:ctrlPr>
              <w:rPr>
                <w:rFonts w:ascii="Cambria Math" w:hAnsi="Cambria Math"/>
                <w:sz w:val="20"/>
                <w:szCs w:val="20"/>
                <w:lang w:val="en-US"/>
              </w:rPr>
            </m:ctrlPr>
          </m:sSubPr>
          <m:e>
            <m:r>
              <w:rPr>
                <w:rFonts w:ascii="Cambria Math" w:hAnsi="Cambria Math"/>
                <w:sz w:val="20"/>
                <w:szCs w:val="20"/>
                <w:lang w:val="en-US"/>
              </w:rPr>
              <m:t>T</m:t>
            </m:r>
          </m:e>
          <m:sub>
            <m:r>
              <w:rPr>
                <w:rFonts w:ascii="Cambria Math" w:hAnsi="Cambria Math"/>
                <w:sz w:val="20"/>
                <w:szCs w:val="20"/>
                <w:lang w:val="en-US"/>
              </w:rPr>
              <m:t>ref</m:t>
            </m:r>
          </m:sub>
        </m:sSub>
      </m:oMath>
      <w:r w:rsidRPr="004732D2">
        <w:rPr>
          <w:sz w:val="20"/>
          <w:szCs w:val="20"/>
          <w:lang w:val="en-US"/>
        </w:rPr>
        <w:t xml:space="preserve"> (ºC), </w:t>
      </w:r>
      <m:oMath>
        <m:r>
          <w:rPr>
            <w:rFonts w:ascii="Cambria Math" w:hAnsi="Cambria Math"/>
            <w:sz w:val="20"/>
            <w:szCs w:val="20"/>
            <w:lang w:val="en-US"/>
          </w:rPr>
          <m:t>T</m:t>
        </m:r>
      </m:oMath>
      <w:r w:rsidRPr="004732D2">
        <w:rPr>
          <w:sz w:val="20"/>
          <w:szCs w:val="20"/>
          <w:lang w:val="en-US"/>
        </w:rPr>
        <w:t xml:space="preserve"> is the treatment temperature (ºC), and </w:t>
      </w:r>
      <m:oMath>
        <m:r>
          <w:rPr>
            <w:rFonts w:ascii="Cambria Math" w:hAnsi="Cambria Math"/>
            <w:sz w:val="20"/>
            <w:szCs w:val="20"/>
            <w:lang w:val="en-US"/>
          </w:rPr>
          <m:t>z</m:t>
        </m:r>
      </m:oMath>
      <w:r w:rsidRPr="004732D2">
        <w:rPr>
          <w:sz w:val="20"/>
          <w:szCs w:val="20"/>
          <w:lang w:val="en-US"/>
        </w:rPr>
        <w:t xml:space="preserve"> is the temperature change </w:t>
      </w:r>
      <w:r w:rsidR="00293103">
        <w:rPr>
          <w:sz w:val="20"/>
          <w:szCs w:val="20"/>
          <w:lang w:val="en-US"/>
        </w:rPr>
        <w:t>(</w:t>
      </w:r>
      <w:r w:rsidR="00293103" w:rsidRPr="004732D2">
        <w:rPr>
          <w:sz w:val="20"/>
          <w:szCs w:val="20"/>
          <w:lang w:val="en-US"/>
        </w:rPr>
        <w:t>ºC</w:t>
      </w:r>
      <w:r w:rsidR="00293103">
        <w:rPr>
          <w:sz w:val="20"/>
          <w:szCs w:val="20"/>
          <w:lang w:val="en-US"/>
        </w:rPr>
        <w:t xml:space="preserve">) </w:t>
      </w:r>
      <w:r w:rsidRPr="004732D2">
        <w:rPr>
          <w:sz w:val="20"/>
          <w:szCs w:val="20"/>
          <w:lang w:val="en-US"/>
        </w:rPr>
        <w:t>needed for 1 log</w:t>
      </w:r>
      <w:r w:rsidRPr="004732D2">
        <w:rPr>
          <w:sz w:val="20"/>
          <w:szCs w:val="20"/>
          <w:vertAlign w:val="subscript"/>
          <w:lang w:val="en-US"/>
        </w:rPr>
        <w:t>10</w:t>
      </w:r>
      <w:r w:rsidRPr="004732D2">
        <w:rPr>
          <w:sz w:val="20"/>
          <w:szCs w:val="20"/>
          <w:lang w:val="en-US"/>
        </w:rPr>
        <w:t xml:space="preserve"> reduction of the </w:t>
      </w:r>
      <m:oMath>
        <m:r>
          <w:rPr>
            <w:rFonts w:ascii="Cambria Math" w:hAnsi="Cambria Math"/>
            <w:sz w:val="20"/>
            <w:szCs w:val="20"/>
            <w:lang w:val="en-US"/>
          </w:rPr>
          <m:t>D</m:t>
        </m:r>
      </m:oMath>
      <w:r w:rsidRPr="004732D2">
        <w:rPr>
          <w:sz w:val="20"/>
          <w:szCs w:val="20"/>
          <w:lang w:val="en-US"/>
        </w:rPr>
        <w:t>.</w:t>
      </w:r>
    </w:p>
    <w:p w14:paraId="6C8BB94A" w14:textId="417B8A44" w:rsidR="004732D2" w:rsidRPr="004732D2" w:rsidRDefault="004732D2" w:rsidP="00575546">
      <w:pPr>
        <w:jc w:val="both"/>
        <w:rPr>
          <w:sz w:val="20"/>
          <w:szCs w:val="20"/>
          <w:lang w:val="en-US"/>
        </w:rPr>
      </w:pPr>
      <w:r w:rsidRPr="004732D2">
        <w:rPr>
          <w:sz w:val="20"/>
          <w:szCs w:val="20"/>
          <w:lang w:val="en-US"/>
        </w:rPr>
        <w:t xml:space="preserve">The </w:t>
      </w:r>
      <m:oMath>
        <m:sSub>
          <m:sSubPr>
            <m:ctrlPr>
              <w:rPr>
                <w:rFonts w:ascii="Cambria Math" w:hAnsi="Cambria Math"/>
                <w:sz w:val="20"/>
                <w:szCs w:val="20"/>
                <w:lang w:val="en-US"/>
              </w:rPr>
            </m:ctrlPr>
          </m:sSubPr>
          <m:e>
            <m:r>
              <w:rPr>
                <w:rFonts w:ascii="Cambria Math" w:hAnsi="Cambria Math"/>
                <w:sz w:val="20"/>
                <w:szCs w:val="20"/>
                <w:lang w:val="en-US"/>
              </w:rPr>
              <m:t>D</m:t>
            </m:r>
          </m:e>
          <m:sub>
            <m:r>
              <w:rPr>
                <w:rFonts w:ascii="Cambria Math" w:hAnsi="Cambria Math"/>
                <w:sz w:val="20"/>
                <w:szCs w:val="20"/>
                <w:lang w:val="en-US"/>
              </w:rPr>
              <m:t>ref</m:t>
            </m:r>
          </m:sub>
        </m:sSub>
      </m:oMath>
      <w:r w:rsidRPr="004732D2">
        <w:rPr>
          <w:sz w:val="20"/>
          <w:szCs w:val="20"/>
          <w:lang w:val="en-US"/>
        </w:rPr>
        <w:t xml:space="preserve"> and </w:t>
      </w:r>
      <m:oMath>
        <m:r>
          <w:rPr>
            <w:rFonts w:ascii="Cambria Math" w:hAnsi="Cambria Math"/>
            <w:sz w:val="20"/>
            <w:szCs w:val="20"/>
            <w:lang w:val="en-US"/>
          </w:rPr>
          <m:t>z</m:t>
        </m:r>
      </m:oMath>
      <w:r w:rsidRPr="004732D2">
        <w:rPr>
          <w:sz w:val="20"/>
          <w:szCs w:val="20"/>
          <w:lang w:val="en-US"/>
        </w:rPr>
        <w:t xml:space="preserve"> parameters for </w:t>
      </w:r>
      <w:r w:rsidRPr="004732D2">
        <w:rPr>
          <w:i/>
          <w:iCs/>
          <w:sz w:val="20"/>
          <w:szCs w:val="20"/>
          <w:lang w:val="en-US"/>
        </w:rPr>
        <w:t>E. coli</w:t>
      </w:r>
      <w:r w:rsidRPr="004732D2">
        <w:rPr>
          <w:sz w:val="20"/>
          <w:szCs w:val="20"/>
          <w:lang w:val="en-US"/>
        </w:rPr>
        <w:t xml:space="preserve"> and high-acidic fruit juices were obtained from the dataset of Van Asselt &amp; Zwietering (2006). The transformed equation using these parameters is presented in </w:t>
      </w:r>
      <w:hyperlink r:id="rId12" w:anchor="eq-sec-tp" w:history="1">
        <w:r w:rsidRPr="004732D2">
          <w:rPr>
            <w:rStyle w:val="Hyperlink"/>
            <w:sz w:val="20"/>
            <w:szCs w:val="20"/>
            <w:lang w:val="en-US"/>
          </w:rPr>
          <w:t>Equation 3</w:t>
        </w:r>
      </w:hyperlink>
      <w:r w:rsidRPr="004732D2">
        <w:rPr>
          <w:sz w:val="20"/>
          <w:szCs w:val="20"/>
          <w:lang w:val="en-US"/>
        </w:rPr>
        <w:t>.</w:t>
      </w:r>
    </w:p>
    <w:p w14:paraId="47503921" w14:textId="48336CA0" w:rsidR="004732D2" w:rsidRPr="004732D2" w:rsidRDefault="00000000" w:rsidP="00575546">
      <w:pPr>
        <w:jc w:val="both"/>
        <w:rPr>
          <w:sz w:val="20"/>
          <w:szCs w:val="20"/>
          <w:lang w:val="en-US"/>
        </w:rPr>
      </w:pPr>
      <m:oMathPara>
        <m:oMathParaPr>
          <m:jc m:val="center"/>
        </m:oMathParaPr>
        <m:oMath>
          <m:sSub>
            <m:sSubPr>
              <m:ctrlPr>
                <w:rPr>
                  <w:rFonts w:ascii="Cambria Math" w:hAnsi="Cambria Math"/>
                  <w:sz w:val="20"/>
                  <w:szCs w:val="20"/>
                  <w:lang w:val="en-US"/>
                </w:rPr>
              </m:ctrlPr>
            </m:sSubPr>
            <m:e>
              <m:r>
                <m:rPr>
                  <m:sty m:val="p"/>
                </m:rPr>
                <w:rPr>
                  <w:rFonts w:ascii="Cambria Math" w:hAnsi="Cambria Math"/>
                  <w:sz w:val="20"/>
                  <w:szCs w:val="20"/>
                  <w:lang w:val="en-US"/>
                </w:rPr>
                <m:t>log</m:t>
              </m:r>
            </m:e>
            <m:sub>
              <m:r>
                <w:rPr>
                  <w:rFonts w:ascii="Cambria Math" w:hAnsi="Cambria Math"/>
                  <w:sz w:val="20"/>
                  <w:szCs w:val="20"/>
                  <w:lang w:val="en-US"/>
                </w:rPr>
                <m:t>10</m:t>
              </m:r>
            </m:sub>
          </m:sSub>
          <m:r>
            <w:rPr>
              <w:rFonts w:ascii="Cambria Math" w:hAnsi="Cambria Math"/>
              <w:sz w:val="20"/>
              <w:szCs w:val="20"/>
              <w:lang w:val="en-US"/>
            </w:rPr>
            <m:t>D</m:t>
          </m:r>
          <m:r>
            <m:rPr>
              <m:sty m:val="p"/>
            </m:rPr>
            <w:rPr>
              <w:rFonts w:ascii="Cambria Math" w:hAnsi="Cambria Math"/>
              <w:sz w:val="20"/>
              <w:szCs w:val="20"/>
              <w:lang w:val="en-US"/>
            </w:rPr>
            <m:t>=-</m:t>
          </m:r>
          <m:r>
            <w:rPr>
              <w:rFonts w:ascii="Cambria Math" w:hAnsi="Cambria Math"/>
              <w:sz w:val="20"/>
              <w:szCs w:val="20"/>
              <w:lang w:val="en-US"/>
            </w:rPr>
            <m:t>1.77</m:t>
          </m:r>
          <m:r>
            <m:rPr>
              <m:sty m:val="p"/>
            </m:rPr>
            <w:rPr>
              <w:rFonts w:ascii="Cambria Math" w:hAnsi="Cambria Math"/>
              <w:sz w:val="20"/>
              <w:szCs w:val="20"/>
              <w:lang w:val="en-US"/>
            </w:rPr>
            <m:t>+</m:t>
          </m:r>
          <m:f>
            <m:fPr>
              <m:ctrlPr>
                <w:rPr>
                  <w:rFonts w:ascii="Cambria Math" w:hAnsi="Cambria Math"/>
                  <w:sz w:val="20"/>
                  <w:szCs w:val="20"/>
                  <w:lang w:val="en-US"/>
                </w:rPr>
              </m:ctrlPr>
            </m:fPr>
            <m:num>
              <m:d>
                <m:dPr>
                  <m:ctrlPr>
                    <w:rPr>
                      <w:rFonts w:ascii="Cambria Math" w:hAnsi="Cambria Math"/>
                      <w:sz w:val="20"/>
                      <w:szCs w:val="20"/>
                      <w:lang w:val="en-US"/>
                    </w:rPr>
                  </m:ctrlPr>
                </m:dPr>
                <m:e>
                  <m:r>
                    <w:rPr>
                      <w:rFonts w:ascii="Cambria Math" w:hAnsi="Cambria Math"/>
                      <w:sz w:val="20"/>
                      <w:szCs w:val="20"/>
                      <w:lang w:val="en-US"/>
                    </w:rPr>
                    <m:t>70</m:t>
                  </m:r>
                  <m:r>
                    <m:rPr>
                      <m:sty m:val="p"/>
                    </m:rPr>
                    <w:rPr>
                      <w:rFonts w:ascii="Cambria Math" w:hAnsi="Cambria Math"/>
                      <w:sz w:val="20"/>
                      <w:szCs w:val="20"/>
                      <w:lang w:val="en-US"/>
                    </w:rPr>
                    <m:t>-</m:t>
                  </m:r>
                  <m:r>
                    <w:rPr>
                      <w:rFonts w:ascii="Cambria Math" w:hAnsi="Cambria Math"/>
                      <w:sz w:val="20"/>
                      <w:szCs w:val="20"/>
                      <w:lang w:val="en-US"/>
                    </w:rPr>
                    <m:t>T</m:t>
                  </m:r>
                </m:e>
              </m:d>
            </m:num>
            <m:den>
              <m:r>
                <w:rPr>
                  <w:rFonts w:ascii="Cambria Math" w:hAnsi="Cambria Math"/>
                  <w:sz w:val="20"/>
                  <w:szCs w:val="20"/>
                  <w:lang w:val="en-US"/>
                </w:rPr>
                <m:t>5.6</m:t>
              </m:r>
            </m:den>
          </m:f>
          <m:r>
            <w:rPr>
              <w:rFonts w:ascii="Cambria Math" w:hAnsi="Cambria Math"/>
              <w:sz w:val="20"/>
              <w:szCs w:val="20"/>
              <w:lang w:val="en-US"/>
            </w:rPr>
            <m:t>  </m:t>
          </m:r>
          <m:d>
            <m:dPr>
              <m:ctrlPr>
                <w:rPr>
                  <w:rFonts w:ascii="Cambria Math" w:hAnsi="Cambria Math"/>
                  <w:sz w:val="20"/>
                  <w:szCs w:val="20"/>
                  <w:lang w:val="en-US"/>
                </w:rPr>
              </m:ctrlPr>
            </m:dPr>
            <m:e>
              <m:r>
                <w:rPr>
                  <w:rFonts w:ascii="Cambria Math" w:hAnsi="Cambria Math"/>
                  <w:sz w:val="20"/>
                  <w:szCs w:val="20"/>
                  <w:lang w:val="en-US"/>
                </w:rPr>
                <m:t>3</m:t>
              </m:r>
            </m:e>
          </m:d>
        </m:oMath>
      </m:oMathPara>
      <w:bookmarkStart w:id="5" w:name="eq-sec-tp"/>
      <w:bookmarkEnd w:id="5"/>
    </w:p>
    <w:p w14:paraId="6BAC7A88" w14:textId="7FBBBC43" w:rsidR="004732D2" w:rsidRPr="004732D2" w:rsidRDefault="004732D2" w:rsidP="00575546">
      <w:pPr>
        <w:jc w:val="both"/>
        <w:rPr>
          <w:sz w:val="20"/>
          <w:szCs w:val="20"/>
          <w:lang w:val="en-US"/>
        </w:rPr>
      </w:pPr>
      <w:r w:rsidRPr="004732D2">
        <w:rPr>
          <w:sz w:val="20"/>
          <w:szCs w:val="20"/>
          <w:lang w:val="en-US"/>
        </w:rPr>
        <w:t xml:space="preserve">For HPP the equivalent approach was implemented using the </w:t>
      </w:r>
      <m:oMath>
        <m:sSub>
          <m:sSubPr>
            <m:ctrlPr>
              <w:rPr>
                <w:rFonts w:ascii="Cambria Math" w:hAnsi="Cambria Math"/>
                <w:sz w:val="20"/>
                <w:szCs w:val="20"/>
                <w:lang w:val="en-US"/>
              </w:rPr>
            </m:ctrlPr>
          </m:sSubPr>
          <m:e>
            <m:r>
              <w:rPr>
                <w:rFonts w:ascii="Cambria Math" w:hAnsi="Cambria Math"/>
                <w:sz w:val="20"/>
                <w:szCs w:val="20"/>
                <w:lang w:val="en-US"/>
              </w:rPr>
              <m:t>D</m:t>
            </m:r>
          </m:e>
          <m:sub>
            <m:r>
              <w:rPr>
                <w:rFonts w:ascii="Cambria Math" w:hAnsi="Cambria Math"/>
                <w:sz w:val="20"/>
                <w:szCs w:val="20"/>
                <w:lang w:val="en-US"/>
              </w:rPr>
              <m:t>ref</m:t>
            </m:r>
          </m:sub>
        </m:sSub>
      </m:oMath>
      <w:r w:rsidRPr="004732D2">
        <w:rPr>
          <w:sz w:val="20"/>
          <w:szCs w:val="20"/>
          <w:lang w:val="en-US"/>
        </w:rPr>
        <w:t xml:space="preserve"> and </w:t>
      </w:r>
      <m:oMath>
        <m:sSub>
          <m:sSubPr>
            <m:ctrlPr>
              <w:rPr>
                <w:rFonts w:ascii="Cambria Math" w:hAnsi="Cambria Math"/>
                <w:sz w:val="20"/>
                <w:szCs w:val="20"/>
                <w:lang w:val="en-US"/>
              </w:rPr>
            </m:ctrlPr>
          </m:sSubPr>
          <m:e>
            <m:r>
              <w:rPr>
                <w:rFonts w:ascii="Cambria Math" w:hAnsi="Cambria Math"/>
                <w:sz w:val="20"/>
                <w:szCs w:val="20"/>
                <w:lang w:val="en-US"/>
              </w:rPr>
              <m:t>z</m:t>
            </m:r>
          </m:e>
          <m:sub>
            <m:r>
              <w:rPr>
                <w:rFonts w:ascii="Cambria Math" w:hAnsi="Cambria Math"/>
                <w:sz w:val="20"/>
                <w:szCs w:val="20"/>
                <w:lang w:val="en-US"/>
              </w:rPr>
              <m:t>P</m:t>
            </m:r>
          </m:sub>
        </m:sSub>
      </m:oMath>
      <w:r w:rsidRPr="004732D2">
        <w:rPr>
          <w:sz w:val="20"/>
          <w:szCs w:val="20"/>
          <w:lang w:val="en-US"/>
        </w:rPr>
        <w:t xml:space="preserve"> (the pressure change needed for 1 log</w:t>
      </w:r>
      <w:r w:rsidRPr="004732D2">
        <w:rPr>
          <w:sz w:val="20"/>
          <w:szCs w:val="20"/>
          <w:vertAlign w:val="subscript"/>
          <w:lang w:val="en-US"/>
        </w:rPr>
        <w:t>10</w:t>
      </w:r>
      <w:r w:rsidRPr="004732D2">
        <w:rPr>
          <w:sz w:val="20"/>
          <w:szCs w:val="20"/>
          <w:lang w:val="en-US"/>
        </w:rPr>
        <w:t xml:space="preserve"> reduction of the </w:t>
      </w:r>
      <m:oMath>
        <m:r>
          <w:rPr>
            <w:rFonts w:ascii="Cambria Math" w:hAnsi="Cambria Math"/>
            <w:sz w:val="20"/>
            <w:szCs w:val="20"/>
            <w:lang w:val="en-US"/>
          </w:rPr>
          <m:t>D</m:t>
        </m:r>
      </m:oMath>
      <w:r w:rsidRPr="004732D2">
        <w:rPr>
          <w:sz w:val="20"/>
          <w:szCs w:val="20"/>
          <w:lang w:val="en-US"/>
        </w:rPr>
        <w:t xml:space="preserve">) parameters, which were estimated from the specific linear model presented in deliverable 10.2 for </w:t>
      </w:r>
      <w:r w:rsidRPr="004732D2">
        <w:rPr>
          <w:i/>
          <w:iCs/>
          <w:sz w:val="20"/>
          <w:szCs w:val="20"/>
          <w:lang w:val="en-US"/>
        </w:rPr>
        <w:t>E. coli</w:t>
      </w:r>
      <w:r w:rsidRPr="004732D2">
        <w:rPr>
          <w:sz w:val="20"/>
          <w:szCs w:val="20"/>
          <w:lang w:val="en-US"/>
        </w:rPr>
        <w:t xml:space="preserve"> and high-acidic fruit juices. The </w:t>
      </w:r>
      <m:oMath>
        <m:sSub>
          <m:sSubPr>
            <m:ctrlPr>
              <w:rPr>
                <w:rFonts w:ascii="Cambria Math" w:hAnsi="Cambria Math"/>
                <w:sz w:val="20"/>
                <w:szCs w:val="20"/>
                <w:lang w:val="en-US"/>
              </w:rPr>
            </m:ctrlPr>
          </m:sSubPr>
          <m:e>
            <m:r>
              <w:rPr>
                <w:rFonts w:ascii="Cambria Math" w:hAnsi="Cambria Math"/>
                <w:sz w:val="20"/>
                <w:szCs w:val="20"/>
                <w:lang w:val="en-US"/>
              </w:rPr>
              <m:t>P</m:t>
            </m:r>
          </m:e>
          <m:sub>
            <m:r>
              <w:rPr>
                <w:rFonts w:ascii="Cambria Math" w:hAnsi="Cambria Math"/>
                <w:sz w:val="20"/>
                <w:szCs w:val="20"/>
                <w:lang w:val="en-US"/>
              </w:rPr>
              <m:t>ref</m:t>
            </m:r>
          </m:sub>
        </m:sSub>
      </m:oMath>
      <w:r w:rsidRPr="004732D2">
        <w:rPr>
          <w:sz w:val="20"/>
          <w:szCs w:val="20"/>
          <w:lang w:val="en-US"/>
        </w:rPr>
        <w:t xml:space="preserve"> was set at 500 MPa </w:t>
      </w:r>
      <w:r w:rsidR="005374F1">
        <w:rPr>
          <w:sz w:val="20"/>
          <w:szCs w:val="20"/>
          <w:lang w:val="en-US"/>
        </w:rPr>
        <w:t>(</w:t>
      </w:r>
      <w:r w:rsidR="005374F1" w:rsidRPr="005374F1">
        <w:rPr>
          <w:rStyle w:val="Hyperlink"/>
          <w:sz w:val="20"/>
          <w:szCs w:val="28"/>
        </w:rPr>
        <w:t>Equation 4</w:t>
      </w:r>
      <w:r w:rsidR="005374F1" w:rsidRPr="00726A81">
        <w:rPr>
          <w:rStyle w:val="Hyperlink"/>
          <w:color w:val="000000" w:themeColor="text1"/>
          <w:sz w:val="20"/>
          <w:szCs w:val="28"/>
          <w:u w:val="none"/>
        </w:rPr>
        <w:t>)</w:t>
      </w:r>
      <w:r w:rsidR="005374F1">
        <w:rPr>
          <w:sz w:val="20"/>
          <w:szCs w:val="20"/>
          <w:lang w:val="en-US"/>
        </w:rPr>
        <w:t>.</w:t>
      </w:r>
    </w:p>
    <w:p w14:paraId="52E5A18D" w14:textId="2A8A4232" w:rsidR="004732D2" w:rsidRPr="004732D2" w:rsidRDefault="00000000" w:rsidP="00575546">
      <w:pPr>
        <w:jc w:val="both"/>
        <w:rPr>
          <w:sz w:val="20"/>
          <w:szCs w:val="20"/>
          <w:lang w:val="en-US"/>
        </w:rPr>
      </w:pPr>
      <m:oMathPara>
        <m:oMathParaPr>
          <m:jc m:val="center"/>
        </m:oMathParaPr>
        <m:oMath>
          <m:sSub>
            <m:sSubPr>
              <m:ctrlPr>
                <w:rPr>
                  <w:rFonts w:ascii="Cambria Math" w:hAnsi="Cambria Math"/>
                  <w:sz w:val="20"/>
                  <w:szCs w:val="20"/>
                  <w:lang w:val="en-US"/>
                </w:rPr>
              </m:ctrlPr>
            </m:sSubPr>
            <m:e>
              <m:r>
                <m:rPr>
                  <m:sty m:val="p"/>
                </m:rPr>
                <w:rPr>
                  <w:rFonts w:ascii="Cambria Math" w:hAnsi="Cambria Math"/>
                  <w:sz w:val="20"/>
                  <w:szCs w:val="20"/>
                  <w:lang w:val="en-US"/>
                </w:rPr>
                <m:t>log</m:t>
              </m:r>
            </m:e>
            <m:sub>
              <m:r>
                <w:rPr>
                  <w:rFonts w:ascii="Cambria Math" w:hAnsi="Cambria Math"/>
                  <w:sz w:val="20"/>
                  <w:szCs w:val="20"/>
                  <w:lang w:val="en-US"/>
                </w:rPr>
                <m:t>10</m:t>
              </m:r>
            </m:sub>
          </m:sSub>
          <m:r>
            <w:rPr>
              <w:rFonts w:ascii="Cambria Math" w:hAnsi="Cambria Math"/>
              <w:sz w:val="20"/>
              <w:szCs w:val="20"/>
              <w:lang w:val="en-US"/>
            </w:rPr>
            <m:t>D</m:t>
          </m:r>
          <m:r>
            <m:rPr>
              <m:sty m:val="p"/>
            </m:rPr>
            <w:rPr>
              <w:rFonts w:ascii="Cambria Math" w:hAnsi="Cambria Math"/>
              <w:sz w:val="20"/>
              <w:szCs w:val="20"/>
              <w:lang w:val="en-US"/>
            </w:rPr>
            <m:t>=-</m:t>
          </m:r>
          <m:r>
            <w:rPr>
              <w:rFonts w:ascii="Cambria Math" w:hAnsi="Cambria Math"/>
              <w:sz w:val="20"/>
              <w:szCs w:val="20"/>
              <w:lang w:val="en-US"/>
            </w:rPr>
            <m:t>0.32</m:t>
          </m:r>
          <m:r>
            <m:rPr>
              <m:sty m:val="p"/>
            </m:rPr>
            <w:rPr>
              <w:rFonts w:ascii="Cambria Math" w:hAnsi="Cambria Math"/>
              <w:sz w:val="20"/>
              <w:szCs w:val="20"/>
              <w:lang w:val="en-US"/>
            </w:rPr>
            <m:t>+</m:t>
          </m:r>
          <m:f>
            <m:fPr>
              <m:ctrlPr>
                <w:rPr>
                  <w:rFonts w:ascii="Cambria Math" w:hAnsi="Cambria Math"/>
                  <w:sz w:val="20"/>
                  <w:szCs w:val="20"/>
                  <w:lang w:val="en-US"/>
                </w:rPr>
              </m:ctrlPr>
            </m:fPr>
            <m:num>
              <m:d>
                <m:dPr>
                  <m:ctrlPr>
                    <w:rPr>
                      <w:rFonts w:ascii="Cambria Math" w:hAnsi="Cambria Math"/>
                      <w:sz w:val="20"/>
                      <w:szCs w:val="20"/>
                      <w:lang w:val="en-US"/>
                    </w:rPr>
                  </m:ctrlPr>
                </m:dPr>
                <m:e>
                  <m:r>
                    <w:rPr>
                      <w:rFonts w:ascii="Cambria Math" w:hAnsi="Cambria Math"/>
                      <w:sz w:val="20"/>
                      <w:szCs w:val="20"/>
                      <w:lang w:val="en-US"/>
                    </w:rPr>
                    <m:t>500</m:t>
                  </m:r>
                  <m:r>
                    <m:rPr>
                      <m:sty m:val="p"/>
                    </m:rPr>
                    <w:rPr>
                      <w:rFonts w:ascii="Cambria Math" w:hAnsi="Cambria Math"/>
                      <w:sz w:val="20"/>
                      <w:szCs w:val="20"/>
                      <w:lang w:val="en-US"/>
                    </w:rPr>
                    <m:t>-</m:t>
                  </m:r>
                  <m:r>
                    <w:rPr>
                      <w:rFonts w:ascii="Cambria Math" w:hAnsi="Cambria Math"/>
                      <w:sz w:val="20"/>
                      <w:szCs w:val="20"/>
                      <w:lang w:val="en-US"/>
                    </w:rPr>
                    <m:t>P</m:t>
                  </m:r>
                </m:e>
              </m:d>
            </m:num>
            <m:den>
              <m:r>
                <w:rPr>
                  <w:rFonts w:ascii="Cambria Math" w:hAnsi="Cambria Math"/>
                  <w:sz w:val="20"/>
                  <w:szCs w:val="20"/>
                  <w:lang w:val="en-US"/>
                </w:rPr>
                <m:t>270</m:t>
              </m:r>
            </m:den>
          </m:f>
          <m:r>
            <w:rPr>
              <w:rFonts w:ascii="Cambria Math" w:hAnsi="Cambria Math"/>
              <w:sz w:val="20"/>
              <w:szCs w:val="20"/>
              <w:lang w:val="en-US"/>
            </w:rPr>
            <m:t>  </m:t>
          </m:r>
          <m:d>
            <m:dPr>
              <m:ctrlPr>
                <w:rPr>
                  <w:rFonts w:ascii="Cambria Math" w:hAnsi="Cambria Math"/>
                  <w:sz w:val="20"/>
                  <w:szCs w:val="20"/>
                  <w:lang w:val="en-US"/>
                </w:rPr>
              </m:ctrlPr>
            </m:dPr>
            <m:e>
              <m:r>
                <w:rPr>
                  <w:rFonts w:ascii="Cambria Math" w:hAnsi="Cambria Math"/>
                  <w:sz w:val="20"/>
                  <w:szCs w:val="20"/>
                  <w:lang w:val="en-US"/>
                </w:rPr>
                <m:t>4</m:t>
              </m:r>
            </m:e>
          </m:d>
        </m:oMath>
      </m:oMathPara>
      <w:bookmarkStart w:id="6" w:name="eq-sec-hpp"/>
      <w:bookmarkEnd w:id="6"/>
    </w:p>
    <w:p w14:paraId="4E7378A9" w14:textId="2120139B" w:rsidR="004732D2" w:rsidRPr="004732D2" w:rsidRDefault="004732D2" w:rsidP="00575546">
      <w:pPr>
        <w:jc w:val="both"/>
        <w:rPr>
          <w:sz w:val="20"/>
          <w:szCs w:val="20"/>
          <w:lang w:val="en-US"/>
        </w:rPr>
      </w:pPr>
      <w:r w:rsidRPr="004732D2">
        <w:rPr>
          <w:sz w:val="20"/>
          <w:szCs w:val="20"/>
          <w:lang w:val="en-US"/>
        </w:rPr>
        <w:t>For PEF, it was not necessary to define a secondary model. Instead, a primary model was used with energy input (</w:t>
      </w:r>
      <m:oMath>
        <m:sSub>
          <m:sSubPr>
            <m:ctrlPr>
              <w:rPr>
                <w:rFonts w:ascii="Cambria Math" w:hAnsi="Cambria Math"/>
                <w:sz w:val="20"/>
                <w:szCs w:val="20"/>
                <w:lang w:val="en-US"/>
              </w:rPr>
            </m:ctrlPr>
          </m:sSubPr>
          <m:e>
            <m:r>
              <w:rPr>
                <w:rFonts w:ascii="Cambria Math" w:hAnsi="Cambria Math"/>
                <w:sz w:val="20"/>
                <w:szCs w:val="20"/>
                <w:lang w:val="en-US"/>
              </w:rPr>
              <m:t>E</m:t>
            </m:r>
          </m:e>
          <m:sub>
            <m:r>
              <w:rPr>
                <w:rFonts w:ascii="Cambria Math" w:hAnsi="Cambria Math"/>
                <w:sz w:val="20"/>
                <w:szCs w:val="20"/>
                <w:lang w:val="en-US"/>
              </w:rPr>
              <m:t>in</m:t>
            </m:r>
          </m:sub>
        </m:sSub>
      </m:oMath>
      <w:r w:rsidRPr="004732D2">
        <w:rPr>
          <w:sz w:val="20"/>
          <w:szCs w:val="20"/>
          <w:lang w:val="en-US"/>
        </w:rPr>
        <w:t xml:space="preserve"> in kJ/L) as the equivalent of time </w:t>
      </w:r>
      <w:r w:rsidRPr="00ED79B3">
        <w:rPr>
          <w:i/>
          <w:iCs/>
          <w:sz w:val="20"/>
          <w:szCs w:val="20"/>
          <w:lang w:val="en-US"/>
        </w:rPr>
        <w:t>t</w:t>
      </w:r>
      <w:r w:rsidRPr="004732D2">
        <w:rPr>
          <w:sz w:val="20"/>
          <w:szCs w:val="20"/>
          <w:lang w:val="en-US"/>
        </w:rPr>
        <w:t xml:space="preserve"> and the </w:t>
      </w:r>
      <m:oMath>
        <m:sSub>
          <m:sSubPr>
            <m:ctrlPr>
              <w:rPr>
                <w:rFonts w:ascii="Cambria Math" w:hAnsi="Cambria Math"/>
                <w:sz w:val="20"/>
                <w:szCs w:val="20"/>
                <w:lang w:val="en-US"/>
              </w:rPr>
            </m:ctrlPr>
          </m:sSubPr>
          <m:e>
            <m:r>
              <w:rPr>
                <w:rFonts w:ascii="Cambria Math" w:hAnsi="Cambria Math"/>
                <w:sz w:val="20"/>
                <w:szCs w:val="20"/>
                <w:lang w:val="en-US"/>
              </w:rPr>
              <m:t>D</m:t>
            </m:r>
          </m:e>
          <m:sub>
            <m:r>
              <w:rPr>
                <w:rFonts w:ascii="Cambria Math" w:hAnsi="Cambria Math"/>
                <w:sz w:val="20"/>
                <w:szCs w:val="20"/>
                <w:lang w:val="en-US"/>
              </w:rPr>
              <m:t>Ein</m:t>
            </m:r>
          </m:sub>
        </m:sSub>
      </m:oMath>
      <w:r w:rsidRPr="004732D2">
        <w:rPr>
          <w:sz w:val="20"/>
          <w:szCs w:val="20"/>
          <w:lang w:val="en-US"/>
        </w:rPr>
        <w:t xml:space="preserve"> (kJ/L) parameter i.e., the energy input needed for 1 log</w:t>
      </w:r>
      <w:r w:rsidRPr="004732D2">
        <w:rPr>
          <w:sz w:val="20"/>
          <w:szCs w:val="20"/>
          <w:vertAlign w:val="subscript"/>
          <w:lang w:val="en-US"/>
        </w:rPr>
        <w:t>10</w:t>
      </w:r>
      <w:r w:rsidRPr="004732D2">
        <w:rPr>
          <w:sz w:val="20"/>
          <w:szCs w:val="20"/>
          <w:lang w:val="en-US"/>
        </w:rPr>
        <w:t xml:space="preserve"> reduction of the microbial population, as the equivalent of the </w:t>
      </w:r>
      <w:r w:rsidRPr="004732D2">
        <w:rPr>
          <w:i/>
          <w:iCs/>
          <w:sz w:val="20"/>
          <w:szCs w:val="20"/>
          <w:lang w:val="en-US"/>
        </w:rPr>
        <w:t>D</w:t>
      </w:r>
      <w:r w:rsidRPr="004732D2">
        <w:rPr>
          <w:sz w:val="20"/>
          <w:szCs w:val="20"/>
          <w:lang w:val="en-US"/>
        </w:rPr>
        <w:t xml:space="preserve">-value </w:t>
      </w:r>
      <w:r w:rsidR="00F07A65">
        <w:rPr>
          <w:sz w:val="20"/>
          <w:szCs w:val="20"/>
          <w:lang w:val="en-US"/>
        </w:rPr>
        <w:t>(</w:t>
      </w:r>
      <w:hyperlink r:id="rId13" w:anchor="eq-prim-pef" w:history="1">
        <w:r w:rsidRPr="004732D2">
          <w:rPr>
            <w:rStyle w:val="Hyperlink"/>
            <w:sz w:val="20"/>
            <w:szCs w:val="20"/>
            <w:lang w:val="en-US"/>
          </w:rPr>
          <w:t>Equation 5</w:t>
        </w:r>
      </w:hyperlink>
      <w:r w:rsidR="00F07A65" w:rsidRPr="00726A81">
        <w:rPr>
          <w:rStyle w:val="Hyperlink"/>
          <w:color w:val="000000" w:themeColor="text1"/>
          <w:sz w:val="20"/>
          <w:szCs w:val="20"/>
          <w:u w:val="none"/>
          <w:lang w:val="en-US"/>
        </w:rPr>
        <w:t>)</w:t>
      </w:r>
      <w:r w:rsidRPr="004732D2">
        <w:rPr>
          <w:sz w:val="20"/>
          <w:szCs w:val="20"/>
          <w:lang w:val="en-US"/>
        </w:rPr>
        <w:t>.</w:t>
      </w:r>
    </w:p>
    <w:p w14:paraId="3EE8CE73" w14:textId="005EA9E0" w:rsidR="004732D2" w:rsidRPr="004732D2" w:rsidRDefault="00000000" w:rsidP="00575546">
      <w:pPr>
        <w:jc w:val="both"/>
        <w:rPr>
          <w:sz w:val="20"/>
          <w:szCs w:val="20"/>
          <w:lang w:val="en-US"/>
        </w:rPr>
      </w:pPr>
      <m:oMathPara>
        <m:oMathParaPr>
          <m:jc m:val="center"/>
        </m:oMathParaPr>
        <m:oMath>
          <m:sSub>
            <m:sSubPr>
              <m:ctrlPr>
                <w:rPr>
                  <w:rFonts w:ascii="Cambria Math" w:hAnsi="Cambria Math"/>
                  <w:sz w:val="20"/>
                  <w:szCs w:val="20"/>
                  <w:lang w:val="en-US"/>
                </w:rPr>
              </m:ctrlPr>
            </m:sSubPr>
            <m:e>
              <m:r>
                <m:rPr>
                  <m:sty m:val="p"/>
                </m:rPr>
                <w:rPr>
                  <w:rFonts w:ascii="Cambria Math" w:hAnsi="Cambria Math"/>
                  <w:sz w:val="20"/>
                  <w:szCs w:val="20"/>
                  <w:lang w:val="en-US"/>
                </w:rPr>
                <m:t>log</m:t>
              </m:r>
            </m:e>
            <m:sub>
              <m:r>
                <w:rPr>
                  <w:rFonts w:ascii="Cambria Math" w:hAnsi="Cambria Math"/>
                  <w:sz w:val="20"/>
                  <w:szCs w:val="20"/>
                  <w:lang w:val="en-US"/>
                </w:rPr>
                <m:t>10</m:t>
              </m:r>
            </m:sub>
          </m:sSub>
          <m:r>
            <w:rPr>
              <w:rFonts w:ascii="Cambria Math" w:hAnsi="Cambria Math"/>
              <w:sz w:val="20"/>
              <w:szCs w:val="20"/>
              <w:lang w:val="en-US"/>
            </w:rPr>
            <m:t>N</m:t>
          </m:r>
          <m:r>
            <m:rPr>
              <m:sty m:val="p"/>
            </m:rPr>
            <w:rPr>
              <w:rFonts w:ascii="Cambria Math" w:hAnsi="Cambria Math"/>
              <w:sz w:val="20"/>
              <w:szCs w:val="20"/>
              <w:lang w:val="en-US"/>
            </w:rPr>
            <m:t>=</m:t>
          </m:r>
          <m:sSub>
            <m:sSubPr>
              <m:ctrlPr>
                <w:rPr>
                  <w:rFonts w:ascii="Cambria Math" w:hAnsi="Cambria Math"/>
                  <w:sz w:val="20"/>
                  <w:szCs w:val="20"/>
                  <w:lang w:val="en-US"/>
                </w:rPr>
              </m:ctrlPr>
            </m:sSubPr>
            <m:e>
              <m:r>
                <m:rPr>
                  <m:sty m:val="p"/>
                </m:rPr>
                <w:rPr>
                  <w:rFonts w:ascii="Cambria Math" w:hAnsi="Cambria Math"/>
                  <w:sz w:val="20"/>
                  <w:szCs w:val="20"/>
                  <w:lang w:val="en-US"/>
                </w:rPr>
                <m:t>log</m:t>
              </m:r>
            </m:e>
            <m:sub>
              <m:r>
                <w:rPr>
                  <w:rFonts w:ascii="Cambria Math" w:hAnsi="Cambria Math"/>
                  <w:sz w:val="20"/>
                  <w:szCs w:val="20"/>
                  <w:lang w:val="en-US"/>
                </w:rPr>
                <m:t>10</m:t>
              </m:r>
            </m:sub>
          </m:sSub>
          <m:sSub>
            <m:sSubPr>
              <m:ctrlPr>
                <w:rPr>
                  <w:rFonts w:ascii="Cambria Math" w:hAnsi="Cambria Math"/>
                  <w:sz w:val="20"/>
                  <w:szCs w:val="20"/>
                  <w:lang w:val="en-US"/>
                </w:rPr>
              </m:ctrlPr>
            </m:sSubPr>
            <m:e>
              <m:r>
                <w:rPr>
                  <w:rFonts w:ascii="Cambria Math" w:hAnsi="Cambria Math"/>
                  <w:sz w:val="20"/>
                  <w:szCs w:val="20"/>
                  <w:lang w:val="en-US"/>
                </w:rPr>
                <m:t>N</m:t>
              </m:r>
            </m:e>
            <m:sub>
              <m:r>
                <w:rPr>
                  <w:rFonts w:ascii="Cambria Math" w:hAnsi="Cambria Math"/>
                  <w:sz w:val="20"/>
                  <w:szCs w:val="20"/>
                  <w:lang w:val="en-US"/>
                </w:rPr>
                <m:t>0</m:t>
              </m:r>
            </m:sub>
          </m:sSub>
          <m:r>
            <m:rPr>
              <m:sty m:val="p"/>
            </m:rPr>
            <w:rPr>
              <w:rFonts w:ascii="Cambria Math" w:hAnsi="Cambria Math"/>
              <w:sz w:val="20"/>
              <w:szCs w:val="20"/>
              <w:lang w:val="en-US"/>
            </w:rPr>
            <m:t>-</m:t>
          </m:r>
          <m:r>
            <w:rPr>
              <w:rFonts w:ascii="Cambria Math" w:hAnsi="Cambria Math"/>
              <w:sz w:val="20"/>
              <w:szCs w:val="20"/>
              <w:lang w:val="en-US"/>
            </w:rPr>
            <m:t>0.73</m:t>
          </m:r>
          <m:r>
            <m:rPr>
              <m:sty m:val="p"/>
            </m:rPr>
            <w:rPr>
              <w:rFonts w:ascii="Cambria Math" w:hAnsi="Cambria Math"/>
              <w:sz w:val="20"/>
              <w:szCs w:val="20"/>
              <w:lang w:val="en-US"/>
            </w:rPr>
            <m:t>-</m:t>
          </m:r>
          <m:f>
            <m:fPr>
              <m:ctrlPr>
                <w:rPr>
                  <w:rFonts w:ascii="Cambria Math" w:hAnsi="Cambria Math"/>
                  <w:sz w:val="20"/>
                  <w:szCs w:val="20"/>
                  <w:lang w:val="en-US"/>
                </w:rPr>
              </m:ctrlPr>
            </m:fPr>
            <m:num>
              <m:sSub>
                <m:sSubPr>
                  <m:ctrlPr>
                    <w:rPr>
                      <w:rFonts w:ascii="Cambria Math" w:hAnsi="Cambria Math"/>
                      <w:sz w:val="20"/>
                      <w:szCs w:val="20"/>
                      <w:lang w:val="en-US"/>
                    </w:rPr>
                  </m:ctrlPr>
                </m:sSubPr>
                <m:e>
                  <m:r>
                    <w:rPr>
                      <w:rFonts w:ascii="Cambria Math" w:hAnsi="Cambria Math"/>
                      <w:sz w:val="20"/>
                      <w:szCs w:val="20"/>
                      <w:lang w:val="en-US"/>
                    </w:rPr>
                    <m:t>E</m:t>
                  </m:r>
                </m:e>
                <m:sub>
                  <m:r>
                    <w:rPr>
                      <w:rFonts w:ascii="Cambria Math" w:hAnsi="Cambria Math"/>
                      <w:sz w:val="20"/>
                      <w:szCs w:val="20"/>
                      <w:lang w:val="en-US"/>
                    </w:rPr>
                    <m:t>in</m:t>
                  </m:r>
                </m:sub>
              </m:sSub>
            </m:num>
            <m:den>
              <m:r>
                <w:rPr>
                  <w:rFonts w:ascii="Cambria Math" w:hAnsi="Cambria Math"/>
                  <w:sz w:val="20"/>
                  <w:szCs w:val="20"/>
                  <w:lang w:val="en-US"/>
                </w:rPr>
                <m:t>40</m:t>
              </m:r>
            </m:den>
          </m:f>
          <m:r>
            <w:rPr>
              <w:rFonts w:ascii="Cambria Math" w:hAnsi="Cambria Math"/>
              <w:sz w:val="20"/>
              <w:szCs w:val="20"/>
              <w:lang w:val="en-US"/>
            </w:rPr>
            <m:t>  </m:t>
          </m:r>
          <m:d>
            <m:dPr>
              <m:ctrlPr>
                <w:rPr>
                  <w:rFonts w:ascii="Cambria Math" w:hAnsi="Cambria Math"/>
                  <w:sz w:val="20"/>
                  <w:szCs w:val="20"/>
                  <w:lang w:val="en-US"/>
                </w:rPr>
              </m:ctrlPr>
            </m:dPr>
            <m:e>
              <m:r>
                <w:rPr>
                  <w:rFonts w:ascii="Cambria Math" w:hAnsi="Cambria Math"/>
                  <w:sz w:val="20"/>
                  <w:szCs w:val="20"/>
                  <w:lang w:val="en-US"/>
                </w:rPr>
                <m:t>5</m:t>
              </m:r>
            </m:e>
          </m:d>
        </m:oMath>
      </m:oMathPara>
      <w:bookmarkStart w:id="7" w:name="eq-prim-pef"/>
      <w:bookmarkEnd w:id="7"/>
    </w:p>
    <w:p w14:paraId="0444F091" w14:textId="76A535D7" w:rsidR="004732D2" w:rsidRPr="004732D2" w:rsidRDefault="004732D2" w:rsidP="00575546">
      <w:pPr>
        <w:jc w:val="both"/>
        <w:rPr>
          <w:sz w:val="20"/>
          <w:szCs w:val="20"/>
          <w:lang w:val="en-US"/>
        </w:rPr>
      </w:pPr>
      <w:r w:rsidRPr="004732D2">
        <w:rPr>
          <w:sz w:val="20"/>
          <w:szCs w:val="20"/>
          <w:lang w:val="en-US"/>
        </w:rPr>
        <w:t xml:space="preserve">where 0.73 was the intercept of the linear regression model. </w:t>
      </w:r>
      <w:hyperlink r:id="rId14" w:anchor="eq-prim-pef" w:history="1">
        <w:r w:rsidRPr="004732D2">
          <w:rPr>
            <w:rStyle w:val="Hyperlink"/>
            <w:sz w:val="20"/>
            <w:szCs w:val="20"/>
            <w:lang w:val="en-US"/>
          </w:rPr>
          <w:t>Equation 5</w:t>
        </w:r>
      </w:hyperlink>
      <w:r w:rsidRPr="004732D2">
        <w:rPr>
          <w:sz w:val="20"/>
          <w:szCs w:val="20"/>
          <w:lang w:val="en-US"/>
        </w:rPr>
        <w:t xml:space="preserve"> is the same equation that was presented in the deliverable 10.2 but following a transformation, where the reductions at the reference energy input level of </w:t>
      </w:r>
      <m:oMath>
        <m:r>
          <w:rPr>
            <w:rFonts w:ascii="Cambria Math" w:hAnsi="Cambria Math"/>
            <w:sz w:val="20"/>
            <w:szCs w:val="20"/>
            <w:lang w:val="en-US"/>
          </w:rPr>
          <m:t xml:space="preserve">120 </m:t>
        </m:r>
        <m:r>
          <m:rPr>
            <m:sty m:val="p"/>
          </m:rPr>
          <w:rPr>
            <w:rFonts w:ascii="Cambria Math" w:hAnsi="Cambria Math"/>
            <w:sz w:val="20"/>
            <w:szCs w:val="20"/>
            <w:lang w:val="en-US"/>
          </w:rPr>
          <m:t>kJ/L</m:t>
        </m:r>
      </m:oMath>
      <w:r w:rsidRPr="004732D2">
        <w:rPr>
          <w:sz w:val="20"/>
          <w:szCs w:val="20"/>
          <w:lang w:val="en-US"/>
        </w:rPr>
        <w:t xml:space="preserve"> and the energy input needed to achieve 1 log</w:t>
      </w:r>
      <w:r w:rsidRPr="004732D2">
        <w:rPr>
          <w:sz w:val="20"/>
          <w:szCs w:val="20"/>
          <w:vertAlign w:val="subscript"/>
          <w:lang w:val="en-US"/>
        </w:rPr>
        <w:t>10</w:t>
      </w:r>
      <w:r w:rsidRPr="004732D2">
        <w:rPr>
          <w:sz w:val="20"/>
          <w:szCs w:val="20"/>
          <w:lang w:val="en-US"/>
        </w:rPr>
        <w:t xml:space="preserve"> reduction of the microbial population, were used to re-write the equation as shown above.</w:t>
      </w:r>
    </w:p>
    <w:p w14:paraId="63CD9588" w14:textId="524AB85B" w:rsidR="004732D2" w:rsidRPr="004732D2" w:rsidRDefault="004732D2" w:rsidP="00575546">
      <w:pPr>
        <w:jc w:val="both"/>
        <w:rPr>
          <w:sz w:val="20"/>
          <w:szCs w:val="20"/>
          <w:lang w:val="en-US"/>
        </w:rPr>
      </w:pPr>
      <w:r w:rsidRPr="004732D2">
        <w:rPr>
          <w:sz w:val="20"/>
          <w:szCs w:val="20"/>
          <w:lang w:val="en-US"/>
        </w:rPr>
        <w:t xml:space="preserve">For non-thermal plasma (NTP), and ultrasounds (US), direct comparison was not possible because the simple linear models developed, as explained in the deliverable 10.2 could not adequately explain the variability. Therefore, multiple linear regression (for US and NTP) with more than one independent variable, or more complex approaches such as machine </w:t>
      </w:r>
      <w:r w:rsidRPr="004732D2">
        <w:rPr>
          <w:sz w:val="20"/>
          <w:szCs w:val="20"/>
          <w:lang w:val="en-US"/>
        </w:rPr>
        <w:lastRenderedPageBreak/>
        <w:t>learning (for NTP) were implemented. The secondary multiple linear regression models that were explained in the deliverable 10.2 were used for both cases but in their unscaled version.</w:t>
      </w:r>
    </w:p>
    <w:p w14:paraId="60EE7EB6" w14:textId="78C3B657" w:rsidR="004732D2" w:rsidRPr="004732D2" w:rsidRDefault="004732D2" w:rsidP="00575546">
      <w:pPr>
        <w:jc w:val="both"/>
        <w:rPr>
          <w:sz w:val="20"/>
          <w:szCs w:val="20"/>
          <w:lang w:val="en-US"/>
        </w:rPr>
      </w:pPr>
      <w:r w:rsidRPr="004732D2">
        <w:rPr>
          <w:sz w:val="20"/>
          <w:szCs w:val="20"/>
          <w:lang w:val="en-US"/>
        </w:rPr>
        <w:t>Although a range of processing conditions for microbial inactivation has been defined for TP, HPP, and PEF, such a range could not be established for NTP and US based on the literature. This is crucial because, without predefined parameter values, the efficacy of each technology cannot be meaningfully compared. To better understand the efficacy of each technology, we used three methods: i., comparison based on median values; ii., parameter adjustment to achieve a 5-log</w:t>
      </w:r>
      <w:r w:rsidRPr="004732D2">
        <w:rPr>
          <w:sz w:val="20"/>
          <w:szCs w:val="20"/>
          <w:vertAlign w:val="subscript"/>
          <w:lang w:val="en-US"/>
        </w:rPr>
        <w:t>10</w:t>
      </w:r>
      <w:r w:rsidRPr="004732D2">
        <w:rPr>
          <w:sz w:val="20"/>
          <w:szCs w:val="20"/>
          <w:lang w:val="en-US"/>
        </w:rPr>
        <w:t xml:space="preserve"> reduction; iii., comparison based on the same energy usage. First, we compared the total reductions achieved using the median value of each parameter. This approach allows for a rough estimate of the reductions that can be achieved based on the central tendency of the parameter values reported in the literature. Then, we adjusted the parameter values for each technology to achieve a 5-log</w:t>
      </w:r>
      <w:r w:rsidRPr="004732D2">
        <w:rPr>
          <w:sz w:val="20"/>
          <w:szCs w:val="20"/>
          <w:vertAlign w:val="subscript"/>
          <w:lang w:val="en-US"/>
        </w:rPr>
        <w:t>10</w:t>
      </w:r>
      <w:r w:rsidRPr="004732D2">
        <w:rPr>
          <w:sz w:val="20"/>
          <w:szCs w:val="20"/>
          <w:lang w:val="en-US"/>
        </w:rPr>
        <w:t xml:space="preserve"> reduction, the target set by the United States Food &amp; Drug Administration (US-FDA) for the pertinent microorganism that is likely to occur in fruit juices (e.g., </w:t>
      </w:r>
      <w:r w:rsidRPr="004732D2">
        <w:rPr>
          <w:i/>
          <w:iCs/>
          <w:sz w:val="20"/>
          <w:szCs w:val="20"/>
          <w:lang w:val="en-US"/>
        </w:rPr>
        <w:t>E. coli</w:t>
      </w:r>
      <w:r w:rsidRPr="004732D2">
        <w:rPr>
          <w:sz w:val="20"/>
          <w:szCs w:val="20"/>
          <w:lang w:val="en-US"/>
        </w:rPr>
        <w:t xml:space="preserve"> O157:H7) (US FDA, 2024). With this method, experts in the technology can assess whether a 5-log</w:t>
      </w:r>
      <w:r w:rsidRPr="004732D2">
        <w:rPr>
          <w:sz w:val="20"/>
          <w:szCs w:val="20"/>
          <w:vertAlign w:val="subscript"/>
          <w:lang w:val="en-US"/>
        </w:rPr>
        <w:t>10</w:t>
      </w:r>
      <w:r w:rsidRPr="004732D2">
        <w:rPr>
          <w:sz w:val="20"/>
          <w:szCs w:val="20"/>
          <w:lang w:val="en-US"/>
        </w:rPr>
        <w:t xml:space="preserve"> reduction is feasible based on their processing equipment’s parameters. For the third method, we used energy usage to compare the achieved reductions on the same basis. This approach was only possible for TP, HPP, and PEF, where sufficient literature existed. To make the comparisons more straightforward, the processing time for all technologies was set to 1 minute. The pH was assumed to be 3.6, a typical pH value of apple juice. (</w:t>
      </w:r>
      <w:r w:rsidRPr="004732D2">
        <w:rPr>
          <w:i/>
          <w:iCs/>
          <w:sz w:val="20"/>
          <w:szCs w:val="20"/>
          <w:lang w:val="en-US"/>
        </w:rPr>
        <w:t>Pathogen Modeling Program (PMP) Online</w:t>
      </w:r>
      <w:r w:rsidRPr="004732D2">
        <w:rPr>
          <w:sz w:val="20"/>
          <w:szCs w:val="20"/>
          <w:lang w:val="en-US"/>
        </w:rPr>
        <w:t xml:space="preserve">, n.d.). The level of 10 CFU of </w:t>
      </w:r>
      <w:r w:rsidRPr="004732D2">
        <w:rPr>
          <w:i/>
          <w:iCs/>
          <w:sz w:val="20"/>
          <w:szCs w:val="20"/>
          <w:lang w:val="en-US"/>
        </w:rPr>
        <w:t>E. coli</w:t>
      </w:r>
      <w:r w:rsidRPr="004732D2">
        <w:rPr>
          <w:sz w:val="20"/>
          <w:szCs w:val="20"/>
          <w:lang w:val="en-US"/>
        </w:rPr>
        <w:t xml:space="preserve"> O157:H7 per milliliter of apple juice with 100% prevalence was used for the initial contamination of the fruit juice before processing.</w:t>
      </w:r>
    </w:p>
    <w:p w14:paraId="387FF312" w14:textId="77777777" w:rsidR="004732D2" w:rsidRPr="004732D2" w:rsidRDefault="004732D2" w:rsidP="00575546">
      <w:pPr>
        <w:jc w:val="both"/>
        <w:rPr>
          <w:b/>
          <w:bCs/>
          <w:sz w:val="20"/>
          <w:szCs w:val="20"/>
          <w:lang w:val="en-US"/>
        </w:rPr>
      </w:pPr>
      <w:bookmarkStart w:id="8" w:name="materials-and-methods"/>
      <w:bookmarkEnd w:id="2"/>
      <w:bookmarkEnd w:id="8"/>
      <w:r w:rsidRPr="004732D2">
        <w:rPr>
          <w:b/>
          <w:bCs/>
          <w:sz w:val="20"/>
          <w:szCs w:val="20"/>
          <w:lang w:val="en-US"/>
        </w:rPr>
        <w:t>3. Results and discussion</w:t>
      </w:r>
    </w:p>
    <w:p w14:paraId="1F9CC30C" w14:textId="79A8E30E" w:rsidR="004732D2" w:rsidRPr="004732D2" w:rsidRDefault="004732D2" w:rsidP="00575546">
      <w:pPr>
        <w:jc w:val="both"/>
        <w:rPr>
          <w:b/>
          <w:bCs/>
          <w:sz w:val="20"/>
          <w:szCs w:val="20"/>
          <w:lang w:val="en-US"/>
        </w:rPr>
      </w:pPr>
      <w:bookmarkStart w:id="9" w:name="X95dd2088d91fd255f382616f6a491927571a6c8"/>
      <w:r w:rsidRPr="004732D2">
        <w:rPr>
          <w:b/>
          <w:bCs/>
          <w:sz w:val="20"/>
          <w:szCs w:val="20"/>
          <w:lang w:val="en-US"/>
        </w:rPr>
        <w:t xml:space="preserve">3.1 </w:t>
      </w:r>
      <w:r w:rsidR="00A84BB3">
        <w:rPr>
          <w:b/>
          <w:bCs/>
          <w:sz w:val="20"/>
          <w:szCs w:val="20"/>
          <w:lang w:val="en-US"/>
        </w:rPr>
        <w:t>A</w:t>
      </w:r>
      <w:r w:rsidRPr="004732D2">
        <w:rPr>
          <w:b/>
          <w:bCs/>
          <w:sz w:val="20"/>
          <w:szCs w:val="20"/>
          <w:lang w:val="en-US"/>
        </w:rPr>
        <w:t>chieved reductions based on median and commonly reported values in the literature</w:t>
      </w:r>
    </w:p>
    <w:p w14:paraId="5BF35E1A" w14:textId="21CBAA4D" w:rsidR="004732D2" w:rsidRPr="004732D2" w:rsidRDefault="004732D2" w:rsidP="00575546">
      <w:pPr>
        <w:jc w:val="both"/>
        <w:rPr>
          <w:sz w:val="20"/>
          <w:szCs w:val="20"/>
          <w:lang w:val="en-US"/>
        </w:rPr>
      </w:pPr>
      <w:r w:rsidRPr="004732D2">
        <w:rPr>
          <w:sz w:val="20"/>
          <w:szCs w:val="20"/>
          <w:lang w:val="en-US"/>
        </w:rPr>
        <w:t>The median values of temperature and pressure for TP and HPP were 58 ºC, and 300 MPa, respectively. For PEF, the median energy input was 79.5 kJ/L. For US, the median ultrasonic intensity value was 85 W/cm</w:t>
      </w:r>
      <w:r w:rsidRPr="004732D2">
        <w:rPr>
          <w:sz w:val="20"/>
          <w:szCs w:val="20"/>
          <w:vertAlign w:val="superscript"/>
          <w:lang w:val="en-US"/>
        </w:rPr>
        <w:t>2</w:t>
      </w:r>
      <w:r w:rsidRPr="004732D2">
        <w:rPr>
          <w:sz w:val="20"/>
          <w:szCs w:val="20"/>
          <w:lang w:val="en-US"/>
        </w:rPr>
        <w:t xml:space="preserve"> and the median temperature was 25 ºC. For NTP, a plate electrode shape was assumed as it was the most frequently used category. The median sample area and power density values were 19.6 cm</w:t>
      </w:r>
      <w:r w:rsidRPr="004732D2">
        <w:rPr>
          <w:sz w:val="20"/>
          <w:szCs w:val="20"/>
          <w:vertAlign w:val="superscript"/>
          <w:lang w:val="en-US"/>
        </w:rPr>
        <w:t>2</w:t>
      </w:r>
      <w:r w:rsidRPr="004732D2">
        <w:rPr>
          <w:sz w:val="20"/>
          <w:szCs w:val="20"/>
          <w:lang w:val="en-US"/>
        </w:rPr>
        <w:t xml:space="preserve"> (under the assumption that the apple juice was spread on the surface of the ground electrode of the DBD device) and 0.37 W/cm</w:t>
      </w:r>
      <w:r w:rsidRPr="004732D2">
        <w:rPr>
          <w:sz w:val="20"/>
          <w:szCs w:val="20"/>
          <w:vertAlign w:val="superscript"/>
          <w:lang w:val="en-US"/>
        </w:rPr>
        <w:t>3</w:t>
      </w:r>
      <w:r w:rsidRPr="004732D2">
        <w:rPr>
          <w:sz w:val="20"/>
          <w:szCs w:val="20"/>
          <w:lang w:val="en-US"/>
        </w:rPr>
        <w:t xml:space="preserve">, respectively. Using the aforementioned values in the models, the corresponding </w:t>
      </w:r>
      <w:r w:rsidRPr="004732D2">
        <w:rPr>
          <w:i/>
          <w:iCs/>
          <w:sz w:val="20"/>
          <w:szCs w:val="20"/>
          <w:lang w:val="en-US"/>
        </w:rPr>
        <w:t>D</w:t>
      </w:r>
      <w:r w:rsidRPr="004732D2">
        <w:rPr>
          <w:sz w:val="20"/>
          <w:szCs w:val="20"/>
          <w:lang w:val="en-US"/>
        </w:rPr>
        <w:t xml:space="preserve">-values for TP, HPP, US, and NTP, were estimated. These </w:t>
      </w:r>
      <w:r w:rsidRPr="004732D2">
        <w:rPr>
          <w:i/>
          <w:iCs/>
          <w:sz w:val="20"/>
          <w:szCs w:val="20"/>
          <w:lang w:val="en-US"/>
        </w:rPr>
        <w:t>D</w:t>
      </w:r>
      <w:r w:rsidRPr="004732D2">
        <w:rPr>
          <w:sz w:val="20"/>
          <w:szCs w:val="20"/>
          <w:lang w:val="en-US"/>
        </w:rPr>
        <w:t xml:space="preserve">-values, along with a processing time of 1 minute, were then applied in </w:t>
      </w:r>
      <w:hyperlink r:id="rId15" w:anchor="eq-primary" w:history="1">
        <w:r w:rsidRPr="004732D2">
          <w:rPr>
            <w:rStyle w:val="Hyperlink"/>
            <w:sz w:val="20"/>
            <w:szCs w:val="20"/>
            <w:lang w:val="en-US"/>
          </w:rPr>
          <w:t>Equation 1</w:t>
        </w:r>
      </w:hyperlink>
      <w:r w:rsidRPr="004732D2">
        <w:rPr>
          <w:sz w:val="20"/>
          <w:szCs w:val="20"/>
          <w:lang w:val="en-US"/>
        </w:rPr>
        <w:t xml:space="preserve"> to estimate the microbial reductions (</w:t>
      </w:r>
      <m:oMath>
        <m:sSub>
          <m:sSubPr>
            <m:ctrlPr>
              <w:rPr>
                <w:rFonts w:ascii="Cambria Math" w:hAnsi="Cambria Math"/>
                <w:sz w:val="20"/>
                <w:szCs w:val="20"/>
                <w:lang w:val="en-US"/>
              </w:rPr>
            </m:ctrlPr>
          </m:sSubPr>
          <m:e>
            <m:r>
              <m:rPr>
                <m:sty m:val="p"/>
              </m:rPr>
              <w:rPr>
                <w:rFonts w:ascii="Cambria Math" w:hAnsi="Cambria Math"/>
                <w:sz w:val="20"/>
                <w:szCs w:val="20"/>
                <w:lang w:val="en-US"/>
              </w:rPr>
              <m:t>log</m:t>
            </m:r>
          </m:e>
          <m:sub>
            <m:r>
              <w:rPr>
                <w:rFonts w:ascii="Cambria Math" w:hAnsi="Cambria Math"/>
                <w:sz w:val="20"/>
                <w:szCs w:val="20"/>
                <w:lang w:val="en-US"/>
              </w:rPr>
              <m:t>10</m:t>
            </m:r>
          </m:sub>
        </m:sSub>
        <m:sSub>
          <m:sSubPr>
            <m:ctrlPr>
              <w:rPr>
                <w:rFonts w:ascii="Cambria Math" w:hAnsi="Cambria Math"/>
                <w:sz w:val="20"/>
                <w:szCs w:val="20"/>
                <w:lang w:val="en-US"/>
              </w:rPr>
            </m:ctrlPr>
          </m:sSubPr>
          <m:e>
            <m:r>
              <w:rPr>
                <w:rFonts w:ascii="Cambria Math" w:hAnsi="Cambria Math"/>
                <w:sz w:val="20"/>
                <w:szCs w:val="20"/>
                <w:lang w:val="en-US"/>
              </w:rPr>
              <m:t>N</m:t>
            </m:r>
          </m:e>
          <m:sub>
            <m:r>
              <w:rPr>
                <w:rFonts w:ascii="Cambria Math" w:hAnsi="Cambria Math"/>
                <w:sz w:val="20"/>
                <w:szCs w:val="20"/>
                <w:lang w:val="en-US"/>
              </w:rPr>
              <m:t>0</m:t>
            </m:r>
          </m:sub>
        </m:sSub>
        <m:r>
          <m:rPr>
            <m:sty m:val="p"/>
          </m:rPr>
          <w:rPr>
            <w:rFonts w:ascii="Cambria Math" w:hAnsi="Cambria Math"/>
            <w:sz w:val="20"/>
            <w:szCs w:val="20"/>
            <w:lang w:val="en-US"/>
          </w:rPr>
          <m:t>-</m:t>
        </m:r>
        <m:sSub>
          <m:sSubPr>
            <m:ctrlPr>
              <w:rPr>
                <w:rFonts w:ascii="Cambria Math" w:hAnsi="Cambria Math"/>
                <w:sz w:val="20"/>
                <w:szCs w:val="20"/>
                <w:lang w:val="en-US"/>
              </w:rPr>
            </m:ctrlPr>
          </m:sSubPr>
          <m:e>
            <m:r>
              <m:rPr>
                <m:sty m:val="p"/>
              </m:rPr>
              <w:rPr>
                <w:rFonts w:ascii="Cambria Math" w:hAnsi="Cambria Math"/>
                <w:sz w:val="20"/>
                <w:szCs w:val="20"/>
                <w:lang w:val="en-US"/>
              </w:rPr>
              <m:t>log</m:t>
            </m:r>
          </m:e>
          <m:sub>
            <m:r>
              <w:rPr>
                <w:rFonts w:ascii="Cambria Math" w:hAnsi="Cambria Math"/>
                <w:sz w:val="20"/>
                <w:szCs w:val="20"/>
                <w:lang w:val="en-US"/>
              </w:rPr>
              <m:t>10</m:t>
            </m:r>
          </m:sub>
        </m:sSub>
        <m:r>
          <w:rPr>
            <w:rFonts w:ascii="Cambria Math" w:hAnsi="Cambria Math"/>
            <w:sz w:val="20"/>
            <w:szCs w:val="20"/>
            <w:lang w:val="en-US"/>
          </w:rPr>
          <m:t>N</m:t>
        </m:r>
      </m:oMath>
      <w:r w:rsidRPr="004732D2">
        <w:rPr>
          <w:sz w:val="20"/>
          <w:szCs w:val="20"/>
          <w:lang w:val="en-US"/>
        </w:rPr>
        <w:t xml:space="preserve">). For PEF, </w:t>
      </w:r>
      <w:hyperlink r:id="rId16" w:anchor="eq-prim-pef" w:history="1">
        <w:r w:rsidRPr="004732D2">
          <w:rPr>
            <w:rStyle w:val="Hyperlink"/>
            <w:sz w:val="20"/>
            <w:szCs w:val="20"/>
            <w:lang w:val="en-US"/>
          </w:rPr>
          <w:t>Equation 5</w:t>
        </w:r>
      </w:hyperlink>
      <w:r w:rsidRPr="004732D2">
        <w:rPr>
          <w:sz w:val="20"/>
          <w:szCs w:val="20"/>
          <w:lang w:val="en-US"/>
        </w:rPr>
        <w:t xml:space="preserve"> was directly used to estimate the microbial reductions. The achieved log</w:t>
      </w:r>
      <w:r w:rsidRPr="004732D2">
        <w:rPr>
          <w:sz w:val="20"/>
          <w:szCs w:val="20"/>
          <w:vertAlign w:val="subscript"/>
          <w:lang w:val="en-US"/>
        </w:rPr>
        <w:t>10</w:t>
      </w:r>
      <w:r w:rsidRPr="004732D2">
        <w:rPr>
          <w:sz w:val="20"/>
          <w:szCs w:val="20"/>
          <w:lang w:val="en-US"/>
        </w:rPr>
        <w:t xml:space="preserve"> reductions were: i., 2.4 (TP); ii., 2.6 (HPP); iii., 2.7 (PEF), iv., 0.09 (US); v., 0.09 (NTP). Given the initial contamination of the fruit juice of 10 CFU/ml and a prevalence of 100%, this can be translated in a microbial concentration of </w:t>
      </w:r>
      <w:r w:rsidRPr="004732D2">
        <w:rPr>
          <w:i/>
          <w:iCs/>
          <w:sz w:val="20"/>
          <w:szCs w:val="20"/>
          <w:lang w:val="en-US"/>
        </w:rPr>
        <w:t>E. coli</w:t>
      </w:r>
      <w:r w:rsidRPr="004732D2">
        <w:rPr>
          <w:sz w:val="20"/>
          <w:szCs w:val="20"/>
          <w:lang w:val="en-US"/>
        </w:rPr>
        <w:t xml:space="preserve"> O157:H7 in the apple juice after processing of -1.4, - 1.6, -1.7, 0.91, and 0.91 log</w:t>
      </w:r>
      <w:r w:rsidRPr="004732D2">
        <w:rPr>
          <w:sz w:val="20"/>
          <w:szCs w:val="20"/>
          <w:vertAlign w:val="subscript"/>
          <w:lang w:val="en-US"/>
        </w:rPr>
        <w:t>10</w:t>
      </w:r>
      <w:r w:rsidRPr="004732D2">
        <w:rPr>
          <w:sz w:val="20"/>
          <w:szCs w:val="20"/>
          <w:lang w:val="en-US"/>
        </w:rPr>
        <w:t xml:space="preserve"> CFU/ml, respectively. Although this approach provided some insights regarding the central tendency of the reported parameters in the literature and their </w:t>
      </w:r>
      <w:r w:rsidRPr="004732D2">
        <w:rPr>
          <w:sz w:val="20"/>
          <w:szCs w:val="20"/>
          <w:lang w:val="en-US"/>
        </w:rPr>
        <w:lastRenderedPageBreak/>
        <w:t>corresponding reductions, it cannot be used to evaluate the overall efficacy of a technology. This is because the median values in a database are not necessarily realistic for industrial applications. For example, typical pasteurization conditions of milk involve processing at 72 ºC for 15-20 seconds, which would result in 33.5 and 44.7 log</w:t>
      </w:r>
      <w:r w:rsidRPr="004732D2">
        <w:rPr>
          <w:sz w:val="20"/>
          <w:szCs w:val="20"/>
          <w:vertAlign w:val="subscript"/>
          <w:lang w:val="en-US"/>
        </w:rPr>
        <w:t>10</w:t>
      </w:r>
      <w:r w:rsidRPr="004732D2">
        <w:rPr>
          <w:sz w:val="20"/>
          <w:szCs w:val="20"/>
          <w:lang w:val="en-US"/>
        </w:rPr>
        <w:t xml:space="preserve"> reductions in the apple juice, respectively. According to the FDA, processing at &gt;160 F (71.11 ºC) for 6 seconds can achieve a 5-log</w:t>
      </w:r>
      <w:r w:rsidRPr="004732D2">
        <w:rPr>
          <w:sz w:val="20"/>
          <w:szCs w:val="20"/>
          <w:vertAlign w:val="subscript"/>
          <w:lang w:val="en-US"/>
        </w:rPr>
        <w:t>10</w:t>
      </w:r>
      <w:r w:rsidRPr="004732D2">
        <w:rPr>
          <w:sz w:val="20"/>
          <w:szCs w:val="20"/>
          <w:lang w:val="en-US"/>
        </w:rPr>
        <w:t xml:space="preserve"> reduction of </w:t>
      </w:r>
      <w:r w:rsidRPr="004732D2">
        <w:rPr>
          <w:i/>
          <w:iCs/>
          <w:sz w:val="20"/>
          <w:szCs w:val="20"/>
          <w:lang w:val="en-US"/>
        </w:rPr>
        <w:t>E. coli</w:t>
      </w:r>
      <w:r w:rsidRPr="004732D2">
        <w:rPr>
          <w:sz w:val="20"/>
          <w:szCs w:val="20"/>
          <w:lang w:val="en-US"/>
        </w:rPr>
        <w:t xml:space="preserve"> O157:H7 in apple juice (US FDA, 2024), which also aligns with the current meta-regression model which estimates 9.3 log</w:t>
      </w:r>
      <w:r w:rsidRPr="004732D2">
        <w:rPr>
          <w:sz w:val="20"/>
          <w:szCs w:val="20"/>
          <w:vertAlign w:val="subscript"/>
          <w:lang w:val="en-US"/>
        </w:rPr>
        <w:t>10</w:t>
      </w:r>
      <w:r w:rsidRPr="004732D2">
        <w:rPr>
          <w:sz w:val="20"/>
          <w:szCs w:val="20"/>
          <w:lang w:val="en-US"/>
        </w:rPr>
        <w:t xml:space="preserve"> reductions, under the same conditions. For HPP, 1 minute of processing in 550 MPa would result in 3.2 log</w:t>
      </w:r>
      <w:r w:rsidRPr="004732D2">
        <w:rPr>
          <w:sz w:val="20"/>
          <w:szCs w:val="20"/>
          <w:vertAlign w:val="subscript"/>
          <w:lang w:val="en-US"/>
        </w:rPr>
        <w:t>10</w:t>
      </w:r>
      <w:r w:rsidRPr="004732D2">
        <w:rPr>
          <w:sz w:val="20"/>
          <w:szCs w:val="20"/>
          <w:lang w:val="en-US"/>
        </w:rPr>
        <w:t xml:space="preserve"> reductions, while 600 MPa would result in 4.9 log</w:t>
      </w:r>
      <w:r w:rsidRPr="004732D2">
        <w:rPr>
          <w:sz w:val="20"/>
          <w:szCs w:val="20"/>
          <w:vertAlign w:val="subscript"/>
          <w:lang w:val="en-US"/>
        </w:rPr>
        <w:t>10</w:t>
      </w:r>
      <w:r w:rsidRPr="004732D2">
        <w:rPr>
          <w:sz w:val="20"/>
          <w:szCs w:val="20"/>
          <w:lang w:val="en-US"/>
        </w:rPr>
        <w:t xml:space="preserve"> reductions. According to Aganovic &amp; Smetana (2022), the energy input levels for treating heat-sensitive liquids typically range between 80-120 kJ/kg (or 82-124 kJ/L, assuming an apple juice </w:t>
      </w:r>
      <w:r w:rsidR="000914AB">
        <w:rPr>
          <w:sz w:val="20"/>
          <w:szCs w:val="20"/>
          <w:lang w:val="en-US"/>
        </w:rPr>
        <w:t xml:space="preserve">density </w:t>
      </w:r>
      <w:r w:rsidRPr="004732D2">
        <w:rPr>
          <w:sz w:val="20"/>
          <w:szCs w:val="20"/>
          <w:lang w:val="en-US"/>
        </w:rPr>
        <w:t>of 1.03 kg/L (</w:t>
      </w:r>
      <w:proofErr w:type="spellStart"/>
      <w:r w:rsidRPr="004732D2">
        <w:rPr>
          <w:sz w:val="20"/>
          <w:szCs w:val="20"/>
          <w:lang w:val="en-US"/>
        </w:rPr>
        <w:t>Rydzak</w:t>
      </w:r>
      <w:proofErr w:type="spellEnd"/>
      <w:r w:rsidRPr="004732D2">
        <w:rPr>
          <w:sz w:val="20"/>
          <w:szCs w:val="20"/>
          <w:lang w:val="en-US"/>
        </w:rPr>
        <w:t xml:space="preserve"> et al., 2020)). Using the meta-regression model for PEF in high-acidic fruit juices with </w:t>
      </w:r>
      <w:r w:rsidRPr="004732D2">
        <w:rPr>
          <w:i/>
          <w:iCs/>
          <w:sz w:val="20"/>
          <w:szCs w:val="20"/>
          <w:lang w:val="en-US"/>
        </w:rPr>
        <w:t>E. coli</w:t>
      </w:r>
      <w:r w:rsidRPr="004732D2">
        <w:rPr>
          <w:sz w:val="20"/>
          <w:szCs w:val="20"/>
          <w:lang w:val="en-US"/>
        </w:rPr>
        <w:t xml:space="preserve"> this energy input would translate to 2.8-3.8 log</w:t>
      </w:r>
      <w:r w:rsidRPr="004732D2">
        <w:rPr>
          <w:sz w:val="20"/>
          <w:szCs w:val="20"/>
          <w:vertAlign w:val="subscript"/>
          <w:lang w:val="en-US"/>
        </w:rPr>
        <w:t>10</w:t>
      </w:r>
      <w:r w:rsidRPr="004732D2">
        <w:rPr>
          <w:sz w:val="20"/>
          <w:szCs w:val="20"/>
          <w:lang w:val="en-US"/>
        </w:rPr>
        <w:t xml:space="preserve"> reductions.</w:t>
      </w:r>
    </w:p>
    <w:p w14:paraId="226DF4DF" w14:textId="77777777" w:rsidR="004732D2" w:rsidRPr="004732D2" w:rsidRDefault="004732D2" w:rsidP="00575546">
      <w:pPr>
        <w:jc w:val="both"/>
        <w:rPr>
          <w:b/>
          <w:bCs/>
          <w:sz w:val="20"/>
          <w:szCs w:val="20"/>
          <w:lang w:val="en-US"/>
        </w:rPr>
      </w:pPr>
      <w:bookmarkStart w:id="10" w:name="Xc9fd033a3d23fe6b5fb8c8feaab543bb4777e0c"/>
      <w:bookmarkEnd w:id="9"/>
      <w:r w:rsidRPr="004732D2">
        <w:rPr>
          <w:b/>
          <w:bCs/>
          <w:sz w:val="20"/>
          <w:szCs w:val="20"/>
          <w:lang w:val="en-US"/>
        </w:rPr>
        <w:t>3.2 Relevant combinations of parameters to achieve a 5-log</w:t>
      </w:r>
      <w:r w:rsidRPr="004732D2">
        <w:rPr>
          <w:b/>
          <w:bCs/>
          <w:sz w:val="20"/>
          <w:szCs w:val="20"/>
          <w:vertAlign w:val="subscript"/>
          <w:lang w:val="en-US"/>
        </w:rPr>
        <w:t>10</w:t>
      </w:r>
      <w:r w:rsidRPr="004732D2">
        <w:rPr>
          <w:b/>
          <w:bCs/>
          <w:sz w:val="20"/>
          <w:szCs w:val="20"/>
          <w:lang w:val="en-US"/>
        </w:rPr>
        <w:t xml:space="preserve"> reduction</w:t>
      </w:r>
    </w:p>
    <w:p w14:paraId="6F57D84A" w14:textId="07FDC675" w:rsidR="004732D2" w:rsidRPr="004732D2" w:rsidRDefault="004732D2" w:rsidP="00575546">
      <w:pPr>
        <w:jc w:val="both"/>
        <w:rPr>
          <w:sz w:val="20"/>
          <w:szCs w:val="20"/>
          <w:lang w:val="en-US"/>
        </w:rPr>
      </w:pPr>
      <w:r w:rsidRPr="004732D2">
        <w:rPr>
          <w:sz w:val="20"/>
          <w:szCs w:val="20"/>
          <w:lang w:val="en-US"/>
        </w:rPr>
        <w:t>The 5-log</w:t>
      </w:r>
      <w:r w:rsidRPr="004732D2">
        <w:rPr>
          <w:sz w:val="20"/>
          <w:szCs w:val="20"/>
          <w:vertAlign w:val="subscript"/>
          <w:lang w:val="en-US"/>
        </w:rPr>
        <w:t>10</w:t>
      </w:r>
      <w:r w:rsidRPr="004732D2">
        <w:rPr>
          <w:sz w:val="20"/>
          <w:szCs w:val="20"/>
          <w:lang w:val="en-US"/>
        </w:rPr>
        <w:t xml:space="preserve"> reduction goal, in the case of an initial concentration of 10 CFU of </w:t>
      </w:r>
      <w:r w:rsidRPr="004732D2">
        <w:rPr>
          <w:i/>
          <w:iCs/>
          <w:sz w:val="20"/>
          <w:szCs w:val="20"/>
          <w:lang w:val="en-US"/>
        </w:rPr>
        <w:t>E. coli</w:t>
      </w:r>
      <w:r w:rsidRPr="004732D2">
        <w:rPr>
          <w:sz w:val="20"/>
          <w:szCs w:val="20"/>
          <w:lang w:val="en-US"/>
        </w:rPr>
        <w:t xml:space="preserve"> O157:H7 per milliliter of apple juice with 100% prevalence could be translated to 1 CFU of </w:t>
      </w:r>
      <w:r w:rsidRPr="004732D2">
        <w:rPr>
          <w:i/>
          <w:iCs/>
          <w:sz w:val="20"/>
          <w:szCs w:val="20"/>
          <w:lang w:val="en-US"/>
        </w:rPr>
        <w:t>E. coli</w:t>
      </w:r>
      <w:r w:rsidRPr="004732D2">
        <w:rPr>
          <w:sz w:val="20"/>
          <w:szCs w:val="20"/>
          <w:lang w:val="en-US"/>
        </w:rPr>
        <w:t xml:space="preserve"> O157:H7 in 10 L of apple juice after processing, which might still pose a non-acceptable food safety risk. However, based on the findings of EFSA (2011) the prevalence of </w:t>
      </w:r>
      <w:r w:rsidRPr="004732D2">
        <w:rPr>
          <w:i/>
          <w:iCs/>
          <w:sz w:val="20"/>
          <w:szCs w:val="20"/>
          <w:lang w:val="en-US"/>
        </w:rPr>
        <w:t>E. coli</w:t>
      </w:r>
      <w:r w:rsidRPr="004732D2">
        <w:rPr>
          <w:sz w:val="20"/>
          <w:szCs w:val="20"/>
          <w:lang w:val="en-US"/>
        </w:rPr>
        <w:t xml:space="preserve"> O157:H7 can be close to 0%, making the 5-log</w:t>
      </w:r>
      <w:r w:rsidRPr="004732D2">
        <w:rPr>
          <w:sz w:val="20"/>
          <w:szCs w:val="20"/>
          <w:vertAlign w:val="subscript"/>
          <w:lang w:val="en-US"/>
        </w:rPr>
        <w:t>10</w:t>
      </w:r>
      <w:r w:rsidRPr="004732D2">
        <w:rPr>
          <w:sz w:val="20"/>
          <w:szCs w:val="20"/>
          <w:lang w:val="en-US"/>
        </w:rPr>
        <w:t xml:space="preserve"> reduction goal sufficiently robust. To achieve a 5-log</w:t>
      </w:r>
      <w:r w:rsidRPr="004732D2">
        <w:rPr>
          <w:sz w:val="20"/>
          <w:szCs w:val="20"/>
          <w:vertAlign w:val="subscript"/>
          <w:lang w:val="en-US"/>
        </w:rPr>
        <w:t>10</w:t>
      </w:r>
      <w:r w:rsidRPr="004732D2">
        <w:rPr>
          <w:sz w:val="20"/>
          <w:szCs w:val="20"/>
          <w:lang w:val="en-US"/>
        </w:rPr>
        <w:t xml:space="preserve"> reduction</w:t>
      </w:r>
      <w:r w:rsidR="006E4479">
        <w:rPr>
          <w:sz w:val="20"/>
          <w:szCs w:val="20"/>
          <w:lang w:val="en-US"/>
        </w:rPr>
        <w:t>,</w:t>
      </w:r>
      <w:r w:rsidRPr="004732D2">
        <w:rPr>
          <w:sz w:val="20"/>
          <w:szCs w:val="20"/>
          <w:lang w:val="en-US"/>
        </w:rPr>
        <w:t xml:space="preserve"> multiple parameters could be adjusted based on the technology of interest. For example for TP a thermal profile of 70 ºC for 5.1 seconds would be sufficient to achieve a 5-log</w:t>
      </w:r>
      <w:r w:rsidRPr="004732D2">
        <w:rPr>
          <w:sz w:val="20"/>
          <w:szCs w:val="20"/>
          <w:vertAlign w:val="subscript"/>
          <w:lang w:val="en-US"/>
        </w:rPr>
        <w:t>10</w:t>
      </w:r>
      <w:r w:rsidRPr="004732D2">
        <w:rPr>
          <w:sz w:val="20"/>
          <w:szCs w:val="20"/>
          <w:lang w:val="en-US"/>
        </w:rPr>
        <w:t xml:space="preserve"> reduction, or a thermal profile of 67.4 ºC for 15 seconds. For HPP, a combination of 550 MPa and 1.6 minutes would achieve a 5-log</w:t>
      </w:r>
      <w:r w:rsidRPr="004732D2">
        <w:rPr>
          <w:sz w:val="20"/>
          <w:szCs w:val="20"/>
          <w:vertAlign w:val="subscript"/>
          <w:lang w:val="en-US"/>
        </w:rPr>
        <w:t>10</w:t>
      </w:r>
      <w:r w:rsidRPr="004732D2">
        <w:rPr>
          <w:sz w:val="20"/>
          <w:szCs w:val="20"/>
          <w:lang w:val="en-US"/>
        </w:rPr>
        <w:t xml:space="preserve"> reduction, as would a combination of 600 MPa and 1.02 minutes. For US, if the apple juice was treated at 25 ºC and the ultrasonic intensity was set at 85 W/cm</w:t>
      </w:r>
      <w:r w:rsidRPr="004732D2">
        <w:rPr>
          <w:sz w:val="20"/>
          <w:szCs w:val="20"/>
          <w:vertAlign w:val="superscript"/>
          <w:lang w:val="en-US"/>
        </w:rPr>
        <w:t>2</w:t>
      </w:r>
      <w:r w:rsidRPr="004732D2">
        <w:rPr>
          <w:sz w:val="20"/>
          <w:szCs w:val="20"/>
          <w:lang w:val="en-US"/>
        </w:rPr>
        <w:t>, 56.7 minutes of processing would be needed to achieve a 5-log</w:t>
      </w:r>
      <w:r w:rsidRPr="004732D2">
        <w:rPr>
          <w:sz w:val="20"/>
          <w:szCs w:val="20"/>
          <w:vertAlign w:val="subscript"/>
          <w:lang w:val="en-US"/>
        </w:rPr>
        <w:t>10</w:t>
      </w:r>
      <w:r w:rsidRPr="004732D2">
        <w:rPr>
          <w:sz w:val="20"/>
          <w:szCs w:val="20"/>
          <w:lang w:val="en-US"/>
        </w:rPr>
        <w:t xml:space="preserve"> reduction. To maintain the processing time in 1 minute with an inlet temperature of 25 ºC, an ultrasonic intensity of 847 W/cm</w:t>
      </w:r>
      <w:r w:rsidRPr="004732D2">
        <w:rPr>
          <w:sz w:val="20"/>
          <w:szCs w:val="20"/>
          <w:vertAlign w:val="superscript"/>
          <w:lang w:val="en-US"/>
        </w:rPr>
        <w:t>2</w:t>
      </w:r>
      <w:r w:rsidRPr="004732D2">
        <w:rPr>
          <w:sz w:val="20"/>
          <w:szCs w:val="20"/>
          <w:lang w:val="en-US"/>
        </w:rPr>
        <w:t xml:space="preserve"> would be required. Another scenario would involve adjusting the temperature to 35 ºC with pre-treatment and treating the product for 5 minutes, in which case an ultrasonic intensity of 483 W/cm</w:t>
      </w:r>
      <w:r w:rsidRPr="004732D2">
        <w:rPr>
          <w:sz w:val="20"/>
          <w:szCs w:val="20"/>
          <w:vertAlign w:val="superscript"/>
          <w:lang w:val="en-US"/>
        </w:rPr>
        <w:t>2</w:t>
      </w:r>
      <w:r w:rsidRPr="004732D2">
        <w:rPr>
          <w:sz w:val="20"/>
          <w:szCs w:val="20"/>
          <w:lang w:val="en-US"/>
        </w:rPr>
        <w:t xml:space="preserve"> would be needed. For NTP, the adjustable processing parameters are the power intensity and the processing time. Keeping all parameters at their median values, as explained above, 58.7 minutes of processing would be required. To reduce the processing time to 1 minute, a power density value of 1.55 W/cm</w:t>
      </w:r>
      <w:r w:rsidRPr="004732D2">
        <w:rPr>
          <w:sz w:val="20"/>
          <w:szCs w:val="20"/>
          <w:vertAlign w:val="superscript"/>
          <w:lang w:val="en-US"/>
        </w:rPr>
        <w:t>3</w:t>
      </w:r>
      <w:r w:rsidRPr="004732D2">
        <w:rPr>
          <w:sz w:val="20"/>
          <w:szCs w:val="20"/>
          <w:lang w:val="en-US"/>
        </w:rPr>
        <w:t xml:space="preserve"> would be needed to achieve a 5-log</w:t>
      </w:r>
      <w:r w:rsidRPr="004732D2">
        <w:rPr>
          <w:sz w:val="20"/>
          <w:szCs w:val="20"/>
          <w:vertAlign w:val="subscript"/>
          <w:lang w:val="en-US"/>
        </w:rPr>
        <w:t>10</w:t>
      </w:r>
      <w:r w:rsidRPr="004732D2">
        <w:rPr>
          <w:sz w:val="20"/>
          <w:szCs w:val="20"/>
          <w:lang w:val="en-US"/>
        </w:rPr>
        <w:t xml:space="preserve"> reduction. Alternatively, a processing time of 5 minutes combined with a power density of 1.08 W/cm</w:t>
      </w:r>
      <w:r w:rsidRPr="004732D2">
        <w:rPr>
          <w:sz w:val="20"/>
          <w:szCs w:val="20"/>
          <w:vertAlign w:val="superscript"/>
          <w:lang w:val="en-US"/>
        </w:rPr>
        <w:t>3</w:t>
      </w:r>
      <w:r w:rsidRPr="004732D2">
        <w:rPr>
          <w:sz w:val="20"/>
          <w:szCs w:val="20"/>
          <w:lang w:val="en-US"/>
        </w:rPr>
        <w:t>, could also provide a 5-log</w:t>
      </w:r>
      <w:r w:rsidRPr="004732D2">
        <w:rPr>
          <w:sz w:val="20"/>
          <w:szCs w:val="20"/>
          <w:vertAlign w:val="subscript"/>
          <w:lang w:val="en-US"/>
        </w:rPr>
        <w:t>10</w:t>
      </w:r>
      <w:r w:rsidRPr="004732D2">
        <w:rPr>
          <w:sz w:val="20"/>
          <w:szCs w:val="20"/>
          <w:lang w:val="en-US"/>
        </w:rPr>
        <w:t xml:space="preserve"> reduction. Lastly, for PEF an energy input of 171 kJ/L would be required to achieve the 5-log</w:t>
      </w:r>
      <w:r w:rsidRPr="004732D2">
        <w:rPr>
          <w:sz w:val="20"/>
          <w:szCs w:val="20"/>
          <w:vertAlign w:val="subscript"/>
          <w:lang w:val="en-US"/>
        </w:rPr>
        <w:t>10</w:t>
      </w:r>
      <w:r w:rsidRPr="004732D2">
        <w:rPr>
          <w:sz w:val="20"/>
          <w:szCs w:val="20"/>
          <w:lang w:val="en-US"/>
        </w:rPr>
        <w:t xml:space="preserve"> reduction.</w:t>
      </w:r>
    </w:p>
    <w:p w14:paraId="18118173" w14:textId="77777777" w:rsidR="004732D2" w:rsidRPr="004732D2" w:rsidRDefault="004732D2" w:rsidP="00575546">
      <w:pPr>
        <w:jc w:val="both"/>
        <w:rPr>
          <w:b/>
          <w:bCs/>
          <w:sz w:val="20"/>
          <w:szCs w:val="20"/>
          <w:lang w:val="en-US"/>
        </w:rPr>
      </w:pPr>
      <w:bookmarkStart w:id="11" w:name="Xb6891eebacb86a6d60301e3c76707b46a279f46"/>
      <w:bookmarkEnd w:id="10"/>
      <w:r w:rsidRPr="004732D2">
        <w:rPr>
          <w:b/>
          <w:bCs/>
          <w:sz w:val="20"/>
          <w:szCs w:val="20"/>
          <w:lang w:val="en-US"/>
        </w:rPr>
        <w:t>3.3 Comparison of the achieved reductions on an energy usage basis</w:t>
      </w:r>
    </w:p>
    <w:p w14:paraId="729FE846" w14:textId="67734940" w:rsidR="004732D2" w:rsidRPr="004732D2" w:rsidRDefault="004732D2" w:rsidP="00575546">
      <w:pPr>
        <w:jc w:val="both"/>
        <w:rPr>
          <w:sz w:val="20"/>
          <w:szCs w:val="20"/>
          <w:lang w:val="en-US"/>
        </w:rPr>
      </w:pPr>
      <w:r w:rsidRPr="004732D2">
        <w:rPr>
          <w:sz w:val="20"/>
          <w:szCs w:val="20"/>
          <w:lang w:val="en-US"/>
        </w:rPr>
        <w:t xml:space="preserve">For NTP, and US there is no available literature comparing these technologies with TP. Therefore, the comparison based on energy usage only included TP, HPP, and PEF. According to Aganovic et al. (2017), treating tomato juice at 74 ºC for 30 seconds requires 137 kJ/L. For HPP, a treatment of 600 MPa for 5 minutes requires 652 kJ/L, while PEF treatment at 188 kJ/kg (or 194 kJ/L, assuming a density of 1.03 kg/L) requires 433 kJ/L, including the electricity losses. According to the meta-regression models developed, these </w:t>
      </w:r>
      <w:r w:rsidRPr="004732D2">
        <w:rPr>
          <w:sz w:val="20"/>
          <w:szCs w:val="20"/>
          <w:lang w:val="en-US"/>
        </w:rPr>
        <w:lastRenderedPageBreak/>
        <w:t>energy usage levels would result in 152, 24.5, and 5.6 log</w:t>
      </w:r>
      <w:r w:rsidRPr="004732D2">
        <w:rPr>
          <w:sz w:val="20"/>
          <w:szCs w:val="20"/>
          <w:vertAlign w:val="subscript"/>
          <w:lang w:val="en-US"/>
        </w:rPr>
        <w:t>10</w:t>
      </w:r>
      <w:r w:rsidRPr="004732D2">
        <w:rPr>
          <w:sz w:val="20"/>
          <w:szCs w:val="20"/>
          <w:lang w:val="en-US"/>
        </w:rPr>
        <w:t xml:space="preserve"> reductions, for TP, HPP, and PEF, respectively. Consequently, to achieve a 5-log</w:t>
      </w:r>
      <w:r w:rsidRPr="004732D2">
        <w:rPr>
          <w:sz w:val="20"/>
          <w:szCs w:val="20"/>
          <w:vertAlign w:val="subscript"/>
          <w:lang w:val="en-US"/>
        </w:rPr>
        <w:t>10</w:t>
      </w:r>
      <w:r w:rsidRPr="004732D2">
        <w:rPr>
          <w:sz w:val="20"/>
          <w:szCs w:val="20"/>
          <w:lang w:val="en-US"/>
        </w:rPr>
        <w:t xml:space="preserve"> reduction, the required energy usage levels would be 4.5 kJ/L for TP, 133 kJ/L for HPP, and 387 kJ/L for PEF. It should be noted that these energy usage estimates to achieve 5-log</w:t>
      </w:r>
      <w:r w:rsidRPr="004732D2">
        <w:rPr>
          <w:sz w:val="20"/>
          <w:szCs w:val="20"/>
          <w:vertAlign w:val="subscript"/>
          <w:lang w:val="en-US"/>
        </w:rPr>
        <w:t>10</w:t>
      </w:r>
      <w:r w:rsidRPr="004732D2">
        <w:rPr>
          <w:sz w:val="20"/>
          <w:szCs w:val="20"/>
          <w:lang w:val="en-US"/>
        </w:rPr>
        <w:t xml:space="preserve"> reduction implies a linear relationship between energy usage and processing time for TP and HPP, and between energy usage and energy input for PEF, which although in principle should be a valid approach, may not be entirely accurate (e.g., HPP includes stable compression and decompression times in addition to the holding time (processing time) that also consume energy).</w:t>
      </w:r>
    </w:p>
    <w:p w14:paraId="7B9EBAEA" w14:textId="77777777" w:rsidR="004732D2" w:rsidRPr="004732D2" w:rsidRDefault="004732D2" w:rsidP="00575546">
      <w:pPr>
        <w:jc w:val="both"/>
        <w:rPr>
          <w:b/>
          <w:bCs/>
          <w:sz w:val="20"/>
          <w:szCs w:val="20"/>
          <w:lang w:val="en-US"/>
        </w:rPr>
      </w:pPr>
      <w:bookmarkStart w:id="12" w:name="Xc1deb018f15713ab30a6c00cdfc99ec8f10c915"/>
      <w:bookmarkEnd w:id="11"/>
      <w:r w:rsidRPr="004732D2">
        <w:rPr>
          <w:b/>
          <w:bCs/>
          <w:sz w:val="20"/>
          <w:szCs w:val="20"/>
          <w:lang w:val="en-US"/>
        </w:rPr>
        <w:t>3.4 Additional considerations regarding decontamination efficacy and up-scaling capabilities of the different technologies</w:t>
      </w:r>
    </w:p>
    <w:p w14:paraId="13759C05" w14:textId="6BCBF64B" w:rsidR="004732D2" w:rsidRPr="004732D2" w:rsidRDefault="004732D2" w:rsidP="00575546">
      <w:pPr>
        <w:jc w:val="both"/>
        <w:rPr>
          <w:sz w:val="20"/>
          <w:szCs w:val="20"/>
          <w:lang w:val="en-US"/>
        </w:rPr>
      </w:pPr>
      <w:r w:rsidRPr="004732D2">
        <w:rPr>
          <w:sz w:val="20"/>
          <w:szCs w:val="20"/>
          <w:lang w:val="en-US"/>
        </w:rPr>
        <w:t>Besides decontamination efficacy, the up-scaling capabilities of the different non-thermal technologies also vary, affecting their applicability. For instance, HPP is already used in the food industry for refrigerated fruit juices in batch mode (treated inside plastic bottles), whereas PEF could be implemented in continuous mode, which is generally preferable for industrial applications. However, in PEF the thermal effect cannot be fully excluded when high levels of energy input are applied. With a heat capacity of approximately 4 J/kg·ºC, an energy input of 200 kJ/kg would increase the temperature by about 50 ºC for micro- to milli-seconds, depending on the setup. The up-scaling capabilities of U</w:t>
      </w:r>
      <w:r w:rsidR="00C03ADC">
        <w:rPr>
          <w:sz w:val="20"/>
          <w:szCs w:val="20"/>
          <w:lang w:val="en-US"/>
        </w:rPr>
        <w:t>S</w:t>
      </w:r>
      <w:r w:rsidRPr="004732D2">
        <w:rPr>
          <w:sz w:val="20"/>
          <w:szCs w:val="20"/>
          <w:lang w:val="en-US"/>
        </w:rPr>
        <w:t xml:space="preserve"> are not yet clear. Currently, the data collected for model development were at lab-scale, with experiments applied in batch mode and the ultrasonic probe placed inside the treatment matrix leading to higher processing temperatures. For NTP, the developed multiple linear regression model was based on a DBD setup and with direct treatment of the target matrix, where liquid matrices were spread on the ground electrode for treatment. Thus, NTP, in its current form, may not be suitable for up-scaling in the fruit juice industry but could be more appropriate for other applications such as solid food surfaces and packages (Liao et al., 2017). From our analysis, TP appeared to require less energy than HPP and PEF aligning with existing literature (Aganovic et al., 2017; </w:t>
      </w:r>
      <w:proofErr w:type="spellStart"/>
      <w:r w:rsidRPr="004732D2">
        <w:rPr>
          <w:sz w:val="20"/>
          <w:szCs w:val="20"/>
          <w:lang w:val="en-US"/>
        </w:rPr>
        <w:t>Atuonwu</w:t>
      </w:r>
      <w:proofErr w:type="spellEnd"/>
      <w:r w:rsidRPr="004732D2">
        <w:rPr>
          <w:sz w:val="20"/>
          <w:szCs w:val="20"/>
          <w:lang w:val="en-US"/>
        </w:rPr>
        <w:t xml:space="preserve"> et al., 2018; </w:t>
      </w:r>
      <w:proofErr w:type="spellStart"/>
      <w:r w:rsidRPr="004732D2">
        <w:rPr>
          <w:sz w:val="20"/>
          <w:szCs w:val="20"/>
          <w:lang w:val="en-US"/>
        </w:rPr>
        <w:t>Cacace</w:t>
      </w:r>
      <w:proofErr w:type="spellEnd"/>
      <w:r w:rsidRPr="004732D2">
        <w:rPr>
          <w:sz w:val="20"/>
          <w:szCs w:val="20"/>
          <w:lang w:val="en-US"/>
        </w:rPr>
        <w:t xml:space="preserve"> et al., 2020). However, despite HPP’s higher energy usage, TP often relies on steam generated by burning methane in industrial processes, possibly making it less sustainable overall</w:t>
      </w:r>
      <w:r w:rsidR="005F495B">
        <w:rPr>
          <w:sz w:val="20"/>
          <w:szCs w:val="20"/>
          <w:lang w:val="en-US"/>
        </w:rPr>
        <w:t xml:space="preserve"> </w:t>
      </w:r>
      <w:r w:rsidRPr="004732D2">
        <w:rPr>
          <w:sz w:val="20"/>
          <w:szCs w:val="20"/>
          <w:lang w:val="en-US"/>
        </w:rPr>
        <w:t>(</w:t>
      </w:r>
      <w:proofErr w:type="spellStart"/>
      <w:r w:rsidRPr="004732D2">
        <w:rPr>
          <w:sz w:val="20"/>
          <w:szCs w:val="20"/>
          <w:lang w:val="en-US"/>
        </w:rPr>
        <w:t>Cacace</w:t>
      </w:r>
      <w:proofErr w:type="spellEnd"/>
      <w:r w:rsidRPr="004732D2">
        <w:rPr>
          <w:sz w:val="20"/>
          <w:szCs w:val="20"/>
          <w:lang w:val="en-US"/>
        </w:rPr>
        <w:t xml:space="preserve"> et al., 2020). Our results show that PEF involves higher energy usage to achieve 5-log</w:t>
      </w:r>
      <w:r w:rsidRPr="004732D2">
        <w:rPr>
          <w:sz w:val="20"/>
          <w:szCs w:val="20"/>
          <w:vertAlign w:val="subscript"/>
          <w:lang w:val="en-US"/>
        </w:rPr>
        <w:t>10</w:t>
      </w:r>
      <w:r w:rsidRPr="004732D2">
        <w:rPr>
          <w:sz w:val="20"/>
          <w:szCs w:val="20"/>
          <w:lang w:val="en-US"/>
        </w:rPr>
        <w:t xml:space="preserve"> reduction when compared to HPP, contrary to the study of Aganovic et al. (2017). This discrepancy may be due to different experimental conditions, such as the inlet temperature set at 30 ºC for tomato juice and the lower electric field strength of 9.8 kV/cm used by Aganovic et al. (2017). The conductivity of tomato juice differs from apple juice and varies with temperature. All these differences can lead to different estimations of the energy input absorbed from the food product as shown by Rodriguez-Gonzalez et al. (2015).</w:t>
      </w:r>
    </w:p>
    <w:p w14:paraId="21EF2CC8" w14:textId="77777777" w:rsidR="004732D2" w:rsidRPr="004732D2" w:rsidRDefault="004732D2" w:rsidP="00575546">
      <w:pPr>
        <w:jc w:val="both"/>
        <w:rPr>
          <w:b/>
          <w:bCs/>
          <w:sz w:val="20"/>
          <w:szCs w:val="20"/>
          <w:lang w:val="en-US"/>
        </w:rPr>
      </w:pPr>
      <w:bookmarkStart w:id="13" w:name="results-and-discussion"/>
      <w:bookmarkStart w:id="14" w:name="conclusion"/>
      <w:bookmarkEnd w:id="12"/>
      <w:bookmarkEnd w:id="13"/>
      <w:r w:rsidRPr="004732D2">
        <w:rPr>
          <w:b/>
          <w:bCs/>
          <w:sz w:val="20"/>
          <w:szCs w:val="20"/>
          <w:lang w:val="en-US"/>
        </w:rPr>
        <w:t>4. Conclusion</w:t>
      </w:r>
    </w:p>
    <w:p w14:paraId="6F95BAA3" w14:textId="23284E32" w:rsidR="004732D2" w:rsidRDefault="004732D2" w:rsidP="00575546">
      <w:pPr>
        <w:jc w:val="both"/>
        <w:rPr>
          <w:sz w:val="20"/>
          <w:szCs w:val="20"/>
          <w:lang w:val="en-US"/>
        </w:rPr>
      </w:pPr>
      <w:r w:rsidRPr="004732D2">
        <w:rPr>
          <w:sz w:val="20"/>
          <w:szCs w:val="20"/>
          <w:lang w:val="en-US"/>
        </w:rPr>
        <w:t>The QMRA results indicated that decontamination efficacy varies between technologies, and the lack of information on feasible parameter values for US and NTP limits a precise comparison of their efficacy. Although all technologies can achieve at least a 5-log</w:t>
      </w:r>
      <w:r w:rsidRPr="004732D2">
        <w:rPr>
          <w:sz w:val="20"/>
          <w:szCs w:val="20"/>
          <w:vertAlign w:val="subscript"/>
          <w:lang w:val="en-US"/>
        </w:rPr>
        <w:t>10</w:t>
      </w:r>
      <w:r w:rsidRPr="004732D2">
        <w:rPr>
          <w:sz w:val="20"/>
          <w:szCs w:val="20"/>
          <w:lang w:val="en-US"/>
        </w:rPr>
        <w:t xml:space="preserve"> reduction of </w:t>
      </w:r>
      <w:r w:rsidRPr="004732D2">
        <w:rPr>
          <w:i/>
          <w:iCs/>
          <w:sz w:val="20"/>
          <w:szCs w:val="20"/>
          <w:lang w:val="en-US"/>
        </w:rPr>
        <w:t>E. coli</w:t>
      </w:r>
      <w:r w:rsidRPr="004732D2">
        <w:rPr>
          <w:sz w:val="20"/>
          <w:szCs w:val="20"/>
          <w:lang w:val="en-US"/>
        </w:rPr>
        <w:t xml:space="preserve"> in apple juice by selecting appropriate processing parameters, not all technologies show the same efficacy under identical energy usage conditions. TP seemed </w:t>
      </w:r>
      <w:r w:rsidRPr="004732D2">
        <w:rPr>
          <w:sz w:val="20"/>
          <w:szCs w:val="20"/>
          <w:lang w:val="en-US"/>
        </w:rPr>
        <w:lastRenderedPageBreak/>
        <w:t xml:space="preserve">to be the most </w:t>
      </w:r>
      <w:r w:rsidR="00F50B7F">
        <w:rPr>
          <w:sz w:val="20"/>
          <w:szCs w:val="20"/>
          <w:lang w:val="en-US"/>
        </w:rPr>
        <w:t xml:space="preserve">energy </w:t>
      </w:r>
      <w:r w:rsidRPr="004732D2">
        <w:rPr>
          <w:sz w:val="20"/>
          <w:szCs w:val="20"/>
          <w:lang w:val="en-US"/>
        </w:rPr>
        <w:t>efficient processing technology followed by HPP and PEF, while a comparison was not possible with US and NTP. However, TP was also the most optimized technology incorporating heat recovery procedures. These comparisons will become more meaningful as more scientific findings regarding the energy usage of the different technologies under various conditions and at the same processing scale are produced. Notably, the best combinations of parameters highlighted in this work can guide on achieving the desired microbial reductions (e.g., 5-log</w:t>
      </w:r>
      <w:r w:rsidRPr="004732D2">
        <w:rPr>
          <w:sz w:val="20"/>
          <w:szCs w:val="20"/>
          <w:vertAlign w:val="subscript"/>
          <w:lang w:val="en-US"/>
        </w:rPr>
        <w:t>10</w:t>
      </w:r>
      <w:r w:rsidRPr="004732D2">
        <w:rPr>
          <w:sz w:val="20"/>
          <w:szCs w:val="20"/>
          <w:lang w:val="en-US"/>
        </w:rPr>
        <w:t xml:space="preserve"> reduction) using the studied technologies; thereby ensuring that non-thermal (or minimally thermal) treated apple juice is just as safe as thermally pasteurized.</w:t>
      </w:r>
    </w:p>
    <w:p w14:paraId="048A0CD3" w14:textId="77777777" w:rsidR="00EC4F47" w:rsidRDefault="00EC4F47" w:rsidP="00575546">
      <w:pPr>
        <w:jc w:val="both"/>
        <w:rPr>
          <w:sz w:val="20"/>
          <w:szCs w:val="20"/>
          <w:lang w:val="en-US"/>
        </w:rPr>
      </w:pPr>
    </w:p>
    <w:p w14:paraId="382DB59E" w14:textId="77777777" w:rsidR="00EC4F47" w:rsidRDefault="00EC4F47" w:rsidP="00575546">
      <w:pPr>
        <w:jc w:val="both"/>
        <w:rPr>
          <w:sz w:val="20"/>
          <w:szCs w:val="20"/>
          <w:lang w:val="en-US"/>
        </w:rPr>
      </w:pPr>
    </w:p>
    <w:p w14:paraId="31A0D5BC" w14:textId="77777777" w:rsidR="00EC4F47" w:rsidRDefault="00EC4F47" w:rsidP="00575546">
      <w:pPr>
        <w:jc w:val="both"/>
        <w:rPr>
          <w:sz w:val="20"/>
          <w:szCs w:val="20"/>
          <w:lang w:val="en-US"/>
        </w:rPr>
      </w:pPr>
    </w:p>
    <w:p w14:paraId="202A19F5" w14:textId="77777777" w:rsidR="00EC4F47" w:rsidRDefault="00EC4F47" w:rsidP="00575546">
      <w:pPr>
        <w:jc w:val="both"/>
        <w:rPr>
          <w:sz w:val="20"/>
          <w:szCs w:val="20"/>
          <w:lang w:val="en-US"/>
        </w:rPr>
      </w:pPr>
    </w:p>
    <w:p w14:paraId="03D0137A" w14:textId="77777777" w:rsidR="00EC4F47" w:rsidRDefault="00EC4F47" w:rsidP="00575546">
      <w:pPr>
        <w:jc w:val="both"/>
        <w:rPr>
          <w:sz w:val="20"/>
          <w:szCs w:val="20"/>
          <w:lang w:val="en-US"/>
        </w:rPr>
      </w:pPr>
    </w:p>
    <w:p w14:paraId="0E546C6D" w14:textId="77777777" w:rsidR="00EC4F47" w:rsidRDefault="00EC4F47" w:rsidP="00575546">
      <w:pPr>
        <w:jc w:val="both"/>
        <w:rPr>
          <w:sz w:val="20"/>
          <w:szCs w:val="20"/>
          <w:lang w:val="en-US"/>
        </w:rPr>
      </w:pPr>
    </w:p>
    <w:p w14:paraId="60EE3123" w14:textId="77777777" w:rsidR="00EC4F47" w:rsidRDefault="00EC4F47" w:rsidP="00575546">
      <w:pPr>
        <w:jc w:val="both"/>
        <w:rPr>
          <w:sz w:val="20"/>
          <w:szCs w:val="20"/>
          <w:lang w:val="en-US"/>
        </w:rPr>
      </w:pPr>
    </w:p>
    <w:p w14:paraId="1F5DC8A6" w14:textId="77777777" w:rsidR="00EC4F47" w:rsidRDefault="00EC4F47" w:rsidP="00575546">
      <w:pPr>
        <w:jc w:val="both"/>
        <w:rPr>
          <w:sz w:val="20"/>
          <w:szCs w:val="20"/>
          <w:lang w:val="en-US"/>
        </w:rPr>
      </w:pPr>
    </w:p>
    <w:p w14:paraId="6508D83D" w14:textId="77777777" w:rsidR="00EC4F47" w:rsidRDefault="00EC4F47" w:rsidP="00575546">
      <w:pPr>
        <w:jc w:val="both"/>
        <w:rPr>
          <w:sz w:val="20"/>
          <w:szCs w:val="20"/>
          <w:lang w:val="en-US"/>
        </w:rPr>
      </w:pPr>
    </w:p>
    <w:p w14:paraId="3AFADDE1" w14:textId="77777777" w:rsidR="00EC4F47" w:rsidRDefault="00EC4F47" w:rsidP="00575546">
      <w:pPr>
        <w:jc w:val="both"/>
        <w:rPr>
          <w:sz w:val="20"/>
          <w:szCs w:val="20"/>
          <w:lang w:val="en-US"/>
        </w:rPr>
      </w:pPr>
    </w:p>
    <w:p w14:paraId="470F67B7" w14:textId="77777777" w:rsidR="00EC4F47" w:rsidRDefault="00EC4F47" w:rsidP="00575546">
      <w:pPr>
        <w:jc w:val="both"/>
        <w:rPr>
          <w:sz w:val="20"/>
          <w:szCs w:val="20"/>
          <w:lang w:val="en-US"/>
        </w:rPr>
      </w:pPr>
    </w:p>
    <w:p w14:paraId="6FC6A526" w14:textId="77777777" w:rsidR="00EC4F47" w:rsidRDefault="00EC4F47" w:rsidP="00575546">
      <w:pPr>
        <w:jc w:val="both"/>
        <w:rPr>
          <w:sz w:val="20"/>
          <w:szCs w:val="20"/>
          <w:lang w:val="en-US"/>
        </w:rPr>
      </w:pPr>
    </w:p>
    <w:p w14:paraId="40B20D47" w14:textId="77777777" w:rsidR="00EC4F47" w:rsidRDefault="00EC4F47" w:rsidP="00575546">
      <w:pPr>
        <w:jc w:val="both"/>
        <w:rPr>
          <w:sz w:val="20"/>
          <w:szCs w:val="20"/>
          <w:lang w:val="en-US"/>
        </w:rPr>
      </w:pPr>
    </w:p>
    <w:p w14:paraId="3E58F292" w14:textId="77777777" w:rsidR="00EC4F47" w:rsidRDefault="00EC4F47" w:rsidP="00575546">
      <w:pPr>
        <w:jc w:val="both"/>
        <w:rPr>
          <w:sz w:val="20"/>
          <w:szCs w:val="20"/>
          <w:lang w:val="en-US"/>
        </w:rPr>
      </w:pPr>
    </w:p>
    <w:p w14:paraId="5F04A9A2" w14:textId="77777777" w:rsidR="00EC4F47" w:rsidRDefault="00EC4F47" w:rsidP="00575546">
      <w:pPr>
        <w:jc w:val="both"/>
        <w:rPr>
          <w:sz w:val="20"/>
          <w:szCs w:val="20"/>
          <w:lang w:val="en-US"/>
        </w:rPr>
      </w:pPr>
    </w:p>
    <w:p w14:paraId="37CEF79E" w14:textId="77777777" w:rsidR="00EC4F47" w:rsidRDefault="00EC4F47" w:rsidP="00575546">
      <w:pPr>
        <w:jc w:val="both"/>
        <w:rPr>
          <w:sz w:val="20"/>
          <w:szCs w:val="20"/>
          <w:lang w:val="en-US"/>
        </w:rPr>
      </w:pPr>
    </w:p>
    <w:p w14:paraId="02DFD8DC" w14:textId="77777777" w:rsidR="00EC4F47" w:rsidRDefault="00EC4F47" w:rsidP="00575546">
      <w:pPr>
        <w:jc w:val="both"/>
        <w:rPr>
          <w:sz w:val="20"/>
          <w:szCs w:val="20"/>
          <w:lang w:val="en-US"/>
        </w:rPr>
      </w:pPr>
    </w:p>
    <w:p w14:paraId="617DDA91" w14:textId="77777777" w:rsidR="00EC4F47" w:rsidRDefault="00EC4F47" w:rsidP="00575546">
      <w:pPr>
        <w:jc w:val="both"/>
        <w:rPr>
          <w:sz w:val="20"/>
          <w:szCs w:val="20"/>
          <w:lang w:val="en-US"/>
        </w:rPr>
      </w:pPr>
    </w:p>
    <w:p w14:paraId="02F3B4E7" w14:textId="77777777" w:rsidR="00EC4F47" w:rsidRDefault="00EC4F47" w:rsidP="00575546">
      <w:pPr>
        <w:jc w:val="both"/>
        <w:rPr>
          <w:sz w:val="20"/>
          <w:szCs w:val="20"/>
          <w:lang w:val="en-US"/>
        </w:rPr>
      </w:pPr>
    </w:p>
    <w:p w14:paraId="08049E4F" w14:textId="77777777" w:rsidR="00D1264B" w:rsidRDefault="00D1264B" w:rsidP="00575546">
      <w:pPr>
        <w:jc w:val="both"/>
        <w:rPr>
          <w:sz w:val="20"/>
          <w:szCs w:val="20"/>
          <w:lang w:val="en-US"/>
        </w:rPr>
      </w:pPr>
    </w:p>
    <w:p w14:paraId="5C2996EE" w14:textId="77777777" w:rsidR="00D1264B" w:rsidRDefault="00D1264B" w:rsidP="00575546">
      <w:pPr>
        <w:jc w:val="both"/>
        <w:rPr>
          <w:sz w:val="20"/>
          <w:szCs w:val="20"/>
          <w:lang w:val="en-US"/>
        </w:rPr>
      </w:pPr>
    </w:p>
    <w:p w14:paraId="7DE13C19" w14:textId="77777777" w:rsidR="00D1264B" w:rsidRPr="004732D2" w:rsidRDefault="00D1264B" w:rsidP="00575546">
      <w:pPr>
        <w:jc w:val="both"/>
        <w:rPr>
          <w:sz w:val="20"/>
          <w:szCs w:val="20"/>
          <w:lang w:val="en-US"/>
        </w:rPr>
      </w:pPr>
    </w:p>
    <w:p w14:paraId="5E25F214" w14:textId="77777777" w:rsidR="004732D2" w:rsidRPr="004732D2" w:rsidRDefault="004732D2" w:rsidP="00575546">
      <w:pPr>
        <w:jc w:val="both"/>
        <w:rPr>
          <w:b/>
          <w:bCs/>
          <w:sz w:val="20"/>
          <w:szCs w:val="20"/>
          <w:lang w:val="en-US"/>
        </w:rPr>
      </w:pPr>
      <w:bookmarkStart w:id="15" w:name="references"/>
      <w:bookmarkEnd w:id="14"/>
      <w:r w:rsidRPr="004732D2">
        <w:rPr>
          <w:b/>
          <w:bCs/>
          <w:sz w:val="20"/>
          <w:szCs w:val="20"/>
          <w:lang w:val="en-US"/>
        </w:rPr>
        <w:lastRenderedPageBreak/>
        <w:t>References</w:t>
      </w:r>
    </w:p>
    <w:p w14:paraId="70C4D4A3" w14:textId="77777777" w:rsidR="004732D2" w:rsidRPr="004732D2" w:rsidRDefault="004732D2" w:rsidP="00575546">
      <w:pPr>
        <w:jc w:val="both"/>
        <w:rPr>
          <w:sz w:val="20"/>
          <w:szCs w:val="20"/>
          <w:lang w:val="en-US"/>
        </w:rPr>
      </w:pPr>
      <w:bookmarkStart w:id="16" w:name="refs"/>
      <w:r w:rsidRPr="004732D2">
        <w:rPr>
          <w:sz w:val="20"/>
          <w:szCs w:val="20"/>
          <w:lang w:val="en-US"/>
        </w:rPr>
        <w:t xml:space="preserve">Aganovic, K., &amp; Smetana, S. (2022). Environmental impact assessment of pulsed electric fields technology for food processing. In J. Raso, V. Heinz, I. Alvarez, &amp; S. Toepfl (Eds.), </w:t>
      </w:r>
      <w:r w:rsidRPr="004732D2">
        <w:rPr>
          <w:i/>
          <w:iCs/>
          <w:sz w:val="20"/>
          <w:szCs w:val="20"/>
          <w:lang w:val="en-US"/>
        </w:rPr>
        <w:t>Pulsed Electric Fields Technology for the Food Industry: Fundamentals and Applications</w:t>
      </w:r>
      <w:r w:rsidRPr="004732D2">
        <w:rPr>
          <w:sz w:val="20"/>
          <w:szCs w:val="20"/>
          <w:lang w:val="en-US"/>
        </w:rPr>
        <w:t xml:space="preserve"> (pp. 521–539). Springer International Publishing. </w:t>
      </w:r>
      <w:hyperlink r:id="rId17" w:history="1">
        <w:r w:rsidRPr="004732D2">
          <w:rPr>
            <w:rStyle w:val="Hyperlink"/>
            <w:sz w:val="20"/>
            <w:szCs w:val="20"/>
            <w:lang w:val="en-US"/>
          </w:rPr>
          <w:t>https://doi.org/10.1007/978-3-030-70586-2_19</w:t>
        </w:r>
      </w:hyperlink>
    </w:p>
    <w:p w14:paraId="08DE767E" w14:textId="4FF618B8" w:rsidR="004732D2" w:rsidRPr="004732D2" w:rsidRDefault="004732D2" w:rsidP="00575546">
      <w:pPr>
        <w:jc w:val="both"/>
        <w:rPr>
          <w:sz w:val="20"/>
          <w:szCs w:val="20"/>
          <w:lang w:val="en-US"/>
        </w:rPr>
      </w:pPr>
      <w:bookmarkStart w:id="17" w:name="ref-aganovic_environmental_2022"/>
      <w:bookmarkEnd w:id="17"/>
      <w:r w:rsidRPr="004732D2">
        <w:rPr>
          <w:sz w:val="20"/>
          <w:szCs w:val="20"/>
          <w:lang w:val="en-US"/>
        </w:rPr>
        <w:t xml:space="preserve">Aganovic, K., Smetana, S., </w:t>
      </w:r>
      <w:proofErr w:type="spellStart"/>
      <w:r w:rsidRPr="004732D2">
        <w:rPr>
          <w:sz w:val="20"/>
          <w:szCs w:val="20"/>
          <w:lang w:val="en-US"/>
        </w:rPr>
        <w:t>Grauwet</w:t>
      </w:r>
      <w:proofErr w:type="spellEnd"/>
      <w:r w:rsidRPr="004732D2">
        <w:rPr>
          <w:sz w:val="20"/>
          <w:szCs w:val="20"/>
          <w:lang w:val="en-US"/>
        </w:rPr>
        <w:t xml:space="preserve">, T., Toepfl, S., </w:t>
      </w:r>
      <w:proofErr w:type="spellStart"/>
      <w:r w:rsidRPr="004732D2">
        <w:rPr>
          <w:sz w:val="20"/>
          <w:szCs w:val="20"/>
          <w:lang w:val="en-US"/>
        </w:rPr>
        <w:t>Mathys</w:t>
      </w:r>
      <w:proofErr w:type="spellEnd"/>
      <w:r w:rsidRPr="004732D2">
        <w:rPr>
          <w:sz w:val="20"/>
          <w:szCs w:val="20"/>
          <w:lang w:val="en-US"/>
        </w:rPr>
        <w:t xml:space="preserve">, A., Van </w:t>
      </w:r>
      <w:proofErr w:type="spellStart"/>
      <w:r w:rsidRPr="004732D2">
        <w:rPr>
          <w:sz w:val="20"/>
          <w:szCs w:val="20"/>
          <w:lang w:val="en-US"/>
        </w:rPr>
        <w:t>Loey</w:t>
      </w:r>
      <w:proofErr w:type="spellEnd"/>
      <w:r w:rsidRPr="004732D2">
        <w:rPr>
          <w:sz w:val="20"/>
          <w:szCs w:val="20"/>
          <w:lang w:val="en-US"/>
        </w:rPr>
        <w:t xml:space="preserve">, A., &amp; Heinz, V. (2017). Pilot scale thermal and alternative pasteurization of tomato and watermelon juice: An energy comparison and life cycle assessment. </w:t>
      </w:r>
      <w:r w:rsidRPr="004732D2">
        <w:rPr>
          <w:i/>
          <w:iCs/>
          <w:sz w:val="20"/>
          <w:szCs w:val="20"/>
          <w:lang w:val="en-US"/>
        </w:rPr>
        <w:t>Journal of Cleaner Production</w:t>
      </w:r>
      <w:r w:rsidRPr="004732D2">
        <w:rPr>
          <w:sz w:val="20"/>
          <w:szCs w:val="20"/>
          <w:lang w:val="en-US"/>
        </w:rPr>
        <w:t xml:space="preserve">, </w:t>
      </w:r>
      <w:r w:rsidRPr="004732D2">
        <w:rPr>
          <w:i/>
          <w:iCs/>
          <w:sz w:val="20"/>
          <w:szCs w:val="20"/>
          <w:lang w:val="en-US"/>
        </w:rPr>
        <w:t>141</w:t>
      </w:r>
      <w:r w:rsidRPr="004732D2">
        <w:rPr>
          <w:sz w:val="20"/>
          <w:szCs w:val="20"/>
          <w:lang w:val="en-US"/>
        </w:rPr>
        <w:t xml:space="preserve">, 514–525. </w:t>
      </w:r>
      <w:hyperlink r:id="rId18" w:history="1">
        <w:r w:rsidRPr="004732D2">
          <w:rPr>
            <w:rStyle w:val="Hyperlink"/>
            <w:sz w:val="20"/>
            <w:szCs w:val="20"/>
            <w:lang w:val="en-US"/>
          </w:rPr>
          <w:t>https://doi.org/10.1016/j.jclepro.2016.09.015</w:t>
        </w:r>
      </w:hyperlink>
      <w:bookmarkStart w:id="18" w:name="ref-aganovic_pilot_2017"/>
      <w:bookmarkEnd w:id="18"/>
    </w:p>
    <w:p w14:paraId="635C5115" w14:textId="2F837B62" w:rsidR="004732D2" w:rsidRPr="004732D2" w:rsidRDefault="004732D2" w:rsidP="00575546">
      <w:pPr>
        <w:jc w:val="both"/>
        <w:rPr>
          <w:sz w:val="20"/>
          <w:szCs w:val="20"/>
          <w:lang w:val="en-US"/>
        </w:rPr>
      </w:pPr>
      <w:bookmarkStart w:id="19" w:name="ref-van_asselt_systematic_2006"/>
      <w:bookmarkEnd w:id="19"/>
      <w:proofErr w:type="spellStart"/>
      <w:r w:rsidRPr="004732D2">
        <w:rPr>
          <w:sz w:val="20"/>
          <w:szCs w:val="20"/>
          <w:lang w:val="en-US"/>
        </w:rPr>
        <w:t>Atuonwu</w:t>
      </w:r>
      <w:proofErr w:type="spellEnd"/>
      <w:r w:rsidRPr="004732D2">
        <w:rPr>
          <w:sz w:val="20"/>
          <w:szCs w:val="20"/>
          <w:lang w:val="en-US"/>
        </w:rPr>
        <w:t xml:space="preserve">, J. C., </w:t>
      </w:r>
      <w:proofErr w:type="spellStart"/>
      <w:r w:rsidRPr="004732D2">
        <w:rPr>
          <w:sz w:val="20"/>
          <w:szCs w:val="20"/>
          <w:lang w:val="en-US"/>
        </w:rPr>
        <w:t>Leadley</w:t>
      </w:r>
      <w:proofErr w:type="spellEnd"/>
      <w:r w:rsidRPr="004732D2">
        <w:rPr>
          <w:sz w:val="20"/>
          <w:szCs w:val="20"/>
          <w:lang w:val="en-US"/>
        </w:rPr>
        <w:t xml:space="preserve">, C., Bosman, A., </w:t>
      </w:r>
      <w:proofErr w:type="spellStart"/>
      <w:r w:rsidRPr="004732D2">
        <w:rPr>
          <w:sz w:val="20"/>
          <w:szCs w:val="20"/>
          <w:lang w:val="en-US"/>
        </w:rPr>
        <w:t>Tassou</w:t>
      </w:r>
      <w:proofErr w:type="spellEnd"/>
      <w:r w:rsidRPr="004732D2">
        <w:rPr>
          <w:sz w:val="20"/>
          <w:szCs w:val="20"/>
          <w:lang w:val="en-US"/>
        </w:rPr>
        <w:t xml:space="preserve">, S. A., Lopez-Quiroga, E., &amp; Fryer, P. J. (2018). Comparative assessment of innovative and conventional food preservation technologies: Process energy performance and greenhouse gas emissions. </w:t>
      </w:r>
      <w:r w:rsidRPr="004732D2">
        <w:rPr>
          <w:i/>
          <w:iCs/>
          <w:sz w:val="20"/>
          <w:szCs w:val="20"/>
          <w:lang w:val="en-US"/>
        </w:rPr>
        <w:t>Innovative Food Science &amp; Emerging Technologies</w:t>
      </w:r>
      <w:r w:rsidRPr="004732D2">
        <w:rPr>
          <w:sz w:val="20"/>
          <w:szCs w:val="20"/>
          <w:lang w:val="en-US"/>
        </w:rPr>
        <w:t xml:space="preserve">, </w:t>
      </w:r>
      <w:r w:rsidRPr="004732D2">
        <w:rPr>
          <w:i/>
          <w:iCs/>
          <w:sz w:val="20"/>
          <w:szCs w:val="20"/>
          <w:lang w:val="en-US"/>
        </w:rPr>
        <w:t>50</w:t>
      </w:r>
      <w:r w:rsidRPr="004732D2">
        <w:rPr>
          <w:sz w:val="20"/>
          <w:szCs w:val="20"/>
          <w:lang w:val="en-US"/>
        </w:rPr>
        <w:t xml:space="preserve">, 174–187. </w:t>
      </w:r>
      <w:hyperlink r:id="rId19" w:history="1">
        <w:r w:rsidRPr="004732D2">
          <w:rPr>
            <w:rStyle w:val="Hyperlink"/>
            <w:sz w:val="20"/>
            <w:szCs w:val="20"/>
            <w:lang w:val="en-US"/>
          </w:rPr>
          <w:t>https://doi.org/10.1016/j.ifset.2018.09.008</w:t>
        </w:r>
      </w:hyperlink>
      <w:bookmarkStart w:id="20" w:name="ref-atuonwu_comparative_2018"/>
      <w:bookmarkEnd w:id="20"/>
    </w:p>
    <w:p w14:paraId="679F911B" w14:textId="77777777" w:rsidR="004732D2" w:rsidRDefault="004732D2" w:rsidP="00575546">
      <w:pPr>
        <w:jc w:val="both"/>
        <w:rPr>
          <w:sz w:val="20"/>
          <w:szCs w:val="20"/>
          <w:lang w:val="en-US"/>
        </w:rPr>
      </w:pPr>
      <w:bookmarkStart w:id="21" w:name="ref-den_besten_meta-analysis_2012"/>
      <w:bookmarkEnd w:id="21"/>
      <w:proofErr w:type="spellStart"/>
      <w:r w:rsidRPr="004732D2">
        <w:rPr>
          <w:sz w:val="20"/>
          <w:szCs w:val="20"/>
          <w:lang w:val="en-US"/>
        </w:rPr>
        <w:t>Cacace</w:t>
      </w:r>
      <w:proofErr w:type="spellEnd"/>
      <w:r w:rsidRPr="004732D2">
        <w:rPr>
          <w:sz w:val="20"/>
          <w:szCs w:val="20"/>
          <w:lang w:val="en-US"/>
        </w:rPr>
        <w:t xml:space="preserve">, F., </w:t>
      </w:r>
      <w:proofErr w:type="spellStart"/>
      <w:r w:rsidRPr="004732D2">
        <w:rPr>
          <w:sz w:val="20"/>
          <w:szCs w:val="20"/>
          <w:lang w:val="en-US"/>
        </w:rPr>
        <w:t>Bottani</w:t>
      </w:r>
      <w:proofErr w:type="spellEnd"/>
      <w:r w:rsidRPr="004732D2">
        <w:rPr>
          <w:sz w:val="20"/>
          <w:szCs w:val="20"/>
          <w:lang w:val="en-US"/>
        </w:rPr>
        <w:t xml:space="preserve">, E., </w:t>
      </w:r>
      <w:proofErr w:type="spellStart"/>
      <w:r w:rsidRPr="004732D2">
        <w:rPr>
          <w:sz w:val="20"/>
          <w:szCs w:val="20"/>
          <w:lang w:val="en-US"/>
        </w:rPr>
        <w:t>Rizzi</w:t>
      </w:r>
      <w:proofErr w:type="spellEnd"/>
      <w:r w:rsidRPr="004732D2">
        <w:rPr>
          <w:sz w:val="20"/>
          <w:szCs w:val="20"/>
          <w:lang w:val="en-US"/>
        </w:rPr>
        <w:t xml:space="preserve">, A., &amp; </w:t>
      </w:r>
      <w:proofErr w:type="spellStart"/>
      <w:r w:rsidRPr="004732D2">
        <w:rPr>
          <w:sz w:val="20"/>
          <w:szCs w:val="20"/>
          <w:lang w:val="en-US"/>
        </w:rPr>
        <w:t>Vignali</w:t>
      </w:r>
      <w:proofErr w:type="spellEnd"/>
      <w:r w:rsidRPr="004732D2">
        <w:rPr>
          <w:sz w:val="20"/>
          <w:szCs w:val="20"/>
          <w:lang w:val="en-US"/>
        </w:rPr>
        <w:t xml:space="preserve">, G. (2020). Evaluation of the economic and environmental sustainability of high pressure processing of foods. </w:t>
      </w:r>
      <w:r w:rsidRPr="004732D2">
        <w:rPr>
          <w:i/>
          <w:iCs/>
          <w:sz w:val="20"/>
          <w:szCs w:val="20"/>
          <w:lang w:val="en-US"/>
        </w:rPr>
        <w:t>Innovative Food Science &amp; Emerging Technologies</w:t>
      </w:r>
      <w:r w:rsidRPr="004732D2">
        <w:rPr>
          <w:sz w:val="20"/>
          <w:szCs w:val="20"/>
          <w:lang w:val="en-US"/>
        </w:rPr>
        <w:t xml:space="preserve">, </w:t>
      </w:r>
      <w:r w:rsidRPr="004732D2">
        <w:rPr>
          <w:i/>
          <w:iCs/>
          <w:sz w:val="20"/>
          <w:szCs w:val="20"/>
          <w:lang w:val="en-US"/>
        </w:rPr>
        <w:t>60</w:t>
      </w:r>
      <w:r w:rsidRPr="004732D2">
        <w:rPr>
          <w:sz w:val="20"/>
          <w:szCs w:val="20"/>
          <w:lang w:val="en-US"/>
        </w:rPr>
        <w:t xml:space="preserve">, 102281. </w:t>
      </w:r>
      <w:hyperlink r:id="rId20" w:history="1">
        <w:r w:rsidRPr="004732D2">
          <w:rPr>
            <w:rStyle w:val="Hyperlink"/>
            <w:sz w:val="20"/>
            <w:szCs w:val="20"/>
            <w:lang w:val="en-US"/>
          </w:rPr>
          <w:t>https://doi.org/10.1016/j.ifset.2019.102281</w:t>
        </w:r>
      </w:hyperlink>
    </w:p>
    <w:p w14:paraId="2D1234A9" w14:textId="2E7AF237" w:rsidR="00514F22" w:rsidRPr="004732D2" w:rsidRDefault="00514F22" w:rsidP="00575546">
      <w:pPr>
        <w:jc w:val="both"/>
        <w:rPr>
          <w:sz w:val="20"/>
          <w:szCs w:val="20"/>
          <w:lang w:val="en-US"/>
        </w:rPr>
      </w:pPr>
      <w:r>
        <w:rPr>
          <w:sz w:val="20"/>
          <w:szCs w:val="20"/>
          <w:lang w:val="nl-NL"/>
        </w:rPr>
        <w:t xml:space="preserve">Den </w:t>
      </w:r>
      <w:r w:rsidRPr="004732D2">
        <w:rPr>
          <w:sz w:val="20"/>
          <w:szCs w:val="20"/>
          <w:lang w:val="nl-NL"/>
        </w:rPr>
        <w:t xml:space="preserve">Besten, H. M. W., &amp; Zwietering, M. H. (2012). </w:t>
      </w:r>
      <w:r w:rsidRPr="004732D2">
        <w:rPr>
          <w:sz w:val="20"/>
          <w:szCs w:val="20"/>
          <w:lang w:val="en-US"/>
        </w:rPr>
        <w:t xml:space="preserve">Meta-analysis for quantitative microbiological risk assessments and benchmarking data. </w:t>
      </w:r>
      <w:r w:rsidRPr="004732D2">
        <w:rPr>
          <w:i/>
          <w:iCs/>
          <w:sz w:val="20"/>
          <w:szCs w:val="20"/>
          <w:lang w:val="en-US"/>
        </w:rPr>
        <w:t>Trends in Food Science &amp; Technology</w:t>
      </w:r>
      <w:r w:rsidRPr="004732D2">
        <w:rPr>
          <w:sz w:val="20"/>
          <w:szCs w:val="20"/>
          <w:lang w:val="en-US"/>
        </w:rPr>
        <w:t xml:space="preserve">, </w:t>
      </w:r>
      <w:r w:rsidRPr="004732D2">
        <w:rPr>
          <w:i/>
          <w:iCs/>
          <w:sz w:val="20"/>
          <w:szCs w:val="20"/>
          <w:lang w:val="en-US"/>
        </w:rPr>
        <w:t>25</w:t>
      </w:r>
      <w:r w:rsidRPr="004732D2">
        <w:rPr>
          <w:sz w:val="20"/>
          <w:szCs w:val="20"/>
          <w:lang w:val="en-US"/>
        </w:rPr>
        <w:t xml:space="preserve">(1), 34–39. </w:t>
      </w:r>
      <w:hyperlink r:id="rId21" w:history="1">
        <w:r w:rsidRPr="004732D2">
          <w:rPr>
            <w:rStyle w:val="Hyperlink"/>
            <w:sz w:val="20"/>
            <w:szCs w:val="20"/>
            <w:lang w:val="en-US"/>
          </w:rPr>
          <w:t>https://doi.org/10.1016/j.tifs.2011.12.004</w:t>
        </w:r>
      </w:hyperlink>
    </w:p>
    <w:p w14:paraId="6F8EAA06" w14:textId="77777777" w:rsidR="004732D2" w:rsidRPr="004732D2" w:rsidRDefault="004732D2" w:rsidP="00575546">
      <w:pPr>
        <w:jc w:val="both"/>
        <w:rPr>
          <w:sz w:val="20"/>
          <w:szCs w:val="20"/>
          <w:lang w:val="en-US"/>
        </w:rPr>
      </w:pPr>
      <w:bookmarkStart w:id="22" w:name="ref-cacace_evaluation_2020"/>
      <w:bookmarkEnd w:id="22"/>
      <w:r w:rsidRPr="004732D2">
        <w:rPr>
          <w:sz w:val="20"/>
          <w:szCs w:val="20"/>
          <w:lang w:val="en-US"/>
        </w:rPr>
        <w:t xml:space="preserve">EFSA. (2011). Urgent advice on the public health risk of Shiga-toxin producing </w:t>
      </w:r>
      <w:r w:rsidRPr="004732D2">
        <w:rPr>
          <w:i/>
          <w:iCs/>
          <w:sz w:val="20"/>
          <w:szCs w:val="20"/>
          <w:lang w:val="en-US"/>
        </w:rPr>
        <w:t>Escherichia coli</w:t>
      </w:r>
      <w:r w:rsidRPr="004732D2">
        <w:rPr>
          <w:sz w:val="20"/>
          <w:szCs w:val="20"/>
          <w:lang w:val="en-US"/>
        </w:rPr>
        <w:t xml:space="preserve"> in fresh vegetables. </w:t>
      </w:r>
      <w:r w:rsidRPr="004732D2">
        <w:rPr>
          <w:i/>
          <w:iCs/>
          <w:sz w:val="20"/>
          <w:szCs w:val="20"/>
          <w:lang w:val="en-US"/>
        </w:rPr>
        <w:t>EFSA Journal</w:t>
      </w:r>
      <w:r w:rsidRPr="004732D2">
        <w:rPr>
          <w:sz w:val="20"/>
          <w:szCs w:val="20"/>
          <w:lang w:val="en-US"/>
        </w:rPr>
        <w:t xml:space="preserve">, </w:t>
      </w:r>
      <w:r w:rsidRPr="004732D2">
        <w:rPr>
          <w:i/>
          <w:iCs/>
          <w:sz w:val="20"/>
          <w:szCs w:val="20"/>
          <w:lang w:val="en-US"/>
        </w:rPr>
        <w:t>9</w:t>
      </w:r>
      <w:r w:rsidRPr="004732D2">
        <w:rPr>
          <w:sz w:val="20"/>
          <w:szCs w:val="20"/>
          <w:lang w:val="en-US"/>
        </w:rPr>
        <w:t xml:space="preserve">(6), 2274. </w:t>
      </w:r>
      <w:hyperlink r:id="rId22" w:history="1">
        <w:r w:rsidRPr="004732D2">
          <w:rPr>
            <w:rStyle w:val="Hyperlink"/>
            <w:sz w:val="20"/>
            <w:szCs w:val="20"/>
            <w:lang w:val="en-US"/>
          </w:rPr>
          <w:t>https://doi.org/10.2903/j.efsa.2011.2274</w:t>
        </w:r>
      </w:hyperlink>
    </w:p>
    <w:p w14:paraId="4F1D93A0" w14:textId="77777777" w:rsidR="004732D2" w:rsidRPr="004732D2" w:rsidRDefault="004732D2" w:rsidP="00575546">
      <w:pPr>
        <w:jc w:val="both"/>
        <w:rPr>
          <w:sz w:val="20"/>
          <w:szCs w:val="20"/>
          <w:lang w:val="en-US"/>
        </w:rPr>
      </w:pPr>
      <w:bookmarkStart w:id="23" w:name="ref-efsa_urgent_2011"/>
      <w:bookmarkEnd w:id="23"/>
      <w:proofErr w:type="spellStart"/>
      <w:r w:rsidRPr="004732D2">
        <w:rPr>
          <w:sz w:val="20"/>
          <w:szCs w:val="20"/>
          <w:lang w:val="en-US"/>
        </w:rPr>
        <w:t>Gayán</w:t>
      </w:r>
      <w:proofErr w:type="spellEnd"/>
      <w:r w:rsidRPr="004732D2">
        <w:rPr>
          <w:sz w:val="20"/>
          <w:szCs w:val="20"/>
          <w:lang w:val="en-US"/>
        </w:rPr>
        <w:t xml:space="preserve">, E., Torres, J. A., </w:t>
      </w:r>
      <w:proofErr w:type="spellStart"/>
      <w:r w:rsidRPr="004732D2">
        <w:rPr>
          <w:sz w:val="20"/>
          <w:szCs w:val="20"/>
          <w:lang w:val="en-US"/>
        </w:rPr>
        <w:t>Ávarez</w:t>
      </w:r>
      <w:proofErr w:type="spellEnd"/>
      <w:r w:rsidRPr="004732D2">
        <w:rPr>
          <w:sz w:val="20"/>
          <w:szCs w:val="20"/>
          <w:lang w:val="en-US"/>
        </w:rPr>
        <w:t xml:space="preserve">, I., &amp; </w:t>
      </w:r>
      <w:proofErr w:type="spellStart"/>
      <w:r w:rsidRPr="004732D2">
        <w:rPr>
          <w:sz w:val="20"/>
          <w:szCs w:val="20"/>
          <w:lang w:val="en-US"/>
        </w:rPr>
        <w:t>Condón</w:t>
      </w:r>
      <w:proofErr w:type="spellEnd"/>
      <w:r w:rsidRPr="004732D2">
        <w:rPr>
          <w:sz w:val="20"/>
          <w:szCs w:val="20"/>
          <w:lang w:val="en-US"/>
        </w:rPr>
        <w:t xml:space="preserve">, S. (2014). Selection of process conditions by risk assessment for apple juice pasteurization by UV-Heat treatments at moderate temperatures. </w:t>
      </w:r>
      <w:r w:rsidRPr="004732D2">
        <w:rPr>
          <w:i/>
          <w:iCs/>
          <w:sz w:val="20"/>
          <w:szCs w:val="20"/>
          <w:lang w:val="en-US"/>
        </w:rPr>
        <w:t>Journal of Food Protection</w:t>
      </w:r>
      <w:r w:rsidRPr="004732D2">
        <w:rPr>
          <w:sz w:val="20"/>
          <w:szCs w:val="20"/>
          <w:lang w:val="en-US"/>
        </w:rPr>
        <w:t xml:space="preserve">, </w:t>
      </w:r>
      <w:r w:rsidRPr="004732D2">
        <w:rPr>
          <w:i/>
          <w:iCs/>
          <w:sz w:val="20"/>
          <w:szCs w:val="20"/>
          <w:lang w:val="en-US"/>
        </w:rPr>
        <w:t>77</w:t>
      </w:r>
      <w:r w:rsidRPr="004732D2">
        <w:rPr>
          <w:sz w:val="20"/>
          <w:szCs w:val="20"/>
          <w:lang w:val="en-US"/>
        </w:rPr>
        <w:t xml:space="preserve">(2), 207–215. </w:t>
      </w:r>
      <w:hyperlink r:id="rId23" w:history="1">
        <w:r w:rsidRPr="004732D2">
          <w:rPr>
            <w:rStyle w:val="Hyperlink"/>
            <w:sz w:val="20"/>
            <w:szCs w:val="20"/>
            <w:lang w:val="en-US"/>
          </w:rPr>
          <w:t>https://doi.org/10.4315/0362-028X.JFP-13-255</w:t>
        </w:r>
      </w:hyperlink>
    </w:p>
    <w:p w14:paraId="3CB54D3F" w14:textId="77777777" w:rsidR="004732D2" w:rsidRPr="004732D2" w:rsidRDefault="004732D2" w:rsidP="00575546">
      <w:pPr>
        <w:jc w:val="both"/>
        <w:rPr>
          <w:sz w:val="20"/>
          <w:szCs w:val="20"/>
          <w:lang w:val="en-US"/>
        </w:rPr>
      </w:pPr>
      <w:bookmarkStart w:id="24" w:name="ref-gayan_selection_2014"/>
      <w:bookmarkEnd w:id="24"/>
      <w:r w:rsidRPr="004732D2">
        <w:rPr>
          <w:sz w:val="20"/>
          <w:szCs w:val="20"/>
          <w:lang w:val="en-US"/>
        </w:rPr>
        <w:t xml:space="preserve">Liao, X., Liu, D., Xiang, Q., Ahn, J., Chen, S., Ye, X., &amp; Ding, T. (2017). Inactivation mechanisms of non-thermal plasma on microbes: A review. </w:t>
      </w:r>
      <w:r w:rsidRPr="004732D2">
        <w:rPr>
          <w:i/>
          <w:iCs/>
          <w:sz w:val="20"/>
          <w:szCs w:val="20"/>
          <w:lang w:val="en-US"/>
        </w:rPr>
        <w:t>Food Control</w:t>
      </w:r>
      <w:r w:rsidRPr="004732D2">
        <w:rPr>
          <w:sz w:val="20"/>
          <w:szCs w:val="20"/>
          <w:lang w:val="en-US"/>
        </w:rPr>
        <w:t xml:space="preserve">, </w:t>
      </w:r>
      <w:r w:rsidRPr="004732D2">
        <w:rPr>
          <w:i/>
          <w:iCs/>
          <w:sz w:val="20"/>
          <w:szCs w:val="20"/>
          <w:lang w:val="en-US"/>
        </w:rPr>
        <w:t>75</w:t>
      </w:r>
      <w:r w:rsidRPr="004732D2">
        <w:rPr>
          <w:sz w:val="20"/>
          <w:szCs w:val="20"/>
          <w:lang w:val="en-US"/>
        </w:rPr>
        <w:t xml:space="preserve">, 83–91. </w:t>
      </w:r>
      <w:hyperlink r:id="rId24" w:history="1">
        <w:r w:rsidRPr="004732D2">
          <w:rPr>
            <w:rStyle w:val="Hyperlink"/>
            <w:sz w:val="20"/>
            <w:szCs w:val="20"/>
            <w:lang w:val="en-US"/>
          </w:rPr>
          <w:t>https://doi.org/10.1016/j.foodcont.2016.12.021</w:t>
        </w:r>
      </w:hyperlink>
    </w:p>
    <w:p w14:paraId="126147DA" w14:textId="77777777" w:rsidR="004732D2" w:rsidRPr="004732D2" w:rsidRDefault="004732D2" w:rsidP="00575546">
      <w:pPr>
        <w:jc w:val="both"/>
        <w:rPr>
          <w:sz w:val="20"/>
          <w:szCs w:val="20"/>
          <w:lang w:val="en-US"/>
        </w:rPr>
      </w:pPr>
      <w:bookmarkStart w:id="25" w:name="ref-liao_inactivation_2017"/>
      <w:bookmarkEnd w:id="25"/>
      <w:r w:rsidRPr="004732D2">
        <w:rPr>
          <w:sz w:val="20"/>
          <w:szCs w:val="20"/>
          <w:lang w:val="en-US"/>
        </w:rPr>
        <w:t>Martínez-</w:t>
      </w:r>
      <w:proofErr w:type="spellStart"/>
      <w:r w:rsidRPr="004732D2">
        <w:rPr>
          <w:sz w:val="20"/>
          <w:szCs w:val="20"/>
          <w:lang w:val="en-US"/>
        </w:rPr>
        <w:t>Gonzáles</w:t>
      </w:r>
      <w:proofErr w:type="spellEnd"/>
      <w:r w:rsidRPr="004732D2">
        <w:rPr>
          <w:sz w:val="20"/>
          <w:szCs w:val="20"/>
          <w:lang w:val="en-US"/>
        </w:rPr>
        <w:t xml:space="preserve">, N. E., &amp; Castillo, A. (2016). Safety of fresh-squeezed juices. In </w:t>
      </w:r>
      <w:r w:rsidRPr="004732D2">
        <w:rPr>
          <w:i/>
          <w:iCs/>
          <w:sz w:val="20"/>
          <w:szCs w:val="20"/>
          <w:lang w:val="en-US"/>
        </w:rPr>
        <w:t>Food Hygiene and Toxicology in Ready-to-Eat Foods</w:t>
      </w:r>
      <w:r w:rsidRPr="004732D2">
        <w:rPr>
          <w:sz w:val="20"/>
          <w:szCs w:val="20"/>
          <w:lang w:val="en-US"/>
        </w:rPr>
        <w:t xml:space="preserve"> (pp. 183–208). </w:t>
      </w:r>
      <w:hyperlink r:id="rId25" w:history="1">
        <w:r w:rsidRPr="004732D2">
          <w:rPr>
            <w:rStyle w:val="Hyperlink"/>
            <w:sz w:val="20"/>
            <w:szCs w:val="20"/>
            <w:lang w:val="en-US"/>
          </w:rPr>
          <w:t>https://doi.org/10.1016/B978-0-12-801916-0.00011-X</w:t>
        </w:r>
      </w:hyperlink>
    </w:p>
    <w:p w14:paraId="390E2121" w14:textId="77777777" w:rsidR="004732D2" w:rsidRPr="004732D2" w:rsidRDefault="004732D2" w:rsidP="00575546">
      <w:pPr>
        <w:jc w:val="both"/>
        <w:rPr>
          <w:sz w:val="20"/>
          <w:szCs w:val="20"/>
          <w:lang w:val="en-US"/>
        </w:rPr>
      </w:pPr>
      <w:bookmarkStart w:id="26" w:name="ref-martinez-gonzales_safety_2016"/>
      <w:bookmarkEnd w:id="26"/>
      <w:r w:rsidRPr="004732D2">
        <w:rPr>
          <w:i/>
          <w:iCs/>
          <w:sz w:val="20"/>
          <w:szCs w:val="20"/>
          <w:lang w:val="en-US"/>
        </w:rPr>
        <w:t>Pathogen Modeling Program (PMP) Online</w:t>
      </w:r>
      <w:r w:rsidRPr="004732D2">
        <w:rPr>
          <w:sz w:val="20"/>
          <w:szCs w:val="20"/>
          <w:lang w:val="en-US"/>
        </w:rPr>
        <w:t xml:space="preserve">. (n.d.). Retrieved July 31, 2024, from </w:t>
      </w:r>
      <w:hyperlink r:id="rId26" w:history="1">
        <w:r w:rsidRPr="004732D2">
          <w:rPr>
            <w:rStyle w:val="Hyperlink"/>
            <w:sz w:val="20"/>
            <w:szCs w:val="20"/>
            <w:lang w:val="en-US"/>
          </w:rPr>
          <w:t>https://pmp.errc.ars.usda.gov/phOfSelectedFoods.aspx</w:t>
        </w:r>
      </w:hyperlink>
    </w:p>
    <w:p w14:paraId="6E19CBE6" w14:textId="77777777" w:rsidR="004732D2" w:rsidRPr="004732D2" w:rsidRDefault="004732D2" w:rsidP="00575546">
      <w:pPr>
        <w:jc w:val="both"/>
        <w:rPr>
          <w:sz w:val="20"/>
          <w:szCs w:val="20"/>
          <w:lang w:val="en-US"/>
        </w:rPr>
      </w:pPr>
      <w:bookmarkStart w:id="27" w:name="ref-noauthor_pathogen_nodate"/>
      <w:bookmarkEnd w:id="27"/>
      <w:r w:rsidRPr="004732D2">
        <w:rPr>
          <w:sz w:val="20"/>
          <w:szCs w:val="20"/>
          <w:lang w:val="en-US"/>
        </w:rPr>
        <w:t xml:space="preserve">Rodriguez-Gonzalez, O., </w:t>
      </w:r>
      <w:proofErr w:type="spellStart"/>
      <w:r w:rsidRPr="004732D2">
        <w:rPr>
          <w:sz w:val="20"/>
          <w:szCs w:val="20"/>
          <w:lang w:val="en-US"/>
        </w:rPr>
        <w:t>Buckow</w:t>
      </w:r>
      <w:proofErr w:type="spellEnd"/>
      <w:r w:rsidRPr="004732D2">
        <w:rPr>
          <w:sz w:val="20"/>
          <w:szCs w:val="20"/>
          <w:lang w:val="en-US"/>
        </w:rPr>
        <w:t xml:space="preserve">, R., </w:t>
      </w:r>
      <w:proofErr w:type="spellStart"/>
      <w:r w:rsidRPr="004732D2">
        <w:rPr>
          <w:sz w:val="20"/>
          <w:szCs w:val="20"/>
          <w:lang w:val="en-US"/>
        </w:rPr>
        <w:t>Koutchma</w:t>
      </w:r>
      <w:proofErr w:type="spellEnd"/>
      <w:r w:rsidRPr="004732D2">
        <w:rPr>
          <w:sz w:val="20"/>
          <w:szCs w:val="20"/>
          <w:lang w:val="en-US"/>
        </w:rPr>
        <w:t xml:space="preserve">, T., &amp; </w:t>
      </w:r>
      <w:proofErr w:type="spellStart"/>
      <w:r w:rsidRPr="004732D2">
        <w:rPr>
          <w:sz w:val="20"/>
          <w:szCs w:val="20"/>
          <w:lang w:val="en-US"/>
        </w:rPr>
        <w:t>Balasubramaniam</w:t>
      </w:r>
      <w:proofErr w:type="spellEnd"/>
      <w:r w:rsidRPr="004732D2">
        <w:rPr>
          <w:sz w:val="20"/>
          <w:szCs w:val="20"/>
          <w:lang w:val="en-US"/>
        </w:rPr>
        <w:t xml:space="preserve">, V. M. (2015). Energy requirements for alternative food processing technologies—principles, </w:t>
      </w:r>
      <w:r w:rsidRPr="004732D2">
        <w:rPr>
          <w:sz w:val="20"/>
          <w:szCs w:val="20"/>
          <w:lang w:val="en-US"/>
        </w:rPr>
        <w:lastRenderedPageBreak/>
        <w:t xml:space="preserve">assumptions, and evaluation of efficiency. </w:t>
      </w:r>
      <w:r w:rsidRPr="004732D2">
        <w:rPr>
          <w:i/>
          <w:iCs/>
          <w:sz w:val="20"/>
          <w:szCs w:val="20"/>
          <w:lang w:val="en-US"/>
        </w:rPr>
        <w:t>Comprehensive Reviews in Food Science and Food Safety</w:t>
      </w:r>
      <w:r w:rsidRPr="004732D2">
        <w:rPr>
          <w:sz w:val="20"/>
          <w:szCs w:val="20"/>
          <w:lang w:val="en-US"/>
        </w:rPr>
        <w:t xml:space="preserve">, </w:t>
      </w:r>
      <w:r w:rsidRPr="004732D2">
        <w:rPr>
          <w:i/>
          <w:iCs/>
          <w:sz w:val="20"/>
          <w:szCs w:val="20"/>
          <w:lang w:val="en-US"/>
        </w:rPr>
        <w:t>14</w:t>
      </w:r>
      <w:r w:rsidRPr="004732D2">
        <w:rPr>
          <w:sz w:val="20"/>
          <w:szCs w:val="20"/>
          <w:lang w:val="en-US"/>
        </w:rPr>
        <w:t>(5), 536–554. https://doi.org/</w:t>
      </w:r>
      <w:hyperlink r:id="rId27" w:history="1">
        <w:r w:rsidRPr="004732D2">
          <w:rPr>
            <w:rStyle w:val="Hyperlink"/>
            <w:sz w:val="20"/>
            <w:szCs w:val="20"/>
            <w:lang w:val="en-US"/>
          </w:rPr>
          <w:t>https://doi.org/10.1111/1541-4337.12142</w:t>
        </w:r>
      </w:hyperlink>
    </w:p>
    <w:p w14:paraId="6EB01962" w14:textId="77777777" w:rsidR="004732D2" w:rsidRPr="004732D2" w:rsidRDefault="004732D2" w:rsidP="00575546">
      <w:pPr>
        <w:jc w:val="both"/>
        <w:rPr>
          <w:sz w:val="20"/>
          <w:szCs w:val="20"/>
          <w:lang w:val="en-US"/>
        </w:rPr>
      </w:pPr>
      <w:bookmarkStart w:id="28" w:name="ref-rodriguez-gonzalez_energy_2015"/>
      <w:bookmarkEnd w:id="28"/>
      <w:proofErr w:type="spellStart"/>
      <w:r w:rsidRPr="004732D2">
        <w:rPr>
          <w:sz w:val="20"/>
          <w:szCs w:val="20"/>
          <w:lang w:val="en-US"/>
        </w:rPr>
        <w:t>Rydzak</w:t>
      </w:r>
      <w:proofErr w:type="spellEnd"/>
      <w:r w:rsidRPr="004732D2">
        <w:rPr>
          <w:sz w:val="20"/>
          <w:szCs w:val="20"/>
          <w:lang w:val="en-US"/>
        </w:rPr>
        <w:t xml:space="preserve">, L., Kobus, Z., </w:t>
      </w:r>
      <w:proofErr w:type="spellStart"/>
      <w:r w:rsidRPr="004732D2">
        <w:rPr>
          <w:sz w:val="20"/>
          <w:szCs w:val="20"/>
          <w:lang w:val="en-US"/>
        </w:rPr>
        <w:t>Nadulski</w:t>
      </w:r>
      <w:proofErr w:type="spellEnd"/>
      <w:r w:rsidRPr="004732D2">
        <w:rPr>
          <w:sz w:val="20"/>
          <w:szCs w:val="20"/>
          <w:lang w:val="en-US"/>
        </w:rPr>
        <w:t xml:space="preserve">, R., </w:t>
      </w:r>
      <w:proofErr w:type="spellStart"/>
      <w:r w:rsidRPr="004732D2">
        <w:rPr>
          <w:sz w:val="20"/>
          <w:szCs w:val="20"/>
          <w:lang w:val="en-US"/>
        </w:rPr>
        <w:t>Wilczyński</w:t>
      </w:r>
      <w:proofErr w:type="spellEnd"/>
      <w:r w:rsidRPr="004732D2">
        <w:rPr>
          <w:sz w:val="20"/>
          <w:szCs w:val="20"/>
          <w:lang w:val="en-US"/>
        </w:rPr>
        <w:t xml:space="preserve">, K., </w:t>
      </w:r>
      <w:proofErr w:type="spellStart"/>
      <w:r w:rsidRPr="004732D2">
        <w:rPr>
          <w:sz w:val="20"/>
          <w:szCs w:val="20"/>
          <w:lang w:val="en-US"/>
        </w:rPr>
        <w:t>Pecyna</w:t>
      </w:r>
      <w:proofErr w:type="spellEnd"/>
      <w:r w:rsidRPr="004732D2">
        <w:rPr>
          <w:sz w:val="20"/>
          <w:szCs w:val="20"/>
          <w:lang w:val="en-US"/>
        </w:rPr>
        <w:t xml:space="preserve">, A., Santoro, F., Sagan, A., </w:t>
      </w:r>
      <w:proofErr w:type="spellStart"/>
      <w:r w:rsidRPr="004732D2">
        <w:rPr>
          <w:sz w:val="20"/>
          <w:szCs w:val="20"/>
          <w:lang w:val="en-US"/>
        </w:rPr>
        <w:t>Starek-Wójcicka</w:t>
      </w:r>
      <w:proofErr w:type="spellEnd"/>
      <w:r w:rsidRPr="004732D2">
        <w:rPr>
          <w:sz w:val="20"/>
          <w:szCs w:val="20"/>
          <w:lang w:val="en-US"/>
        </w:rPr>
        <w:t xml:space="preserve">, A., &amp; </w:t>
      </w:r>
      <w:proofErr w:type="spellStart"/>
      <w:r w:rsidRPr="004732D2">
        <w:rPr>
          <w:sz w:val="20"/>
          <w:szCs w:val="20"/>
          <w:lang w:val="en-US"/>
        </w:rPr>
        <w:t>Krzywicka</w:t>
      </w:r>
      <w:proofErr w:type="spellEnd"/>
      <w:r w:rsidRPr="004732D2">
        <w:rPr>
          <w:sz w:val="20"/>
          <w:szCs w:val="20"/>
          <w:lang w:val="en-US"/>
        </w:rPr>
        <w:t xml:space="preserve">, M. (2020). Analysis of selected physicochemical properties of commercial apple juices. </w:t>
      </w:r>
      <w:r w:rsidRPr="004732D2">
        <w:rPr>
          <w:i/>
          <w:iCs/>
          <w:sz w:val="20"/>
          <w:szCs w:val="20"/>
          <w:lang w:val="en-US"/>
        </w:rPr>
        <w:t>Processes</w:t>
      </w:r>
      <w:r w:rsidRPr="004732D2">
        <w:rPr>
          <w:sz w:val="20"/>
          <w:szCs w:val="20"/>
          <w:lang w:val="en-US"/>
        </w:rPr>
        <w:t xml:space="preserve">, </w:t>
      </w:r>
      <w:r w:rsidRPr="004732D2">
        <w:rPr>
          <w:i/>
          <w:iCs/>
          <w:sz w:val="20"/>
          <w:szCs w:val="20"/>
          <w:lang w:val="en-US"/>
        </w:rPr>
        <w:t>8</w:t>
      </w:r>
      <w:r w:rsidRPr="004732D2">
        <w:rPr>
          <w:sz w:val="20"/>
          <w:szCs w:val="20"/>
          <w:lang w:val="en-US"/>
        </w:rPr>
        <w:t xml:space="preserve">(11), 1457. </w:t>
      </w:r>
      <w:hyperlink r:id="rId28" w:history="1">
        <w:r w:rsidRPr="004732D2">
          <w:rPr>
            <w:rStyle w:val="Hyperlink"/>
            <w:sz w:val="20"/>
            <w:szCs w:val="20"/>
            <w:lang w:val="en-US"/>
          </w:rPr>
          <w:t>https://doi.org/10.3390/pr8111457</w:t>
        </w:r>
      </w:hyperlink>
    </w:p>
    <w:p w14:paraId="74CAB4EB" w14:textId="77777777" w:rsidR="004732D2" w:rsidRDefault="004732D2" w:rsidP="00575546">
      <w:pPr>
        <w:jc w:val="both"/>
        <w:rPr>
          <w:sz w:val="20"/>
          <w:szCs w:val="20"/>
          <w:lang w:val="en-US"/>
        </w:rPr>
      </w:pPr>
      <w:bookmarkStart w:id="29" w:name="ref-rydzak_analysis_2020"/>
      <w:bookmarkEnd w:id="29"/>
      <w:r w:rsidRPr="004732D2">
        <w:rPr>
          <w:sz w:val="20"/>
          <w:szCs w:val="20"/>
          <w:lang w:val="en-US"/>
        </w:rPr>
        <w:t xml:space="preserve">US FDA. (2024). </w:t>
      </w:r>
      <w:r w:rsidRPr="004732D2">
        <w:rPr>
          <w:i/>
          <w:iCs/>
          <w:sz w:val="20"/>
          <w:szCs w:val="20"/>
          <w:lang w:val="en-US"/>
        </w:rPr>
        <w:t>Guidance for Industry: Juice Hazard Analysis Critical Control Point Hazards and Controls Guidance, First Edition</w:t>
      </w:r>
      <w:r w:rsidRPr="004732D2">
        <w:rPr>
          <w:sz w:val="20"/>
          <w:szCs w:val="20"/>
          <w:lang w:val="en-US"/>
        </w:rPr>
        <w:t xml:space="preserve">. </w:t>
      </w:r>
      <w:hyperlink r:id="rId29" w:history="1">
        <w:r w:rsidRPr="004732D2">
          <w:rPr>
            <w:rStyle w:val="Hyperlink"/>
            <w:sz w:val="20"/>
            <w:szCs w:val="20"/>
            <w:lang w:val="en-US"/>
          </w:rPr>
          <w:t>https://www.fda.gov/regulatory-information/search-fda-guidance-documents/guidance-industry-juice-hazard-analysis-critical-control-point-hazards-and-controls-guidance-first</w:t>
        </w:r>
      </w:hyperlink>
      <w:bookmarkStart w:id="30" w:name="ref-us_fda_guidance_2024"/>
      <w:bookmarkEnd w:id="15"/>
      <w:bookmarkEnd w:id="16"/>
      <w:bookmarkEnd w:id="30"/>
    </w:p>
    <w:p w14:paraId="2DD97EE3" w14:textId="0BE59360" w:rsidR="00514F22" w:rsidRPr="004732D2" w:rsidRDefault="00514F22" w:rsidP="00575546">
      <w:pPr>
        <w:jc w:val="both"/>
        <w:rPr>
          <w:sz w:val="20"/>
          <w:szCs w:val="20"/>
          <w:lang w:val="en-US"/>
        </w:rPr>
      </w:pPr>
      <w:r w:rsidRPr="007736DC">
        <w:rPr>
          <w:sz w:val="20"/>
          <w:szCs w:val="20"/>
          <w:lang w:val="nl-NL"/>
        </w:rPr>
        <w:t xml:space="preserve">Van </w:t>
      </w:r>
      <w:r w:rsidRPr="004732D2">
        <w:rPr>
          <w:sz w:val="20"/>
          <w:szCs w:val="20"/>
          <w:lang w:val="nl-NL"/>
        </w:rPr>
        <w:t xml:space="preserve">Asselt, E. D., &amp; Zwietering, M. H. (2006). </w:t>
      </w:r>
      <w:r w:rsidRPr="004732D2">
        <w:rPr>
          <w:sz w:val="20"/>
          <w:szCs w:val="20"/>
          <w:lang w:val="en-US"/>
        </w:rPr>
        <w:t xml:space="preserve">A systematic approach to determine global thermal inactivation parameters for various food pathogens. </w:t>
      </w:r>
      <w:r w:rsidRPr="004732D2">
        <w:rPr>
          <w:i/>
          <w:iCs/>
          <w:sz w:val="20"/>
          <w:szCs w:val="20"/>
          <w:lang w:val="en-US"/>
        </w:rPr>
        <w:t>International Journal of Food Microbiology</w:t>
      </w:r>
      <w:r w:rsidRPr="004732D2">
        <w:rPr>
          <w:sz w:val="20"/>
          <w:szCs w:val="20"/>
          <w:lang w:val="en-US"/>
        </w:rPr>
        <w:t xml:space="preserve">, </w:t>
      </w:r>
      <w:r w:rsidRPr="004732D2">
        <w:rPr>
          <w:i/>
          <w:iCs/>
          <w:sz w:val="20"/>
          <w:szCs w:val="20"/>
          <w:lang w:val="en-US"/>
        </w:rPr>
        <w:t>107</w:t>
      </w:r>
      <w:r w:rsidRPr="004732D2">
        <w:rPr>
          <w:sz w:val="20"/>
          <w:szCs w:val="20"/>
          <w:lang w:val="en-US"/>
        </w:rPr>
        <w:t xml:space="preserve">(1), 73–82. </w:t>
      </w:r>
      <w:hyperlink r:id="rId30" w:history="1">
        <w:r w:rsidRPr="004732D2">
          <w:rPr>
            <w:rStyle w:val="Hyperlink"/>
            <w:sz w:val="20"/>
            <w:szCs w:val="20"/>
            <w:lang w:val="en-US"/>
          </w:rPr>
          <w:t>https://doi.org/10.1016/j.ijfoodmicro.2005.08.014</w:t>
        </w:r>
      </w:hyperlink>
    </w:p>
    <w:p w14:paraId="48705EF9" w14:textId="77777777" w:rsidR="004732D2" w:rsidRPr="00A50B74" w:rsidRDefault="004732D2" w:rsidP="00575546">
      <w:pPr>
        <w:jc w:val="both"/>
        <w:rPr>
          <w:sz w:val="20"/>
          <w:szCs w:val="20"/>
          <w:lang w:val="en-US"/>
        </w:rPr>
      </w:pPr>
    </w:p>
    <w:sectPr w:rsidR="004732D2" w:rsidRPr="00A50B74" w:rsidSect="00DD2214">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44613" w14:textId="77777777" w:rsidR="007414E5" w:rsidRDefault="007414E5" w:rsidP="00967D69">
      <w:pPr>
        <w:spacing w:after="0" w:line="240" w:lineRule="auto"/>
      </w:pPr>
      <w:r>
        <w:separator/>
      </w:r>
    </w:p>
  </w:endnote>
  <w:endnote w:type="continuationSeparator" w:id="0">
    <w:p w14:paraId="35DF5771" w14:textId="77777777" w:rsidR="007414E5" w:rsidRDefault="007414E5" w:rsidP="00967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6049448"/>
      <w:docPartObj>
        <w:docPartGallery w:val="Page Numbers (Bottom of Page)"/>
        <w:docPartUnique/>
      </w:docPartObj>
    </w:sdtPr>
    <w:sdtContent>
      <w:p w14:paraId="41572D65" w14:textId="56FAA41D" w:rsidR="00967D69" w:rsidRDefault="00967D69">
        <w:pPr>
          <w:pStyle w:val="Footer"/>
          <w:jc w:val="center"/>
        </w:pPr>
        <w:r>
          <w:fldChar w:fldCharType="begin"/>
        </w:r>
        <w:r>
          <w:instrText>PAGE   \* MERGEFORMAT</w:instrText>
        </w:r>
        <w:r>
          <w:fldChar w:fldCharType="separate"/>
        </w:r>
        <w:r>
          <w:rPr>
            <w:lang w:val="nl-NL"/>
          </w:rPr>
          <w:t>2</w:t>
        </w:r>
        <w:r>
          <w:fldChar w:fldCharType="end"/>
        </w:r>
      </w:p>
    </w:sdtContent>
  </w:sdt>
  <w:p w14:paraId="13454013" w14:textId="77777777" w:rsidR="00967D69" w:rsidRDefault="00967D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B136C" w14:textId="77777777" w:rsidR="007414E5" w:rsidRDefault="007414E5" w:rsidP="00967D69">
      <w:pPr>
        <w:spacing w:after="0" w:line="240" w:lineRule="auto"/>
      </w:pPr>
      <w:r>
        <w:separator/>
      </w:r>
    </w:p>
  </w:footnote>
  <w:footnote w:type="continuationSeparator" w:id="0">
    <w:p w14:paraId="46A101E4" w14:textId="77777777" w:rsidR="007414E5" w:rsidRDefault="007414E5" w:rsidP="00967D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5C9"/>
    <w:rsid w:val="000204A2"/>
    <w:rsid w:val="00026FEB"/>
    <w:rsid w:val="000309A6"/>
    <w:rsid w:val="00034955"/>
    <w:rsid w:val="00072893"/>
    <w:rsid w:val="00080038"/>
    <w:rsid w:val="000914AB"/>
    <w:rsid w:val="000B5B2E"/>
    <w:rsid w:val="001038ED"/>
    <w:rsid w:val="00112DAB"/>
    <w:rsid w:val="00127F8E"/>
    <w:rsid w:val="00147D4B"/>
    <w:rsid w:val="00151939"/>
    <w:rsid w:val="00165C80"/>
    <w:rsid w:val="00173023"/>
    <w:rsid w:val="001928A0"/>
    <w:rsid w:val="001A40B9"/>
    <w:rsid w:val="001D3B55"/>
    <w:rsid w:val="001E460A"/>
    <w:rsid w:val="001E6537"/>
    <w:rsid w:val="001F25C9"/>
    <w:rsid w:val="00215586"/>
    <w:rsid w:val="0021628F"/>
    <w:rsid w:val="0024605A"/>
    <w:rsid w:val="00252885"/>
    <w:rsid w:val="00293103"/>
    <w:rsid w:val="00314A80"/>
    <w:rsid w:val="003413DA"/>
    <w:rsid w:val="00362807"/>
    <w:rsid w:val="00365F83"/>
    <w:rsid w:val="0037175C"/>
    <w:rsid w:val="003A5222"/>
    <w:rsid w:val="003E2521"/>
    <w:rsid w:val="00406812"/>
    <w:rsid w:val="004732D2"/>
    <w:rsid w:val="00491716"/>
    <w:rsid w:val="004B4F65"/>
    <w:rsid w:val="004E3D08"/>
    <w:rsid w:val="00512AD8"/>
    <w:rsid w:val="00514F22"/>
    <w:rsid w:val="005374F1"/>
    <w:rsid w:val="00574CA6"/>
    <w:rsid w:val="00575546"/>
    <w:rsid w:val="005871A7"/>
    <w:rsid w:val="005F495B"/>
    <w:rsid w:val="00623405"/>
    <w:rsid w:val="0063601C"/>
    <w:rsid w:val="00691C84"/>
    <w:rsid w:val="006A2C41"/>
    <w:rsid w:val="006B5C85"/>
    <w:rsid w:val="006E1FDC"/>
    <w:rsid w:val="006E4479"/>
    <w:rsid w:val="006E4901"/>
    <w:rsid w:val="006F0139"/>
    <w:rsid w:val="0071017A"/>
    <w:rsid w:val="00724BC5"/>
    <w:rsid w:val="00726A81"/>
    <w:rsid w:val="00734A20"/>
    <w:rsid w:val="007414E5"/>
    <w:rsid w:val="0074240B"/>
    <w:rsid w:val="00752EEE"/>
    <w:rsid w:val="00766CF3"/>
    <w:rsid w:val="007736DC"/>
    <w:rsid w:val="007A55E3"/>
    <w:rsid w:val="007B2F84"/>
    <w:rsid w:val="007B64FD"/>
    <w:rsid w:val="007F16A4"/>
    <w:rsid w:val="007F702D"/>
    <w:rsid w:val="008016BB"/>
    <w:rsid w:val="00822557"/>
    <w:rsid w:val="008447F4"/>
    <w:rsid w:val="008556A8"/>
    <w:rsid w:val="00871384"/>
    <w:rsid w:val="00883516"/>
    <w:rsid w:val="00893984"/>
    <w:rsid w:val="008975A8"/>
    <w:rsid w:val="008C443C"/>
    <w:rsid w:val="00930E38"/>
    <w:rsid w:val="00931A47"/>
    <w:rsid w:val="00952A93"/>
    <w:rsid w:val="00957811"/>
    <w:rsid w:val="00967D69"/>
    <w:rsid w:val="0099331E"/>
    <w:rsid w:val="009B73B6"/>
    <w:rsid w:val="009C0B0B"/>
    <w:rsid w:val="009E0B84"/>
    <w:rsid w:val="00A50B74"/>
    <w:rsid w:val="00A84BB3"/>
    <w:rsid w:val="00AE45AB"/>
    <w:rsid w:val="00AF3A04"/>
    <w:rsid w:val="00AF7637"/>
    <w:rsid w:val="00B82124"/>
    <w:rsid w:val="00BA05EF"/>
    <w:rsid w:val="00BB4B2F"/>
    <w:rsid w:val="00BC6AEA"/>
    <w:rsid w:val="00C03ADC"/>
    <w:rsid w:val="00C15230"/>
    <w:rsid w:val="00C23379"/>
    <w:rsid w:val="00C93046"/>
    <w:rsid w:val="00CD37E2"/>
    <w:rsid w:val="00CF3CE7"/>
    <w:rsid w:val="00D007F3"/>
    <w:rsid w:val="00D07AB7"/>
    <w:rsid w:val="00D1264B"/>
    <w:rsid w:val="00D861E3"/>
    <w:rsid w:val="00D92E0D"/>
    <w:rsid w:val="00DC19F6"/>
    <w:rsid w:val="00DD0CB1"/>
    <w:rsid w:val="00DD2214"/>
    <w:rsid w:val="00DE2A25"/>
    <w:rsid w:val="00E21990"/>
    <w:rsid w:val="00E32D81"/>
    <w:rsid w:val="00EA2E62"/>
    <w:rsid w:val="00EB11EE"/>
    <w:rsid w:val="00EC4F47"/>
    <w:rsid w:val="00ED79B3"/>
    <w:rsid w:val="00F07A65"/>
    <w:rsid w:val="00F2335F"/>
    <w:rsid w:val="00F342BA"/>
    <w:rsid w:val="00F50B7F"/>
    <w:rsid w:val="00FB4A88"/>
    <w:rsid w:val="00FD56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BD0DBB"/>
  <w15:chartTrackingRefBased/>
  <w15:docId w15:val="{A867B6AA-13E7-40DE-84FF-91CC47286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17"/>
        <w:szCs w:val="22"/>
        <w:lang w:val="en-GB" w:eastAsia="en-US" w:bidi="ar-SA"/>
      </w:rPr>
    </w:rPrDefault>
    <w:pPrDefault>
      <w:pPr>
        <w:spacing w:after="200" w:line="30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5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25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7D6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67D69"/>
  </w:style>
  <w:style w:type="paragraph" w:styleId="Footer">
    <w:name w:val="footer"/>
    <w:basedOn w:val="Normal"/>
    <w:link w:val="FooterChar"/>
    <w:uiPriority w:val="99"/>
    <w:unhideWhenUsed/>
    <w:rsid w:val="00967D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67D69"/>
  </w:style>
  <w:style w:type="paragraph" w:styleId="Bibliography">
    <w:name w:val="Bibliography"/>
    <w:basedOn w:val="Normal"/>
    <w:next w:val="Normal"/>
    <w:uiPriority w:val="37"/>
    <w:semiHidden/>
    <w:unhideWhenUsed/>
    <w:rsid w:val="00DE2A25"/>
  </w:style>
  <w:style w:type="character" w:styleId="Hyperlink">
    <w:name w:val="Hyperlink"/>
    <w:basedOn w:val="DefaultParagraphFont"/>
    <w:uiPriority w:val="99"/>
    <w:unhideWhenUsed/>
    <w:rsid w:val="00A50B74"/>
    <w:rPr>
      <w:color w:val="0000FF" w:themeColor="hyperlink"/>
      <w:u w:val="single"/>
    </w:rPr>
  </w:style>
  <w:style w:type="character" w:styleId="UnresolvedMention">
    <w:name w:val="Unresolved Mention"/>
    <w:basedOn w:val="DefaultParagraphFont"/>
    <w:uiPriority w:val="99"/>
    <w:semiHidden/>
    <w:unhideWhenUsed/>
    <w:rsid w:val="00A50B74"/>
    <w:rPr>
      <w:color w:val="605E5C"/>
      <w:shd w:val="clear" w:color="auto" w:fill="E1DFDD"/>
    </w:rPr>
  </w:style>
  <w:style w:type="paragraph" w:styleId="Revision">
    <w:name w:val="Revision"/>
    <w:hidden/>
    <w:uiPriority w:val="99"/>
    <w:semiHidden/>
    <w:rsid w:val="008016BB"/>
    <w:pPr>
      <w:spacing w:after="0" w:line="240" w:lineRule="auto"/>
    </w:pPr>
  </w:style>
  <w:style w:type="character" w:styleId="CommentReference">
    <w:name w:val="annotation reference"/>
    <w:basedOn w:val="DefaultParagraphFont"/>
    <w:uiPriority w:val="99"/>
    <w:semiHidden/>
    <w:unhideWhenUsed/>
    <w:rsid w:val="00B82124"/>
    <w:rPr>
      <w:sz w:val="16"/>
      <w:szCs w:val="16"/>
    </w:rPr>
  </w:style>
  <w:style w:type="paragraph" w:styleId="CommentText">
    <w:name w:val="annotation text"/>
    <w:basedOn w:val="Normal"/>
    <w:link w:val="CommentTextChar"/>
    <w:uiPriority w:val="99"/>
    <w:unhideWhenUsed/>
    <w:rsid w:val="00B82124"/>
    <w:pPr>
      <w:spacing w:line="240" w:lineRule="auto"/>
    </w:pPr>
    <w:rPr>
      <w:sz w:val="20"/>
      <w:szCs w:val="20"/>
    </w:rPr>
  </w:style>
  <w:style w:type="character" w:customStyle="1" w:styleId="CommentTextChar">
    <w:name w:val="Comment Text Char"/>
    <w:basedOn w:val="DefaultParagraphFont"/>
    <w:link w:val="CommentText"/>
    <w:uiPriority w:val="99"/>
    <w:rsid w:val="00B82124"/>
    <w:rPr>
      <w:sz w:val="20"/>
      <w:szCs w:val="20"/>
    </w:rPr>
  </w:style>
  <w:style w:type="paragraph" w:styleId="CommentSubject">
    <w:name w:val="annotation subject"/>
    <w:basedOn w:val="CommentText"/>
    <w:next w:val="CommentText"/>
    <w:link w:val="CommentSubjectChar"/>
    <w:uiPriority w:val="99"/>
    <w:semiHidden/>
    <w:unhideWhenUsed/>
    <w:rsid w:val="00B82124"/>
    <w:rPr>
      <w:b/>
      <w:bCs/>
    </w:rPr>
  </w:style>
  <w:style w:type="character" w:customStyle="1" w:styleId="CommentSubjectChar">
    <w:name w:val="Comment Subject Char"/>
    <w:basedOn w:val="CommentTextChar"/>
    <w:link w:val="CommentSubject"/>
    <w:uiPriority w:val="99"/>
    <w:semiHidden/>
    <w:rsid w:val="00B821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48505">
      <w:bodyDiv w:val="1"/>
      <w:marLeft w:val="0"/>
      <w:marRight w:val="0"/>
      <w:marTop w:val="0"/>
      <w:marBottom w:val="0"/>
      <w:divBdr>
        <w:top w:val="none" w:sz="0" w:space="0" w:color="auto"/>
        <w:left w:val="none" w:sz="0" w:space="0" w:color="auto"/>
        <w:bottom w:val="none" w:sz="0" w:space="0" w:color="auto"/>
        <w:right w:val="none" w:sz="0" w:space="0" w:color="auto"/>
      </w:divBdr>
    </w:div>
    <w:div w:id="460463702">
      <w:bodyDiv w:val="1"/>
      <w:marLeft w:val="0"/>
      <w:marRight w:val="0"/>
      <w:marTop w:val="0"/>
      <w:marBottom w:val="0"/>
      <w:divBdr>
        <w:top w:val="none" w:sz="0" w:space="0" w:color="auto"/>
        <w:left w:val="none" w:sz="0" w:space="0" w:color="auto"/>
        <w:bottom w:val="none" w:sz="0" w:space="0" w:color="auto"/>
        <w:right w:val="none" w:sz="0" w:space="0" w:color="auto"/>
      </w:divBdr>
    </w:div>
    <w:div w:id="617372644">
      <w:bodyDiv w:val="1"/>
      <w:marLeft w:val="0"/>
      <w:marRight w:val="0"/>
      <w:marTop w:val="0"/>
      <w:marBottom w:val="0"/>
      <w:divBdr>
        <w:top w:val="none" w:sz="0" w:space="0" w:color="auto"/>
        <w:left w:val="none" w:sz="0" w:space="0" w:color="auto"/>
        <w:bottom w:val="none" w:sz="0" w:space="0" w:color="auto"/>
        <w:right w:val="none" w:sz="0" w:space="0" w:color="auto"/>
      </w:divBdr>
    </w:div>
    <w:div w:id="1067917043">
      <w:bodyDiv w:val="1"/>
      <w:marLeft w:val="0"/>
      <w:marRight w:val="0"/>
      <w:marTop w:val="0"/>
      <w:marBottom w:val="0"/>
      <w:divBdr>
        <w:top w:val="none" w:sz="0" w:space="0" w:color="auto"/>
        <w:left w:val="none" w:sz="0" w:space="0" w:color="auto"/>
        <w:bottom w:val="none" w:sz="0" w:space="0" w:color="auto"/>
        <w:right w:val="none" w:sz="0" w:space="0" w:color="auto"/>
      </w:divBdr>
    </w:div>
    <w:div w:id="1411388034">
      <w:bodyDiv w:val="1"/>
      <w:marLeft w:val="0"/>
      <w:marRight w:val="0"/>
      <w:marTop w:val="0"/>
      <w:marBottom w:val="0"/>
      <w:divBdr>
        <w:top w:val="none" w:sz="0" w:space="0" w:color="auto"/>
        <w:left w:val="none" w:sz="0" w:space="0" w:color="auto"/>
        <w:bottom w:val="none" w:sz="0" w:space="0" w:color="auto"/>
        <w:right w:val="none" w:sz="0" w:space="0" w:color="auto"/>
      </w:divBdr>
    </w:div>
    <w:div w:id="1607083576">
      <w:bodyDiv w:val="1"/>
      <w:marLeft w:val="0"/>
      <w:marRight w:val="0"/>
      <w:marTop w:val="0"/>
      <w:marBottom w:val="0"/>
      <w:divBdr>
        <w:top w:val="none" w:sz="0" w:space="0" w:color="auto"/>
        <w:left w:val="none" w:sz="0" w:space="0" w:color="auto"/>
        <w:bottom w:val="none" w:sz="0" w:space="0" w:color="auto"/>
        <w:right w:val="none" w:sz="0" w:space="0" w:color="auto"/>
      </w:divBdr>
    </w:div>
    <w:div w:id="1693804633">
      <w:bodyDiv w:val="1"/>
      <w:marLeft w:val="0"/>
      <w:marRight w:val="0"/>
      <w:marTop w:val="0"/>
      <w:marBottom w:val="0"/>
      <w:divBdr>
        <w:top w:val="none" w:sz="0" w:space="0" w:color="auto"/>
        <w:left w:val="none" w:sz="0" w:space="0" w:color="auto"/>
        <w:bottom w:val="none" w:sz="0" w:space="0" w:color="auto"/>
        <w:right w:val="none" w:sz="0" w:space="0" w:color="auto"/>
      </w:divBdr>
    </w:div>
    <w:div w:id="197362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programmes/horizon2020/en" TargetMode="External"/><Relationship Id="rId13" Type="http://schemas.openxmlformats.org/officeDocument/2006/relationships/hyperlink" Target="https://wageningenur4-my.sharepoint.com/personal/georgios_pampoukis_wur_nl/Documents/PhD%20components/Deliverables/20240726_deliverable_10.3.docx" TargetMode="External"/><Relationship Id="rId18" Type="http://schemas.openxmlformats.org/officeDocument/2006/relationships/hyperlink" Target="https://doi.org/10.1016/j.jclepro.2016.09.015" TargetMode="External"/><Relationship Id="rId26" Type="http://schemas.openxmlformats.org/officeDocument/2006/relationships/hyperlink" Target="https://pmp.errc.ars.usda.gov/phOfSelectedFoods.aspx" TargetMode="External"/><Relationship Id="rId3" Type="http://schemas.openxmlformats.org/officeDocument/2006/relationships/settings" Target="settings.xml"/><Relationship Id="rId21" Type="http://schemas.openxmlformats.org/officeDocument/2006/relationships/hyperlink" Target="https://doi.org/10.1016/j.tifs.2011.12.004" TargetMode="External"/><Relationship Id="rId7" Type="http://schemas.openxmlformats.org/officeDocument/2006/relationships/image" Target="media/image1.png"/><Relationship Id="rId12" Type="http://schemas.openxmlformats.org/officeDocument/2006/relationships/hyperlink" Target="https://wageningenur4-my.sharepoint.com/personal/georgios_pampoukis_wur_nl/Documents/PhD%20components/Deliverables/20240726_deliverable_10.3.docx" TargetMode="External"/><Relationship Id="rId17" Type="http://schemas.openxmlformats.org/officeDocument/2006/relationships/hyperlink" Target="https://doi.org/10.1007/978-3-030-70586-2_19" TargetMode="External"/><Relationship Id="rId25" Type="http://schemas.openxmlformats.org/officeDocument/2006/relationships/hyperlink" Target="https://doi.org/10.1016/B978-0-12-801916-0.00011-X"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ageningenur4-my.sharepoint.com/personal/georgios_pampoukis_wur_nl/Documents/PhD%20components/Deliverables/20240726_deliverable_10.3.docx" TargetMode="External"/><Relationship Id="rId20" Type="http://schemas.openxmlformats.org/officeDocument/2006/relationships/hyperlink" Target="https://doi.org/10.1016/j.ifset.2019.102281" TargetMode="External"/><Relationship Id="rId29" Type="http://schemas.openxmlformats.org/officeDocument/2006/relationships/hyperlink" Target="https://www.fda.gov/regulatory-information/search-fda-guidance-documents/guidance-industry-juice-hazard-analysis-critical-control-point-hazards-and-controls-guidance-first"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ageningenur4-my.sharepoint.com/personal/georgios_pampoukis_wur_nl/Documents/PhD%20components/Deliverables/20240726_deliverable_10.3.docx" TargetMode="External"/><Relationship Id="rId24" Type="http://schemas.openxmlformats.org/officeDocument/2006/relationships/hyperlink" Target="https://doi.org/10.1016/j.foodcont.2016.12.021"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ageningenur4-my.sharepoint.com/personal/georgios_pampoukis_wur_nl/Documents/PhD%20components/Deliverables/20240726_deliverable_10.3.docx" TargetMode="External"/><Relationship Id="rId23" Type="http://schemas.openxmlformats.org/officeDocument/2006/relationships/hyperlink" Target="https://doi.org/10.4315/0362-028X.JFP-13-255" TargetMode="External"/><Relationship Id="rId28" Type="http://schemas.openxmlformats.org/officeDocument/2006/relationships/hyperlink" Target="https://doi.org/10.3390/pr8111457" TargetMode="External"/><Relationship Id="rId10" Type="http://schemas.openxmlformats.org/officeDocument/2006/relationships/hyperlink" Target="https://wageningenur4-my.sharepoint.com/personal/georgios_pampoukis_wur_nl/Documents/PhD%20components/Deliverables/20240726_deliverable_10.3.docx" TargetMode="External"/><Relationship Id="rId19" Type="http://schemas.openxmlformats.org/officeDocument/2006/relationships/hyperlink" Target="https://doi.org/10.1016/j.ifset.2018.09.008"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ageningenur4-my.sharepoint.com/personal/georgios_pampoukis_wur_nl/Documents/PhD%20components/Deliverables/20240726_deliverable_10.3.docx" TargetMode="External"/><Relationship Id="rId22" Type="http://schemas.openxmlformats.org/officeDocument/2006/relationships/hyperlink" Target="https://doi.org/10.2903/j.efsa.2011.2274" TargetMode="External"/><Relationship Id="rId27" Type="http://schemas.openxmlformats.org/officeDocument/2006/relationships/hyperlink" Target="https://doi.org/10.1111/1541-4337.12142" TargetMode="External"/><Relationship Id="rId30" Type="http://schemas.openxmlformats.org/officeDocument/2006/relationships/hyperlink" Target="https://doi.org/10.1016/j.ijfoodmicro.2005.08.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C5412-36D8-4308-A0F0-6D8347ECA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10</Pages>
  <Words>3691</Words>
  <Characters>20897</Characters>
  <Application>Microsoft Office Word</Application>
  <DocSecurity>0</DocSecurity>
  <Lines>417</Lines>
  <Paragraphs>104</Paragraphs>
  <ScaleCrop>false</ScaleCrop>
  <HeadingPairs>
    <vt:vector size="2" baseType="variant">
      <vt:variant>
        <vt:lpstr>Title</vt:lpstr>
      </vt:variant>
      <vt:variant>
        <vt:i4>1</vt:i4>
      </vt:variant>
    </vt:vector>
  </HeadingPairs>
  <TitlesOfParts>
    <vt:vector size="1" baseType="lpstr">
      <vt:lpstr/>
    </vt:vector>
  </TitlesOfParts>
  <Company>Wageningen University and Research</Company>
  <LinksUpToDate>false</LinksUpToDate>
  <CharactersWithSpaces>24484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HdB</dc:creator>
  <cp:keywords/>
  <dc:description/>
  <cp:lastModifiedBy>Pampoukis, Georgios</cp:lastModifiedBy>
  <cp:revision>84</cp:revision>
  <cp:lastPrinted>2024-08-27T12:42:00Z</cp:lastPrinted>
  <dcterms:created xsi:type="dcterms:W3CDTF">2024-08-26T14:09:00Z</dcterms:created>
  <dcterms:modified xsi:type="dcterms:W3CDTF">2024-08-28T09:55:00Z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875207c608d8f2918cac8c1a19cc38feb4ab95c2e79bab4fa2395cc80ac2a8db</vt:lpwstr>
  </property>
</Properties>
</file>