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8565E7" w:rsidP="0081088F">
            <w:pPr>
              <w:rPr>
                <w:rFonts w:ascii="Calibri" w:hAnsi="Calibri" w:cs="Courier New"/>
              </w:rPr>
            </w:pPr>
            <w:r>
              <w:rPr>
                <w:rFonts w:ascii="Calibri" w:hAnsi="Calibri" w:cs="Courier New"/>
              </w:rPr>
              <w:t>23</w:t>
            </w:r>
            <w:r w:rsidR="00E946C1"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w:t>
          </w:r>
          <w:proofErr w:type="spellStart"/>
          <w:r>
            <w:rPr>
              <w:rFonts w:ascii="Calibri" w:eastAsiaTheme="minorHAnsi" w:hAnsi="Calibri" w:cs="Courier New"/>
              <w:color w:val="auto"/>
            </w:rPr>
            <w:t>metadata</w:t>
          </w:r>
          <w:proofErr w:type="spellEnd"/>
          <w:r>
            <w:rPr>
              <w:rFonts w:ascii="Calibri" w:eastAsiaTheme="minorHAnsi" w:hAnsi="Calibri" w:cs="Courier New"/>
              <w:color w:val="auto"/>
            </w:rPr>
            <w:t xml:space="preserve"> de </w:t>
          </w:r>
          <w:proofErr w:type="spellStart"/>
          <w:r>
            <w:rPr>
              <w:rFonts w:ascii="Calibri" w:eastAsiaTheme="minorHAnsi" w:hAnsi="Calibri" w:cs="Courier New"/>
              <w:color w:val="auto"/>
            </w:rPr>
            <w:t>servisos</w:t>
          </w:r>
          <w:proofErr w:type="spellEnd"/>
          <w:r>
            <w:rPr>
              <w:rFonts w:ascii="Calibri" w:eastAsiaTheme="minorHAnsi" w:hAnsi="Calibri" w:cs="Courier New"/>
              <w:color w:val="auto"/>
            </w:rPr>
            <w:t xml:space="preserve">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proofErr w:type="spellStart"/>
          <w:r>
            <w:rPr>
              <w:rFonts w:ascii="Calibri" w:eastAsiaTheme="minorHAnsi" w:hAnsi="Calibri" w:cs="Courier New"/>
              <w:color w:val="auto"/>
            </w:rPr>
            <w:t>remoting</w:t>
          </w:r>
          <w:proofErr w:type="spellEnd"/>
          <w:r>
            <w:rPr>
              <w:rFonts w:ascii="Calibri" w:eastAsiaTheme="minorHAnsi" w:hAnsi="Calibri" w:cs="Courier New"/>
              <w:color w:val="auto"/>
            </w:rPr>
            <w:t xml:space="preserve"> Windows </w:t>
          </w:r>
          <w:proofErr w:type="spellStart"/>
          <w:r>
            <w:rPr>
              <w:rFonts w:ascii="Calibri" w:eastAsiaTheme="minorHAnsi" w:hAnsi="Calibri" w:cs="Courier New"/>
              <w:color w:val="auto"/>
            </w:rPr>
            <w:t>service</w:t>
          </w:r>
          <w:proofErr w:type="spellEnd"/>
          <w:r>
            <w:rPr>
              <w:rFonts w:ascii="Calibri" w:eastAsiaTheme="minorHAnsi" w:hAnsi="Calibri" w:cs="Courier New"/>
              <w:color w:val="auto"/>
            </w:rPr>
            <w:t xml:space="preserve"> o </w:t>
          </w:r>
          <w:proofErr w:type="spellStart"/>
          <w:r>
            <w:rPr>
              <w:rFonts w:ascii="Calibri" w:eastAsiaTheme="minorHAnsi" w:hAnsi="Calibri" w:cs="Courier New"/>
              <w:color w:val="auto"/>
            </w:rPr>
            <w:t>webservice</w:t>
          </w:r>
          <w:proofErr w:type="spellEnd"/>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324C75" w:rsidRDefault="00E4067A" w:rsidP="00E4067A">
      <w:pPr>
        <w:rPr>
          <w:rFonts w:ascii="Calibri" w:hAnsi="Calibri" w:cs="Courier New"/>
          <w:b/>
          <w:lang w:eastAsia="es-ES"/>
        </w:rPr>
      </w:pPr>
      <w:proofErr w:type="spellStart"/>
      <w:r w:rsidRPr="00324C75">
        <w:rPr>
          <w:rFonts w:ascii="Calibri" w:hAnsi="Calibri" w:cs="Courier New"/>
          <w:b/>
          <w:lang w:eastAsia="es-ES"/>
        </w:rPr>
        <w:t>Provider</w:t>
      </w:r>
      <w:proofErr w:type="spellEnd"/>
      <w:r w:rsidRPr="00324C75">
        <w:rPr>
          <w:rFonts w:ascii="Calibri" w:hAnsi="Calibri" w:cs="Courier New"/>
          <w:b/>
          <w:lang w:eastAsia="es-ES"/>
        </w:rPr>
        <w:t xml:space="preserve">  de configuración de  </w:t>
      </w:r>
      <w:r w:rsidR="004C0F4B">
        <w:rPr>
          <w:rFonts w:ascii="Calibri" w:hAnsi="Calibri" w:cs="Courier New"/>
          <w:b/>
          <w:lang w:eastAsia="es-ES"/>
        </w:rPr>
        <w:t>metadatos de servicios</w:t>
      </w:r>
      <w:r w:rsidR="009F571F">
        <w:rPr>
          <w:rFonts w:ascii="Calibri" w:hAnsi="Calibri" w:cs="Courier New"/>
          <w:b/>
          <w:lang w:eastAsia="es-ES"/>
        </w:rPr>
        <w:t xml:space="preserve"> (</w:t>
      </w:r>
      <w:proofErr w:type="spellStart"/>
      <w:r w:rsidR="009F571F">
        <w:rPr>
          <w:rFonts w:ascii="Calibri" w:hAnsi="Calibri" w:cs="Courier New"/>
          <w:b/>
          <w:lang w:eastAsia="es-ES"/>
        </w:rPr>
        <w:t>FwkServiceMetadataProvider</w:t>
      </w:r>
      <w:proofErr w:type="spellEnd"/>
      <w:r w:rsidR="009F571F">
        <w:rPr>
          <w:rFonts w:ascii="Calibri" w:hAnsi="Calibri" w:cs="Courier New"/>
          <w:b/>
          <w:lang w:eastAsia="es-ES"/>
        </w:rPr>
        <w:t>)</w:t>
      </w: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Serán necesarios tantos proveedores como solicitudes a servicios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proofErr w:type="spellStart"/>
      <w:r w:rsidR="008C2FC6">
        <w:rPr>
          <w:rFonts w:ascii="Calibri" w:hAnsi="Calibri" w:cs="Courier New"/>
          <w:lang w:eastAsia="es-ES"/>
        </w:rPr>
        <w:t>porveedor</w:t>
      </w:r>
      <w:proofErr w:type="spellEnd"/>
      <w:r w:rsidR="008C2FC6">
        <w:rPr>
          <w:rFonts w:ascii="Calibri" w:hAnsi="Calibri" w:cs="Courier New"/>
          <w:lang w:eastAsia="es-ES"/>
        </w:rPr>
        <w:t xml:space="preserve"> </w:t>
      </w:r>
      <w:r w:rsidRPr="00324C75">
        <w:rPr>
          <w:rFonts w:ascii="Calibri" w:hAnsi="Calibri" w:cs="Courier New"/>
          <w:lang w:eastAsia="es-ES"/>
        </w:rPr>
        <w:t>por defecto.</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proofErr w:type="spellStart"/>
            <w:r>
              <w:rPr>
                <w:rFonts w:ascii="Consolas" w:eastAsiaTheme="minorHAnsi" w:hAnsi="Consolas" w:cs="Consolas"/>
                <w:color w:val="A31515"/>
                <w:sz w:val="19"/>
                <w:szCs w:val="19"/>
                <w:lang w:val="es-AR"/>
              </w:rPr>
              <w:lastRenderedPageBreak/>
              <w:t>securityProviderName</w:t>
            </w:r>
            <w:proofErr w:type="spellEnd"/>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proofErr w:type="spellStart"/>
            <w:r w:rsidR="0061072D" w:rsidRPr="00376DC4">
              <w:rPr>
                <w:rFonts w:ascii="Courier New" w:hAnsi="Courier New" w:cs="Courier New"/>
                <w:b/>
                <w:color w:val="365F91"/>
                <w:sz w:val="16"/>
                <w:szCs w:val="16"/>
              </w:rPr>
              <w:t>SqlRoleProvider</w:t>
            </w:r>
            <w:proofErr w:type="spellEnd"/>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proofErr w:type="spellStart"/>
            <w:r w:rsidR="0061072D" w:rsidRPr="00376DC4">
              <w:rPr>
                <w:rFonts w:ascii="Courier New" w:hAnsi="Courier New" w:cs="Courier New"/>
                <w:b/>
                <w:color w:val="365F91"/>
                <w:sz w:val="16"/>
                <w:szCs w:val="16"/>
              </w:rPr>
              <w:t>SqlMembershipProvider</w:t>
            </w:r>
            <w:proofErr w:type="spellEnd"/>
            <w:r w:rsidR="0061072D">
              <w:rPr>
                <w:rFonts w:ascii="Calibri" w:hAnsi="Calibri" w:cs="Courier New"/>
                <w:lang w:eastAsia="es-ES"/>
              </w:rPr>
              <w:t xml:space="preserve">  configurado </w:t>
            </w:r>
            <w:r w:rsidR="008D22FD">
              <w:rPr>
                <w:rFonts w:ascii="Calibri" w:hAnsi="Calibri" w:cs="Courier New"/>
                <w:lang w:eastAsia="es-ES"/>
              </w:rPr>
              <w:t xml:space="preserve">o clase </w:t>
            </w:r>
            <w:r w:rsidR="005E4D62">
              <w:rPr>
                <w:rFonts w:ascii="Calibri" w:hAnsi="Calibri" w:cs="Courier New"/>
                <w:lang w:eastAsia="es-ES"/>
              </w:rPr>
              <w:t>catonizada</w:t>
            </w:r>
            <w:r w:rsidR="008D22FD">
              <w:rPr>
                <w:rFonts w:ascii="Calibri" w:hAnsi="Calibri" w:cs="Courier New"/>
                <w:lang w:eastAsia="es-ES"/>
              </w:rPr>
              <w:t xml:space="preserve"> de roles y </w:t>
            </w:r>
            <w:proofErr w:type="spellStart"/>
            <w:r w:rsidR="008D22FD">
              <w:rPr>
                <w:rFonts w:ascii="Calibri" w:hAnsi="Calibri" w:cs="Courier New"/>
                <w:lang w:eastAsia="es-ES"/>
              </w:rPr>
              <w:t>memberships</w:t>
            </w:r>
            <w:proofErr w:type="spellEnd"/>
          </w:p>
          <w:p w:rsidR="00E4067A" w:rsidRPr="00324C75" w:rsidRDefault="00E4067A" w:rsidP="0061072D">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type</w:t>
            </w:r>
            <w:proofErr w:type="spellEnd"/>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w:t>
            </w:r>
            <w:proofErr w:type="spellStart"/>
            <w:r w:rsidRPr="00FF56D3">
              <w:rPr>
                <w:rFonts w:ascii="Arial" w:eastAsia="MS Mincho" w:hAnsi="Arial" w:cs="Arial"/>
                <w:spacing w:val="-5"/>
                <w:sz w:val="18"/>
                <w:szCs w:val="18"/>
                <w:lang w:val="es-AR" w:eastAsia="en-US"/>
              </w:rPr>
              <w:t>esta</w:t>
            </w:r>
            <w:proofErr w:type="spellEnd"/>
            <w:r w:rsidRPr="00FF56D3">
              <w:rPr>
                <w:rFonts w:ascii="Arial" w:eastAsia="MS Mincho" w:hAnsi="Arial" w:cs="Arial"/>
                <w:spacing w:val="-5"/>
                <w:sz w:val="18"/>
                <w:szCs w:val="18"/>
                <w:lang w:val="es-AR" w:eastAsia="en-US"/>
              </w:rPr>
              <w:t xml:space="preserve">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tbl>
    <w:p w:rsidR="00E4067A" w:rsidRPr="00324C75" w:rsidRDefault="00E4067A" w:rsidP="00E4067A">
      <w:pPr>
        <w:rPr>
          <w:rFonts w:ascii="Calibri" w:hAnsi="Calibri" w:cs="Courier New"/>
        </w:rPr>
      </w:pPr>
    </w:p>
    <w:p w:rsidR="004E1080" w:rsidRPr="002251BF" w:rsidRDefault="004E1080">
      <w:pPr>
        <w:spacing w:after="200"/>
        <w:rPr>
          <w:rFonts w:ascii="Calibri" w:hAnsi="Calibri" w:cs="Courier New"/>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proofErr w:type="spellStart"/>
      <w:r w:rsidRPr="00DA173B">
        <w:rPr>
          <w:rFonts w:ascii="Consolas" w:eastAsiaTheme="minorHAnsi" w:hAnsi="Consolas" w:cs="Consolas"/>
          <w:color w:val="A31515"/>
          <w:sz w:val="16"/>
          <w:szCs w:val="16"/>
          <w:lang w:val="en-US"/>
        </w:rPr>
        <w:t>FwkServiceMetadata</w:t>
      </w:r>
      <w:proofErr w:type="spellEnd"/>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defaultProviderName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Pr="00DA173B" w:rsidRDefault="00DA173B" w:rsidP="000C7377">
      <w:pPr>
        <w:autoSpaceDE w:val="0"/>
        <w:autoSpaceDN w:val="0"/>
        <w:adjustRightInd w:val="0"/>
        <w:spacing w:after="0" w:line="240" w:lineRule="auto"/>
        <w:ind w:left="1080" w:hanging="990"/>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appid</w:t>
      </w:r>
      <w:proofErr w:type="spellEnd"/>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sourceinfo</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securityProviderName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proofErr w:type="spellStart"/>
      <w:r w:rsidRPr="00DA173B">
        <w:rPr>
          <w:rFonts w:ascii="Consolas" w:eastAsiaTheme="minorHAnsi" w:hAnsi="Consolas" w:cs="Consolas"/>
          <w:color w:val="0000FF"/>
          <w:sz w:val="16"/>
          <w:szCs w:val="16"/>
          <w:lang w:val="en-US"/>
        </w:rPr>
        <w:t>standar</w:t>
      </w:r>
      <w:proofErr w:type="spellEnd"/>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0000FF"/>
          <w:sz w:val="16"/>
          <w:szCs w:val="16"/>
          <w:lang w:val="es-AR"/>
        </w:rPr>
        <w:t>&lt;/</w:t>
      </w:r>
      <w:proofErr w:type="spellStart"/>
      <w:r w:rsidRPr="00DA173B">
        <w:rPr>
          <w:rFonts w:ascii="Consolas" w:eastAsiaTheme="minorHAnsi" w:hAnsi="Consolas" w:cs="Consolas"/>
          <w:color w:val="A31515"/>
          <w:sz w:val="16"/>
          <w:szCs w:val="16"/>
          <w:lang w:val="es-AR"/>
        </w:rPr>
        <w:t>Providers</w:t>
      </w:r>
      <w:proofErr w:type="spellEnd"/>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proofErr w:type="spellStart"/>
      <w:r w:rsidRPr="00DA173B">
        <w:rPr>
          <w:rFonts w:ascii="Consolas" w:eastAsiaTheme="minorHAnsi" w:hAnsi="Consolas" w:cs="Consolas"/>
          <w:color w:val="A31515"/>
          <w:sz w:val="16"/>
          <w:szCs w:val="16"/>
          <w:lang w:val="es-AR"/>
        </w:rPr>
        <w:t>FwkServiceMetadata</w:t>
      </w:r>
      <w:proofErr w:type="spellEnd"/>
      <w:r w:rsidRPr="00DA173B">
        <w:rPr>
          <w:rFonts w:ascii="Consolas" w:eastAsiaTheme="minorHAnsi" w:hAnsi="Consolas" w:cs="Consolas"/>
          <w:color w:val="0000FF"/>
          <w:sz w:val="16"/>
          <w:szCs w:val="16"/>
          <w:lang w:val="es-AR"/>
        </w:rPr>
        <w:t>&gt;</w:t>
      </w:r>
      <w:bookmarkStart w:id="0" w:name="_GoBack"/>
      <w:bookmarkEnd w:id="0"/>
    </w:p>
    <w:p w:rsidR="004E1080" w:rsidRPr="002251BF" w:rsidRDefault="004E1080">
      <w:pPr>
        <w:spacing w:after="200"/>
        <w:rPr>
          <w:rFonts w:ascii="Calibri" w:hAnsi="Calibri" w:cs="Courier New"/>
          <w:lang w:val="es-AR"/>
        </w:rPr>
      </w:pPr>
    </w:p>
    <w:p w:rsidR="004E1080" w:rsidRPr="002251BF" w:rsidRDefault="004E1080">
      <w:pPr>
        <w:spacing w:after="200"/>
        <w:rPr>
          <w:rFonts w:ascii="Calibri" w:hAnsi="Calibri" w:cs="Courier New"/>
          <w:lang w:val="es-AR"/>
        </w:rPr>
      </w:pPr>
    </w:p>
    <w:p w:rsidR="00CD119E" w:rsidRPr="002251BF" w:rsidRDefault="00CD119E" w:rsidP="00CD119E">
      <w:pPr>
        <w:rPr>
          <w:color w:val="7B6A4D" w:themeColor="accent3" w:themeShade="BF"/>
          <w:lang w:val="es-AR"/>
        </w:rPr>
      </w:pPr>
    </w:p>
    <w:sectPr w:rsidR="00CD119E" w:rsidRPr="002251BF"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027" w:rsidRDefault="008B4027">
      <w:r>
        <w:separator/>
      </w:r>
    </w:p>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endnote>
  <w:endnote w:type="continuationSeparator" w:id="0">
    <w:p w:rsidR="008B4027" w:rsidRDefault="008B4027">
      <w:r>
        <w:continuationSeparator/>
      </w:r>
    </w:p>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8B4027">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8B4027">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0C7377">
                  <w:rPr>
                    <w:rStyle w:val="PageNumber"/>
                    <w:iCs/>
                    <w:noProof/>
                  </w:rPr>
                  <w:t>3</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0C7377">
                  <w:rPr>
                    <w:rStyle w:val="PageNumber"/>
                    <w:iCs/>
                    <w:noProof/>
                  </w:rPr>
                  <w:t>3</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0C7377" w:rsidRPr="000C7377">
                  <w:rPr>
                    <w:noProof/>
                    <w:sz w:val="40"/>
                    <w:szCs w:val="40"/>
                  </w:rPr>
                  <w:t>3</w:t>
                </w:r>
                <w:r>
                  <w:rPr>
                    <w:noProof/>
                    <w:sz w:val="40"/>
                    <w:szCs w:val="40"/>
                  </w:rPr>
                  <w:fldChar w:fldCharType="end"/>
                </w:r>
              </w:p>
            </w:txbxContent>
          </v:textbox>
          <w10:wrap anchorx="margin" anchory="page"/>
        </v:oval>
      </w:pict>
    </w:r>
    <w:r>
      <w:rPr>
        <w:noProof/>
        <w:sz w:val="10"/>
        <w:szCs w:val="10"/>
      </w:rPr>
      <w:pict>
        <v:rect id="_x0000_s2068" style="position:absolute;margin-left:-240.5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8E3BCE">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8E3BCE">
      <w:rPr>
        <w:rStyle w:val="PageNumber"/>
        <w:iCs/>
        <w:noProof/>
      </w:rPr>
      <w:t>3</w:t>
    </w:r>
    <w:r w:rsidR="00E35F76" w:rsidRPr="00AF467E">
      <w:rPr>
        <w:rStyle w:val="PageNumber"/>
        <w:iCs/>
      </w:rPr>
      <w:fldChar w:fldCharType="end"/>
    </w:r>
    <w:r w:rsidRPr="00AF467E">
      <w:rPr>
        <w:rStyle w:val="PageNumber"/>
        <w:iCs/>
      </w:rPr>
      <w:t xml:space="preserve">   </w:t>
    </w:r>
  </w:p>
  <w:p w:rsidR="00642D38" w:rsidRDefault="008B4027">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027" w:rsidRDefault="008B4027">
      <w:r>
        <w:separator/>
      </w:r>
    </w:p>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footnote>
  <w:footnote w:type="continuationSeparator" w:id="0">
    <w:p w:rsidR="008B4027" w:rsidRDefault="008B4027">
      <w:r>
        <w:continuationSeparator/>
      </w:r>
    </w:p>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p w:rsidR="008B4027" w:rsidRDefault="008B40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7377"/>
    <w:rsid w:val="000E54F9"/>
    <w:rsid w:val="00152A47"/>
    <w:rsid w:val="001B2AF2"/>
    <w:rsid w:val="002251BF"/>
    <w:rsid w:val="00324C75"/>
    <w:rsid w:val="003336E8"/>
    <w:rsid w:val="00375DB3"/>
    <w:rsid w:val="003C2BB3"/>
    <w:rsid w:val="003E70C4"/>
    <w:rsid w:val="003F3FB6"/>
    <w:rsid w:val="00474A08"/>
    <w:rsid w:val="004C0F4B"/>
    <w:rsid w:val="004E1080"/>
    <w:rsid w:val="004E3769"/>
    <w:rsid w:val="005905C4"/>
    <w:rsid w:val="005A1CF5"/>
    <w:rsid w:val="005D0223"/>
    <w:rsid w:val="005E4D62"/>
    <w:rsid w:val="00604373"/>
    <w:rsid w:val="0061072D"/>
    <w:rsid w:val="00641E21"/>
    <w:rsid w:val="00642D38"/>
    <w:rsid w:val="00674403"/>
    <w:rsid w:val="007210FB"/>
    <w:rsid w:val="00744000"/>
    <w:rsid w:val="008565E7"/>
    <w:rsid w:val="00887C82"/>
    <w:rsid w:val="008B4027"/>
    <w:rsid w:val="008C2FC6"/>
    <w:rsid w:val="008D22FD"/>
    <w:rsid w:val="008E3BCE"/>
    <w:rsid w:val="00931D21"/>
    <w:rsid w:val="00937F5C"/>
    <w:rsid w:val="009D5ECE"/>
    <w:rsid w:val="009F21DE"/>
    <w:rsid w:val="009F571F"/>
    <w:rsid w:val="00BF7E55"/>
    <w:rsid w:val="00CC5439"/>
    <w:rsid w:val="00CD119E"/>
    <w:rsid w:val="00CE3F93"/>
    <w:rsid w:val="00D143C6"/>
    <w:rsid w:val="00D37F6B"/>
    <w:rsid w:val="00DA173B"/>
    <w:rsid w:val="00E35F76"/>
    <w:rsid w:val="00E4067A"/>
    <w:rsid w:val="00E946C1"/>
    <w:rsid w:val="00E96764"/>
    <w:rsid w:val="00EB3C17"/>
    <w:rsid w:val="00F25A9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48053A"/>
    <w:rsid w:val="0085048F"/>
    <w:rsid w:val="00B75D9D"/>
    <w:rsid w:val="00BD11C6"/>
    <w:rsid w:val="00C907C7"/>
    <w:rsid w:val="00DD1049"/>
    <w:rsid w:val="00E32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servisos en un despachador de servicios cualquiera (local, remoting Windows service o webservice)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CF94BD12-249B-46A8-B5D8-48CB39A5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43</TotalTime>
  <Pages>3</Pages>
  <Words>457</Words>
  <Characters>2515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&lt;[Type the completion date]&gt; | &lt;[Type the degree]&gt;</vt:lpstr>
      <vt:lpstr>&lt;[Type the start date]&gt; - &lt;[Type the end date]&gt; | &lt;[Type the job title]&gt;</vt:lpstr>
    </vt:vector>
  </TitlesOfParts>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marcelo</cp:lastModifiedBy>
  <cp:revision>24</cp:revision>
  <dcterms:created xsi:type="dcterms:W3CDTF">2011-01-23T19:53:00Z</dcterms:created>
  <dcterms:modified xsi:type="dcterms:W3CDTF">2011-12-04T15:33:00Z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