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125417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93.1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ED6A96" w:rsidRDefault="00ED6A96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D6A96" w:rsidRPr="00C342DB" w:rsidRDefault="00ED6A96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lastRenderedPageBreak/>
        <w:t xml:space="preserve">Los distintos grupos que conforman una archivo de configuración como vimos están formados por uno o </w:t>
      </w:r>
      <w:proofErr w:type="gram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mas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Estos son los consumidores del servicio de configuración. Las distintas aplicaciones 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Default="00B41038" w:rsidP="0070043D">
      <w:pPr>
        <w:pStyle w:val="BodyText"/>
        <w:spacing w:after="120" w:line="240" w:lineRule="atLeast"/>
        <w:jc w:val="both"/>
        <w:rPr>
          <w:rFonts w:ascii="Arial" w:hAnsi="Arial" w:cs="Arial"/>
          <w:b/>
          <w:noProof/>
          <w:sz w:val="20"/>
          <w:szCs w:val="20"/>
        </w:rPr>
      </w:pPr>
      <w:r w:rsidRPr="0070043D">
        <w:rPr>
          <w:rFonts w:ascii="Arial" w:hAnsi="Arial" w:cs="Arial"/>
          <w:b/>
          <w:noProof/>
          <w:sz w:val="20"/>
          <w:szCs w:val="20"/>
        </w:rPr>
        <w:t xml:space="preserve">Arquitectura del bloque de </w:t>
      </w:r>
      <w:r w:rsidR="00DE29AC" w:rsidRPr="0070043D">
        <w:rPr>
          <w:rFonts w:ascii="Arial" w:hAnsi="Arial" w:cs="Arial"/>
          <w:b/>
          <w:noProof/>
          <w:sz w:val="20"/>
          <w:szCs w:val="20"/>
        </w:rPr>
        <w:t>Configuración</w:t>
      </w:r>
    </w:p>
    <w:p w:rsidR="00B0454E" w:rsidRPr="0070043D" w:rsidRDefault="00B0454E" w:rsidP="0070043D">
      <w:pPr>
        <w:pStyle w:val="BodyText"/>
        <w:spacing w:after="120" w:line="240" w:lineRule="atLeast"/>
        <w:jc w:val="both"/>
        <w:rPr>
          <w:rFonts w:ascii="Arial" w:hAnsi="Arial" w:cs="Arial"/>
          <w:b/>
          <w:noProof/>
          <w:sz w:val="20"/>
          <w:szCs w:val="20"/>
        </w:rPr>
      </w:pPr>
    </w:p>
    <w:p w:rsidR="00471A27" w:rsidRPr="00C44F8C" w:rsidRDefault="00D16D71" w:rsidP="00C44F8C">
      <w:pPr>
        <w:autoSpaceDE w:val="0"/>
        <w:autoSpaceDN w:val="0"/>
        <w:adjustRightInd w:val="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La ubicación del bloque de configuración </w:t>
      </w:r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se encuentra en el </w:t>
      </w:r>
      <w:proofErr w:type="spellStart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namespase</w:t>
      </w:r>
      <w:proofErr w:type="spellEnd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C44F8C">
        <w:rPr>
          <w:rFonts w:ascii="Arial" w:eastAsia="MS Mincho" w:hAnsi="Arial" w:cs="Arial"/>
          <w:i/>
          <w:spacing w:val="-5"/>
          <w:sz w:val="20"/>
          <w:szCs w:val="20"/>
          <w:lang w:val="es-AR" w:eastAsia="en-US"/>
        </w:rPr>
        <w:t>Fwk.configuration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 es el </w:t>
      </w:r>
      <w:proofErr w:type="spellStart"/>
      <w:r w:rsidR="00C44F8C" w:rsidRPr="00C44F8C">
        <w:rPr>
          <w:rFonts w:ascii="Arial" w:hAnsi="Arial" w:cs="Arial"/>
          <w:color w:val="2B91AF"/>
          <w:sz w:val="20"/>
          <w:szCs w:val="20"/>
          <w:lang w:val="es-AR"/>
        </w:rPr>
        <w:t>ConfigurationManager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esta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C44F8C" w:rsidP="00C44F8C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C44F8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 </w:t>
            </w:r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proviene de un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dispatcher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del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Este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poede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esta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hosteado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en un Web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service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o en un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Remoting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Win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Service</w:t>
            </w:r>
            <w:proofErr w:type="spellEnd"/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57353F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353F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: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C44F8C" w:rsidP="00C44F8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 </w:t>
            </w:r>
            <w:proofErr w:type="spellStart"/>
            <w:r w:rsidRP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19FC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 “</w:t>
            </w:r>
            <w:proofErr w:type="spellStart"/>
            <w:r w:rsidRPr="003E19FC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“  </w:t>
            </w:r>
            <w:r w:rsidR="00F23B6A"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Apuntara a un </w:t>
            </w:r>
            <w:proofErr w:type="spellStart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WrapperConfig</w:t>
            </w:r>
            <w:proofErr w:type="spellEnd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en el archivo de </w:t>
            </w:r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y este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a un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Dispatcher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web o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win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service</w:t>
            </w:r>
            <w:proofErr w:type="spellEnd"/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r w:rsidR="00C44F8C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en la base de datos. </w:t>
            </w:r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</w:t>
      </w:r>
      <w:proofErr w:type="spellStart"/>
      <w:r w:rsidRPr="00067891">
        <w:rPr>
          <w:rFonts w:ascii="Arial" w:hAnsi="Arial" w:cs="Arial"/>
          <w:b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b/>
          <w:iCs/>
          <w:sz w:val="20"/>
          <w:szCs w:val="20"/>
        </w:rPr>
        <w:t xml:space="preserve"> proveedor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xml</w:t>
      </w:r>
      <w:proofErr w:type="spellEnd"/>
      <w:r w:rsidR="003E19FC">
        <w:rPr>
          <w:rFonts w:ascii="Arial" w:hAnsi="Arial" w:cs="Arial"/>
          <w:b/>
          <w:iCs/>
          <w:sz w:val="20"/>
          <w:szCs w:val="20"/>
        </w:rPr>
        <w:t xml:space="preserve"> y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database</w:t>
      </w:r>
      <w:proofErr w:type="spellEnd"/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lastRenderedPageBreak/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  <w:bookmarkStart w:id="0" w:name="_GoBack"/>
      <w:bookmarkEnd w:id="0"/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125417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50.6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365E1C" w:rsidRPr="00CB5A02" w:rsidRDefault="00365E1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&lt;ConfigurationFile&gt;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Default="001C06CC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6C4AA8" w:rsidRPr="00B64515" w:rsidRDefault="006C4AA8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1F02C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365E1C" w:rsidRPr="00B64515" w:rsidRDefault="00365E1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ConfigurationFile&gt;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lastRenderedPageBreak/>
        <w:t>encrypted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proofErr w:type="spell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</w:t>
      </w:r>
      <w:proofErr w:type="spell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(1000)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93575E">
      <w:pPr>
        <w:pStyle w:val="BodyText"/>
        <w:ind w:firstLine="360"/>
        <w:rPr>
          <w:lang w:val="es-AR"/>
        </w:rPr>
      </w:pPr>
      <w:r w:rsidRPr="00FC796C">
        <w:rPr>
          <w:lang w:val="es-AR"/>
        </w:rPr>
        <w:tab/>
      </w:r>
      <w:r w:rsidRPr="00FC796C">
        <w:rPr>
          <w:lang w:val="es-AR"/>
        </w:rPr>
        <w:tab/>
      </w:r>
    </w:p>
    <w:p w:rsidR="000838FC" w:rsidRPr="00FC796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proofErr w:type="spellStart"/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  <w:proofErr w:type="spellEnd"/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configurar una la aplicación que utilice el sistema de configuración o bloque </w:t>
      </w:r>
      <w:proofErr w:type="spellStart"/>
      <w:r>
        <w:rPr>
          <w:rFonts w:ascii="Arial" w:hAnsi="Arial" w:cs="Arial"/>
          <w:sz w:val="20"/>
          <w:szCs w:val="20"/>
        </w:rPr>
        <w:t>fwk.configuration</w:t>
      </w:r>
      <w:proofErr w:type="spellEnd"/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125417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535AD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125417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</w:t>
                  </w:r>
                  <w:r w:rsidR="0057353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r w:rsidR="00023C2A"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cómo</w:t>
      </w: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125417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26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default" r:id="rId8"/>
      <w:footerReference w:type="even" r:id="rId9"/>
      <w:footerReference w:type="default" r:id="rId10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17" w:rsidRDefault="00125417" w:rsidP="00B63458">
      <w:pPr>
        <w:pStyle w:val="BodyText"/>
      </w:pPr>
      <w:r>
        <w:separator/>
      </w:r>
    </w:p>
  </w:endnote>
  <w:endnote w:type="continuationSeparator" w:id="0">
    <w:p w:rsidR="00125417" w:rsidRDefault="00125417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9FC">
      <w:rPr>
        <w:rStyle w:val="PageNumber"/>
        <w:noProof/>
      </w:rPr>
      <w:t>6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>Configuration libra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>ries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3E19FC">
      <w:rPr>
        <w:rStyle w:val="PageNumber"/>
        <w:rFonts w:ascii="Arial" w:hAnsi="Arial" w:cs="Arial"/>
        <w:caps/>
        <w:noProof/>
        <w:sz w:val="16"/>
        <w:szCs w:val="16"/>
        <w:lang w:val="es-AR"/>
      </w:rPr>
      <w:t>6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17" w:rsidRDefault="00125417" w:rsidP="00B63458">
      <w:pPr>
        <w:pStyle w:val="BodyText"/>
      </w:pPr>
      <w:r>
        <w:separator/>
      </w:r>
    </w:p>
  </w:footnote>
  <w:footnote w:type="continuationSeparator" w:id="0">
    <w:p w:rsidR="00125417" w:rsidRDefault="00125417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3C2A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25417"/>
    <w:rsid w:val="001373F2"/>
    <w:rsid w:val="00160B7B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2C5"/>
    <w:rsid w:val="001F0314"/>
    <w:rsid w:val="00213202"/>
    <w:rsid w:val="00213244"/>
    <w:rsid w:val="00220E7C"/>
    <w:rsid w:val="002239ED"/>
    <w:rsid w:val="002253D2"/>
    <w:rsid w:val="00233133"/>
    <w:rsid w:val="002563EE"/>
    <w:rsid w:val="002728C2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65E1C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19FC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1883"/>
    <w:rsid w:val="004B6227"/>
    <w:rsid w:val="004D3EBD"/>
    <w:rsid w:val="004D76A4"/>
    <w:rsid w:val="004F13EF"/>
    <w:rsid w:val="0050332D"/>
    <w:rsid w:val="005120E6"/>
    <w:rsid w:val="00521174"/>
    <w:rsid w:val="00535AD0"/>
    <w:rsid w:val="00542125"/>
    <w:rsid w:val="0054547A"/>
    <w:rsid w:val="005538B7"/>
    <w:rsid w:val="00556AFA"/>
    <w:rsid w:val="00560F69"/>
    <w:rsid w:val="0057353F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0721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C4AA8"/>
    <w:rsid w:val="006D6231"/>
    <w:rsid w:val="006E32DC"/>
    <w:rsid w:val="006E345A"/>
    <w:rsid w:val="006E379E"/>
    <w:rsid w:val="006F216D"/>
    <w:rsid w:val="006F40C7"/>
    <w:rsid w:val="00700218"/>
    <w:rsid w:val="0070043D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92E82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0454E"/>
    <w:rsid w:val="00B12024"/>
    <w:rsid w:val="00B1202D"/>
    <w:rsid w:val="00B124EA"/>
    <w:rsid w:val="00B172B2"/>
    <w:rsid w:val="00B248A8"/>
    <w:rsid w:val="00B2776F"/>
    <w:rsid w:val="00B41038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44F8C"/>
    <w:rsid w:val="00C555D8"/>
    <w:rsid w:val="00C6090C"/>
    <w:rsid w:val="00C70F9D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BA7"/>
    <w:rsid w:val="00DC0DA0"/>
    <w:rsid w:val="00DC1578"/>
    <w:rsid w:val="00DC73DA"/>
    <w:rsid w:val="00DD2919"/>
    <w:rsid w:val="00DE29AC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D6A96"/>
    <w:rsid w:val="00EE530F"/>
    <w:rsid w:val="00EE550A"/>
    <w:rsid w:val="00EF302B"/>
    <w:rsid w:val="00F15F16"/>
    <w:rsid w:val="00F214F1"/>
    <w:rsid w:val="00F21BC4"/>
    <w:rsid w:val="00F23B6A"/>
    <w:rsid w:val="00F3121C"/>
    <w:rsid w:val="00F52E30"/>
    <w:rsid w:val="00F62EEB"/>
    <w:rsid w:val="00F85B72"/>
    <w:rsid w:val="00FA28FE"/>
    <w:rsid w:val="00FB1088"/>
    <w:rsid w:val="00FC279D"/>
    <w:rsid w:val="00FC3B69"/>
    <w:rsid w:val="00FC796C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972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 la aplicación:</vt:lpstr>
      <vt:lpstr>En la aplicación:</vt:lpstr>
    </vt:vector>
  </TitlesOfParts>
  <Company/>
  <LinksUpToDate>false</LinksUpToDate>
  <CharactersWithSpaces>6307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marcelo</cp:lastModifiedBy>
  <cp:revision>97</cp:revision>
  <cp:lastPrinted>2008-09-29T14:04:00Z</cp:lastPrinted>
  <dcterms:created xsi:type="dcterms:W3CDTF">2010-08-25T19:16:00Z</dcterms:created>
  <dcterms:modified xsi:type="dcterms:W3CDTF">2012-05-18T21:28:00Z</dcterms:modified>
</cp:coreProperties>
</file>