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88888"/>
          <w:sz w:val="18"/>
        </w:rPr>
        <w:t>AQUALEO · build — THE PANDIT</w:t>
      </w:r>
    </w:p>
    <w:p>
      <w:pPr>
        <w:pStyle w:val="Title"/>
      </w:pPr>
      <w:r>
        <w:t>Architecture Document v2.0 — Delta to v1.1</w:t>
      </w:r>
    </w:p>
    <w:p>
      <w:r>
        <w:rPr>
          <w:i/>
        </w:rPr>
        <w:t>Reconciles Architecture v1.1 with Requirement Specifications v2.0, Addendum A (Pandit Services Marketplace) and Addendum B (Pooja Items Marketplace).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Architecture v2.0 (delta; v1.1 remains in force where not amended)</w:t>
            </w:r>
          </w:p>
        </w:tc>
      </w:tr>
      <w:tr>
        <w:tc>
          <w:tcPr>
            <w:tcW w:type="dxa" w:w="4320"/>
          </w:tcPr>
          <w:p>
            <w:r>
              <w:t>Reads with</w:t>
            </w:r>
          </w:p>
        </w:tc>
        <w:tc>
          <w:tcPr>
            <w:tcW w:type="dxa" w:w="4320"/>
          </w:tcPr>
          <w:p>
            <w:r>
              <w:t>Requirement Specifications v2.0 · Addendum A · Addendum B · Development Plan v2.0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Engineering, AI coding agent, technical stakeholders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September 2026</w:t>
            </w:r>
          </w:p>
        </w:tc>
      </w:tr>
    </w:tbl>
    <w:p>
      <w:r>
        <w:br w:type="page"/>
      </w:r>
    </w:p>
    <w:p>
      <w:pPr>
        <w:pStyle w:val="Heading1"/>
      </w:pPr>
      <w:r>
        <w:t>1. Why v1.1 must be updated</w:t>
      </w:r>
    </w:p>
    <w:p>
      <w:r>
        <w:t>Architecture v1.1 predates both addenda. It covers the core Panchang platform only: no Pandit Services, no Pooja Items, no Stripe Connect, no live video, no tax engine, no provider/seller portal. Addendum A resolves the payout, KYC, dispute and ledger patterns that Addendum B depends on, so both marketplaces can now be designed concretely. Everything in v1.1 stands (north-star principles, Drik Ganita / Swiss Ephemeris, PCS as sole source of truth, compute-vs-cache, Sensitive Vault, licence gate). This document adds and amends.</w:t>
      </w:r>
    </w:p>
    <w:p>
      <w:r>
        <w:t>Precedence where documents conflict: Addenda &gt; Requirements v2.0 &gt; this Delta &gt; Architecture v1.1.</w:t>
      </w:r>
    </w:p>
    <w:p>
      <w:pPr>
        <w:pStyle w:val="Heading1"/>
      </w:pPr>
      <w:r>
        <w:t>2. New bounded context: Commerce Core (shared by Addendum A and B)</w:t>
      </w:r>
    </w:p>
    <w:p>
      <w:r>
        <w:t>Both marketplaces need the same machinery. It is factored once, as a shared Commerce Core, with two thin domain modules on top.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Shared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by A (Pandit Services)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by B (Pooja Items)</w:t>
            </w:r>
          </w:p>
        </w:tc>
      </w:tr>
      <w:tr>
        <w:tc>
          <w:tcPr>
            <w:tcW w:type="dxa" w:w="2880"/>
          </w:tcPr>
          <w:p>
            <w:r>
              <w:t>Provider Account &amp; KYC (Stripe Identity / Onfido / Persona; Stripe Connect Express account)</w:t>
            </w:r>
          </w:p>
        </w:tc>
        <w:tc>
          <w:tcPr>
            <w:tcW w:type="dxa" w:w="2880"/>
          </w:tcPr>
          <w:p>
            <w:r>
              <w:t>Pandit verification §A3.2</w:t>
            </w:r>
          </w:p>
        </w:tc>
        <w:tc>
          <w:tcPr>
            <w:tcW w:type="dxa" w:w="2880"/>
          </w:tcPr>
          <w:p>
            <w:r>
              <w:t>Seller onboarding</w:t>
            </w:r>
          </w:p>
        </w:tc>
      </w:tr>
      <w:tr>
        <w:tc>
          <w:tcPr>
            <w:tcW w:type="dxa" w:w="2880"/>
          </w:tcPr>
          <w:p>
            <w:r>
              <w:t>Stripe Connect Payout Engine (escrow, holdback, commission, scheduled/on-demand payouts, statements)</w:t>
            </w:r>
          </w:p>
        </w:tc>
        <w:tc>
          <w:tcPr>
            <w:tcW w:type="dxa" w:w="2880"/>
          </w:tcPr>
          <w:p>
            <w:r>
              <w:t>§A6</w:t>
            </w:r>
          </w:p>
        </w:tc>
        <w:tc>
          <w:tcPr>
            <w:tcW w:type="dxa" w:w="2880"/>
          </w:tcPr>
          <w:p>
            <w:r>
              <w:t>Seller payouts</w:t>
            </w:r>
          </w:p>
        </w:tc>
      </w:tr>
      <w:tr>
        <w:tc>
          <w:tcPr>
            <w:tcW w:type="dxa" w:w="2880"/>
          </w:tcPr>
          <w:p>
            <w:r>
              <w:t>Commission &amp; Fee Config (take-rate by category/tier; pass-through policy)</w:t>
            </w:r>
          </w:p>
        </w:tc>
        <w:tc>
          <w:tcPr>
            <w:tcW w:type="dxa" w:w="2880"/>
          </w:tcPr>
          <w:p>
            <w:r>
              <w:t>§A6.1, §A19.1</w:t>
            </w:r>
          </w:p>
        </w:tc>
        <w:tc>
          <w:tcPr>
            <w:tcW w:type="dxa" w:w="2880"/>
          </w:tcPr>
          <w:p>
            <w:r>
              <w:t>Category take-rate</w:t>
            </w:r>
          </w:p>
        </w:tc>
      </w:tr>
      <w:tr>
        <w:tc>
          <w:tcPr>
            <w:tcW w:type="dxa" w:w="2880"/>
          </w:tcPr>
          <w:p>
            <w:r>
              <w:t>Dispute Workflow (open → evidence → ops decision → refund/release/partial; payout frozen)</w:t>
            </w:r>
          </w:p>
        </w:tc>
        <w:tc>
          <w:tcPr>
            <w:tcW w:type="dxa" w:w="2880"/>
          </w:tcPr>
          <w:p>
            <w:r>
              <w:t>§A11.5</w:t>
            </w:r>
          </w:p>
        </w:tc>
        <w:tc>
          <w:tcPr>
            <w:tcW w:type="dxa" w:w="2880"/>
          </w:tcPr>
          <w:p>
            <w:r>
              <w:t>Referenced by Addendum B</w:t>
            </w:r>
          </w:p>
        </w:tc>
      </w:tr>
      <w:tr>
        <w:tc>
          <w:tcPr>
            <w:tcW w:type="dxa" w:w="2880"/>
          </w:tcPr>
          <w:p>
            <w:r>
              <w:t>Provider Standing Score (completion, cancellation, response time, complaints)</w:t>
            </w:r>
          </w:p>
        </w:tc>
        <w:tc>
          <w:tcPr>
            <w:tcW w:type="dxa" w:w="2880"/>
          </w:tcPr>
          <w:p>
            <w:r>
              <w:t>§A11.6</w:t>
            </w:r>
          </w:p>
        </w:tc>
        <w:tc>
          <w:tcPr>
            <w:tcW w:type="dxa" w:w="2880"/>
          </w:tcPr>
          <w:p>
            <w:r>
              <w:t>Seller quality</w:t>
            </w:r>
          </w:p>
        </w:tc>
      </w:tr>
      <w:tr>
        <w:tc>
          <w:tcPr>
            <w:tcW w:type="dxa" w:w="2880"/>
          </w:tcPr>
          <w:p>
            <w:r>
              <w:t>Double-entry Ledger (distinct from Subscription ledger; reconciled)</w:t>
            </w:r>
          </w:p>
        </w:tc>
        <w:tc>
          <w:tcPr>
            <w:tcW w:type="dxa" w:w="2880"/>
          </w:tcPr>
          <w:p>
            <w:r>
              <w:t>§A14</w:t>
            </w:r>
          </w:p>
        </w:tc>
        <w:tc>
          <w:tcPr>
            <w:tcW w:type="dxa" w:w="2880"/>
          </w:tcPr>
          <w:p>
            <w:r>
              <w:t>§B16.3</w:t>
            </w:r>
          </w:p>
        </w:tc>
      </w:tr>
      <w:tr>
        <w:tc>
          <w:tcPr>
            <w:tcW w:type="dxa" w:w="2880"/>
          </w:tcPr>
          <w:p>
            <w:r>
              <w:t>Tax engine (US marketplace-facilitator sales tax, UK/EU VAT, 1099-K)</w:t>
            </w:r>
          </w:p>
        </w:tc>
        <w:tc>
          <w:tcPr>
            <w:tcW w:type="dxa" w:w="2880"/>
          </w:tcPr>
          <w:p>
            <w:r>
              <w:t>Stripe Tax on bookings</w:t>
            </w:r>
          </w:p>
        </w:tc>
        <w:tc>
          <w:tcPr>
            <w:tcW w:type="dxa" w:w="2880"/>
          </w:tcPr>
          <w:p>
            <w:r>
              <w:t>Shopify computes at checkout; platform records for remittance</w:t>
            </w:r>
          </w:p>
        </w:tc>
      </w:tr>
      <w:tr>
        <w:tc>
          <w:tcPr>
            <w:tcW w:type="dxa" w:w="2880"/>
          </w:tcPr>
          <w:p>
            <w:r>
              <w:t>Multi-currency (USD/GBP/EUR/AED display + settlement, FX)</w:t>
            </w:r>
          </w:p>
        </w:tc>
        <w:tc>
          <w:tcPr>
            <w:tcW w:type="dxa" w:w="2880"/>
          </w:tcPr>
          <w:p>
            <w:r>
              <w:t>§A15.5</w:t>
            </w:r>
          </w:p>
        </w:tc>
        <w:tc>
          <w:tcPr>
            <w:tcW w:type="dxa" w:w="2880"/>
          </w:tcPr>
          <w:p>
            <w:r>
              <w:t>Shopify Markets</w:t>
            </w:r>
          </w:p>
        </w:tc>
      </w:tr>
    </w:tbl>
    <w:p/>
    <w:p>
      <w:pPr>
        <w:pStyle w:val="Heading2"/>
      </w:pPr>
      <w:r>
        <w:t>2.1 Pandit Services module (Addendum A)</w:t>
      </w:r>
    </w:p>
    <w:p>
      <w:pPr>
        <w:pStyle w:val="ListBullet"/>
      </w:pPr>
      <w:r>
        <w:t>Pandit profile, approval queue, verification badges</w:t>
      </w:r>
    </w:p>
    <w:p>
      <w:pPr>
        <w:pStyle w:val="ListBullet"/>
      </w:pPr>
      <w:r>
        <w:t>ServiceType taxonomy linked to festival IDs (§5.5) and muhurat event types (§5.6.1)</w:t>
      </w:r>
    </w:p>
    <w:p>
      <w:pPr>
        <w:pStyle w:val="ListBullet"/>
      </w:pPr>
      <w:r>
        <w:t>TravelPolicy with PostGIS distance; ≤100-mile platform cap; travel fee models (flat / per-mile / banded); requires-pickup flag</w:t>
      </w:r>
    </w:p>
    <w:p>
      <w:pPr>
        <w:pStyle w:val="ListBullet"/>
      </w:pPr>
      <w:r>
        <w:t>Availability: working hours, blackout dates, lead time, buffers, auto vs manual acceptance; no double-booking</w:t>
      </w:r>
    </w:p>
    <w:p>
      <w:pPr>
        <w:pStyle w:val="ListBullet"/>
      </w:pPr>
      <w:r>
        <w:t>Booking state machine (§A5) with atomic slot reservation + PaymentIntent</w:t>
      </w:r>
    </w:p>
    <w:p>
      <w:pPr>
        <w:pStyle w:val="ListBullet"/>
      </w:pPr>
      <w:r>
        <w:t>Quote engine (§A4.5) producing itemised lines and an immutable policy snapshot</w:t>
      </w:r>
    </w:p>
    <w:p>
      <w:pPr>
        <w:pStyle w:val="ListBullet"/>
      </w:pPr>
      <w:r>
        <w:t>Two-way verified reviews with delayed reveal; explainable ranking with bounded cold-start boost</w:t>
      </w:r>
    </w:p>
    <w:p>
      <w:pPr>
        <w:pStyle w:val="ListBullet"/>
      </w:pPr>
      <w:r>
        <w:t>Messaging (WebSocket) with PII masking and off-platform leakage detection</w:t>
      </w:r>
    </w:p>
    <w:p>
      <w:pPr>
        <w:pStyle w:val="ListBullet"/>
      </w:pPr>
      <w:r>
        <w:t>Video Session adapter (LiveKit default; Agora/Twilio evaluated per §A19.6)</w:t>
      </w:r>
    </w:p>
    <w:p>
      <w:pPr>
        <w:pStyle w:val="Heading2"/>
      </w:pPr>
      <w:r>
        <w:t>2.2 Pooja Items module (Addendum B)</w:t>
      </w:r>
    </w:p>
    <w:p>
      <w:pPr>
        <w:pStyle w:val="ListBullet"/>
      </w:pPr>
      <w:r>
        <w:t>Shopify headless: Storefront API for catalog/cart/checkout; Admin webhooks for orders and fulfilment</w:t>
      </w:r>
    </w:p>
    <w:p>
      <w:pPr>
        <w:pStyle w:val="ListBullet"/>
      </w:pPr>
      <w:r>
        <w:t>SamagriList (CMS) → cart mapping</w:t>
      </w:r>
    </w:p>
    <w:p>
      <w:pPr>
        <w:pStyle w:val="ListBullet"/>
      </w:pPr>
      <w:r>
        <w:t>Order ingest → ledger → seller splits and payouts via Commerce Core</w:t>
      </w:r>
    </w:p>
    <w:p>
      <w:pPr>
        <w:pStyle w:val="ListBullet"/>
      </w:pPr>
      <w:r>
        <w:t>Platform is merchant of record; physical goods never use IAP</w:t>
      </w:r>
    </w:p>
    <w:p>
      <w:pPr>
        <w:pStyle w:val="Heading1"/>
      </w:pPr>
      <w:r>
        <w:t>3. Amendments to v1.1 sections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v1.1 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Amendment</w:t>
            </w:r>
          </w:p>
        </w:tc>
      </w:tr>
      <w:tr>
        <w:tc>
          <w:tcPr>
            <w:tcW w:type="dxa" w:w="4320"/>
          </w:tcPr>
          <w:p>
            <w:r>
              <w:t>§1.1 Experience layer</w:t>
            </w:r>
          </w:p>
        </w:tc>
        <w:tc>
          <w:tcPr>
            <w:tcW w:type="dxa" w:w="4320"/>
          </w:tcPr>
          <w:p>
            <w:r>
              <w:t>Add Provider/Seller portal (Next.js) and provider flows in mobile. Mobile stack (native vs RN) to be decided at Stage 0 (ADR-001); video SDK and Shopify Storefront support both.</w:t>
            </w:r>
          </w:p>
        </w:tc>
      </w:tr>
      <w:tr>
        <w:tc>
          <w:tcPr>
            <w:tcW w:type="dxa" w:w="4320"/>
          </w:tcPr>
          <w:p>
            <w:r>
              <w:t>§1.1 Gateway</w:t>
            </w:r>
          </w:p>
        </w:tc>
        <w:tc>
          <w:tcPr>
            <w:tcW w:type="dxa" w:w="4320"/>
          </w:tcPr>
          <w:p>
            <w:r>
              <w:t>Entitlement matrix gains 'Book a Pandit' = Silver+ (Gold inherits). Three payment rails enforced: IAP/Play/Stripe-web for subscriptions; Stripe only for bookings; Shopify checkout only for goods.</w:t>
            </w:r>
          </w:p>
        </w:tc>
      </w:tr>
      <w:tr>
        <w:tc>
          <w:tcPr>
            <w:tcW w:type="dxa" w:w="4320"/>
          </w:tcPr>
          <w:p>
            <w:r>
              <w:t>§3 Services</w:t>
            </w:r>
          </w:p>
        </w:tc>
        <w:tc>
          <w:tcPr>
            <w:tcW w:type="dxa" w:w="4320"/>
          </w:tcPr>
          <w:p>
            <w:r>
              <w:t>Add services 11–16: Commerce Core, Pandit Services, Pooja Items, Messaging, Video Session adapter, Tax. Notifications extended with mandatory email templates and optional SMS.</w:t>
            </w:r>
          </w:p>
        </w:tc>
      </w:tr>
      <w:tr>
        <w:tc>
          <w:tcPr>
            <w:tcW w:type="dxa" w:w="4320"/>
          </w:tcPr>
          <w:p>
            <w:r>
              <w:t>§4.1 Entities</w:t>
            </w:r>
          </w:p>
        </w:tc>
        <w:tc>
          <w:tcPr>
            <w:tcW w:type="dxa" w:w="4320"/>
          </w:tcPr>
          <w:p>
            <w:r>
              <w:t>Add §A13 entities (Pandit, PanditService, ServiceType, TravelPolicy, Availability, Booking, BookingEvent, Payment, Payout, Refund, Review, Conversation/Message, VideoSession, Dispute, VerificationRecord) plus Addendum B entities. Vault gains ID documents, background-check refs and patron ceremony addresses (revealed only after paid confirmation; hidden after completion).</w:t>
            </w:r>
          </w:p>
        </w:tc>
      </w:tr>
      <w:tr>
        <w:tc>
          <w:tcPr>
            <w:tcW w:type="dxa" w:w="4320"/>
          </w:tcPr>
          <w:p>
            <w:r>
              <w:t>§5.1 Security</w:t>
            </w:r>
          </w:p>
        </w:tc>
        <w:tc>
          <w:tcPr>
            <w:tcW w:type="dxa" w:w="4320"/>
          </w:tcPr>
          <w:p>
            <w:r>
              <w:t>PCI scope stays at Stripe; SCA/3-DS; webhook signature verification; idempotency keys on all money operations; money state webhook-driven, never client-trusted. Legal artefacts versioned with acceptance logs.</w:t>
            </w:r>
          </w:p>
        </w:tc>
      </w:tr>
      <w:tr>
        <w:tc>
          <w:tcPr>
            <w:tcW w:type="dxa" w:w="4320"/>
          </w:tcPr>
          <w:p>
            <w:r>
              <w:t>§5.2 Performance</w:t>
            </w:r>
          </w:p>
        </w:tc>
        <w:tc>
          <w:tcPr>
            <w:tcW w:type="dxa" w:w="4320"/>
          </w:tcPr>
          <w:p>
            <w:r>
              <w:t>Pandit search ≤1 s via PostGIS + Postgres FTS. Booking = atomic slot reservation + PaymentIntent in one transaction with an outbox.</w:t>
            </w:r>
          </w:p>
        </w:tc>
      </w:tr>
      <w:tr>
        <w:tc>
          <w:tcPr>
            <w:tcW w:type="dxa" w:w="4320"/>
          </w:tcPr>
          <w:p>
            <w:r>
              <w:t>§5.4 Observability</w:t>
            </w:r>
          </w:p>
        </w:tc>
        <w:tc>
          <w:tcPr>
            <w:tcW w:type="dxa" w:w="4320"/>
          </w:tcPr>
          <w:p>
            <w:r>
              <w:t>Trace every booking and payout; alert on failed payments, stuck payouts, dispute spikes, video join failures.</w:t>
            </w:r>
          </w:p>
        </w:tc>
      </w:tr>
      <w:tr>
        <w:tc>
          <w:tcPr>
            <w:tcW w:type="dxa" w:w="4320"/>
          </w:tcPr>
          <w:p>
            <w:r>
              <w:t>§5.5 Technology</w:t>
            </w:r>
          </w:p>
        </w:tc>
        <w:tc>
          <w:tcPr>
            <w:tcW w:type="dxa" w:w="4320"/>
          </w:tcPr>
          <w:p>
            <w:r>
              <w:t>Add Stripe Connect Express, Stripe Tax, Stripe Identity, LiveKit, PostGIS, Shopify Storefront API + Admin webhooks, transactional email provider (Postmark/SES).</w:t>
            </w:r>
          </w:p>
        </w:tc>
      </w:tr>
      <w:tr>
        <w:tc>
          <w:tcPr>
            <w:tcW w:type="dxa" w:w="4320"/>
          </w:tcPr>
          <w:p>
            <w:r>
              <w:t>§6 Phasing</w:t>
            </w:r>
          </w:p>
        </w:tc>
        <w:tc>
          <w:tcPr>
            <w:tcW w:type="dxa" w:w="4320"/>
          </w:tcPr>
          <w:p>
            <w:r>
              <w:t>Marketplaces become their own delivery tracks (Development Plan v2.0). Swiss Ephemeris commercial licence gate unchanged.</w:t>
            </w:r>
          </w:p>
        </w:tc>
      </w:tr>
    </w:tbl>
    <w:p/>
    <w:p>
      <w:pPr>
        <w:pStyle w:val="Heading1"/>
      </w:pPr>
      <w:r>
        <w:t>4. Booking state machine (authoritative)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Money</w:t>
            </w:r>
          </w:p>
        </w:tc>
      </w:tr>
      <w:tr>
        <w:tc>
          <w:tcPr>
            <w:tcW w:type="dxa" w:w="2880"/>
          </w:tcPr>
          <w:p>
            <w:r>
              <w:t>Requested</w:t>
            </w:r>
          </w:p>
        </w:tc>
        <w:tc>
          <w:tcPr>
            <w:tcW w:type="dxa" w:w="2880"/>
          </w:tcPr>
          <w:p>
            <w:r>
              <w:t>Patron submitted; awaiting acceptance (manual mode)</w:t>
            </w:r>
          </w:p>
        </w:tc>
        <w:tc>
          <w:tcPr>
            <w:tcW w:type="dxa" w:w="2880"/>
          </w:tcPr>
          <w:p>
            <w:r>
              <w:t>Payment authorised (held)</w:t>
            </w:r>
          </w:p>
        </w:tc>
      </w:tr>
      <w:tr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Accepted or auto-confirmed</w:t>
            </w:r>
          </w:p>
        </w:tc>
        <w:tc>
          <w:tcPr>
            <w:tcW w:type="dxa" w:w="2880"/>
          </w:tcPr>
          <w:p>
            <w:r>
              <w:t>Captured into escrow</w:t>
            </w:r>
          </w:p>
        </w:tc>
      </w:tr>
      <w:tr>
        <w:tc>
          <w:tcPr>
            <w:tcW w:type="dxa" w:w="2880"/>
          </w:tcPr>
          <w:p>
            <w:r>
              <w:t>Reschedule pending</w:t>
            </w:r>
          </w:p>
        </w:tc>
        <w:tc>
          <w:tcPr>
            <w:tcW w:type="dxa" w:w="2880"/>
          </w:tcPr>
          <w:p>
            <w:r>
              <w:t>One party proposed a new time</w:t>
            </w:r>
          </w:p>
        </w:tc>
        <w:tc>
          <w:tcPr>
            <w:tcW w:type="dxa" w:w="2880"/>
          </w:tcPr>
          <w:p>
            <w:r>
              <w:t>Held</w:t>
            </w:r>
          </w:p>
        </w:tc>
      </w:tr>
      <w:tr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Ceremony underway</w:t>
            </w:r>
          </w:p>
        </w:tc>
        <w:tc>
          <w:tcPr>
            <w:tcW w:type="dxa" w:w="2880"/>
          </w:tcPr>
          <w:p>
            <w:r>
              <w:t>Held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Service delivered</w:t>
            </w:r>
          </w:p>
        </w:tc>
        <w:tc>
          <w:tcPr>
            <w:tcW w:type="dxa" w:w="2880"/>
          </w:tcPr>
          <w:p>
            <w:r>
              <w:t>Payout scheduled after holdback (default 48 h), minus commission</w:t>
            </w:r>
          </w:p>
        </w:tc>
      </w:tr>
      <w:tr>
        <w:tc>
          <w:tcPr>
            <w:tcW w:type="dxa" w:w="2880"/>
          </w:tcPr>
          <w:p>
            <w:r>
              <w:t>Cancelled — patron</w:t>
            </w:r>
          </w:p>
        </w:tc>
        <w:tc>
          <w:tcPr>
            <w:tcW w:type="dxa" w:w="2880"/>
          </w:tcPr>
          <w:p>
            <w:r>
              <w:t>Patron cancelled</w:t>
            </w:r>
          </w:p>
        </w:tc>
        <w:tc>
          <w:tcPr>
            <w:tcW w:type="dxa" w:w="2880"/>
          </w:tcPr>
          <w:p>
            <w:r>
              <w:t>Refund per policy snapshot</w:t>
            </w:r>
          </w:p>
        </w:tc>
      </w:tr>
      <w:tr>
        <w:tc>
          <w:tcPr>
            <w:tcW w:type="dxa" w:w="2880"/>
          </w:tcPr>
          <w:p>
            <w:r>
              <w:t>Cancelled — pandit</w:t>
            </w:r>
          </w:p>
        </w:tc>
        <w:tc>
          <w:tcPr>
            <w:tcW w:type="dxa" w:w="2880"/>
          </w:tcPr>
          <w:p>
            <w:r>
              <w:t>Pandit cancelled</w:t>
            </w:r>
          </w:p>
        </w:tc>
        <w:tc>
          <w:tcPr>
            <w:tcW w:type="dxa" w:w="2880"/>
          </w:tcPr>
          <w:p>
            <w:r>
              <w:t>Full refund; pandit standing penalty</w:t>
            </w:r>
          </w:p>
        </w:tc>
      </w:tr>
      <w:tr>
        <w:tc>
          <w:tcPr>
            <w:tcW w:type="dxa" w:w="2880"/>
          </w:tcPr>
          <w:p>
            <w:r>
              <w:t>No-show</w:t>
            </w:r>
          </w:p>
        </w:tc>
        <w:tc>
          <w:tcPr>
            <w:tcW w:type="dxa" w:w="2880"/>
          </w:tcPr>
          <w:p>
            <w:r>
              <w:t>Either party absent</w:t>
            </w:r>
          </w:p>
        </w:tc>
        <w:tc>
          <w:tcPr>
            <w:tcW w:type="dxa" w:w="2880"/>
          </w:tcPr>
          <w:p>
            <w:r>
              <w:t>Resolved per §A7.3 using check-in / session-log evidence</w:t>
            </w:r>
          </w:p>
        </w:tc>
      </w:tr>
      <w:tr>
        <w:tc>
          <w:tcPr>
            <w:tcW w:type="dxa" w:w="2880"/>
          </w:tcPr>
          <w:p>
            <w:r>
              <w:t>Disputed</w:t>
            </w:r>
          </w:p>
        </w:tc>
        <w:tc>
          <w:tcPr>
            <w:tcW w:type="dxa" w:w="2880"/>
          </w:tcPr>
          <w:p>
            <w:r>
              <w:t>Dispute raised</w:t>
            </w:r>
          </w:p>
        </w:tc>
        <w:tc>
          <w:tcPr>
            <w:tcW w:type="dxa" w:w="2880"/>
          </w:tcPr>
          <w:p>
            <w:r>
              <w:t>Payout frozen pending ops decision</w:t>
            </w:r>
          </w:p>
        </w:tc>
      </w:tr>
      <w:tr>
        <w:tc>
          <w:tcPr>
            <w:tcW w:type="dxa" w:w="2880"/>
          </w:tcPr>
          <w:p>
            <w:r>
              <w:t>Refunded / Closed</w:t>
            </w:r>
          </w:p>
        </w:tc>
        <w:tc>
          <w:tcPr>
            <w:tcW w:type="dxa" w:w="2880"/>
          </w:tcPr>
          <w:p>
            <w:r>
              <w:t>Terminal</w:t>
            </w:r>
          </w:p>
        </w:tc>
        <w:tc>
          <w:tcPr>
            <w:tcW w:type="dxa" w:w="2880"/>
          </w:tcPr>
          <w:p>
            <w:r>
              <w:t>Settled</w:t>
            </w:r>
          </w:p>
        </w:tc>
      </w:tr>
    </w:tbl>
    <w:p/>
    <w:p>
      <w:r>
        <w:t>Response-window expiry auto-declines a Requested booking and releases the authorisation. Every transition writes a BookingEvent (fromState, toState, actor, timestamp, reason).</w:t>
      </w:r>
    </w:p>
    <w:p>
      <w:pPr>
        <w:pStyle w:val="Heading1"/>
      </w:pPr>
      <w:r>
        <w:t>5. Key contracts</w:t>
      </w:r>
    </w:p>
    <w:p>
      <w:pPr>
        <w:pStyle w:val="Heading2"/>
      </w:pPr>
      <w:r>
        <w:t>5.1 PanchangDay</w:t>
      </w:r>
    </w:p>
    <w:p>
      <w:r>
        <w:t>Every interval carries startUtc, endUtc, localOffsetMinutes and hoursFromSunrise (float, may exceed 24 — the first-class '24-plus' value). Flags: kshaya, vriddhi, carriesOver, sunriseFallback. Cache key: date | gridCell (0.25° lat/lon + tz id) | ayanamsa | monthScheme. Miss path: compute-once with per-key lock.</w:t>
      </w:r>
    </w:p>
    <w:p>
      <w:pPr>
        <w:pStyle w:val="Heading2"/>
      </w:pPr>
      <w:r>
        <w:t>5.2 Festival Rule DSL (JSON, versioned via ContentVersion)</w:t>
      </w:r>
    </w:p>
    <w:p>
      <w:r>
        <w:rPr>
          <w:rFonts w:ascii="Consolas" w:hAnsi="Consolas"/>
          <w:sz w:val="18"/>
        </w:rPr>
        <w:t>{</w:t>
        <w:br/>
        <w:t xml:space="preserve">  "id": "janmashtami",</w:t>
        <w:br/>
        <w:t xml:space="preserve">  "scheme": "purnimanta",</w:t>
        <w:br/>
        <w:t xml:space="preserve">  "month": "bhadrapada",</w:t>
        <w:br/>
        <w:t xml:space="preserve">  "paksha": "krishna",</w:t>
        <w:br/>
        <w:t xml:space="preserve">  "tithi": 8,</w:t>
        <w:br/>
        <w:t xml:space="preserve">  "anchor": "nishita",</w:t>
        <w:br/>
        <w:t xml:space="preserve">  "preferNakshatra": "rohini",</w:t>
        <w:br/>
        <w:t xml:space="preserve">  "tieBreak": "next_day_if_tithi_not_at_anchor",</w:t>
        <w:br/>
        <w:t xml:space="preserve">  "regions": ["default"],</w:t>
        <w:br/>
        <w:t xml:space="preserve">  "overrides": [{ "region": "smarta", "anchor": "nishita_strict" }],</w:t>
        <w:br/>
        <w:t xml:space="preserve">  "priority": 90</w:t>
        <w:br/>
        <w:t>}</w:t>
      </w:r>
    </w:p>
    <w:p>
      <w:r>
        <w:t>anchor ∈ {sunrise, midday, pradosh, nishita, moonrise, sankranti}; recurring: monthly for Ekadashi / Pradosham / Sankashti / Purnima / Amavasya cycles. The resolver emits FestivalOccurrence(gridCell, year). Rules are data, never date tables.</w:t>
      </w:r>
    </w:p>
    <w:p>
      <w:pPr>
        <w:pStyle w:val="Heading2"/>
      </w:pPr>
      <w:r>
        <w:t>5.3 Quote engine</w:t>
      </w:r>
    </w:p>
    <w:p>
      <w:r>
        <w:t>Server-only: total = base + travelFee(distance, feeModel) + samagri (optional) + platformFee(config) + tax(Stripe Tax). Returns itemised lines and a policySnapshot (defaults: 100% refund ≥30 days, 50% inside 30 days, 0% inside 48 h) frozen onto the Booking.</w:t>
      </w:r>
    </w:p>
    <w:p>
      <w:pPr>
        <w:pStyle w:val="Heading2"/>
      </w:pPr>
      <w:r>
        <w:t>5.4 Ledger</w:t>
      </w:r>
    </w:p>
    <w:p>
      <w:r>
        <w:t>Double-entry accounts: patron_receivable, escrow, platform_revenue, provider_payable:{id}, tax_payable, refunds. Every Stripe webhook posts a journal entry; nightly reconciliation against Stripe balance transactions must balance to zero.</w:t>
      </w:r>
    </w:p>
    <w:p>
      <w:pPr>
        <w:pStyle w:val="Heading2"/>
      </w:pPr>
      <w:r>
        <w:t>5.5 Ranking</w:t>
      </w:r>
    </w:p>
    <w:p>
      <w:r>
        <w:t>score = w1·bayesianRating + w2·completionRate + w3·responseSpeed + w4·proximity + w5·priceIndex + coldStartBoost (decays over 30 days). Weights are admin-configurable; each result returns its factor breakdown for explainability.</w:t>
      </w:r>
    </w:p>
    <w:p>
      <w:pPr>
        <w:pStyle w:val="Heading1"/>
      </w:pPr>
      <w:r>
        <w:t>6. Invariants (enforced in code review and CI)</w:t>
      </w:r>
    </w:p>
    <w:p>
      <w:pPr>
        <w:pStyle w:val="ListBullet"/>
      </w:pPr>
      <w:r>
        <w:t>Only the Panchang Computation Service produces raw Panchang values; no other module imports the ephemeris.</w:t>
      </w:r>
    </w:p>
    <w:p>
      <w:pPr>
        <w:pStyle w:val="ListBullet"/>
      </w:pPr>
      <w:r>
        <w:t>Panchang is precomputed and cached; clients never compute it.</w:t>
      </w:r>
    </w:p>
    <w:p>
      <w:pPr>
        <w:pStyle w:val="ListBullet"/>
      </w:pPr>
      <w:r>
        <w:t>Festival/religious content is data (CMS / rule DSL), never hard-coded.</w:t>
      </w:r>
    </w:p>
    <w:p>
      <w:pPr>
        <w:pStyle w:val="ListBullet"/>
      </w:pPr>
      <w:r>
        <w:t>Entitlements, prices, commission and booking state are computed server-side; clients are untrusted; money state is webhook-driven.</w:t>
      </w:r>
    </w:p>
    <w:p>
      <w:pPr>
        <w:pStyle w:val="ListBullet"/>
      </w:pPr>
      <w:r>
        <w:t>Sensitive data (birth details, ID documents, background-check refs, ceremony addresses) lives only in the Vault service.</w:t>
      </w:r>
    </w:p>
    <w:p>
      <w:pPr>
        <w:pStyle w:val="ListBullet"/>
      </w:pPr>
      <w:r>
        <w:t>Subscriptions → IAP/Play/Stripe-web; bookings → Stripe only; physical goods → Shopify checkout only. Never co-mingle.</w:t>
      </w:r>
    </w:p>
    <w:p>
      <w:pPr>
        <w:pStyle w:val="ListBullet"/>
      </w:pPr>
      <w:r>
        <w:t>Production builds require SWISSEPH_LICENSE_MODE=commercial; the accuracy harness is a required CI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