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88888"/>
          <w:sz w:val="18"/>
        </w:rPr>
        <w:t>AQUALEO · build — THE PANDIT · SOLUTION ARCHITECTURE</w:t>
      </w:r>
    </w:p>
    <w:p>
      <w:pPr>
        <w:pStyle w:val="Title"/>
      </w:pPr>
      <w:r>
        <w:t>Architecture Document v2.0</w:t>
      </w:r>
    </w:p>
    <w:p>
      <w:r>
        <w:rPr>
          <w:i/>
        </w:rPr>
        <w:t>A location-accurate Panchang, calendar, planning and spiritual-lifestyle platform with two embedded marketplaces — mobile, web, provider portal and admin.</w:t>
      </w:r>
    </w:p>
    <w:tbl>
      <w:tblPr>
        <w:tblStyle w:val="LightGrid-Accent1"/>
        <w:tblW w:type="auto" w:w="0"/>
        <w:tblLook w:firstColumn="1" w:firstRow="1" w:lastColumn="0" w:lastRow="0" w:noHBand="0" w:noVBand="1" w:val="04A0"/>
      </w:tblPr>
      <w:tblGrid>
        <w:gridCol w:w="4320"/>
        <w:gridCol w:w="4320"/>
      </w:tblGrid>
      <w:tr>
        <w:tc>
          <w:tcPr>
            <w:tcW w:type="dxa" w:w="4320"/>
          </w:tcPr>
          <w:p>
            <w:r>
              <w:rPr>
                <w:b/>
              </w:rPr>
            </w:r>
          </w:p>
        </w:tc>
        <w:tc>
          <w:tcPr>
            <w:tcW w:type="dxa" w:w="4320"/>
          </w:tcPr>
          <w:p>
            <w:r>
              <w:rPr>
                <w:b/>
              </w:rPr>
            </w:r>
          </w:p>
        </w:tc>
      </w:tr>
      <w:tr>
        <w:tc>
          <w:tcPr>
            <w:tcW w:type="dxa" w:w="4320"/>
          </w:tcPr>
          <w:p>
            <w:r>
              <w:t>Document</w:t>
            </w:r>
          </w:p>
        </w:tc>
        <w:tc>
          <w:tcPr>
            <w:tcW w:type="dxa" w:w="4320"/>
          </w:tcPr>
          <w:p>
            <w:r>
              <w:t>Architecture Document v2.0 (consolidated; supersedes v1.1 and the v2.0 Delta)</w:t>
            </w:r>
          </w:p>
        </w:tc>
      </w:tr>
      <w:tr>
        <w:tc>
          <w:tcPr>
            <w:tcW w:type="dxa" w:w="4320"/>
          </w:tcPr>
          <w:p>
            <w:r>
              <w:t>Prepared by</w:t>
            </w:r>
          </w:p>
        </w:tc>
        <w:tc>
          <w:tcPr>
            <w:tcW w:type="dxa" w:w="4320"/>
          </w:tcPr>
          <w:p>
            <w:r>
              <w:t>Aqualeo — IT &amp; Business Consulting</w:t>
            </w:r>
          </w:p>
        </w:tc>
      </w:tr>
      <w:tr>
        <w:tc>
          <w:tcPr>
            <w:tcW w:type="dxa" w:w="4320"/>
          </w:tcPr>
          <w:p>
            <w:r>
              <w:t>Reads with</w:t>
            </w:r>
          </w:p>
        </w:tc>
        <w:tc>
          <w:tcPr>
            <w:tcW w:type="dxa" w:w="4320"/>
          </w:tcPr>
          <w:p>
            <w:r>
              <w:t>Requirement Specifications v2.0 · Addendum A (Pandit Services Marketplace) · Addendum B (Pooja Items Marketplace) · Development Plan v2.0 · OpenAPI v1 · Festival Rule Set v1</w:t>
            </w:r>
          </w:p>
        </w:tc>
      </w:tr>
      <w:tr>
        <w:tc>
          <w:tcPr>
            <w:tcW w:type="dxa" w:w="4320"/>
          </w:tcPr>
          <w:p>
            <w:r>
              <w:t>Audience</w:t>
            </w:r>
          </w:p>
        </w:tc>
        <w:tc>
          <w:tcPr>
            <w:tcW w:type="dxa" w:w="4320"/>
          </w:tcPr>
          <w:p>
            <w:r>
              <w:t>Engineering, AI coding agent, technical stakeholders</w:t>
            </w:r>
          </w:p>
        </w:tc>
      </w:tr>
      <w:tr>
        <w:tc>
          <w:tcPr>
            <w:tcW w:type="dxa" w:w="4320"/>
          </w:tcPr>
          <w:p>
            <w:r>
              <w:t>Status</w:t>
            </w:r>
          </w:p>
        </w:tc>
        <w:tc>
          <w:tcPr>
            <w:tcW w:type="dxa" w:w="4320"/>
          </w:tcPr>
          <w:p>
            <w:r>
              <w:t>Consolidated — ready for build</w:t>
            </w:r>
          </w:p>
        </w:tc>
      </w:tr>
      <w:tr>
        <w:tc>
          <w:tcPr>
            <w:tcW w:type="dxa" w:w="4320"/>
          </w:tcPr>
          <w:p>
            <w:r>
              <w:t>Date</w:t>
            </w:r>
          </w:p>
        </w:tc>
        <w:tc>
          <w:tcPr>
            <w:tcW w:type="dxa" w:w="4320"/>
          </w:tcPr>
          <w:p>
            <w:r>
              <w:t>September 2026</w:t>
            </w:r>
          </w:p>
        </w:tc>
      </w:tr>
    </w:tbl>
    <w:p/>
    <w:p>
      <w:pPr>
        <w:pStyle w:val="Heading1"/>
      </w:pPr>
      <w:r>
        <w:t>What changed in v2.0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v1.1</w:t>
            </w:r>
          </w:p>
        </w:tc>
        <w:tc>
          <w:tcPr>
            <w:tcW w:type="dxa" w:w="2880"/>
          </w:tcPr>
          <w:p>
            <w:r>
              <w:rPr>
                <w:b/>
              </w:rPr>
              <w:t>v2.0</w:t>
            </w:r>
          </w:p>
        </w:tc>
      </w:tr>
      <w:tr>
        <w:tc>
          <w:tcPr>
            <w:tcW w:type="dxa" w:w="2880"/>
          </w:tcPr>
          <w:p>
            <w:r>
              <w:t>Scope</w:t>
            </w:r>
          </w:p>
        </w:tc>
        <w:tc>
          <w:tcPr>
            <w:tcW w:type="dxa" w:w="2880"/>
          </w:tcPr>
          <w:p>
            <w:r>
              <w:t>Core Panchang platform only</w:t>
            </w:r>
          </w:p>
        </w:tc>
        <w:tc>
          <w:tcPr>
            <w:tcW w:type="dxa" w:w="2880"/>
          </w:tcPr>
          <w:p>
            <w:r>
              <w:t>+ Pandit Services Marketplace (Addendum A) + Pooja Items Marketplace (Addendum B)</w:t>
            </w:r>
          </w:p>
        </w:tc>
      </w:tr>
      <w:tr>
        <w:tc>
          <w:tcPr>
            <w:tcW w:type="dxa" w:w="2880"/>
          </w:tcPr>
          <w:p>
            <w:r>
              <w:t>Services</w:t>
            </w:r>
          </w:p>
        </w:tc>
        <w:tc>
          <w:tcPr>
            <w:tcW w:type="dxa" w:w="2880"/>
          </w:tcPr>
          <w:p>
            <w:r>
              <w:t>10 domain services</w:t>
            </w:r>
          </w:p>
        </w:tc>
        <w:tc>
          <w:tcPr>
            <w:tcW w:type="dxa" w:w="2880"/>
          </w:tcPr>
          <w:p>
            <w:r>
              <w:t>16 services: adds Commerce Core, Pandit Services, Pooja Items, Messaging, Video Session, Tax</w:t>
            </w:r>
          </w:p>
        </w:tc>
      </w:tr>
      <w:tr>
        <w:tc>
          <w:tcPr>
            <w:tcW w:type="dxa" w:w="2880"/>
          </w:tcPr>
          <w:p>
            <w:r>
              <w:t>Clients</w:t>
            </w:r>
          </w:p>
        </w:tc>
        <w:tc>
          <w:tcPr>
            <w:tcW w:type="dxa" w:w="2880"/>
          </w:tcPr>
          <w:p>
            <w:r>
              <w:t>iOS, Android, web, admin</w:t>
            </w:r>
          </w:p>
        </w:tc>
        <w:tc>
          <w:tcPr>
            <w:tcW w:type="dxa" w:w="2880"/>
          </w:tcPr>
          <w:p>
            <w:r>
              <w:t>+ Provider/Seller portal; provider flows in mobile</w:t>
            </w:r>
          </w:p>
        </w:tc>
      </w:tr>
      <w:tr>
        <w:tc>
          <w:tcPr>
            <w:tcW w:type="dxa" w:w="2880"/>
          </w:tcPr>
          <w:p>
            <w:r>
              <w:t>Payments</w:t>
            </w:r>
          </w:p>
        </w:tc>
        <w:tc>
          <w:tcPr>
            <w:tcW w:type="dxa" w:w="2880"/>
          </w:tcPr>
          <w:p>
            <w:r>
              <w:t>IAP / Play / Stripe for subscriptions</w:t>
            </w:r>
          </w:p>
        </w:tc>
        <w:tc>
          <w:tcPr>
            <w:tcW w:type="dxa" w:w="2880"/>
          </w:tcPr>
          <w:p>
            <w:r>
              <w:t>Three strictly separated rails: subscriptions, bookings (Stripe Connect), goods (Shopify checkout)</w:t>
            </w:r>
          </w:p>
        </w:tc>
      </w:tr>
      <w:tr>
        <w:tc>
          <w:tcPr>
            <w:tcW w:type="dxa" w:w="2880"/>
          </w:tcPr>
          <w:p>
            <w:r>
              <w:t>Data</w:t>
            </w:r>
          </w:p>
        </w:tc>
        <w:tc>
          <w:tcPr>
            <w:tcW w:type="dxa" w:w="2880"/>
          </w:tcPr>
          <w:p>
            <w:r>
              <w:t>Core entities + Vault</w:t>
            </w:r>
          </w:p>
        </w:tc>
        <w:tc>
          <w:tcPr>
            <w:tcW w:type="dxa" w:w="2880"/>
          </w:tcPr>
          <w:p>
            <w:r>
              <w:t>+ marketplace entities; Vault extended to ID documents, background checks, ceremony addresses; double-entry ledger</w:t>
            </w:r>
          </w:p>
        </w:tc>
      </w:tr>
      <w:tr>
        <w:tc>
          <w:tcPr>
            <w:tcW w:type="dxa" w:w="2880"/>
          </w:tcPr>
          <w:p>
            <w:r>
              <w:t>Contracts</w:t>
            </w:r>
          </w:p>
        </w:tc>
        <w:tc>
          <w:tcPr>
            <w:tcW w:type="dxa" w:w="2880"/>
          </w:tcPr>
          <w:p>
            <w:r>
              <w:t>Prose</w:t>
            </w:r>
          </w:p>
        </w:tc>
        <w:tc>
          <w:tcPr>
            <w:tcW w:type="dxa" w:w="2880"/>
          </w:tcPr>
          <w:p>
            <w:r>
              <w:t>Festival Rule DSL, PanchangDay, quote engine, booking FSM, ledger and ranking made explicit; OpenAPI v1 skeleton published</w:t>
            </w:r>
          </w:p>
        </w:tc>
      </w:tr>
      <w:tr>
        <w:tc>
          <w:tcPr>
            <w:tcW w:type="dxa" w:w="2880"/>
          </w:tcPr>
          <w:p>
            <w:r>
              <w:t>Phasing</w:t>
            </w:r>
          </w:p>
        </w:tc>
        <w:tc>
          <w:tcPr>
            <w:tcW w:type="dxa" w:w="2880"/>
          </w:tcPr>
          <w:p>
            <w:r>
              <w:t>MVP / Phase 2 / Phase 3</w:t>
            </w:r>
          </w:p>
        </w:tc>
        <w:tc>
          <w:tcPr>
            <w:tcW w:type="dxa" w:w="2880"/>
          </w:tcPr>
          <w:p>
            <w:r>
              <w:t>Mapped to Development Plan v2.0 stages S0–S7 with two hard gates</w:t>
            </w:r>
          </w:p>
        </w:tc>
      </w:tr>
    </w:tbl>
    <w:p/>
    <w:p>
      <w:r>
        <w:t>Precedence where documents conflict: Addenda &gt; Requirements v2.0 &gt; this document.</w:t>
      </w:r>
    </w:p>
    <w:p>
      <w:r>
        <w:br w:type="page"/>
      </w:r>
    </w:p>
    <w:p>
      <w:pPr>
        <w:pStyle w:val="Heading1"/>
      </w:pPr>
      <w:r>
        <w:t>1. System at a glance</w:t>
      </w:r>
    </w:p>
    <w:p>
      <w:r>
        <w:t>The Pandit is a cross-platform product whose correctness depends almost entirely on one thing: an accurate, location-aware Panchang engine. Every calendar cell, festival date, muhurat window, Tithi-based reminder — and now every pandit booking linked to a festival or muhurat — is downstream of that engine. The architecture is organised around protecting that correctness while keeping the consumer apps fast and offline-tolerant, and around keeping money movement correct, auditable and store-compliant.</w:t>
      </w:r>
    </w:p>
    <w:p>
      <w:pPr>
        <w:pStyle w:val="Heading2"/>
      </w:pPr>
      <w:r>
        <w:t>1.1 Architectural north star</w:t>
      </w:r>
    </w:p>
    <w:p>
      <w:pPr>
        <w:pStyle w:val="ListBullet"/>
      </w:pPr>
      <w:r>
        <w:t>The Panchang engine is the single source of astronomical truth. Nothing recomputes it independently.</w:t>
      </w:r>
    </w:p>
    <w:p>
      <w:pPr>
        <w:pStyle w:val="ListBullet"/>
      </w:pPr>
      <w:r>
        <w:t>Panchang is precomputed and cached, not calculated live on the device.</w:t>
      </w:r>
    </w:p>
    <w:p>
      <w:pPr>
        <w:pStyle w:val="ListBullet"/>
      </w:pPr>
      <w:r>
        <w:t>Religious / festival content is data, edited through a CMS, never hard-coded.</w:t>
      </w:r>
    </w:p>
    <w:p>
      <w:pPr>
        <w:pStyle w:val="ListBullet"/>
      </w:pPr>
      <w:r>
        <w:t>Clients are thin; planning intelligence lives server-side and is shared across iOS, Android and web.</w:t>
      </w:r>
    </w:p>
    <w:p>
      <w:pPr>
        <w:pStyle w:val="ListBullet"/>
      </w:pPr>
      <w:r>
        <w:t>Money is server-side and webhook-driven: entitlements, prices, commission and booking state are never trusted from a client.</w:t>
      </w:r>
    </w:p>
    <w:p>
      <w:pPr>
        <w:pStyle w:val="ListBullet"/>
      </w:pPr>
      <w:r>
        <w:t>Sensitive data lives only in the Vault: birth details, family birth data, ID documents, background-check references, ceremony addresses.</w:t>
      </w:r>
    </w:p>
    <w:p>
      <w:pPr>
        <w:pStyle w:val="ListBullet"/>
      </w:pPr>
      <w:r>
        <w:t>Three payment rails, never co-mingled: subscriptions → IAP / Play Billing / Stripe-web; pandit bookings → Stripe only; physical goods → Shopify checkout only.</w:t>
      </w:r>
    </w:p>
    <w:p>
      <w:pPr>
        <w:pStyle w:val="Heading2"/>
      </w:pPr>
      <w:r>
        <w:t>1.2 High-level shape</w:t>
      </w:r>
    </w:p>
    <w:p>
      <w:r>
        <w:t>A modular service-oriented backend behind an API gateway, consumed by first-party clients (iOS, Android, responsive web), a provider/seller portal and an internal admin console. A dedicated Panchang Computation Service wraps the astronomical library and is the only component permitted to produce raw Panchang values; all other services read its cached output. A shared Commerce Core owns all marketplace money movement; two thin domain modules (Pandit Services, Pooja Items) sit on top of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Layer</w:t>
            </w:r>
          </w:p>
        </w:tc>
        <w:tc>
          <w:tcPr>
            <w:tcW w:type="dxa" w:w="4320"/>
          </w:tcPr>
          <w:p>
            <w:r>
              <w:rPr>
                <w:b/>
              </w:rPr>
              <w:t>Contents</w:t>
            </w:r>
          </w:p>
        </w:tc>
      </w:tr>
      <w:tr>
        <w:tc>
          <w:tcPr>
            <w:tcW w:type="dxa" w:w="4320"/>
          </w:tcPr>
          <w:p>
            <w:r>
              <w:t>01 Experience</w:t>
            </w:r>
          </w:p>
        </w:tc>
        <w:tc>
          <w:tcPr>
            <w:tcW w:type="dxa" w:w="4320"/>
          </w:tcPr>
          <w:p>
            <w:r>
              <w:t>iOS and Android (native Swift/Kotlin or one RN codebase — ADR-001 at Stage 0), Next.js + Tailwind web on the Aqualeo design system, React admin console, Next.js provider/seller portal. Clients render, cache for offline, and call the API; they never compute Panchang or prices.</w:t>
            </w:r>
          </w:p>
        </w:tc>
      </w:tr>
      <w:tr>
        <w:tc>
          <w:tcPr>
            <w:tcW w:type="dxa" w:w="4320"/>
          </w:tcPr>
          <w:p>
            <w:r>
              <w:t>02 API &amp; gateway</w:t>
            </w:r>
          </w:p>
        </w:tc>
        <w:tc>
          <w:tcPr>
            <w:tcW w:type="dxa" w:w="4320"/>
          </w:tcPr>
          <w:p>
            <w:r>
              <w:t>Single versioned REST/JSON gateway (GraphQL optional for the calendar grid): authentication, rate limiting, routing, response shaping, per-tier entitlement checks (incl. 'Book a Pandit' = Silver+), rail enforcement. The only public surface. Contract: OpenAPI v1.</w:t>
            </w:r>
          </w:p>
        </w:tc>
      </w:tr>
      <w:tr>
        <w:tc>
          <w:tcPr>
            <w:tcW w:type="dxa" w:w="4320"/>
          </w:tcPr>
          <w:p>
            <w:r>
              <w:t>03 Domain services</w:t>
            </w:r>
          </w:p>
        </w:tc>
        <w:tc>
          <w:tcPr>
            <w:tcW w:type="dxa" w:w="4320"/>
          </w:tcPr>
          <w:p>
            <w:r>
              <w:t>Panchang Computation, Calendar Assembly, Festival &amp; Vrat Rules, Reminders &amp; Scheduling, Planner &amp; Muhurat, Calendar PDF, AI Assistant, Content/CMS, Users &amp; Profiles, Subscriptions &amp; Billing, Commerce Core, Pandit Services, Pooja Items, Messaging, Video Session, Tax.</w:t>
            </w:r>
          </w:p>
        </w:tc>
      </w:tr>
      <w:tr>
        <w:tc>
          <w:tcPr>
            <w:tcW w:type="dxa" w:w="4320"/>
          </w:tcPr>
          <w:p>
            <w:r>
              <w:t>04 Data &amp; platform</w:t>
            </w:r>
          </w:p>
        </w:tc>
        <w:tc>
          <w:tcPr>
            <w:tcW w:type="dxa" w:w="4320"/>
          </w:tcPr>
          <w:p>
            <w:r>
              <w:t>PostgreSQL (+ PostGIS, partitioned Panchang cache), Redis, job queue, S3-compatible object storage, push fan-out (APNs/FCM), transactional email, analytics, ephemeris data files, Stripe Connect, Shopify, LiveKit, KYC provider.</w:t>
            </w:r>
          </w:p>
        </w:tc>
      </w:tr>
    </w:tbl>
    <w:p/>
    <w:p>
      <w:pPr>
        <w:pStyle w:val="Heading1"/>
      </w:pPr>
      <w:r>
        <w:t>2. The critical decision — calculation engine</w:t>
      </w:r>
    </w:p>
    <w:p>
      <w:pPr>
        <w:pStyle w:val="Heading2"/>
      </w:pPr>
      <w:r>
        <w:t>2.1 Methodology — Drik, not Vakya</w:t>
      </w:r>
    </w:p>
    <w:p>
      <w:r>
        <w:t>Use the Drik Ganita (observational) school. The older Vakya / Surya-Siddhanta method can drift by hours from observed sky positions because its constants were last updated around 1000 CE. Drik derives positions from a modern ephemeris and matches what users see and what reliable online Panchangs publish, which is essential for the accuracy guarantee in the spec's risk section.</w:t>
      </w:r>
    </w:p>
    <w:p>
      <w:pPr>
        <w:pStyle w:val="Heading2"/>
      </w:pPr>
      <w:r>
        <w:t>2.2 Library — Swiss Ephemeris</w:t>
      </w:r>
    </w:p>
    <w:p>
      <w:r>
        <w:t>Compute planetary and luni-solar positions with Swiss Ephemeris (precision ~0.001 arcsec; derived from NASA/JPL data). Wrap it in the Panchang Computation Service. From Sun/Moon longitudes the service derives the five angas — Tithi, Nakshatra, Yoga, Karana, Vara — plus sunrise/sunset/moonrise/moonset and every dependent value.</w:t>
      </w:r>
    </w:p>
    <w:p>
      <w:r>
        <w:t>Licensing — phased, decided. Development &amp; testing: FREE AGPL build. Commercial launch: Astrodienst COMMERCIAL licence before the closed-source app is distributed via App Store / Play Store or sold. This is a hard launch gate: production builds require SWISSEPH_LICENSE_MODE=commercial and the pipeline refuses to promote otherwise.</w:t>
      </w:r>
    </w:p>
    <w:p>
      <w:pPr>
        <w:pStyle w:val="Heading2"/>
      </w:pPr>
      <w:r>
        <w:t>2.3 Parameters that must be explicit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Decision</w:t>
            </w:r>
          </w:p>
        </w:tc>
        <w:tc>
          <w:tcPr>
            <w:tcW w:type="dxa" w:w="2880"/>
          </w:tcPr>
          <w:p>
            <w:r>
              <w:rPr>
                <w:b/>
              </w:rPr>
              <w:t>Why it matters</w:t>
            </w:r>
          </w:p>
        </w:tc>
      </w:tr>
      <w:tr>
        <w:tc>
          <w:tcPr>
            <w:tcW w:type="dxa" w:w="2880"/>
          </w:tcPr>
          <w:p>
            <w:r>
              <w:t>Ayanamsa</w:t>
            </w:r>
          </w:p>
        </w:tc>
        <w:tc>
          <w:tcPr>
            <w:tcW w:type="dxa" w:w="2880"/>
          </w:tcPr>
          <w:p>
            <w:r>
              <w:t>Lahiri (Chitrapaksha) default; allow override</w:t>
            </w:r>
          </w:p>
        </w:tc>
        <w:tc>
          <w:tcPr>
            <w:tcW w:type="dxa" w:w="2880"/>
          </w:tcPr>
          <w:p>
            <w:r>
              <w:t>Shifts every sidereal position; wrong choice mis-dates festivals</w:t>
            </w:r>
          </w:p>
        </w:tc>
      </w:tr>
      <w:tr>
        <w:tc>
          <w:tcPr>
            <w:tcW w:type="dxa" w:w="2880"/>
          </w:tcPr>
          <w:p>
            <w:r>
              <w:t>Day boundary</w:t>
            </w:r>
          </w:p>
        </w:tc>
        <w:tc>
          <w:tcPr>
            <w:tcW w:type="dxa" w:w="2880"/>
          </w:tcPr>
          <w:p>
            <w:r>
              <w:t>Sunrise-to-sunrise, per location</w:t>
            </w:r>
          </w:p>
        </w:tc>
        <w:tc>
          <w:tcPr>
            <w:tcW w:type="dxa" w:w="2880"/>
          </w:tcPr>
          <w:p>
            <w:r>
              <w:t>Hindu day is not midnight-based; drives 24-plus display</w:t>
            </w:r>
          </w:p>
        </w:tc>
      </w:tr>
      <w:tr>
        <w:tc>
          <w:tcPr>
            <w:tcW w:type="dxa" w:w="2880"/>
          </w:tcPr>
          <w:p>
            <w:r>
              <w:t>Month scheme</w:t>
            </w:r>
          </w:p>
        </w:tc>
        <w:tc>
          <w:tcPr>
            <w:tcW w:type="dxa" w:w="2880"/>
          </w:tcPr>
          <w:p>
            <w:r>
              <w:t>Both Amanta &amp; Purnimanta, user-selectable</w:t>
            </w:r>
          </w:p>
        </w:tc>
        <w:tc>
          <w:tcPr>
            <w:tcW w:type="dxa" w:w="2880"/>
          </w:tcPr>
          <w:p>
            <w:r>
              <w:t>Festivals shift by a month between conventions</w:t>
            </w:r>
          </w:p>
        </w:tc>
      </w:tr>
      <w:tr>
        <w:tc>
          <w:tcPr>
            <w:tcW w:type="dxa" w:w="2880"/>
          </w:tcPr>
          <w:p>
            <w:r>
              <w:t>Leap month</w:t>
            </w:r>
          </w:p>
        </w:tc>
        <w:tc>
          <w:tcPr>
            <w:tcW w:type="dxa" w:w="2880"/>
          </w:tcPr>
          <w:p>
            <w:r>
              <w:t>Detect &amp; label Adhika / Kshaya maas</w:t>
            </w:r>
          </w:p>
        </w:tc>
        <w:tc>
          <w:tcPr>
            <w:tcW w:type="dxa" w:w="2880"/>
          </w:tcPr>
          <w:p>
            <w:r>
              <w:t>Occurs regularly; naive logic produces wrong festival years</w:t>
            </w:r>
          </w:p>
        </w:tc>
      </w:tr>
      <w:tr>
        <w:tc>
          <w:tcPr>
            <w:tcW w:type="dxa" w:w="2880"/>
          </w:tcPr>
          <w:p>
            <w:r>
              <w:t>Reference source</w:t>
            </w:r>
          </w:p>
        </w:tc>
        <w:tc>
          <w:tcPr>
            <w:tcW w:type="dxa" w:w="2880"/>
          </w:tcPr>
          <w:p>
            <w:r>
              <w:t>Validate against an established published Panchang</w:t>
            </w:r>
          </w:p>
        </w:tc>
        <w:tc>
          <w:tcPr>
            <w:tcW w:type="dxa" w:w="2880"/>
          </w:tcPr>
          <w:p>
            <w:r>
              <w:t>Provides the accuracy benchmark promised to users</w:t>
            </w:r>
          </w:p>
        </w:tc>
      </w:tr>
    </w:tbl>
    <w:p/>
    <w:p>
      <w:pPr>
        <w:pStyle w:val="Heading1"/>
      </w:pPr>
      <w:r>
        <w:t>3. The services that do the work</w:t>
      </w:r>
    </w:p>
    <w:p>
      <w:r>
        <w:t>Each service owns its data and exposes a narrow interface. They are deployable independently but run as modules in a single deployment for the MVP — the boundaries matter more than the process count.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t>
            </w:r>
          </w:p>
        </w:tc>
        <w:tc>
          <w:tcPr>
            <w:tcW w:type="dxa" w:w="2880"/>
          </w:tcPr>
          <w:p>
            <w:r>
              <w:rPr>
                <w:b/>
              </w:rPr>
              <w:t>Service</w:t>
            </w:r>
          </w:p>
        </w:tc>
        <w:tc>
          <w:tcPr>
            <w:tcW w:type="dxa" w:w="2880"/>
          </w:tcPr>
          <w:p>
            <w:r>
              <w:rPr>
                <w:b/>
              </w:rPr>
              <w:t>Responsibility</w:t>
            </w:r>
          </w:p>
        </w:tc>
      </w:tr>
      <w:tr>
        <w:tc>
          <w:tcPr>
            <w:tcW w:type="dxa" w:w="2880"/>
          </w:tcPr>
          <w:p>
            <w:r>
              <w:t>01</w:t>
            </w:r>
          </w:p>
        </w:tc>
        <w:tc>
          <w:tcPr>
            <w:tcW w:type="dxa" w:w="2880"/>
          </w:tcPr>
          <w:p>
            <w:r>
              <w:t>Panchang Computation</w:t>
            </w:r>
          </w:p>
        </w:tc>
        <w:tc>
          <w:tcPr>
            <w:tcW w:type="dxa" w:w="2880"/>
          </w:tcPr>
          <w:p>
            <w:r>
              <w:t>Wraps Swiss Ephemeris. Given (date, lat, lon, tz, ayanamsa, scheme) returns all angas with precise start/end, sunrise/sunset/moonrise/moonset, Rahu Kalam, Yamaganda, Gulika, Abhijit, Dur Muhurat, Varjyam, Amrit Kalam, Brahma Muhurat, Nishita, Choghadiya, Hora, Gowri Panchangam, samvat fields. Pure, deterministic, cacheable. The only writer of raw Panchang truth. Python 3.12 / FastAPI / pyswisseph; internal-only.</w:t>
            </w:r>
          </w:p>
        </w:tc>
      </w:tr>
      <w:tr>
        <w:tc>
          <w:tcPr>
            <w:tcW w:type="dxa" w:w="2880"/>
          </w:tcPr>
          <w:p>
            <w:r>
              <w:t>02</w:t>
            </w:r>
          </w:p>
        </w:tc>
        <w:tc>
          <w:tcPr>
            <w:tcW w:type="dxa" w:w="2880"/>
          </w:tcPr>
          <w:p>
            <w:r>
              <w:t>Calendar Assembly</w:t>
            </w:r>
          </w:p>
        </w:tc>
        <w:tc>
          <w:tcPr>
            <w:tcW w:type="dxa" w:w="2880"/>
          </w:tcPr>
          <w:p>
            <w:r>
              <w:t>Composes day/week/month/year and 12–15-month views from cached Panchang plus festival/vrat markers and user overlays. Returns view-ready payloads.</w:t>
            </w:r>
          </w:p>
        </w:tc>
      </w:tr>
      <w:tr>
        <w:tc>
          <w:tcPr>
            <w:tcW w:type="dxa" w:w="2880"/>
          </w:tcPr>
          <w:p>
            <w:r>
              <w:t>03</w:t>
            </w:r>
          </w:p>
        </w:tc>
        <w:tc>
          <w:tcPr>
            <w:tcW w:type="dxa" w:w="2880"/>
          </w:tcPr>
          <w:p>
            <w:r>
              <w:t>Festival &amp; Vrat Rules</w:t>
            </w:r>
          </w:p>
        </w:tc>
        <w:tc>
          <w:tcPr>
            <w:tcW w:type="dxa" w:w="2880"/>
          </w:tcPr>
          <w:p>
            <w:r>
              <w:t>Rule engine over Tithi/Nakshatra/Paksha/month/scheme with regional variants (Festival Rule DSL, §6.1). Resolves forward to FestivalOccurrence per location. Handles Ekadashi, Pradosham, Sankashti, Purnima, Amavasya and Sankranti cycles.</w:t>
            </w:r>
          </w:p>
        </w:tc>
      </w:tr>
      <w:tr>
        <w:tc>
          <w:tcPr>
            <w:tcW w:type="dxa" w:w="2880"/>
          </w:tcPr>
          <w:p>
            <w:r>
              <w:t>04</w:t>
            </w:r>
          </w:p>
        </w:tc>
        <w:tc>
          <w:tcPr>
            <w:tcW w:type="dxa" w:w="2880"/>
          </w:tcPr>
          <w:p>
            <w:r>
              <w:t>Reminders &amp; Scheduling</w:t>
            </w:r>
          </w:p>
        </w:tc>
        <w:tc>
          <w:tcPr>
            <w:tcW w:type="dxa" w:w="2880"/>
          </w:tcPr>
          <w:p>
            <w:r>
              <w:t>Resolves Gregorian, weekday, Tithi, Nakshatra, lunar/solar-month and festivalRef recurrences into concrete fire-times per user location over a rolling ≥15-month horizon; idempotent fire keys; handles kshaya/vriddhi.</w:t>
            </w:r>
          </w:p>
        </w:tc>
      </w:tr>
      <w:tr>
        <w:tc>
          <w:tcPr>
            <w:tcW w:type="dxa" w:w="2880"/>
          </w:tcPr>
          <w:p>
            <w:r>
              <w:t>05</w:t>
            </w:r>
          </w:p>
        </w:tc>
        <w:tc>
          <w:tcPr>
            <w:tcW w:type="dxa" w:w="2880"/>
          </w:tcPr>
          <w:p>
            <w:r>
              <w:t>Planner &amp; Muhurat</w:t>
            </w:r>
          </w:p>
        </w:tc>
        <w:tc>
          <w:tcPr>
            <w:tcW w:type="dxa" w:w="2880"/>
          </w:tcPr>
          <w:p>
            <w:r>
              <w:t>Scans a date range, scores candidate windows against event-type rules and avoidance windows, returns best/good/avoid with an explanation trace. Reads the same cache as the daily view.</w:t>
            </w:r>
          </w:p>
        </w:tc>
      </w:tr>
      <w:tr>
        <w:tc>
          <w:tcPr>
            <w:tcW w:type="dxa" w:w="2880"/>
          </w:tcPr>
          <w:p>
            <w:r>
              <w:t>06</w:t>
            </w:r>
          </w:p>
        </w:tc>
        <w:tc>
          <w:tcPr>
            <w:tcW w:type="dxa" w:w="2880"/>
          </w:tcPr>
          <w:p>
            <w:r>
              <w:t>Calendar PDF</w:t>
            </w:r>
          </w:p>
        </w:tc>
        <w:tc>
          <w:tcPr>
            <w:tcW w:type="dxa" w:w="2880"/>
          </w:tcPr>
          <w:p>
            <w:r>
              <w:t>Queue-driven Playwright renderer, 300 DPI, A4/A3/Letter/Legal/wall/desk; writes to object storage; signed URL.</w:t>
            </w:r>
          </w:p>
        </w:tc>
      </w:tr>
      <w:tr>
        <w:tc>
          <w:tcPr>
            <w:tcW w:type="dxa" w:w="2880"/>
          </w:tcPr>
          <w:p>
            <w:r>
              <w:t>07</w:t>
            </w:r>
          </w:p>
        </w:tc>
        <w:tc>
          <w:tcPr>
            <w:tcW w:type="dxa" w:w="2880"/>
          </w:tcPr>
          <w:p>
            <w:r>
              <w:t>AI Assistant</w:t>
            </w:r>
          </w:p>
        </w:tc>
        <w:tc>
          <w:tcPr>
            <w:tcW w:type="dxa" w:w="2880"/>
          </w:tcPr>
          <w:p>
            <w:r>
              <w:t>'Ask The Pandit': retrieval-grounded LLM over Published CMS content plus the day's computed Panchang (tool calls). Always appends the consult-a-pandit disclaimer. Metered per tier.</w:t>
            </w:r>
          </w:p>
        </w:tc>
      </w:tr>
      <w:tr>
        <w:tc>
          <w:tcPr>
            <w:tcW w:type="dxa" w:w="2880"/>
          </w:tcPr>
          <w:p>
            <w:r>
              <w:t>08</w:t>
            </w:r>
          </w:p>
        </w:tc>
        <w:tc>
          <w:tcPr>
            <w:tcW w:type="dxa" w:w="2880"/>
          </w:tcPr>
          <w:p>
            <w:r>
              <w:t>Content / CMS</w:t>
            </w:r>
          </w:p>
        </w:tc>
        <w:tc>
          <w:tcPr>
            <w:tcW w:type="dxa" w:w="2880"/>
          </w:tcPr>
          <w:p>
            <w:r>
              <w:t>Editorial store: festivals, vrats, educational content, mantras, translations, samagri lists, calendar templates; Draft → In review → Published → Archived; ContentVersion provenance; regional tags; flag-and-review queue.</w:t>
            </w:r>
          </w:p>
        </w:tc>
      </w:tr>
      <w:tr>
        <w:tc>
          <w:tcPr>
            <w:tcW w:type="dxa" w:w="2880"/>
          </w:tcPr>
          <w:p>
            <w:r>
              <w:t>09</w:t>
            </w:r>
          </w:p>
        </w:tc>
        <w:tc>
          <w:tcPr>
            <w:tcW w:type="dxa" w:w="2880"/>
          </w:tcPr>
          <w:p>
            <w:r>
              <w:t>Users &amp; Profiles</w:t>
            </w:r>
          </w:p>
        </w:tc>
        <w:tc>
          <w:tcPr>
            <w:tcW w:type="dxa" w:w="2880"/>
          </w:tcPr>
          <w:p>
            <w:r>
              <w:t>Accounts, OIDC (Google/Apple), OTP, guest→upgrade, preferences, locations, family members, RBAC, audit trail, GDPR export/delete. Delegates sensitive fields to the Vault service.</w:t>
            </w:r>
          </w:p>
        </w:tc>
      </w:tr>
      <w:tr>
        <w:tc>
          <w:tcPr>
            <w:tcW w:type="dxa" w:w="2880"/>
          </w:tcPr>
          <w:p>
            <w:r>
              <w:t>10</w:t>
            </w:r>
          </w:p>
        </w:tc>
        <w:tc>
          <w:tcPr>
            <w:tcW w:type="dxa" w:w="2880"/>
          </w:tcPr>
          <w:p>
            <w:r>
              <w:t>Subscriptions &amp; Billing</w:t>
            </w:r>
          </w:p>
        </w:tc>
        <w:tc>
          <w:tcPr>
            <w:tcW w:type="dxa" w:w="2880"/>
          </w:tcPr>
          <w:p>
            <w:r>
              <w:t>Plan state (Basic/Silver/Gold); entitlement checks consumed by the gateway; reconciliation of Apple IAP, Google Play Billing and Stripe-web receipts into one Subscription record.</w:t>
            </w:r>
          </w:p>
        </w:tc>
      </w:tr>
      <w:tr>
        <w:tc>
          <w:tcPr>
            <w:tcW w:type="dxa" w:w="2880"/>
          </w:tcPr>
          <w:p>
            <w:r>
              <w:t>11</w:t>
            </w:r>
          </w:p>
        </w:tc>
        <w:tc>
          <w:tcPr>
            <w:tcW w:type="dxa" w:w="2880"/>
          </w:tcPr>
          <w:p>
            <w:r>
              <w:t>Commerce Core (new)</w:t>
            </w:r>
          </w:p>
        </w:tc>
        <w:tc>
          <w:tcPr>
            <w:tcW w:type="dxa" w:w="2880"/>
          </w:tcPr>
          <w:p>
            <w:r>
              <w:t>Shared by both marketplaces: provider accounts + Stripe Connect Express onboarding; KYC adapter; double-entry ledger; commission &amp; fee config; escrow; payouts with holdback; refunds from policy snapshots; disputes; standing score; Stripe Tax; multi-currency; signed, idempotent webhook processors.</w:t>
            </w:r>
          </w:p>
        </w:tc>
      </w:tr>
      <w:tr>
        <w:tc>
          <w:tcPr>
            <w:tcW w:type="dxa" w:w="2880"/>
          </w:tcPr>
          <w:p>
            <w:r>
              <w:t>12</w:t>
            </w:r>
          </w:p>
        </w:tc>
        <w:tc>
          <w:tcPr>
            <w:tcW w:type="dxa" w:w="2880"/>
          </w:tcPr>
          <w:p>
            <w:r>
              <w:t>Pandit Services (new)</w:t>
            </w:r>
          </w:p>
        </w:tc>
        <w:tc>
          <w:tcPr>
            <w:tcW w:type="dxa" w:w="2880"/>
          </w:tcPr>
          <w:p>
            <w:r>
              <w:t>Addendum A domain: pandit profiles &amp; approval, ServiceType taxonomy linked to festival/muhurat IDs, TravelPolicy (PostGIS), availability, booking FSM, quote engine, reviews, ranking, admin consoles.</w:t>
            </w:r>
          </w:p>
        </w:tc>
      </w:tr>
      <w:tr>
        <w:tc>
          <w:tcPr>
            <w:tcW w:type="dxa" w:w="2880"/>
          </w:tcPr>
          <w:p>
            <w:r>
              <w:t>13</w:t>
            </w:r>
          </w:p>
        </w:tc>
        <w:tc>
          <w:tcPr>
            <w:tcW w:type="dxa" w:w="2880"/>
          </w:tcPr>
          <w:p>
            <w:r>
              <w:t>Pooja Items (new)</w:t>
            </w:r>
          </w:p>
        </w:tc>
        <w:tc>
          <w:tcPr>
            <w:tcW w:type="dxa" w:w="2880"/>
          </w:tcPr>
          <w:p>
            <w:r>
              <w:t>Addendum B domain: Shopify headless (Storefront API for catalog/cart/checkout; Admin webhooks for orders/fulfilment); SamagriList→cart; order ingest → ledger → seller splits. Platform is merchant of record.</w:t>
            </w:r>
          </w:p>
        </w:tc>
      </w:tr>
      <w:tr>
        <w:tc>
          <w:tcPr>
            <w:tcW w:type="dxa" w:w="2880"/>
          </w:tcPr>
          <w:p>
            <w:r>
              <w:t>14</w:t>
            </w:r>
          </w:p>
        </w:tc>
        <w:tc>
          <w:tcPr>
            <w:tcW w:type="dxa" w:w="2880"/>
          </w:tcPr>
          <w:p>
            <w:r>
              <w:t>Messaging (new)</w:t>
            </w:r>
          </w:p>
        </w:tc>
        <w:tc>
          <w:tcPr>
            <w:tcW w:type="dxa" w:w="2880"/>
          </w:tcPr>
          <w:p>
            <w:r>
              <w:t>WebSocket conversations scoped to a booking or pre-booking enquiry; PII masking; off-platform leakage detection; rate limits; retention policy.</w:t>
            </w:r>
          </w:p>
        </w:tc>
      </w:tr>
      <w:tr>
        <w:tc>
          <w:tcPr>
            <w:tcW w:type="dxa" w:w="2880"/>
          </w:tcPr>
          <w:p>
            <w:r>
              <w:t>15</w:t>
            </w:r>
          </w:p>
        </w:tc>
        <w:tc>
          <w:tcPr>
            <w:tcW w:type="dxa" w:w="2880"/>
          </w:tcPr>
          <w:p>
            <w:r>
              <w:t>Video Session (new)</w:t>
            </w:r>
          </w:p>
        </w:tc>
        <w:tc>
          <w:tcPr>
            <w:tcW w:type="dxa" w:w="2880"/>
          </w:tcPr>
          <w:p>
            <w:r>
              <w:t>Adapter over LiveKit (default; Agora/Twilio evaluated — ADR-002); room lifecycle, waiting room, join log as no-show evidence, consented recording.</w:t>
            </w:r>
          </w:p>
        </w:tc>
      </w:tr>
      <w:tr>
        <w:tc>
          <w:tcPr>
            <w:tcW w:type="dxa" w:w="2880"/>
          </w:tcPr>
          <w:p>
            <w:r>
              <w:t>16</w:t>
            </w:r>
          </w:p>
        </w:tc>
        <w:tc>
          <w:tcPr>
            <w:tcW w:type="dxa" w:w="2880"/>
          </w:tcPr>
          <w:p>
            <w:r>
              <w:t>Tax (new)</w:t>
            </w:r>
          </w:p>
        </w:tc>
        <w:tc>
          <w:tcPr>
            <w:tcW w:type="dxa" w:w="2880"/>
          </w:tcPr>
          <w:p>
            <w:r>
              <w:t>Stripe Tax for bookings (US marketplace-facilitator sales tax, UK/EU VAT), 1099-K data; records Shopify-computed tax for goods.</w:t>
            </w:r>
          </w:p>
        </w:tc>
      </w:tr>
    </w:tbl>
    <w:p/>
    <w:p>
      <w:pPr>
        <w:pStyle w:val="Heading1"/>
      </w:pPr>
      <w:r>
        <w:t>4. How the data fits together</w:t>
      </w:r>
    </w:p>
    <w:p>
      <w:pPr>
        <w:pStyle w:val="Heading2"/>
      </w:pPr>
      <w:r>
        <w:t>4.1 Core entities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Entity</w:t>
            </w:r>
          </w:p>
        </w:tc>
        <w:tc>
          <w:tcPr>
            <w:tcW w:type="dxa" w:w="2880"/>
          </w:tcPr>
          <w:p>
            <w:r>
              <w:rPr>
                <w:b/>
              </w:rPr>
              <w:t>Key fields</w:t>
            </w:r>
          </w:p>
        </w:tc>
        <w:tc>
          <w:tcPr>
            <w:tcW w:type="dxa" w:w="2880"/>
          </w:tcPr>
          <w:p>
            <w:r>
              <w:rPr>
                <w:b/>
              </w:rPr>
              <w:t>Notes</w:t>
            </w:r>
          </w:p>
        </w:tc>
      </w:tr>
      <w:tr>
        <w:tc>
          <w:tcPr>
            <w:tcW w:type="dxa" w:w="2880"/>
          </w:tcPr>
          <w:p>
            <w:r>
              <w:t>User</w:t>
            </w:r>
          </w:p>
        </w:tc>
        <w:tc>
          <w:tcPr>
            <w:tcW w:type="dxa" w:w="2880"/>
          </w:tcPr>
          <w:p>
            <w:r>
              <w:t>id, auth refs, display name, prefs, tier, roles</w:t>
            </w:r>
          </w:p>
        </w:tc>
        <w:tc>
          <w:tcPr>
            <w:tcW w:type="dxa" w:w="2880"/>
          </w:tcPr>
          <w:p>
            <w:r>
              <w:t>Birth details NOT here — Vault</w:t>
            </w:r>
          </w:p>
        </w:tc>
      </w:tr>
      <w:tr>
        <w:tc>
          <w:tcPr>
            <w:tcW w:type="dxa" w:w="2880"/>
          </w:tcPr>
          <w:p>
            <w:r>
              <w:t>SensitiveVault</w:t>
            </w:r>
          </w:p>
        </w:tc>
        <w:tc>
          <w:tcPr>
            <w:tcW w:type="dxa" w:w="2880"/>
          </w:tcPr>
          <w:p>
            <w:r>
              <w:t>userId, DOB/TOB/POB, family birth data, ID docs, background-check refs, ceremony addresses</w:t>
            </w:r>
          </w:p>
        </w:tc>
        <w:tc>
          <w:tcPr>
            <w:tcW w:type="dxa" w:w="2880"/>
          </w:tcPr>
          <w:p>
            <w:r>
              <w:t>Separate DB, KMS envelope encryption, access log, region pinning</w:t>
            </w:r>
          </w:p>
        </w:tc>
      </w:tr>
      <w:tr>
        <w:tc>
          <w:tcPr>
            <w:tcW w:type="dxa" w:w="2880"/>
          </w:tcPr>
          <w:p>
            <w:r>
              <w:t>Location</w:t>
            </w:r>
          </w:p>
        </w:tc>
        <w:tc>
          <w:tcPr>
            <w:tcW w:type="dxa" w:w="2880"/>
          </w:tcPr>
          <w:p>
            <w:r>
              <w:t>id, label, lat, lon, tz, dst rule</w:t>
            </w:r>
          </w:p>
        </w:tc>
        <w:tc>
          <w:tcPr>
            <w:tcW w:type="dxa" w:w="2880"/>
          </w:tcPr>
          <w:p>
            <w:r>
              <w:t>Drives all computation</w:t>
            </w:r>
          </w:p>
        </w:tc>
      </w:tr>
      <w:tr>
        <w:tc>
          <w:tcPr>
            <w:tcW w:type="dxa" w:w="2880"/>
          </w:tcPr>
          <w:p>
            <w:r>
              <w:t>PanchangDay (cache)</w:t>
            </w:r>
          </w:p>
        </w:tc>
        <w:tc>
          <w:tcPr>
            <w:tcW w:type="dxa" w:w="2880"/>
          </w:tcPr>
          <w:p>
            <w:r>
              <w:t>date, gridCell, ayanamsa, scheme, all angas + intervals</w:t>
            </w:r>
          </w:p>
        </w:tc>
        <w:tc>
          <w:tcPr>
            <w:tcW w:type="dxa" w:w="2880"/>
          </w:tcPr>
          <w:p>
            <w:r>
              <w:t>Key: date | gridCell(0.25° + tz) | ayanamsa | scheme</w:t>
            </w:r>
          </w:p>
        </w:tc>
      </w:tr>
      <w:tr>
        <w:tc>
          <w:tcPr>
            <w:tcW w:type="dxa" w:w="2880"/>
          </w:tcPr>
          <w:p>
            <w:r>
              <w:t>FestivalRule</w:t>
            </w:r>
          </w:p>
        </w:tc>
        <w:tc>
          <w:tcPr>
            <w:tcW w:type="dxa" w:w="2880"/>
          </w:tcPr>
          <w:p>
            <w:r>
              <w:t>id, DSL body, scheme, region tags, priority, version</w:t>
            </w:r>
          </w:p>
        </w:tc>
        <w:tc>
          <w:tcPr>
            <w:tcW w:type="dxa" w:w="2880"/>
          </w:tcPr>
          <w:p>
            <w:r>
              <w:t>Data, edited in admin; versioned via ContentVersion</w:t>
            </w:r>
          </w:p>
        </w:tc>
      </w:tr>
      <w:tr>
        <w:tc>
          <w:tcPr>
            <w:tcW w:type="dxa" w:w="2880"/>
          </w:tcPr>
          <w:p>
            <w:r>
              <w:t>FestivalOccurrence</w:t>
            </w:r>
          </w:p>
        </w:tc>
        <w:tc>
          <w:tcPr>
            <w:tcW w:type="dxa" w:w="2880"/>
          </w:tcPr>
          <w:p>
            <w:r>
              <w:t>festivalRuleId, date, gridCell, year, anchorInstant</w:t>
            </w:r>
          </w:p>
        </w:tc>
        <w:tc>
          <w:tcPr>
            <w:tcW w:type="dxa" w:w="2880"/>
          </w:tcPr>
          <w:p>
            <w:r>
              <w:t>Derived; cached with Panchang</w:t>
            </w:r>
          </w:p>
        </w:tc>
      </w:tr>
      <w:tr>
        <w:tc>
          <w:tcPr>
            <w:tcW w:type="dxa" w:w="2880"/>
          </w:tcPr>
          <w:p>
            <w:r>
              <w:t>FestivalContent</w:t>
            </w:r>
          </w:p>
        </w:tc>
        <w:tc>
          <w:tcPr>
            <w:tcW w:type="dxa" w:w="2880"/>
          </w:tcPr>
          <w:p>
            <w:r>
              <w:t>festivalId, locale, body, puja, katha, samagri</w:t>
            </w:r>
          </w:p>
        </w:tc>
        <w:tc>
          <w:tcPr>
            <w:tcW w:type="dxa" w:w="2880"/>
          </w:tcPr>
          <w:p>
            <w:r>
              <w:t>CMS-owned</w:t>
            </w:r>
          </w:p>
        </w:tc>
      </w:tr>
      <w:tr>
        <w:tc>
          <w:tcPr>
            <w:tcW w:type="dxa" w:w="2880"/>
          </w:tcPr>
          <w:p>
            <w:r>
              <w:t>Reminder</w:t>
            </w:r>
          </w:p>
        </w:tc>
        <w:tc>
          <w:tcPr>
            <w:tcW w:type="dxa" w:w="2880"/>
          </w:tcPr>
          <w:p>
            <w:r>
              <w:t>id, userId, recurrence spec, nextFireTime, locationKey, fireKey</w:t>
            </w:r>
          </w:p>
        </w:tc>
        <w:tc>
          <w:tcPr>
            <w:tcW w:type="dxa" w:w="2880"/>
          </w:tcPr>
          <w:p>
            <w:r>
              <w:t>Idempotent</w:t>
            </w:r>
          </w:p>
        </w:tc>
      </w:tr>
      <w:tr>
        <w:tc>
          <w:tcPr>
            <w:tcW w:type="dxa" w:w="2880"/>
          </w:tcPr>
          <w:p>
            <w:r>
              <w:t>Note / Bookmark</w:t>
            </w:r>
          </w:p>
        </w:tc>
        <w:tc>
          <w:tcPr>
            <w:tcW w:type="dxa" w:w="2880"/>
          </w:tcPr>
          <w:p>
            <w:r>
              <w:t>id, userId, dateRef (Gregorian or Tithi), category, body</w:t>
            </w:r>
          </w:p>
        </w:tc>
        <w:tc>
          <w:tcPr>
            <w:tcW w:type="dxa" w:w="2880"/>
          </w:tcPr>
          <w:p>
            <w:r/>
          </w:p>
        </w:tc>
      </w:tr>
      <w:tr>
        <w:tc>
          <w:tcPr>
            <w:tcW w:type="dxa" w:w="2880"/>
          </w:tcPr>
          <w:p>
            <w:r>
              <w:t>FamilyMember</w:t>
            </w:r>
          </w:p>
        </w:tc>
        <w:tc>
          <w:tcPr>
            <w:tcW w:type="dxa" w:w="2880"/>
          </w:tcPr>
          <w:p>
            <w:r>
              <w:t>id, userId, relation, birth Tithi/Nakshatra</w:t>
            </w:r>
          </w:p>
        </w:tc>
        <w:tc>
          <w:tcPr>
            <w:tcW w:type="dxa" w:w="2880"/>
          </w:tcPr>
          <w:p>
            <w:r>
              <w:t>Birth data in Vault</w:t>
            </w:r>
          </w:p>
        </w:tc>
      </w:tr>
      <w:tr>
        <w:tc>
          <w:tcPr>
            <w:tcW w:type="dxa" w:w="2880"/>
          </w:tcPr>
          <w:p>
            <w:r>
              <w:t>VratRecord</w:t>
            </w:r>
          </w:p>
        </w:tc>
        <w:tc>
          <w:tcPr>
            <w:tcW w:type="dxa" w:w="2880"/>
          </w:tcPr>
          <w:p>
            <w:r>
              <w:t>id, userId, vratId, status, sankalp, notes</w:t>
            </w:r>
          </w:p>
        </w:tc>
        <w:tc>
          <w:tcPr>
            <w:tcW w:type="dxa" w:w="2880"/>
          </w:tcPr>
          <w:p>
            <w:r>
              <w:t>planned / observed / missed / completed</w:t>
            </w:r>
          </w:p>
        </w:tc>
      </w:tr>
      <w:tr>
        <w:tc>
          <w:tcPr>
            <w:tcW w:type="dxa" w:w="2880"/>
          </w:tcPr>
          <w:p>
            <w:r>
              <w:t>CalendarJob</w:t>
            </w:r>
          </w:p>
        </w:tc>
        <w:tc>
          <w:tcPr>
            <w:tcW w:type="dxa" w:w="2880"/>
          </w:tcPr>
          <w:p>
            <w:r>
              <w:t>id, userId, template, range, status, outputUrl</w:t>
            </w:r>
          </w:p>
        </w:tc>
        <w:tc>
          <w:tcPr>
            <w:tcW w:type="dxa" w:w="2880"/>
          </w:tcPr>
          <w:p>
            <w:r>
              <w:t>Async PDF</w:t>
            </w:r>
          </w:p>
        </w:tc>
      </w:tr>
      <w:tr>
        <w:tc>
          <w:tcPr>
            <w:tcW w:type="dxa" w:w="2880"/>
          </w:tcPr>
          <w:p>
            <w:r>
              <w:t>Subscription</w:t>
            </w:r>
          </w:p>
        </w:tc>
        <w:tc>
          <w:tcPr>
            <w:tcW w:type="dxa" w:w="2880"/>
          </w:tcPr>
          <w:p>
            <w:r>
              <w:t>userId, tier, source, status, expiry</w:t>
            </w:r>
          </w:p>
        </w:tc>
        <w:tc>
          <w:tcPr>
            <w:tcW w:type="dxa" w:w="2880"/>
          </w:tcPr>
          <w:p>
            <w:r>
              <w:t>Apple / Google / Stripe-web</w:t>
            </w:r>
          </w:p>
        </w:tc>
      </w:tr>
      <w:tr>
        <w:tc>
          <w:tcPr>
            <w:tcW w:type="dxa" w:w="2880"/>
          </w:tcPr>
          <w:p>
            <w:r>
              <w:t>ContentVersion</w:t>
            </w:r>
          </w:p>
        </w:tc>
        <w:tc>
          <w:tcPr>
            <w:tcW w:type="dxa" w:w="2880"/>
          </w:tcPr>
          <w:p>
            <w:r>
              <w:t>entityId, version, author, reviewState, source</w:t>
            </w:r>
          </w:p>
        </w:tc>
        <w:tc>
          <w:tcPr>
            <w:tcW w:type="dxa" w:w="2880"/>
          </w:tcPr>
          <w:p>
            <w:r>
              <w:t>Provenance</w:t>
            </w:r>
          </w:p>
        </w:tc>
      </w:tr>
    </w:tbl>
    <w:p/>
    <w:p>
      <w:pPr>
        <w:pStyle w:val="Heading2"/>
      </w:pPr>
      <w:r>
        <w:t>4.2 Marketplace entities (Addenda A &amp; 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Entity</w:t>
            </w:r>
          </w:p>
        </w:tc>
        <w:tc>
          <w:tcPr>
            <w:tcW w:type="dxa" w:w="2880"/>
          </w:tcPr>
          <w:p>
            <w:r>
              <w:rPr>
                <w:b/>
              </w:rPr>
              <w:t>Key fields</w:t>
            </w:r>
          </w:p>
        </w:tc>
        <w:tc>
          <w:tcPr>
            <w:tcW w:type="dxa" w:w="2880"/>
          </w:tcPr>
          <w:p>
            <w:r>
              <w:rPr>
                <w:b/>
              </w:rPr>
              <w:t>Notes</w:t>
            </w:r>
          </w:p>
        </w:tc>
      </w:tr>
      <w:tr>
        <w:tc>
          <w:tcPr>
            <w:tcW w:type="dxa" w:w="2880"/>
          </w:tcPr>
          <w:p>
            <w:r>
              <w:t>ProviderAccount</w:t>
            </w:r>
          </w:p>
        </w:tc>
        <w:tc>
          <w:tcPr>
            <w:tcW w:type="dxa" w:w="2880"/>
          </w:tcPr>
          <w:p>
            <w:r>
              <w:t>id, userId, type (pandit|seller), stripeAccountId, kycStatus, standingScore, status</w:t>
            </w:r>
          </w:p>
        </w:tc>
        <w:tc>
          <w:tcPr>
            <w:tcW w:type="dxa" w:w="2880"/>
          </w:tcPr>
          <w:p>
            <w:r>
              <w:t>Commerce Core</w:t>
            </w:r>
          </w:p>
        </w:tc>
      </w:tr>
      <w:tr>
        <w:tc>
          <w:tcPr>
            <w:tcW w:type="dxa" w:w="2880"/>
          </w:tcPr>
          <w:p>
            <w:r>
              <w:t>VerificationRecord</w:t>
            </w:r>
          </w:p>
        </w:tc>
        <w:tc>
          <w:tcPr>
            <w:tcW w:type="dxa" w:w="2880"/>
          </w:tcPr>
          <w:p>
            <w:r>
              <w:t>providerId, kind, provider, status, artefactVaultRef, expiresAt</w:t>
            </w:r>
          </w:p>
        </w:tc>
        <w:tc>
          <w:tcPr>
            <w:tcW w:type="dxa" w:w="2880"/>
          </w:tcPr>
          <w:p>
            <w:r>
              <w:t>Artefacts only in Vault</w:t>
            </w:r>
          </w:p>
        </w:tc>
      </w:tr>
      <w:tr>
        <w:tc>
          <w:tcPr>
            <w:tcW w:type="dxa" w:w="2880"/>
          </w:tcPr>
          <w:p>
            <w:r>
              <w:t>Pandit</w:t>
            </w:r>
          </w:p>
        </w:tc>
        <w:tc>
          <w:tcPr>
            <w:tcW w:type="dxa" w:w="2880"/>
          </w:tcPr>
          <w:p>
            <w:r>
              <w:t>providerId, bio, languages, traditions, badges, approvalState, homeGridCell</w:t>
            </w:r>
          </w:p>
        </w:tc>
        <w:tc>
          <w:tcPr>
            <w:tcW w:type="dxa" w:w="2880"/>
          </w:tcPr>
          <w:p>
            <w:r/>
          </w:p>
        </w:tc>
      </w:tr>
      <w:tr>
        <w:tc>
          <w:tcPr>
            <w:tcW w:type="dxa" w:w="2880"/>
          </w:tcPr>
          <w:p>
            <w:r>
              <w:t>ServiceType</w:t>
            </w:r>
          </w:p>
        </w:tc>
        <w:tc>
          <w:tcPr>
            <w:tcW w:type="dxa" w:w="2880"/>
          </w:tcPr>
          <w:p>
            <w:r>
              <w:t>id, name, category, festivalRefs[], muhuratEventTypes[], defaultDurationMin</w:t>
            </w:r>
          </w:p>
        </w:tc>
        <w:tc>
          <w:tcPr>
            <w:tcW w:type="dxa" w:w="2880"/>
          </w:tcPr>
          <w:p>
            <w:r>
              <w:t>Admin-managed taxonomy</w:t>
            </w:r>
          </w:p>
        </w:tc>
      </w:tr>
      <w:tr>
        <w:tc>
          <w:tcPr>
            <w:tcW w:type="dxa" w:w="2880"/>
          </w:tcPr>
          <w:p>
            <w:r>
              <w:t>PanditService</w:t>
            </w:r>
          </w:p>
        </w:tc>
        <w:tc>
          <w:tcPr>
            <w:tcW w:type="dxa" w:w="2880"/>
          </w:tcPr>
          <w:p>
            <w:r>
              <w:t>panditId, serviceTypeId, mode (in_person|remote|both), basePrice, currency, samagriOption</w:t>
            </w:r>
          </w:p>
        </w:tc>
        <w:tc>
          <w:tcPr>
            <w:tcW w:type="dxa" w:w="2880"/>
          </w:tcPr>
          <w:p>
            <w:r/>
          </w:p>
        </w:tc>
      </w:tr>
      <w:tr>
        <w:tc>
          <w:tcPr>
            <w:tcW w:type="dxa" w:w="2880"/>
          </w:tcPr>
          <w:p>
            <w:r>
              <w:t>TravelPolicy</w:t>
            </w:r>
          </w:p>
        </w:tc>
        <w:tc>
          <w:tcPr>
            <w:tcW w:type="dxa" w:w="2880"/>
          </w:tcPr>
          <w:p>
            <w:r>
              <w:t>panditId, radiusMiles (≤100), feeModel (flat|per_mile|banded), bands[], requiresPickup</w:t>
            </w:r>
          </w:p>
        </w:tc>
        <w:tc>
          <w:tcPr>
            <w:tcW w:type="dxa" w:w="2880"/>
          </w:tcPr>
          <w:p>
            <w:r>
              <w:t>PostGIS distance</w:t>
            </w:r>
          </w:p>
        </w:tc>
      </w:tr>
      <w:tr>
        <w:tc>
          <w:tcPr>
            <w:tcW w:type="dxa" w:w="2880"/>
          </w:tcPr>
          <w:p>
            <w:r>
              <w:t>Availability</w:t>
            </w:r>
          </w:p>
        </w:tc>
        <w:tc>
          <w:tcPr>
            <w:tcW w:type="dxa" w:w="2880"/>
          </w:tcPr>
          <w:p>
            <w:r>
              <w:t>panditId, weeklyHours, blackoutDates, leadTimeHours, bufferMin, acceptanceMode</w:t>
            </w:r>
          </w:p>
        </w:tc>
        <w:tc>
          <w:tcPr>
            <w:tcW w:type="dxa" w:w="2880"/>
          </w:tcPr>
          <w:p>
            <w:r>
              <w:t>No double-booking</w:t>
            </w:r>
          </w:p>
        </w:tc>
      </w:tr>
      <w:tr>
        <w:tc>
          <w:tcPr>
            <w:tcW w:type="dxa" w:w="2880"/>
          </w:tcPr>
          <w:p>
            <w:r>
              <w:t>Booking</w:t>
            </w:r>
          </w:p>
        </w:tc>
        <w:tc>
          <w:tcPr>
            <w:tcW w:type="dxa" w:w="2880"/>
          </w:tcPr>
          <w:p>
            <w:r>
              <w:t>id, patronId, panditId, serviceId, startUtc, endUtc, state, quoteSnapshot, policySnapshot, addressVaultRef</w:t>
            </w:r>
          </w:p>
        </w:tc>
        <w:tc>
          <w:tcPr>
            <w:tcW w:type="dxa" w:w="2880"/>
          </w:tcPr>
          <w:p>
            <w:r>
              <w:t>FSM §6.3</w:t>
            </w:r>
          </w:p>
        </w:tc>
      </w:tr>
      <w:tr>
        <w:tc>
          <w:tcPr>
            <w:tcW w:type="dxa" w:w="2880"/>
          </w:tcPr>
          <w:p>
            <w:r>
              <w:t>BookingEvent</w:t>
            </w:r>
          </w:p>
        </w:tc>
        <w:tc>
          <w:tcPr>
            <w:tcW w:type="dxa" w:w="2880"/>
          </w:tcPr>
          <w:p>
            <w:r>
              <w:t>bookingId, fromState, toState, actor, at, reason</w:t>
            </w:r>
          </w:p>
        </w:tc>
        <w:tc>
          <w:tcPr>
            <w:tcW w:type="dxa" w:w="2880"/>
          </w:tcPr>
          <w:p>
            <w:r>
              <w:t>Append-only</w:t>
            </w:r>
          </w:p>
        </w:tc>
      </w:tr>
      <w:tr>
        <w:tc>
          <w:tcPr>
            <w:tcW w:type="dxa" w:w="2880"/>
          </w:tcPr>
          <w:p>
            <w:r>
              <w:t>Payment</w:t>
            </w:r>
          </w:p>
        </w:tc>
        <w:tc>
          <w:tcPr>
            <w:tcW w:type="dxa" w:w="2880"/>
          </w:tcPr>
          <w:p>
            <w:r>
              <w:t>bookingId, paymentIntentId, status, amount, currency, capturedAt</w:t>
            </w:r>
          </w:p>
        </w:tc>
        <w:tc>
          <w:tcPr>
            <w:tcW w:type="dxa" w:w="2880"/>
          </w:tcPr>
          <w:p>
            <w:r>
              <w:t>Manual capture</w:t>
            </w:r>
          </w:p>
        </w:tc>
      </w:tr>
      <w:tr>
        <w:tc>
          <w:tcPr>
            <w:tcW w:type="dxa" w:w="2880"/>
          </w:tcPr>
          <w:p>
            <w:r>
              <w:t>Payout / Refund / Dispute</w:t>
            </w:r>
          </w:p>
        </w:tc>
        <w:tc>
          <w:tcPr>
            <w:tcW w:type="dxa" w:w="2880"/>
          </w:tcPr>
          <w:p>
            <w:r>
              <w:t>see Commerce Core</w:t>
            </w:r>
          </w:p>
        </w:tc>
        <w:tc>
          <w:tcPr>
            <w:tcW w:type="dxa" w:w="2880"/>
          </w:tcPr>
          <w:p>
            <w:r>
              <w:t>Ledger-backed</w:t>
            </w:r>
          </w:p>
        </w:tc>
      </w:tr>
      <w:tr>
        <w:tc>
          <w:tcPr>
            <w:tcW w:type="dxa" w:w="2880"/>
          </w:tcPr>
          <w:p>
            <w:r>
              <w:t>Review</w:t>
            </w:r>
          </w:p>
        </w:tc>
        <w:tc>
          <w:tcPr>
            <w:tcW w:type="dxa" w:w="2880"/>
          </w:tcPr>
          <w:p>
            <w:r>
              <w:t>bookingId, authorRole, rating, body, revealAt, moderationState</w:t>
            </w:r>
          </w:p>
        </w:tc>
        <w:tc>
          <w:tcPr>
            <w:tcW w:type="dxa" w:w="2880"/>
          </w:tcPr>
          <w:p>
            <w:r>
              <w:t>Two-way, delayed reveal</w:t>
            </w:r>
          </w:p>
        </w:tc>
      </w:tr>
      <w:tr>
        <w:tc>
          <w:tcPr>
            <w:tcW w:type="dxa" w:w="2880"/>
          </w:tcPr>
          <w:p>
            <w:r>
              <w:t>Conversation / Message</w:t>
            </w:r>
          </w:p>
        </w:tc>
        <w:tc>
          <w:tcPr>
            <w:tcW w:type="dxa" w:w="2880"/>
          </w:tcPr>
          <w:p>
            <w:r>
              <w:t>bookingId|enquiryId, participants, body(masked), flags</w:t>
            </w:r>
          </w:p>
        </w:tc>
        <w:tc>
          <w:tcPr>
            <w:tcW w:type="dxa" w:w="2880"/>
          </w:tcPr>
          <w:p>
            <w:r/>
          </w:p>
        </w:tc>
      </w:tr>
      <w:tr>
        <w:tc>
          <w:tcPr>
            <w:tcW w:type="dxa" w:w="2880"/>
          </w:tcPr>
          <w:p>
            <w:r>
              <w:t>VideoSession</w:t>
            </w:r>
          </w:p>
        </w:tc>
        <w:tc>
          <w:tcPr>
            <w:tcW w:type="dxa" w:w="2880"/>
          </w:tcPr>
          <w:p>
            <w:r>
              <w:t>bookingId, roomId, provider, joinLog[], recordingConsent</w:t>
            </w:r>
          </w:p>
        </w:tc>
        <w:tc>
          <w:tcPr>
            <w:tcW w:type="dxa" w:w="2880"/>
          </w:tcPr>
          <w:p>
            <w:r/>
          </w:p>
        </w:tc>
      </w:tr>
      <w:tr>
        <w:tc>
          <w:tcPr>
            <w:tcW w:type="dxa" w:w="2880"/>
          </w:tcPr>
          <w:p>
            <w:r>
              <w:t>LedgerEntry</w:t>
            </w:r>
          </w:p>
        </w:tc>
        <w:tc>
          <w:tcPr>
            <w:tcW w:type="dxa" w:w="2880"/>
          </w:tcPr>
          <w:p>
            <w:r>
              <w:t>journalId, account, debit, credit, currency, ref</w:t>
            </w:r>
          </w:p>
        </w:tc>
        <w:tc>
          <w:tcPr>
            <w:tcW w:type="dxa" w:w="2880"/>
          </w:tcPr>
          <w:p>
            <w:r>
              <w:t>Double-entry</w:t>
            </w:r>
          </w:p>
        </w:tc>
      </w:tr>
      <w:tr>
        <w:tc>
          <w:tcPr>
            <w:tcW w:type="dxa" w:w="2880"/>
          </w:tcPr>
          <w:p>
            <w:r>
              <w:t>Order (goods)</w:t>
            </w:r>
          </w:p>
        </w:tc>
        <w:tc>
          <w:tcPr>
            <w:tcW w:type="dxa" w:w="2880"/>
          </w:tcPr>
          <w:p>
            <w:r>
              <w:t>shopifyOrderId, userId, sellerId, lines, status, taxRecorded</w:t>
            </w:r>
          </w:p>
        </w:tc>
        <w:tc>
          <w:tcPr>
            <w:tcW w:type="dxa" w:w="2880"/>
          </w:tcPr>
          <w:p>
            <w:r>
              <w:t>Addendum B</w:t>
            </w:r>
          </w:p>
        </w:tc>
      </w:tr>
      <w:tr>
        <w:tc>
          <w:tcPr>
            <w:tcW w:type="dxa" w:w="2880"/>
          </w:tcPr>
          <w:p>
            <w:r>
              <w:t>SamagriList</w:t>
            </w:r>
          </w:p>
        </w:tc>
        <w:tc>
          <w:tcPr>
            <w:tcW w:type="dxa" w:w="2880"/>
          </w:tcPr>
          <w:p>
            <w:r>
              <w:t>festivalId|serviceId, items[{name, qty, optional, shopifyVariantId}]</w:t>
            </w:r>
          </w:p>
        </w:tc>
        <w:tc>
          <w:tcPr>
            <w:tcW w:type="dxa" w:w="2880"/>
          </w:tcPr>
          <w:p>
            <w:r>
              <w:t>CMS → cart</w:t>
            </w:r>
          </w:p>
        </w:tc>
      </w:tr>
    </w:tbl>
    <w:p/>
    <w:p>
      <w:pPr>
        <w:pStyle w:val="Heading2"/>
      </w:pPr>
      <w:r>
        <w:t>4.3 Compute vs cache — the key strategy</w:t>
      </w:r>
    </w:p>
    <w:p>
      <w:r>
        <w:t>To meet the two-second load target, offline viewing and 15-month calendars, Panchang is precomputed and cached, never calculated on the device. A warmer maintains a rolling horizon (≥15 months) for popular grid cells and widens ahead of major festivals; an uncached (date, gridCell) computes once under a per-key lock, then writes to cache. Location is rounded to a 0.25° grid plus time-zone id so nearby users share entries.</w:t>
      </w:r>
    </w:p>
    <w:p>
      <w:r>
        <w:t>Lunar edge cases the build must handle: Adhika and Kshaya maas; Kshaya and Vriddhi tithi; sunrise undefined at high latitudes (graceful fallback, flagged); DST transitions mid-tithi; '24-plus' past-midnight timings as a first-class value (hoursFromSunrise).</w:t>
      </w:r>
    </w:p>
    <w:p>
      <w:pPr>
        <w:pStyle w:val="Heading1"/>
      </w:pPr>
      <w:r>
        <w:t>5. Cross-cutting concerns</w:t>
      </w:r>
    </w:p>
    <w:p>
      <w:pPr>
        <w:pStyle w:val="Heading2"/>
      </w:pPr>
      <w:r>
        <w:t>5.1 Security &amp; privacy</w:t>
      </w:r>
    </w:p>
    <w:p>
      <w:pPr>
        <w:pStyle w:val="ListBullet"/>
      </w:pPr>
      <w:r>
        <w:t>Sensitive data (birth details, family details, ID documents, background-check refs, ceremony addresses) encrypted at rest in the Vault, access-logged, excluded from analytics; ceremony address revealed to the pandit only after paid confirmation and hidden after completion.</w:t>
      </w:r>
    </w:p>
    <w:p>
      <w:pPr>
        <w:pStyle w:val="ListBullet"/>
      </w:pPr>
      <w:r>
        <w:t>OIDC for Google &amp; Apple; OTP; secure token storage; refresh-token rotation. RBAC for admin and provider roles with audit trail on every content, config and money decision.</w:t>
      </w:r>
    </w:p>
    <w:p>
      <w:pPr>
        <w:pStyle w:val="ListBullet"/>
      </w:pPr>
      <w:r>
        <w:t>TLS everywhere; secrets in a managed store; gateway rate limiting; PCI scope kept at Stripe (no card data on platform); SCA/3-DS; webhook signature verification; idempotency keys on every money operation.</w:t>
      </w:r>
    </w:p>
    <w:p>
      <w:pPr>
        <w:pStyle w:val="ListBullet"/>
      </w:pPr>
      <w:r>
        <w:t>Legal artefacts (provider agreement, patron terms, cancellation policy) versioned with acceptance logs.</w:t>
      </w:r>
    </w:p>
    <w:p>
      <w:pPr>
        <w:pStyle w:val="ListBullet"/>
      </w:pPr>
      <w:r>
        <w:t>Account deletion and export are first-class and cover bookings, messages and orders; data residency (GDPR + UAE) documented before launch.</w:t>
      </w:r>
    </w:p>
    <w:p>
      <w:pPr>
        <w:pStyle w:val="Heading2"/>
      </w:pPr>
      <w:r>
        <w:t>5.2 Performance &amp; resilience</w:t>
      </w:r>
    </w:p>
    <w:p>
      <w:pPr>
        <w:pStyle w:val="ListBullet"/>
      </w:pPr>
      <w:r>
        <w:t>Daily Panchang from cache with CDN edge in front of read-heavy location-keyed endpoints; p95 day view ≤2 s.</w:t>
      </w:r>
    </w:p>
    <w:p>
      <w:pPr>
        <w:pStyle w:val="ListBullet"/>
      </w:pPr>
      <w:r>
        <w:t>Festival traffic is spiky — autoscale read path; pre-warm caches.</w:t>
      </w:r>
    </w:p>
    <w:p>
      <w:pPr>
        <w:pStyle w:val="ListBullet"/>
      </w:pPr>
      <w:r>
        <w:t>Pandit search ≤1 s via PostGIS + Postgres FTS; booking creation = atomic slot reservation + PaymentIntent in one transaction with an outbox.</w:t>
      </w:r>
    </w:p>
    <w:p>
      <w:pPr>
        <w:pStyle w:val="ListBullet"/>
      </w:pPr>
      <w:r>
        <w:t>PDF generation, reminder fan-out, payouts and webhooks are queue-driven; clients cache the current month and downloaded calendars for offline use.</w:t>
      </w:r>
    </w:p>
    <w:p>
      <w:pPr>
        <w:pStyle w:val="Heading2"/>
      </w:pPr>
      <w:r>
        <w:t>5.3 Accuracy assurance</w:t>
      </w:r>
    </w:p>
    <w:p>
      <w:r>
        <w:t>A validation harness is part of the architecture: ≥500 reference days across ≥10 locations (incl. polar-edge and DST cases) compared against a curated published Panchang; 100% match on tithi/nakshatra at sunrise and ±1 min on sunrise/sunset; a required CI check. The correction workflow is a flag-and-review path in the admin console feeding rule/content fixes.</w:t>
      </w:r>
    </w:p>
    <w:p>
      <w:pPr>
        <w:pStyle w:val="Heading2"/>
      </w:pPr>
      <w:r>
        <w:t>5.4 Observability</w:t>
      </w:r>
    </w:p>
    <w:p>
      <w:r>
        <w:t>Structured logging, tracing across services, SLOs on the Panchang and calendar read paths; every booking and payout traced end-to-end; alerts on cache-miss spikes, queue backlogs, failed payments, stuck payouts, dispute spikes, video join failures and ledger variance.</w:t>
      </w:r>
    </w:p>
    <w:p>
      <w:pPr>
        <w:pStyle w:val="Heading2"/>
      </w:pPr>
      <w:r>
        <w:t>5.5 Technology choices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Choice</w:t>
            </w:r>
          </w:p>
        </w:tc>
        <w:tc>
          <w:tcPr>
            <w:tcW w:type="dxa" w:w="2880"/>
          </w:tcPr>
          <w:p>
            <w:r>
              <w:rPr>
                <w:b/>
              </w:rPr>
              <w:t>Rationale</w:t>
            </w:r>
          </w:p>
        </w:tc>
      </w:tr>
      <w:tr>
        <w:tc>
          <w:tcPr>
            <w:tcW w:type="dxa" w:w="2880"/>
          </w:tcPr>
          <w:p>
            <w:r>
              <w:t>Web / portal / admin</w:t>
            </w:r>
          </w:p>
        </w:tc>
        <w:tc>
          <w:tcPr>
            <w:tcW w:type="dxa" w:w="2880"/>
          </w:tcPr>
          <w:p>
            <w:r>
              <w:t>Next.js + Tailwind (Aqualeo design system)</w:t>
            </w:r>
          </w:p>
        </w:tc>
        <w:tc>
          <w:tcPr>
            <w:tcW w:type="dxa" w:w="2880"/>
          </w:tcPr>
          <w:p>
            <w:r>
              <w:t>SSR, shared types</w:t>
            </w:r>
          </w:p>
        </w:tc>
      </w:tr>
      <w:tr>
        <w:tc>
          <w:tcPr>
            <w:tcW w:type="dxa" w:w="2880"/>
          </w:tcPr>
          <w:p>
            <w:r>
              <w:t>Mobile</w:t>
            </w:r>
          </w:p>
        </w:tc>
        <w:tc>
          <w:tcPr>
            <w:tcW w:type="dxa" w:w="2880"/>
          </w:tcPr>
          <w:p>
            <w:r>
              <w:t>Native Swift + Kotlin or one RN codebase (ADR-001)</w:t>
            </w:r>
          </w:p>
        </w:tc>
        <w:tc>
          <w:tcPr>
            <w:tcW w:type="dxa" w:w="2880"/>
          </w:tcPr>
          <w:p>
            <w:r>
              <w:t>Widgets favour native; video SDK and Shopify support both</w:t>
            </w:r>
          </w:p>
        </w:tc>
      </w:tr>
      <w:tr>
        <w:tc>
          <w:tcPr>
            <w:tcW w:type="dxa" w:w="2880"/>
          </w:tcPr>
          <w:p>
            <w:r>
              <w:t>Backend</w:t>
            </w:r>
          </w:p>
        </w:tc>
        <w:tc>
          <w:tcPr>
            <w:tcW w:type="dxa" w:w="2880"/>
          </w:tcPr>
          <w:p>
            <w:r>
              <w:t>NestJS modular monolith (TypeScript) + Python FastAPI for PCS</w:t>
            </w:r>
          </w:p>
        </w:tc>
        <w:tc>
          <w:tcPr>
            <w:tcW w:type="dxa" w:w="2880"/>
          </w:tcPr>
          <w:p>
            <w:r>
              <w:t>Python eases Swiss Ephemeris binding; TS shares web types</w:t>
            </w:r>
          </w:p>
        </w:tc>
      </w:tr>
      <w:tr>
        <w:tc>
          <w:tcPr>
            <w:tcW w:type="dxa" w:w="2880"/>
          </w:tcPr>
          <w:p>
            <w:r>
              <w:t>Panchang lib</w:t>
            </w:r>
          </w:p>
        </w:tc>
        <w:tc>
          <w:tcPr>
            <w:tcW w:type="dxa" w:w="2880"/>
          </w:tcPr>
          <w:p>
            <w:r>
              <w:t>Swiss Ephemeris (AGPL dev, commercial launch)</w:t>
            </w:r>
          </w:p>
        </w:tc>
        <w:tc>
          <w:tcPr>
            <w:tcW w:type="dxa" w:w="2880"/>
          </w:tcPr>
          <w:p>
            <w:r>
              <w:t>Accuracy standard</w:t>
            </w:r>
          </w:p>
        </w:tc>
      </w:tr>
      <w:tr>
        <w:tc>
          <w:tcPr>
            <w:tcW w:type="dxa" w:w="2880"/>
          </w:tcPr>
          <w:p>
            <w:r>
              <w:t>Primary DB</w:t>
            </w:r>
          </w:p>
        </w:tc>
        <w:tc>
          <w:tcPr>
            <w:tcW w:type="dxa" w:w="2880"/>
          </w:tcPr>
          <w:p>
            <w:r>
              <w:t>PostgreSQL + PostGIS</w:t>
            </w:r>
          </w:p>
        </w:tc>
        <w:tc>
          <w:tcPr>
            <w:tcW w:type="dxa" w:w="2880"/>
          </w:tcPr>
          <w:p>
            <w:r>
              <w:t>Relational integrity; geo radius</w:t>
            </w:r>
          </w:p>
        </w:tc>
      </w:tr>
      <w:tr>
        <w:tc>
          <w:tcPr>
            <w:tcW w:type="dxa" w:w="2880"/>
          </w:tcPr>
          <w:p>
            <w:r>
              <w:t>Cache / queue</w:t>
            </w:r>
          </w:p>
        </w:tc>
        <w:tc>
          <w:tcPr>
            <w:tcW w:type="dxa" w:w="2880"/>
          </w:tcPr>
          <w:p>
            <w:r>
              <w:t>Redis + managed job queue</w:t>
            </w:r>
          </w:p>
        </w:tc>
        <w:tc>
          <w:tcPr>
            <w:tcW w:type="dxa" w:w="2880"/>
          </w:tcPr>
          <w:p>
            <w:r>
              <w:t>Panchang cache, scheduling, PDF, payouts</w:t>
            </w:r>
          </w:p>
        </w:tc>
      </w:tr>
      <w:tr>
        <w:tc>
          <w:tcPr>
            <w:tcW w:type="dxa" w:w="2880"/>
          </w:tcPr>
          <w:p>
            <w:r>
              <w:t>Object storage</w:t>
            </w:r>
          </w:p>
        </w:tc>
        <w:tc>
          <w:tcPr>
            <w:tcW w:type="dxa" w:w="2880"/>
          </w:tcPr>
          <w:p>
            <w:r>
              <w:t>S3-compatible</w:t>
            </w:r>
          </w:p>
        </w:tc>
        <w:tc>
          <w:tcPr>
            <w:tcW w:type="dxa" w:w="2880"/>
          </w:tcPr>
          <w:p>
            <w:r>
              <w:t>Calendars, media, evidence bundles</w:t>
            </w:r>
          </w:p>
        </w:tc>
      </w:tr>
      <w:tr>
        <w:tc>
          <w:tcPr>
            <w:tcW w:type="dxa" w:w="2880"/>
          </w:tcPr>
          <w:p>
            <w:r>
              <w:t>Payments</w:t>
            </w:r>
          </w:p>
        </w:tc>
        <w:tc>
          <w:tcPr>
            <w:tcW w:type="dxa" w:w="2880"/>
          </w:tcPr>
          <w:p>
            <w:r>
              <w:t>Stripe Connect Express, Stripe Tax, Stripe Identity</w:t>
            </w:r>
          </w:p>
        </w:tc>
        <w:tc>
          <w:tcPr>
            <w:tcW w:type="dxa" w:w="2880"/>
          </w:tcPr>
          <w:p>
            <w:r>
              <w:t>Escrow, payouts, KYC, tax</w:t>
            </w:r>
          </w:p>
        </w:tc>
      </w:tr>
      <w:tr>
        <w:tc>
          <w:tcPr>
            <w:tcW w:type="dxa" w:w="2880"/>
          </w:tcPr>
          <w:p>
            <w:r>
              <w:t>Goods</w:t>
            </w:r>
          </w:p>
        </w:tc>
        <w:tc>
          <w:tcPr>
            <w:tcW w:type="dxa" w:w="2880"/>
          </w:tcPr>
          <w:p>
            <w:r>
              <w:t>Shopify Storefront API + Admin webhooks</w:t>
            </w:r>
          </w:p>
        </w:tc>
        <w:tc>
          <w:tcPr>
            <w:tcW w:type="dxa" w:w="2880"/>
          </w:tcPr>
          <w:p>
            <w:r>
              <w:t>Catalog, cart, checkout, fulfilment</w:t>
            </w:r>
          </w:p>
        </w:tc>
      </w:tr>
      <w:tr>
        <w:tc>
          <w:tcPr>
            <w:tcW w:type="dxa" w:w="2880"/>
          </w:tcPr>
          <w:p>
            <w:r>
              <w:t>Video</w:t>
            </w:r>
          </w:p>
        </w:tc>
        <w:tc>
          <w:tcPr>
            <w:tcW w:type="dxa" w:w="2880"/>
          </w:tcPr>
          <w:p>
            <w:r>
              <w:t>LiveKit (default)</w:t>
            </w:r>
          </w:p>
        </w:tc>
        <w:tc>
          <w:tcPr>
            <w:tcW w:type="dxa" w:w="2880"/>
          </w:tcPr>
          <w:p>
            <w:r>
              <w:t>Self-host option; SDKs on all clients</w:t>
            </w:r>
          </w:p>
        </w:tc>
      </w:tr>
      <w:tr>
        <w:tc>
          <w:tcPr>
            <w:tcW w:type="dxa" w:w="2880"/>
          </w:tcPr>
          <w:p>
            <w:r>
              <w:t>Messaging</w:t>
            </w:r>
          </w:p>
        </w:tc>
        <w:tc>
          <w:tcPr>
            <w:tcW w:type="dxa" w:w="2880"/>
          </w:tcPr>
          <w:p>
            <w:r>
              <w:t>WebSocket gateway (NestJS) + Redis pub/sub</w:t>
            </w:r>
          </w:p>
        </w:tc>
        <w:tc>
          <w:tcPr>
            <w:tcW w:type="dxa" w:w="2880"/>
          </w:tcPr>
          <w:p>
            <w:r>
              <w:t>Real-time</w:t>
            </w:r>
          </w:p>
        </w:tc>
      </w:tr>
      <w:tr>
        <w:tc>
          <w:tcPr>
            <w:tcW w:type="dxa" w:w="2880"/>
          </w:tcPr>
          <w:p>
            <w:r>
              <w:t>Notifications</w:t>
            </w:r>
          </w:p>
        </w:tc>
        <w:tc>
          <w:tcPr>
            <w:tcW w:type="dxa" w:w="2880"/>
          </w:tcPr>
          <w:p>
            <w:r>
              <w:t>APNs + FCM fan-out; Postmark/SES email; optional SMS</w:t>
            </w:r>
          </w:p>
        </w:tc>
        <w:tc>
          <w:tcPr>
            <w:tcW w:type="dxa" w:w="2880"/>
          </w:tcPr>
          <w:p>
            <w:r>
              <w:t>Reminders and transactional</w:t>
            </w:r>
          </w:p>
        </w:tc>
      </w:tr>
    </w:tbl>
    <w:p/>
    <w:p>
      <w:pPr>
        <w:pStyle w:val="Heading1"/>
      </w:pPr>
      <w:r>
        <w:t>6. Key contracts</w:t>
      </w:r>
    </w:p>
    <w:p>
      <w:pPr>
        <w:pStyle w:val="Heading2"/>
      </w:pPr>
      <w:r>
        <w:t>6.1 Festival Rule DSL (JSON, versioned)</w:t>
      </w:r>
    </w:p>
    <w:p>
      <w:r>
        <w:t>Rules are data, never date tables. Full set: the-pandit-festival-rules-v1.json (40 festivals + 6 recurring cycles) with the embedded schema.</w:t>
      </w:r>
    </w:p>
    <w:p>
      <w:r>
        <w:rPr>
          <w:rFonts w:ascii="Consolas" w:hAnsi="Consolas"/>
          <w:sz w:val="18"/>
        </w:rPr>
        <w:t>{ "id": "krishna_janmashtami", "type": "lunar", "scheme": "purnimanta",</w:t>
        <w:br/>
        <w:t xml:space="preserve">  "month": "bhadrapada", "paksha": "krishna", "tithi": 8,</w:t>
        <w:br/>
        <w:t xml:space="preserve">  "anchor": "nishita", "tieBreak": "tithi_at_anchor_else_next_day",</w:t>
        <w:br/>
        <w:t xml:space="preserve">  "preferNakshatra": "rohini", "regions": ["default"],</w:t>
        <w:br/>
        <w:t xml:space="preserve">  "overrides": [{ "region": "vaishnava", "tieBreak": "vaishnava_udaya_prefer_rohini" }],</w:t>
        <w:br/>
        <w:t xml:space="preserve">  "priority": 95 }</w:t>
      </w:r>
    </w:p>
    <w:p>
      <w:r>
        <w:t>Rule types: lunar (tithi in month/paksha), solar (Sun ingress into a sidereal rashi), nakshatra_in_solar_month, recurring (monthly cycle). Anchors: sunrise, arunodaya, pratahkala, purvahna, madhyahna, aparahna, sunset, pradosh, nishita, moonrise, sankranti, sandhi. The resolver emits FestivalOccurrence(gridCell, year) with the anchor instant, honouring kshaya/vriddhi via tieBreak.</w:t>
      </w:r>
    </w:p>
    <w:p>
      <w:pPr>
        <w:pStyle w:val="Heading2"/>
      </w:pPr>
      <w:r>
        <w:t>6.2 PanchangDay</w:t>
      </w:r>
    </w:p>
    <w:p>
      <w:r>
        <w:t>Every interval carries startUtc, endUtc, localOffsetMinutes and hoursFromSunrise (float; may exceed 24). Flags: kshaya, vriddhi, carriesOver, sunriseFallback.</w:t>
      </w:r>
    </w:p>
    <w:p>
      <w:pPr>
        <w:pStyle w:val="Heading2"/>
      </w:pPr>
      <w:r>
        <w:t>6.3 Booking state machine (authoritative)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State</w:t>
            </w:r>
          </w:p>
        </w:tc>
        <w:tc>
          <w:tcPr>
            <w:tcW w:type="dxa" w:w="2880"/>
          </w:tcPr>
          <w:p>
            <w:r>
              <w:rPr>
                <w:b/>
              </w:rPr>
              <w:t>Meaning</w:t>
            </w:r>
          </w:p>
        </w:tc>
        <w:tc>
          <w:tcPr>
            <w:tcW w:type="dxa" w:w="2880"/>
          </w:tcPr>
          <w:p>
            <w:r>
              <w:rPr>
                <w:b/>
              </w:rPr>
              <w:t>Money</w:t>
            </w:r>
          </w:p>
        </w:tc>
      </w:tr>
      <w:tr>
        <w:tc>
          <w:tcPr>
            <w:tcW w:type="dxa" w:w="2880"/>
          </w:tcPr>
          <w:p>
            <w:r>
              <w:t>requested</w:t>
            </w:r>
          </w:p>
        </w:tc>
        <w:tc>
          <w:tcPr>
            <w:tcW w:type="dxa" w:w="2880"/>
          </w:tcPr>
          <w:p>
            <w:r>
              <w:t>Patron submitted; awaiting acceptance (manual mode)</w:t>
            </w:r>
          </w:p>
        </w:tc>
        <w:tc>
          <w:tcPr>
            <w:tcW w:type="dxa" w:w="2880"/>
          </w:tcPr>
          <w:p>
            <w:r>
              <w:t>Authorised (held)</w:t>
            </w:r>
          </w:p>
        </w:tc>
      </w:tr>
      <w:tr>
        <w:tc>
          <w:tcPr>
            <w:tcW w:type="dxa" w:w="2880"/>
          </w:tcPr>
          <w:p>
            <w:r>
              <w:t>confirmed</w:t>
            </w:r>
          </w:p>
        </w:tc>
        <w:tc>
          <w:tcPr>
            <w:tcW w:type="dxa" w:w="2880"/>
          </w:tcPr>
          <w:p>
            <w:r>
              <w:t>Accepted or auto-confirmed</w:t>
            </w:r>
          </w:p>
        </w:tc>
        <w:tc>
          <w:tcPr>
            <w:tcW w:type="dxa" w:w="2880"/>
          </w:tcPr>
          <w:p>
            <w:r>
              <w:t>Captured into escrow</w:t>
            </w:r>
          </w:p>
        </w:tc>
      </w:tr>
      <w:tr>
        <w:tc>
          <w:tcPr>
            <w:tcW w:type="dxa" w:w="2880"/>
          </w:tcPr>
          <w:p>
            <w:r>
              <w:t>reschedule_pending</w:t>
            </w:r>
          </w:p>
        </w:tc>
        <w:tc>
          <w:tcPr>
            <w:tcW w:type="dxa" w:w="2880"/>
          </w:tcPr>
          <w:p>
            <w:r>
              <w:t>New time proposed</w:t>
            </w:r>
          </w:p>
        </w:tc>
        <w:tc>
          <w:tcPr>
            <w:tcW w:type="dxa" w:w="2880"/>
          </w:tcPr>
          <w:p>
            <w:r>
              <w:t>Held</w:t>
            </w:r>
          </w:p>
        </w:tc>
      </w:tr>
      <w:tr>
        <w:tc>
          <w:tcPr>
            <w:tcW w:type="dxa" w:w="2880"/>
          </w:tcPr>
          <w:p>
            <w:r>
              <w:t>in_progress</w:t>
            </w:r>
          </w:p>
        </w:tc>
        <w:tc>
          <w:tcPr>
            <w:tcW w:type="dxa" w:w="2880"/>
          </w:tcPr>
          <w:p>
            <w:r>
              <w:t>Ceremony underway</w:t>
            </w:r>
          </w:p>
        </w:tc>
        <w:tc>
          <w:tcPr>
            <w:tcW w:type="dxa" w:w="2880"/>
          </w:tcPr>
          <w:p>
            <w:r>
              <w:t>Held</w:t>
            </w:r>
          </w:p>
        </w:tc>
      </w:tr>
      <w:tr>
        <w:tc>
          <w:tcPr>
            <w:tcW w:type="dxa" w:w="2880"/>
          </w:tcPr>
          <w:p>
            <w:r>
              <w:t>completed</w:t>
            </w:r>
          </w:p>
        </w:tc>
        <w:tc>
          <w:tcPr>
            <w:tcW w:type="dxa" w:w="2880"/>
          </w:tcPr>
          <w:p>
            <w:r>
              <w:t>Service delivered</w:t>
            </w:r>
          </w:p>
        </w:tc>
        <w:tc>
          <w:tcPr>
            <w:tcW w:type="dxa" w:w="2880"/>
          </w:tcPr>
          <w:p>
            <w:r>
              <w:t>Payout scheduled after holdback (48 h default) minus commission</w:t>
            </w:r>
          </w:p>
        </w:tc>
      </w:tr>
      <w:tr>
        <w:tc>
          <w:tcPr>
            <w:tcW w:type="dxa" w:w="2880"/>
          </w:tcPr>
          <w:p>
            <w:r>
              <w:t>cancelled_by_patron</w:t>
            </w:r>
          </w:p>
        </w:tc>
        <w:tc>
          <w:tcPr>
            <w:tcW w:type="dxa" w:w="2880"/>
          </w:tcPr>
          <w:p>
            <w:r/>
          </w:p>
        </w:tc>
        <w:tc>
          <w:tcPr>
            <w:tcW w:type="dxa" w:w="2880"/>
          </w:tcPr>
          <w:p>
            <w:r>
              <w:t>Refund per policy snapshot</w:t>
            </w:r>
          </w:p>
        </w:tc>
      </w:tr>
      <w:tr>
        <w:tc>
          <w:tcPr>
            <w:tcW w:type="dxa" w:w="2880"/>
          </w:tcPr>
          <w:p>
            <w:r>
              <w:t>cancelled_by_pandit</w:t>
            </w:r>
          </w:p>
        </w:tc>
        <w:tc>
          <w:tcPr>
            <w:tcW w:type="dxa" w:w="2880"/>
          </w:tcPr>
          <w:p>
            <w:r/>
          </w:p>
        </w:tc>
        <w:tc>
          <w:tcPr>
            <w:tcW w:type="dxa" w:w="2880"/>
          </w:tcPr>
          <w:p>
            <w:r>
              <w:t>Full refund; standing penalty</w:t>
            </w:r>
          </w:p>
        </w:tc>
      </w:tr>
      <w:tr>
        <w:tc>
          <w:tcPr>
            <w:tcW w:type="dxa" w:w="2880"/>
          </w:tcPr>
          <w:p>
            <w:r>
              <w:t>no_show</w:t>
            </w:r>
          </w:p>
        </w:tc>
        <w:tc>
          <w:tcPr>
            <w:tcW w:type="dxa" w:w="2880"/>
          </w:tcPr>
          <w:p>
            <w:r>
              <w:t>Either party absent</w:t>
            </w:r>
          </w:p>
        </w:tc>
        <w:tc>
          <w:tcPr>
            <w:tcW w:type="dxa" w:w="2880"/>
          </w:tcPr>
          <w:p>
            <w:r>
              <w:t>Resolved per §A7.3 using check-in / join-log evidence</w:t>
            </w:r>
          </w:p>
        </w:tc>
      </w:tr>
      <w:tr>
        <w:tc>
          <w:tcPr>
            <w:tcW w:type="dxa" w:w="2880"/>
          </w:tcPr>
          <w:p>
            <w:r>
              <w:t>disputed</w:t>
            </w:r>
          </w:p>
        </w:tc>
        <w:tc>
          <w:tcPr>
            <w:tcW w:type="dxa" w:w="2880"/>
          </w:tcPr>
          <w:p>
            <w:r>
              <w:t>Dispute raised</w:t>
            </w:r>
          </w:p>
        </w:tc>
        <w:tc>
          <w:tcPr>
            <w:tcW w:type="dxa" w:w="2880"/>
          </w:tcPr>
          <w:p>
            <w:r>
              <w:t>Payout frozen pending ops decision</w:t>
            </w:r>
          </w:p>
        </w:tc>
      </w:tr>
      <w:tr>
        <w:tc>
          <w:tcPr>
            <w:tcW w:type="dxa" w:w="2880"/>
          </w:tcPr>
          <w:p>
            <w:r>
              <w:t>refunded / closed</w:t>
            </w:r>
          </w:p>
        </w:tc>
        <w:tc>
          <w:tcPr>
            <w:tcW w:type="dxa" w:w="2880"/>
          </w:tcPr>
          <w:p>
            <w:r>
              <w:t>Terminal</w:t>
            </w:r>
          </w:p>
        </w:tc>
        <w:tc>
          <w:tcPr>
            <w:tcW w:type="dxa" w:w="2880"/>
          </w:tcPr>
          <w:p>
            <w:r>
              <w:t>Settled</w:t>
            </w:r>
          </w:p>
        </w:tc>
      </w:tr>
    </w:tbl>
    <w:p/>
    <w:p>
      <w:r>
        <w:t>Response-window expiry auto-declines a requested booking and releases the authorisation. Every transition writes a BookingEvent.</w:t>
      </w:r>
    </w:p>
    <w:p>
      <w:pPr>
        <w:pStyle w:val="Heading2"/>
      </w:pPr>
      <w:r>
        <w:t>6.4 Quote engine</w:t>
      </w:r>
    </w:p>
    <w:p>
      <w:r>
        <w:t>Server-only: total = base + travelFee(distance, feeModel) + samagri (optional) + platformFee(config) + tax(Stripe Tax). Returns itemised lines and a policySnapshot (defaults: 100% refund ≥30 days, 50% inside 30 days, 0% inside 48 h) frozen onto the Booking.</w:t>
      </w:r>
    </w:p>
    <w:p>
      <w:pPr>
        <w:pStyle w:val="Heading2"/>
      </w:pPr>
      <w:r>
        <w:t>6.5 Ledger</w:t>
      </w:r>
    </w:p>
    <w:p>
      <w:r>
        <w:t>Double-entry accounts: patron_receivable, escrow, platform_revenue, provider_payable:{id}, tax_payable, refunds. Every Stripe/Shopify webhook posts a journal entry; nightly reconciliation against Stripe balance transactions must balance to zero.</w:t>
      </w:r>
    </w:p>
    <w:p>
      <w:pPr>
        <w:pStyle w:val="Heading2"/>
      </w:pPr>
      <w:r>
        <w:t>6.6 Ranking</w:t>
      </w:r>
    </w:p>
    <w:p>
      <w:r>
        <w:t>score = w1·bayesianRating + w2·completionRate + w3·responseSpeed + w4·proximity + w5·priceIndex + coldStartBoost (decays over 30 days). Admin-configurable weights; each result returns its factor breakdown.</w:t>
      </w:r>
    </w:p>
    <w:p>
      <w:pPr>
        <w:pStyle w:val="Heading2"/>
      </w:pPr>
      <w:r>
        <w:t>6.7 API surface</w:t>
      </w:r>
    </w:p>
    <w:p>
      <w:r>
        <w:t>The public contract is the-pandit-openapi-v1.yaml: /v1 REST, bearer auth, tags per service, entitlement tier declared per operation (x-entitlement), rail declared per money operation (x-payment-rail). Clients generate typed SDKs from it and use mocks until backends land.</w:t>
      </w:r>
    </w:p>
    <w:p>
      <w:pPr>
        <w:pStyle w:val="Heading1"/>
      </w:pPr>
      <w:r>
        <w:t>7. Invariants (enforced in code review and CI)</w:t>
      </w:r>
    </w:p>
    <w:p>
      <w:pPr>
        <w:pStyle w:val="ListBullet"/>
      </w:pPr>
      <w:r>
        <w:t>Only the Panchang Computation Service imports the ephemeris.</w:t>
      </w:r>
    </w:p>
    <w:p>
      <w:pPr>
        <w:pStyle w:val="ListBullet"/>
      </w:pPr>
      <w:r>
        <w:t>Panchang is precomputed and cached; clients never compute it.</w:t>
      </w:r>
    </w:p>
    <w:p>
      <w:pPr>
        <w:pStyle w:val="ListBullet"/>
      </w:pPr>
      <w:r>
        <w:t>Festival/religious content is data (CMS / rule DSL).</w:t>
      </w:r>
    </w:p>
    <w:p>
      <w:pPr>
        <w:pStyle w:val="ListBullet"/>
      </w:pPr>
      <w:r>
        <w:t>Entitlements, prices, commission and booking state are computed server-side; money state is webhook-driven.</w:t>
      </w:r>
    </w:p>
    <w:p>
      <w:pPr>
        <w:pStyle w:val="ListBullet"/>
      </w:pPr>
      <w:r>
        <w:t>Sensitive data lives only in the Vault service.</w:t>
      </w:r>
    </w:p>
    <w:p>
      <w:pPr>
        <w:pStyle w:val="ListBullet"/>
      </w:pPr>
      <w:r>
        <w:t>Three payment rails are never co-mingled.</w:t>
      </w:r>
    </w:p>
    <w:p>
      <w:pPr>
        <w:pStyle w:val="ListBullet"/>
      </w:pPr>
      <w:r>
        <w:t>Production requires SWISSEPH_LICENSE_MODE=commercial; the accuracy harness is a required CI check.</w:t>
      </w:r>
    </w:p>
    <w:p>
      <w:pPr>
        <w:pStyle w:val="Heading1"/>
      </w:pPr>
      <w:r>
        <w:t>8. From architecture to delivery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Stage (Dev Plan v2.0)</w:t>
            </w:r>
          </w:p>
        </w:tc>
        <w:tc>
          <w:tcPr>
            <w:tcW w:type="dxa" w:w="2880"/>
          </w:tcPr>
          <w:p>
            <w:r>
              <w:rPr>
                <w:b/>
              </w:rPr>
              <w:t>Services exercised</w:t>
            </w:r>
          </w:p>
        </w:tc>
        <w:tc>
          <w:tcPr>
            <w:tcW w:type="dxa" w:w="2880"/>
          </w:tcPr>
          <w:p>
            <w:r>
              <w:rPr>
                <w:b/>
              </w:rPr>
              <w:t>Gate</w:t>
            </w:r>
          </w:p>
        </w:tc>
      </w:tr>
      <w:tr>
        <w:tc>
          <w:tcPr>
            <w:tcW w:type="dxa" w:w="2880"/>
          </w:tcPr>
          <w:p>
            <w:r>
              <w:t>S0 Foundations</w:t>
            </w:r>
          </w:p>
        </w:tc>
        <w:tc>
          <w:tcPr>
            <w:tcW w:type="dxa" w:w="2880"/>
          </w:tcPr>
          <w:p>
            <w:r>
              <w:t>Repo, IaC, CI, ADRs, OpenAPI, migrations</w:t>
            </w:r>
          </w:p>
        </w:tc>
        <w:tc>
          <w:tcPr>
            <w:tcW w:type="dxa" w:w="2880"/>
          </w:tcPr>
          <w:p>
            <w:r>
              <w:t>ADRs signed</w:t>
            </w:r>
          </w:p>
        </w:tc>
      </w:tr>
      <w:tr>
        <w:tc>
          <w:tcPr>
            <w:tcW w:type="dxa" w:w="2880"/>
          </w:tcPr>
          <w:p>
            <w:r>
              <w:t>S1 Panchang truth</w:t>
            </w:r>
          </w:p>
        </w:tc>
        <w:tc>
          <w:tcPr>
            <w:tcW w:type="dxa" w:w="2880"/>
          </w:tcPr>
          <w:p>
            <w:r>
              <w:t>01, 03 (rules), harness</w:t>
            </w:r>
          </w:p>
        </w:tc>
        <w:tc>
          <w:tcPr>
            <w:tcW w:type="dxa" w:w="2880"/>
          </w:tcPr>
          <w:p>
            <w:r>
              <w:t>HARD: accuracy harness green</w:t>
            </w:r>
          </w:p>
        </w:tc>
      </w:tr>
      <w:tr>
        <w:tc>
          <w:tcPr>
            <w:tcW w:type="dxa" w:w="2880"/>
          </w:tcPr>
          <w:p>
            <w:r>
              <w:t>S2 Core product MVP</w:t>
            </w:r>
          </w:p>
        </w:tc>
        <w:tc>
          <w:tcPr>
            <w:tcW w:type="dxa" w:w="2880"/>
          </w:tcPr>
          <w:p>
            <w:r>
              <w:t>02, 04 (basic), 06 (basic), 08, 09, 10</w:t>
            </w:r>
          </w:p>
        </w:tc>
        <w:tc>
          <w:tcPr>
            <w:tcW w:type="dxa" w:w="2880"/>
          </w:tcPr>
          <w:p>
            <w:r>
              <w:t>E2E on 3 clients</w:t>
            </w:r>
          </w:p>
        </w:tc>
      </w:tr>
      <w:tr>
        <w:tc>
          <w:tcPr>
            <w:tcW w:type="dxa" w:w="2880"/>
          </w:tcPr>
          <w:p>
            <w:r>
              <w:t>S3 Commerce Core</w:t>
            </w:r>
          </w:p>
        </w:tc>
        <w:tc>
          <w:tcPr>
            <w:tcW w:type="dxa" w:w="2880"/>
          </w:tcPr>
          <w:p>
            <w:r>
              <w:t>11, 16</w:t>
            </w:r>
          </w:p>
        </w:tc>
        <w:tc>
          <w:tcPr>
            <w:tcW w:type="dxa" w:w="2880"/>
          </w:tcPr>
          <w:p>
            <w:r>
              <w:t>Money flows pass; ledger balances</w:t>
            </w:r>
          </w:p>
        </w:tc>
      </w:tr>
      <w:tr>
        <w:tc>
          <w:tcPr>
            <w:tcW w:type="dxa" w:w="2880"/>
          </w:tcPr>
          <w:p>
            <w:r>
              <w:t>S4 Pandit Services MVP</w:t>
            </w:r>
          </w:p>
        </w:tc>
        <w:tc>
          <w:tcPr>
            <w:tcW w:type="dxa" w:w="2880"/>
          </w:tcPr>
          <w:p>
            <w:r>
              <w:t>12, 14, notifications</w:t>
            </w:r>
          </w:p>
        </w:tc>
        <w:tc>
          <w:tcPr>
            <w:tcW w:type="dxa" w:w="2880"/>
          </w:tcPr>
          <w:p>
            <w:r>
              <w:t>No double-booking; ops console</w:t>
            </w:r>
          </w:p>
        </w:tc>
      </w:tr>
      <w:tr>
        <w:tc>
          <w:tcPr>
            <w:tcW w:type="dxa" w:w="2880"/>
          </w:tcPr>
          <w:p>
            <w:r>
              <w:t>S5 Pooja Items MVP</w:t>
            </w:r>
          </w:p>
        </w:tc>
        <w:tc>
          <w:tcPr>
            <w:tcW w:type="dxa" w:w="2880"/>
          </w:tcPr>
          <w:p>
            <w:r>
              <w:t>13</w:t>
            </w:r>
          </w:p>
        </w:tc>
        <w:tc>
          <w:tcPr>
            <w:tcW w:type="dxa" w:w="2880"/>
          </w:tcPr>
          <w:p>
            <w:r>
              <w:t>Order → payout traced</w:t>
            </w:r>
          </w:p>
        </w:tc>
      </w:tr>
      <w:tr>
        <w:tc>
          <w:tcPr>
            <w:tcW w:type="dxa" w:w="2880"/>
          </w:tcPr>
          <w:p>
            <w:r>
              <w:t>S6 Phase 2</w:t>
            </w:r>
          </w:p>
        </w:tc>
        <w:tc>
          <w:tcPr>
            <w:tcW w:type="dxa" w:w="2880"/>
          </w:tcPr>
          <w:p>
            <w:r>
              <w:t>07, 15, full 04/05/06, widgets, ranking v2</w:t>
            </w:r>
          </w:p>
        </w:tc>
        <w:tc>
          <w:tcPr>
            <w:tcW w:type="dxa" w:w="2880"/>
          </w:tcPr>
          <w:p>
            <w:r>
              <w:t>SLOs met</w:t>
            </w:r>
          </w:p>
        </w:tc>
      </w:tr>
      <w:tr>
        <w:tc>
          <w:tcPr>
            <w:tcW w:type="dxa" w:w="2880"/>
          </w:tcPr>
          <w:p>
            <w:r>
              <w:t>S7 Launch hardening</w:t>
            </w:r>
          </w:p>
        </w:tc>
        <w:tc>
          <w:tcPr>
            <w:tcW w:type="dxa" w:w="2880"/>
          </w:tcPr>
          <w:p>
            <w:r>
              <w:t>All</w:t>
            </w:r>
          </w:p>
        </w:tc>
        <w:tc>
          <w:tcPr>
            <w:tcW w:type="dxa" w:w="2880"/>
          </w:tcPr>
          <w:p>
            <w:r>
              <w:t>HARD: commercial licence; compliance sign-off</w:t>
            </w:r>
          </w:p>
        </w:tc>
      </w:tr>
    </w:tbl>
    <w:p/>
    <w:p>
      <w:pPr>
        <w:pStyle w:val="Heading1"/>
      </w:pPr>
      <w:r>
        <w:t>9. Architecture decision records to open at Stage 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ADR</w:t>
            </w:r>
          </w:p>
        </w:tc>
        <w:tc>
          <w:tcPr>
            <w:tcW w:type="dxa" w:w="2880"/>
          </w:tcPr>
          <w:p>
            <w:r>
              <w:rPr>
                <w:b/>
              </w:rPr>
              <w:t>Decision</w:t>
            </w:r>
          </w:p>
        </w:tc>
        <w:tc>
          <w:tcPr>
            <w:tcW w:type="dxa" w:w="2880"/>
          </w:tcPr>
          <w:p>
            <w:r>
              <w:rPr>
                <w:b/>
              </w:rPr>
              <w:t>Default</w:t>
            </w:r>
          </w:p>
        </w:tc>
      </w:tr>
      <w:tr>
        <w:tc>
          <w:tcPr>
            <w:tcW w:type="dxa" w:w="2880"/>
          </w:tcPr>
          <w:p>
            <w:r>
              <w:t>ADR-001</w:t>
            </w:r>
          </w:p>
        </w:tc>
        <w:tc>
          <w:tcPr>
            <w:tcW w:type="dxa" w:w="2880"/>
          </w:tcPr>
          <w:p>
            <w:r>
              <w:t>Mobile stack</w:t>
            </w:r>
          </w:p>
        </w:tc>
        <w:tc>
          <w:tcPr>
            <w:tcW w:type="dxa" w:w="2880"/>
          </w:tcPr>
          <w:p>
            <w:r>
              <w:t>Decide S0</w:t>
            </w:r>
          </w:p>
        </w:tc>
      </w:tr>
      <w:tr>
        <w:tc>
          <w:tcPr>
            <w:tcW w:type="dxa" w:w="2880"/>
          </w:tcPr>
          <w:p>
            <w:r>
              <w:t>ADR-002</w:t>
            </w:r>
          </w:p>
        </w:tc>
        <w:tc>
          <w:tcPr>
            <w:tcW w:type="dxa" w:w="2880"/>
          </w:tcPr>
          <w:p>
            <w:r>
              <w:t>Video SDK</w:t>
            </w:r>
          </w:p>
        </w:tc>
        <w:tc>
          <w:tcPr>
            <w:tcW w:type="dxa" w:w="2880"/>
          </w:tcPr>
          <w:p>
            <w:r>
              <w:t>LiveKit</w:t>
            </w:r>
          </w:p>
        </w:tc>
      </w:tr>
      <w:tr>
        <w:tc>
          <w:tcPr>
            <w:tcW w:type="dxa" w:w="2880"/>
          </w:tcPr>
          <w:p>
            <w:r>
              <w:t>ADR-003</w:t>
            </w:r>
          </w:p>
        </w:tc>
        <w:tc>
          <w:tcPr>
            <w:tcW w:type="dxa" w:w="2880"/>
          </w:tcPr>
          <w:p>
            <w:r>
              <w:t>KYC provider</w:t>
            </w:r>
          </w:p>
        </w:tc>
        <w:tc>
          <w:tcPr>
            <w:tcW w:type="dxa" w:w="2880"/>
          </w:tcPr>
          <w:p>
            <w:r>
              <w:t>Stripe Identity</w:t>
            </w:r>
          </w:p>
        </w:tc>
      </w:tr>
      <w:tr>
        <w:tc>
          <w:tcPr>
            <w:tcW w:type="dxa" w:w="2880"/>
          </w:tcPr>
          <w:p>
            <w:r>
              <w:t>ADR-004</w:t>
            </w:r>
          </w:p>
        </w:tc>
        <w:tc>
          <w:tcPr>
            <w:tcW w:type="dxa" w:w="2880"/>
          </w:tcPr>
          <w:p>
            <w:r>
              <w:t>Commission scope</w:t>
            </w:r>
          </w:p>
        </w:tc>
        <w:tc>
          <w:tcPr>
            <w:tcW w:type="dxa" w:w="2880"/>
          </w:tcPr>
          <w:p>
            <w:r>
              <w:t>Service fee only; travel/samagri pass-through</w:t>
            </w:r>
          </w:p>
        </w:tc>
      </w:tr>
      <w:tr>
        <w:tc>
          <w:tcPr>
            <w:tcW w:type="dxa" w:w="2880"/>
          </w:tcPr>
          <w:p>
            <w:r>
              <w:t>ADR-005</w:t>
            </w:r>
          </w:p>
        </w:tc>
        <w:tc>
          <w:tcPr>
            <w:tcW w:type="dxa" w:w="2880"/>
          </w:tcPr>
          <w:p>
            <w:r>
              <w:t>Cancellation tiers</w:t>
            </w:r>
          </w:p>
        </w:tc>
        <w:tc>
          <w:tcPr>
            <w:tcW w:type="dxa" w:w="2880"/>
          </w:tcPr>
          <w:p>
            <w:r>
              <w:t>100% ≥30 d / 50% &lt;30 d / 0% &lt;48 h</w:t>
            </w:r>
          </w:p>
        </w:tc>
      </w:tr>
      <w:tr>
        <w:tc>
          <w:tcPr>
            <w:tcW w:type="dxa" w:w="2880"/>
          </w:tcPr>
          <w:p>
            <w:r>
              <w:t>ADR-006</w:t>
            </w:r>
          </w:p>
        </w:tc>
        <w:tc>
          <w:tcPr>
            <w:tcW w:type="dxa" w:w="2880"/>
          </w:tcPr>
          <w:p>
            <w:r>
              <w:t>Payout holdback</w:t>
            </w:r>
          </w:p>
        </w:tc>
        <w:tc>
          <w:tcPr>
            <w:tcW w:type="dxa" w:w="2880"/>
          </w:tcPr>
          <w:p>
            <w:r>
              <w:t>48 h</w:t>
            </w:r>
          </w:p>
        </w:tc>
      </w:tr>
      <w:tr>
        <w:tc>
          <w:tcPr>
            <w:tcW w:type="dxa" w:w="2880"/>
          </w:tcPr>
          <w:p>
            <w:r>
              <w:t>ADR-007</w:t>
            </w:r>
          </w:p>
        </w:tc>
        <w:tc>
          <w:tcPr>
            <w:tcW w:type="dxa" w:w="2880"/>
          </w:tcPr>
          <w:p>
            <w:r>
              <w:t>Session recording</w:t>
            </w:r>
          </w:p>
        </w:tc>
        <w:tc>
          <w:tcPr>
            <w:tcW w:type="dxa" w:w="2880"/>
          </w:tcPr>
          <w:p>
            <w:r>
              <w:t>Off; both-party opt-in</w:t>
            </w:r>
          </w:p>
        </w:tc>
      </w:tr>
      <w:tr>
        <w:tc>
          <w:tcPr>
            <w:tcW w:type="dxa" w:w="2880"/>
          </w:tcPr>
          <w:p>
            <w:r>
              <w:t>ADR-008</w:t>
            </w:r>
          </w:p>
        </w:tc>
        <w:tc>
          <w:tcPr>
            <w:tcW w:type="dxa" w:w="2880"/>
          </w:tcPr>
          <w:p>
            <w:r>
              <w:t>Data residency regions</w:t>
            </w:r>
          </w:p>
        </w:tc>
        <w:tc>
          <w:tcPr>
            <w:tcW w:type="dxa" w:w="2880"/>
          </w:tcPr>
          <w:p>
            <w:r>
              <w:t>EU + UAE pinning</w:t>
            </w:r>
          </w:p>
        </w:tc>
      </w:tr>
    </w:tbl>
    <w:p/>
    <w:p>
      <w:r>
        <w:rPr>
          <w:i/>
        </w:rPr>
        <w:t>End of Architecture Document v2.0. Paired with Development Plan v2.0, OpenAPI v1 and Festival Rule Set v1, this is intended to be handed directly to an AI coding agent or engineering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