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Lattice-Field Medium (LFM): OSF Methods and Reproducibility Appendix</w:t>
      </w:r>
    </w:p>
    <w:p>
      <w:r>
        <w:t>Version 2.0 — 2025-10-24 | Greg D. Partin | LFM Research — Los Angeles CA USA</w:t>
      </w:r>
    </w:p>
    <w:p>
      <w:pPr>
        <w:pStyle w:val="Heading2"/>
      </w:pPr>
      <w:r>
        <w:t>Test Environment</w:t>
      </w:r>
    </w:p>
    <w:p>
      <w:r>
        <w:t>Hardware: MSI Katana A15 AI (Ryzen 7 8845HS / RTX 4060 8 GB / 32 GB RAM)</w:t>
        <w:br/>
        <w:t>Software: Python 3.11.9, CuPy 12.x, NumPy, SciPy, Matplotlib</w:t>
        <w:br/>
        <w:t>Platform: Windows 11 x64</w:t>
      </w:r>
    </w:p>
    <w:p>
      <w:pPr>
        <w:pStyle w:val="Heading2"/>
      </w:pPr>
      <w:r>
        <w:t>Configuration Architecture</w:t>
      </w:r>
    </w:p>
    <w:p>
      <w:r>
        <w:t>Folder structure:</w:t>
        <w:br/>
        <w:t>C:\LFM\code — kernels</w:t>
        <w:br/>
        <w:t>C:\LFM\config — JSON configs</w:t>
        <w:br/>
        <w:t>C:\LFM\results — numerical outputs</w:t>
        <w:br/>
        <w:t>C:\LFM\packages — proof packets</w:t>
      </w:r>
    </w:p>
    <w:p>
      <w:pPr>
        <w:pStyle w:val="Heading2"/>
      </w:pPr>
      <w:r>
        <w:t>Validation Framework</w:t>
      </w:r>
    </w:p>
    <w:p>
      <w:r>
        <w:t>Tier 1: Lorentz isotropy — Δv/c &lt; 1 %, energy drift &lt; 1e−12</w:t>
        <w:br/>
        <w:t>Tier 2: Gravitational redshift — correlation &gt; 0.95 with analytic model</w:t>
        <w:br/>
        <w:t>Tier 3: Energy conservation — |ΣΔE| / ΣE &lt; 1e−12</w:t>
      </w:r>
    </w:p>
    <w:p>
      <w:pPr>
        <w:pStyle w:val="Heading2"/>
      </w:pPr>
      <w:r>
        <w:t>Orchestration</w:t>
      </w:r>
    </w:p>
    <w:p>
      <w:r>
        <w:t>run_all_tiers.py executes all tiers or specified ones using orchestration.json. Each variant logs configuration, runtime metrics, and summary results.</w:t>
      </w:r>
    </w:p>
    <w:p>
      <w:pPr>
        <w:pStyle w:val="Heading2"/>
      </w:pPr>
      <w:r>
        <w:t>Reproducibility</w:t>
      </w:r>
    </w:p>
    <w:p>
      <w:r>
        <w:t>Each proof packet (LFM_ProofPacket_&lt;campaign&gt;_vX.Y.zip) includes configs, logs, code snapshots, and hash manifests. All runs use deterministic seeds and consistent hardware settings.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